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267970</wp:posOffset>
            </wp:positionH>
            <wp:positionV relativeFrom="page">
              <wp:posOffset>603250</wp:posOffset>
            </wp:positionV>
            <wp:extent cx="70205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30, 2020</w:t>
      </w: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VIACOMCBS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(Exact name of registrant as specified in its charter)</w:t>
      </w:r>
    </w:p>
    <w:p>
      <w:pPr>
        <w:spacing w:after="0" w:line="252"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001-09553</w:t>
            </w:r>
          </w:p>
        </w:tc>
        <w:tc>
          <w:tcPr>
            <w:tcW w:w="2700" w:type="dxa"/>
            <w:vAlign w:val="bottom"/>
          </w:tcPr>
          <w:p>
            <w:pPr>
              <w:jc w:val="right"/>
              <w:ind w:right="530"/>
              <w:spacing w:after="0"/>
              <w:rPr>
                <w:sz w:val="20"/>
                <w:szCs w:val="20"/>
                <w:color w:val="auto"/>
              </w:rPr>
            </w:pPr>
            <w:r>
              <w:rPr>
                <w:rFonts w:ascii="Arial" w:cs="Arial" w:eastAsia="Arial" w:hAnsi="Arial"/>
                <w:sz w:val="18"/>
                <w:szCs w:val="18"/>
                <w:b w:val="1"/>
                <w:bCs w:val="1"/>
                <w:color w:val="auto"/>
              </w:rPr>
              <w:t>04-2949533</w:t>
            </w:r>
          </w:p>
        </w:tc>
      </w:tr>
      <w:tr>
        <w:trPr>
          <w:trHeight w:val="256"/>
        </w:trPr>
        <w:tc>
          <w:tcPr>
            <w:tcW w:w="3280" w:type="dxa"/>
            <w:vAlign w:val="bottom"/>
          </w:tcPr>
          <w:p>
            <w:pPr>
              <w:jc w:val="center"/>
              <w:ind w:right="350"/>
              <w:spacing w:after="0"/>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 Number)</w:t>
            </w:r>
          </w:p>
        </w:tc>
        <w:tc>
          <w:tcPr>
            <w:tcW w:w="2700" w:type="dxa"/>
            <w:vAlign w:val="bottom"/>
          </w:tcPr>
          <w:p>
            <w:pPr>
              <w:jc w:val="center"/>
              <w:ind w:left="5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280" w:type="dxa"/>
            <w:vAlign w:val="bottom"/>
          </w:tcPr>
          <w:p>
            <w:pPr>
              <w:jc w:val="center"/>
              <w:ind w:right="350"/>
              <w:spacing w:after="0"/>
              <w:rPr>
                <w:sz w:val="20"/>
                <w:szCs w:val="20"/>
                <w:color w:val="auto"/>
              </w:rPr>
            </w:pPr>
            <w:r>
              <w:rPr>
                <w:rFonts w:ascii="Arial" w:cs="Arial" w:eastAsia="Arial" w:hAnsi="Arial"/>
                <w:sz w:val="18"/>
                <w:szCs w:val="18"/>
                <w:color w:val="auto"/>
                <w:w w:val="94"/>
              </w:rPr>
              <w:t>incorporation)</w:t>
            </w:r>
          </w:p>
        </w:tc>
        <w:tc>
          <w:tcPr>
            <w:tcW w:w="3040" w:type="dxa"/>
            <w:vAlign w:val="bottom"/>
          </w:tcPr>
          <w:p>
            <w:pPr>
              <w:spacing w:after="0"/>
              <w:rPr>
                <w:sz w:val="20"/>
                <w:szCs w:val="20"/>
                <w:color w:val="auto"/>
              </w:rPr>
            </w:pPr>
          </w:p>
        </w:tc>
        <w:tc>
          <w:tcPr>
            <w:tcW w:w="2700" w:type="dxa"/>
            <w:vAlign w:val="bottom"/>
          </w:tcPr>
          <w:p>
            <w:pPr>
              <w:jc w:val="center"/>
              <w:ind w:left="490"/>
              <w:spacing w:after="0"/>
              <w:rPr>
                <w:sz w:val="20"/>
                <w:szCs w:val="20"/>
                <w:color w:val="auto"/>
              </w:rPr>
            </w:pPr>
            <w:r>
              <w:rPr>
                <w:rFonts w:ascii="Arial" w:cs="Arial" w:eastAsia="Arial" w:hAnsi="Arial"/>
                <w:sz w:val="18"/>
                <w:szCs w:val="18"/>
                <w:color w:val="auto"/>
                <w:w w:val="91"/>
              </w:rPr>
              <w:t>Number)</w:t>
            </w:r>
          </w:p>
        </w:tc>
      </w:tr>
      <w:tr>
        <w:trPr>
          <w:trHeight w:val="540"/>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1515 Broadway</w:t>
            </w:r>
          </w:p>
        </w:tc>
        <w:tc>
          <w:tcPr>
            <w:tcW w:w="30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70"/>
        </w:trPr>
        <w:tc>
          <w:tcPr>
            <w:tcW w:w="328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New York, New York</w:t>
            </w:r>
          </w:p>
        </w:tc>
        <w:tc>
          <w:tcPr>
            <w:tcW w:w="3040" w:type="dxa"/>
            <w:vAlign w:val="bottom"/>
          </w:tcPr>
          <w:p>
            <w:pPr>
              <w:spacing w:after="0"/>
              <w:rPr>
                <w:sz w:val="23"/>
                <w:szCs w:val="23"/>
                <w:color w:val="auto"/>
              </w:rPr>
            </w:pPr>
          </w:p>
        </w:tc>
        <w:tc>
          <w:tcPr>
            <w:tcW w:w="2700" w:type="dxa"/>
            <w:vAlign w:val="bottom"/>
          </w:tcPr>
          <w:p>
            <w:pPr>
              <w:jc w:val="right"/>
              <w:ind w:right="750"/>
              <w:spacing w:after="0"/>
              <w:rPr>
                <w:sz w:val="20"/>
                <w:szCs w:val="20"/>
                <w:color w:val="auto"/>
              </w:rPr>
            </w:pPr>
            <w:r>
              <w:rPr>
                <w:rFonts w:ascii="Arial" w:cs="Arial" w:eastAsia="Arial" w:hAnsi="Arial"/>
                <w:sz w:val="18"/>
                <w:szCs w:val="18"/>
                <w:b w:val="1"/>
                <w:bCs w:val="1"/>
                <w:color w:val="auto"/>
              </w:rPr>
              <w:t>10036</w:t>
            </w:r>
          </w:p>
        </w:tc>
      </w:tr>
      <w:tr>
        <w:trPr>
          <w:trHeight w:val="270"/>
        </w:trPr>
        <w:tc>
          <w:tcPr>
            <w:tcW w:w="328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3"/>
                <w:szCs w:val="23"/>
                <w:color w:val="auto"/>
              </w:rPr>
            </w:pPr>
          </w:p>
        </w:tc>
        <w:tc>
          <w:tcPr>
            <w:tcW w:w="2700" w:type="dxa"/>
            <w:vAlign w:val="bottom"/>
          </w:tcPr>
          <w:p>
            <w:pPr>
              <w:jc w:val="center"/>
              <w:ind w:left="490"/>
              <w:spacing w:after="0"/>
              <w:rPr>
                <w:sz w:val="20"/>
                <w:szCs w:val="20"/>
                <w:color w:val="auto"/>
              </w:rPr>
            </w:pPr>
            <w:r>
              <w:rPr>
                <w:rFonts w:ascii="Arial" w:cs="Arial" w:eastAsia="Arial" w:hAnsi="Arial"/>
                <w:sz w:val="18"/>
                <w:szCs w:val="18"/>
                <w:color w:val="auto"/>
                <w:w w:val="94"/>
              </w:rPr>
              <w:t>(Zip Code)</w:t>
            </w:r>
          </w:p>
        </w:tc>
      </w:tr>
    </w:tbl>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(212) 258-6000</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400" w:hanging="21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00" w:hanging="21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00" w:hanging="21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00" w:hanging="21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81" w:lineRule="exact"/>
        <w:rPr>
          <w:rFonts w:ascii="MS PGothic" w:cs="MS PGothic" w:eastAsia="MS PGothic" w:hAnsi="MS PGothic"/>
          <w:sz w:val="18"/>
          <w:szCs w:val="18"/>
          <w:color w:val="auto"/>
        </w:rPr>
      </w:pPr>
    </w:p>
    <w:p>
      <w:pPr>
        <w:ind w:left="3120"/>
        <w:spacing w:after="0"/>
        <w:rPr>
          <w:rFonts w:ascii="MS PGothic" w:cs="MS PGothic" w:eastAsia="MS PGothic" w:hAnsi="MS PGothic"/>
          <w:sz w:val="18"/>
          <w:szCs w:val="18"/>
          <w:color w:val="auto"/>
        </w:rPr>
      </w:pPr>
      <w:r>
        <w:rPr>
          <w:rFonts w:ascii="Arial" w:cs="Arial" w:eastAsia="Arial" w:hAnsi="Arial"/>
          <w:sz w:val="20"/>
          <w:szCs w:val="20"/>
          <w:b w:val="1"/>
          <w:bCs w:val="1"/>
          <w:color w:val="auto"/>
        </w:rPr>
        <w:t>Securities registered pursuant to Section 12(b) of the Act:</w:t>
      </w:r>
    </w:p>
    <w:p>
      <w:pPr>
        <w:spacing w:after="0" w:line="184" w:lineRule="exact"/>
        <w:rPr>
          <w:sz w:val="24"/>
          <w:szCs w:val="24"/>
          <w:color w:val="auto"/>
        </w:rPr>
      </w:pPr>
    </w:p>
    <w:tbl>
      <w:tblPr>
        <w:tblLayout w:type="fixed"/>
        <w:tblInd w:w="420" w:type="dxa"/>
        <w:tblCellMar>
          <w:top w:w="0" w:type="dxa"/>
          <w:left w:w="0" w:type="dxa"/>
          <w:bottom w:w="0" w:type="dxa"/>
          <w:right w:w="0" w:type="dxa"/>
        </w:tblCellMar>
      </w:tblPr>
      <w:tr>
        <w:trPr>
          <w:trHeight w:val="210"/>
        </w:trPr>
        <w:tc>
          <w:tcPr>
            <w:tcW w:w="3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Title of each class</w:t>
            </w:r>
          </w:p>
        </w:tc>
        <w:tc>
          <w:tcPr>
            <w:tcW w:w="2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Trading Symbols</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4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0"/>
        </w:trPr>
        <w:tc>
          <w:tcPr>
            <w:tcW w:w="382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Class A Common Stock, $0.001 par value</w:t>
            </w:r>
          </w:p>
        </w:tc>
        <w:tc>
          <w:tcPr>
            <w:tcW w:w="2460" w:type="dxa"/>
            <w:vAlign w:val="bottom"/>
            <w:gridSpan w:val="2"/>
          </w:tcPr>
          <w:p>
            <w:pPr>
              <w:jc w:val="center"/>
              <w:ind w:right="420"/>
              <w:spacing w:after="0"/>
              <w:rPr>
                <w:sz w:val="20"/>
                <w:szCs w:val="20"/>
                <w:color w:val="auto"/>
              </w:rPr>
            </w:pPr>
            <w:r>
              <w:rPr>
                <w:rFonts w:ascii="Arial" w:cs="Arial" w:eastAsia="Arial" w:hAnsi="Arial"/>
                <w:sz w:val="16"/>
                <w:szCs w:val="16"/>
                <w:color w:val="auto"/>
              </w:rPr>
              <w:t>VIACA</w:t>
            </w:r>
          </w:p>
        </w:tc>
        <w:tc>
          <w:tcPr>
            <w:tcW w:w="39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70"/>
        </w:trPr>
        <w:tc>
          <w:tcPr>
            <w:tcW w:w="382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Class B Common Stock, $0.001 par value</w:t>
            </w:r>
          </w:p>
        </w:tc>
        <w:tc>
          <w:tcPr>
            <w:tcW w:w="2460" w:type="dxa"/>
            <w:vAlign w:val="bottom"/>
            <w:gridSpan w:val="2"/>
          </w:tcPr>
          <w:p>
            <w:pPr>
              <w:jc w:val="center"/>
              <w:ind w:right="420"/>
              <w:spacing w:after="0"/>
              <w:rPr>
                <w:sz w:val="20"/>
                <w:szCs w:val="20"/>
                <w:color w:val="auto"/>
              </w:rPr>
            </w:pPr>
            <w:r>
              <w:rPr>
                <w:rFonts w:ascii="Arial" w:cs="Arial" w:eastAsia="Arial" w:hAnsi="Arial"/>
                <w:sz w:val="16"/>
                <w:szCs w:val="16"/>
                <w:color w:val="auto"/>
              </w:rPr>
              <w:t>VIAC</w:t>
            </w:r>
          </w:p>
        </w:tc>
        <w:tc>
          <w:tcPr>
            <w:tcW w:w="39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7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219075</wp:posOffset>
            </wp:positionV>
            <wp:extent cx="69691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ectPr>
          <w:pgSz w:w="11900" w:h="16838" w:orient="portrait"/>
          <w:cols w:equalWidth="0" w:num="1">
            <w:col w:w="11100"/>
          </w:cols>
          <w:pgMar w:left="400" w:top="1084" w:right="399" w:bottom="1440" w:gutter="0" w:footer="0" w:header="0"/>
        </w:sectPr>
      </w:pPr>
    </w:p>
    <w:bookmarkStart w:id="1" w:name="page2"/>
    <w:bookmarkEnd w:id="1"/>
    <w:p>
      <w:pPr>
        <w:ind w:left="1300" w:right="24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83"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On July 1, 2020, ViacomCBS Inc. (“ViacomCBS” or the “Company”) announced that Naveen Chopra has been appointed Executive Vice President, Chief Financial Officer, effective August 10, 2020, succeeding Christina Spade, currently Executive Vice President, Chief Financial Officer, who will transition to an advisory role to help ensure a smooth transition.</w:t>
      </w:r>
    </w:p>
    <w:p>
      <w:pPr>
        <w:spacing w:after="0" w:line="19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Mr. Chopra, age 46, most recently served as Vice President and Chief Financial Officer of Amazon Devices &amp; Services, beginning in 2019. Prior to joining Amazon Devices &amp; Services, Mr. Chopra served as Chief Financial Officer of Pandora Media from 2017 to 2019 and as its Interim Chief Executive Officer during part of this time, having previously served as Interim Chief Executive Officer of TiVo Inc. in 2016 and as its Chief Financial Officer from 2012 to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On June 30, 2020, the Company entered into an employment agreement (the “Agreement”) with Mr. Chopra, reflecting his appointment 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Chief Financial Officer, from August 10, 2020 through August 9, 2023, on the following terms:</w:t>
      </w:r>
    </w:p>
    <w:p>
      <w:pPr>
        <w:spacing w:after="0" w:line="213" w:lineRule="exact"/>
        <w:rPr>
          <w:sz w:val="20"/>
          <w:szCs w:val="20"/>
          <w:color w:val="auto"/>
        </w:rPr>
      </w:pPr>
    </w:p>
    <w:p>
      <w:pPr>
        <w:ind w:left="660" w:right="48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 Mr. Chopra’s annual base salary will be $1,400,000 per year, subject to annual merit reviews by the Compensation</w:t>
      </w:r>
      <w:r>
        <w:rPr>
          <w:rFonts w:ascii="Arial" w:cs="Arial" w:eastAsia="Arial" w:hAnsi="Arial"/>
          <w:sz w:val="20"/>
          <w:szCs w:val="20"/>
          <w:i w:val="1"/>
          <w:iCs w:val="1"/>
          <w:color w:val="auto"/>
        </w:rPr>
        <w:t xml:space="preserve"> </w:t>
      </w:r>
      <w:r>
        <w:rPr>
          <w:rFonts w:ascii="Arial" w:cs="Arial" w:eastAsia="Arial" w:hAnsi="Arial"/>
          <w:sz w:val="20"/>
          <w:szCs w:val="20"/>
          <w:color w:val="auto"/>
        </w:rPr>
        <w:t>Committee of the ViacomCBS Board of Directors (the “Compensation Committee”).</w:t>
      </w:r>
    </w:p>
    <w:p>
      <w:pPr>
        <w:spacing w:after="0" w:line="190" w:lineRule="exact"/>
        <w:rPr>
          <w:rFonts w:ascii="Arial" w:cs="Arial" w:eastAsia="Arial" w:hAnsi="Arial"/>
          <w:sz w:val="20"/>
          <w:szCs w:val="20"/>
          <w:color w:val="auto"/>
        </w:rPr>
      </w:pPr>
    </w:p>
    <w:p>
      <w:pPr>
        <w:ind w:left="660" w:right="4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Annual Performance-Based Cash Bonus</w:t>
      </w:r>
      <w:r>
        <w:rPr>
          <w:rFonts w:ascii="Arial" w:cs="Arial" w:eastAsia="Arial" w:hAnsi="Arial"/>
          <w:sz w:val="16"/>
          <w:szCs w:val="16"/>
          <w:color w:val="auto"/>
        </w:rPr>
        <w:t>. Mr. Chopra’s target annual cash bonus under the Company’s Senior Executive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will be 150% of his annual base salary, or $2,100,000, subject to the achievement of performance goals established by the Compensation Committee. The target bonus amount is subject to annual merit reviews by the Compensation Committee.</w:t>
      </w:r>
    </w:p>
    <w:p>
      <w:pPr>
        <w:spacing w:after="0" w:line="13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Annual Equity Awards</w:t>
      </w:r>
      <w:r>
        <w:rPr>
          <w:rFonts w:ascii="Arial" w:cs="Arial" w:eastAsia="Arial" w:hAnsi="Arial"/>
          <w:sz w:val="20"/>
          <w:szCs w:val="20"/>
          <w:color w:val="auto"/>
        </w:rPr>
        <w:t>. Mr. Chopra will be eligible to receive annual grants of equity compensation with a target value of $3,000,000.</w:t>
      </w:r>
      <w:r>
        <w:rPr>
          <w:rFonts w:ascii="Arial" w:cs="Arial" w:eastAsia="Arial" w:hAnsi="Arial"/>
          <w:sz w:val="20"/>
          <w:szCs w:val="20"/>
          <w:i w:val="1"/>
          <w:iCs w:val="1"/>
          <w:color w:val="auto"/>
        </w:rPr>
        <w:t xml:space="preserve"> </w:t>
      </w:r>
      <w:r>
        <w:rPr>
          <w:rFonts w:ascii="Arial" w:cs="Arial" w:eastAsia="Arial" w:hAnsi="Arial"/>
          <w:sz w:val="20"/>
          <w:szCs w:val="20"/>
          <w:color w:val="auto"/>
        </w:rPr>
        <w:t>His annual equity award for 2021 will be made within 10 days of August 10, 2020.</w:t>
      </w:r>
    </w:p>
    <w:p>
      <w:pPr>
        <w:spacing w:after="0" w:line="190" w:lineRule="exact"/>
        <w:rPr>
          <w:rFonts w:ascii="Arial" w:cs="Arial" w:eastAsia="Arial" w:hAnsi="Arial"/>
          <w:sz w:val="20"/>
          <w:szCs w:val="20"/>
          <w:color w:val="auto"/>
        </w:rPr>
      </w:pPr>
    </w:p>
    <w:p>
      <w:pPr>
        <w:ind w:left="660" w:right="58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Sign-on Awards</w:t>
      </w:r>
      <w:r>
        <w:rPr>
          <w:rFonts w:ascii="Arial" w:cs="Arial" w:eastAsia="Arial" w:hAnsi="Arial"/>
          <w:sz w:val="20"/>
          <w:szCs w:val="20"/>
          <w:color w:val="auto"/>
        </w:rPr>
        <w:t>. Mr. Chopra will receive a one-time sign-on cash bonus of $2,000,000 and a one-time sign-on equity award of</w:t>
      </w:r>
      <w:r>
        <w:rPr>
          <w:rFonts w:ascii="Arial" w:cs="Arial" w:eastAsia="Arial" w:hAnsi="Arial"/>
          <w:sz w:val="20"/>
          <w:szCs w:val="20"/>
          <w:i w:val="1"/>
          <w:iCs w:val="1"/>
          <w:color w:val="auto"/>
        </w:rPr>
        <w:t xml:space="preserve"> </w:t>
      </w:r>
      <w:r>
        <w:rPr>
          <w:rFonts w:ascii="Arial" w:cs="Arial" w:eastAsia="Arial" w:hAnsi="Arial"/>
          <w:sz w:val="20"/>
          <w:szCs w:val="20"/>
          <w:color w:val="auto"/>
        </w:rPr>
        <w:t>$4,500,000 within 10 days of August 10, 2020.</w:t>
      </w:r>
    </w:p>
    <w:p>
      <w:pPr>
        <w:spacing w:after="0" w:line="190" w:lineRule="exact"/>
        <w:rPr>
          <w:rFonts w:ascii="Arial" w:cs="Arial" w:eastAsia="Arial" w:hAnsi="Arial"/>
          <w:sz w:val="20"/>
          <w:szCs w:val="20"/>
          <w:color w:val="auto"/>
        </w:rPr>
      </w:pPr>
    </w:p>
    <w:p>
      <w:pPr>
        <w:ind w:left="660" w:right="58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Benefits</w:t>
      </w:r>
      <w:r>
        <w:rPr>
          <w:rFonts w:ascii="Arial" w:cs="Arial" w:eastAsia="Arial" w:hAnsi="Arial"/>
          <w:sz w:val="20"/>
          <w:szCs w:val="20"/>
          <w:color w:val="auto"/>
        </w:rPr>
        <w:t>. Mr. Chopra will be eligible to participate in the Company’s retirement and other employee benefit plans for which he</w:t>
      </w:r>
      <w:r>
        <w:rPr>
          <w:rFonts w:ascii="Arial" w:cs="Arial" w:eastAsia="Arial" w:hAnsi="Arial"/>
          <w:sz w:val="20"/>
          <w:szCs w:val="20"/>
          <w:i w:val="1"/>
          <w:iCs w:val="1"/>
          <w:color w:val="auto"/>
        </w:rPr>
        <w:t xml:space="preserve"> </w:t>
      </w:r>
      <w:r>
        <w:rPr>
          <w:rFonts w:ascii="Arial" w:cs="Arial" w:eastAsia="Arial" w:hAnsi="Arial"/>
          <w:sz w:val="20"/>
          <w:szCs w:val="20"/>
          <w:color w:val="auto"/>
        </w:rPr>
        <w:t>qualifies pursuant to the terms of the applicable plans.</w:t>
      </w:r>
    </w:p>
    <w:p>
      <w:pPr>
        <w:spacing w:after="0" w:line="190" w:lineRule="exact"/>
        <w:rPr>
          <w:rFonts w:ascii="Arial" w:cs="Arial" w:eastAsia="Arial" w:hAnsi="Arial"/>
          <w:sz w:val="20"/>
          <w:szCs w:val="20"/>
          <w:color w:val="auto"/>
        </w:rPr>
      </w:pPr>
    </w:p>
    <w:p>
      <w:pPr>
        <w:ind w:left="660" w:right="60" w:hanging="328"/>
        <w:spacing w:after="0" w:line="246"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Severance</w:t>
      </w:r>
      <w:r>
        <w:rPr>
          <w:rFonts w:ascii="Arial" w:cs="Arial" w:eastAsia="Arial" w:hAnsi="Arial"/>
          <w:sz w:val="20"/>
          <w:szCs w:val="20"/>
          <w:color w:val="auto"/>
        </w:rPr>
        <w:t>. The maximum amount payable with respect to salary and bonus in the event of Mr. Chopra’s termination without “cause”</w:t>
      </w:r>
      <w:r>
        <w:rPr>
          <w:rFonts w:ascii="Arial" w:cs="Arial" w:eastAsia="Arial" w:hAnsi="Arial"/>
          <w:sz w:val="20"/>
          <w:szCs w:val="20"/>
          <w:i w:val="1"/>
          <w:iCs w:val="1"/>
          <w:color w:val="auto"/>
        </w:rPr>
        <w:t xml:space="preserve"> </w:t>
      </w:r>
      <w:r>
        <w:rPr>
          <w:rFonts w:ascii="Arial" w:cs="Arial" w:eastAsia="Arial" w:hAnsi="Arial"/>
          <w:sz w:val="20"/>
          <w:szCs w:val="20"/>
          <w:color w:val="auto"/>
        </w:rPr>
        <w:t>or resignation for “good reason” is two times his then current base salary and target bonus. In addition, the Agreement provides for acceleration of vesting of certain unvested equity awards in the event of his termination without “cause” or resignation for “good reason.”</w:t>
      </w:r>
    </w:p>
    <w:p>
      <w:pPr>
        <w:spacing w:after="0" w:line="204" w:lineRule="exact"/>
        <w:rPr>
          <w:rFonts w:ascii="Arial" w:cs="Arial" w:eastAsia="Arial" w:hAnsi="Arial"/>
          <w:sz w:val="20"/>
          <w:szCs w:val="20"/>
          <w:color w:val="auto"/>
        </w:rPr>
      </w:pPr>
    </w:p>
    <w:p>
      <w:pPr>
        <w:ind w:left="660" w:right="50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Restrictive Covenants</w:t>
      </w:r>
      <w:r>
        <w:rPr>
          <w:rFonts w:ascii="Arial" w:cs="Arial" w:eastAsia="Arial" w:hAnsi="Arial"/>
          <w:sz w:val="20"/>
          <w:szCs w:val="20"/>
          <w:color w:val="auto"/>
        </w:rPr>
        <w:t>. Mr. Chopra will be subject to certain restrictive covenants, such as non-competition and non-solicitation</w:t>
      </w:r>
      <w:r>
        <w:rPr>
          <w:rFonts w:ascii="Arial" w:cs="Arial" w:eastAsia="Arial" w:hAnsi="Arial"/>
          <w:sz w:val="20"/>
          <w:szCs w:val="20"/>
          <w:i w:val="1"/>
          <w:iCs w:val="1"/>
          <w:color w:val="auto"/>
        </w:rPr>
        <w:t xml:space="preserve"> </w:t>
      </w:r>
      <w:r>
        <w:rPr>
          <w:rFonts w:ascii="Arial" w:cs="Arial" w:eastAsia="Arial" w:hAnsi="Arial"/>
          <w:sz w:val="20"/>
          <w:szCs w:val="20"/>
          <w:color w:val="auto"/>
        </w:rPr>
        <w:t>covenants, including following termination of employment.</w:t>
      </w:r>
    </w:p>
    <w:p>
      <w:pPr>
        <w:sectPr>
          <w:pgSz w:w="11900" w:h="16838" w:orient="portrait"/>
          <w:cols w:equalWidth="0" w:num="1">
            <w:col w:w="11240"/>
          </w:cols>
          <w:pgMar w:left="320" w:top="562"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VIACOMCBS INC.</w:t>
      </w:r>
    </w:p>
    <w:p>
      <w:pPr>
        <w:spacing w:after="0" w:line="324"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20"/>
          <w:szCs w:val="20"/>
          <w:color w:val="auto"/>
        </w:rPr>
        <w:t>By:</w:t>
        <w:tab/>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27305</wp:posOffset>
            </wp:positionV>
            <wp:extent cx="2562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7" w:lineRule="exact"/>
        <w:rPr>
          <w:sz w:val="20"/>
          <w:szCs w:val="20"/>
          <w:color w:val="auto"/>
        </w:rPr>
      </w:pPr>
    </w:p>
    <w:p>
      <w:pPr>
        <w:ind w:left="7240"/>
        <w:spacing w:after="0"/>
        <w:tabs>
          <w:tab w:leader="none" w:pos="8020" w:val="left"/>
        </w:tabs>
        <w:rPr>
          <w:sz w:val="20"/>
          <w:szCs w:val="20"/>
          <w:color w:val="auto"/>
        </w:rPr>
      </w:pPr>
      <w:r>
        <w:rPr>
          <w:rFonts w:ascii="Arial" w:cs="Arial" w:eastAsia="Arial" w:hAnsi="Arial"/>
          <w:sz w:val="20"/>
          <w:szCs w:val="20"/>
          <w:color w:val="auto"/>
        </w:rPr>
        <w:t>Name:</w:t>
        <w:tab/>
        <w:t>Christa A. D'Alimonte</w:t>
      </w:r>
    </w:p>
    <w:p>
      <w:pPr>
        <w:spacing w:after="0" w:line="54" w:lineRule="exact"/>
        <w:rPr>
          <w:sz w:val="20"/>
          <w:szCs w:val="20"/>
          <w:color w:val="auto"/>
        </w:rPr>
      </w:pPr>
    </w:p>
    <w:p>
      <w:pPr>
        <w:ind w:left="7240"/>
        <w:spacing w:after="0"/>
        <w:tabs>
          <w:tab w:leader="none" w:pos="8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spacing w:after="0" w:line="54" w:lineRule="exact"/>
        <w:rPr>
          <w:sz w:val="20"/>
          <w:szCs w:val="20"/>
          <w:color w:val="auto"/>
        </w:rPr>
      </w:pPr>
    </w:p>
    <w:p>
      <w:pPr>
        <w:ind w:left="8040"/>
        <w:spacing w:after="0"/>
        <w:rPr>
          <w:sz w:val="20"/>
          <w:szCs w:val="20"/>
          <w:color w:val="auto"/>
        </w:rPr>
      </w:pPr>
      <w:r>
        <w:rPr>
          <w:rFonts w:ascii="Arial" w:cs="Arial" w:eastAsia="Arial" w:hAnsi="Arial"/>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Date: July 7, 2020</w:t>
      </w:r>
    </w:p>
    <w:sectPr>
      <w:pgSz w:w="11900" w:h="16838" w:orient="portrait"/>
      <w:cols w:equalWidth="0" w:num="1">
        <w:col w:w="11020"/>
      </w:cols>
      <w:pgMar w:left="320" w:top="56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2020-07-07T15:33:18Z</dcterms:created>
  <dcterms:modified xsi:type="dcterms:W3CDTF">2020-07-07T15:33:18Z</dcterms:modified>
</cp:coreProperties>
</file>