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16d9_8ka.htm"/>
      <w:bookmarkStart w:id="1" w:name="kstm2610616d9_8k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31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(Amendment No.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2735"/>
        <w:gridCol w:w="60"/>
        <w:gridCol w:w="2615"/>
        <w:gridCol w:w="60"/>
        <w:gridCol w:w="2780"/>
      </w:tblGrid>
      <w:tr>
        <w:trPr/>
        <w:tc>
          <w:tcPr>
            <w:tcW w:w="273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731"/>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99-3917985</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(IRS Employer Identification</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570"/>
        <w:gridCol w:w="60"/>
        <w:gridCol w:w="60"/>
        <w:gridCol w:w="60"/>
        <w:gridCol w:w="920"/>
      </w:tblGrid>
      <w:tr>
        <w:trPr/>
        <w:tc>
          <w:tcPr>
            <w:tcW w:w="2570" w:type="dxa"/>
            <w:tcBorders/>
            <w:vAlign w:val="center"/>
          </w:tcPr>
          <w:p>
            <w:pPr>
              <w:pStyle w:val="TableContents"/>
              <w:bidi w:val="0"/>
              <w:spacing w:before="0" w:after="283"/>
              <w:jc w:val="center"/>
              <w:rPr/>
            </w:pPr>
            <w:bookmarkStart w:id="8" w:name="xdx_90E_edei--EntityAddressAddressLine1_"/>
            <w:bookmarkEnd w:id="8"/>
            <w:r>
              <w:rPr>
                <w:b/>
              </w:rPr>
              <w:t>1515 Broadway</w:t>
              <w:br/>
            </w:r>
            <w:bookmarkStart w:id="9" w:name="xdx_901_edei--EntityAddressCityOrTown_c2"/>
            <w:bookmarkEnd w:id="9"/>
            <w:r>
              <w:rPr>
                <w:b/>
              </w:rPr>
              <w:t xml:space="preserve">New York, </w:t>
            </w:r>
            <w:bookmarkStart w:id="10" w:name="xdx_900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B_edei--EntityAddressPostalZipCode"/>
            <w:bookmarkEnd w:id="11"/>
            <w:r>
              <w:rPr>
                <w:rFonts w:ascii="Times New Roman;Times;Serif" w:hAnsi="Times New Roman;Times;Serif"/>
                <w:b/>
                <w:sz w:val="20"/>
              </w:rPr>
              <w:t>10036</w:t>
            </w:r>
          </w:p>
        </w:tc>
      </w:tr>
      <w:tr>
        <w:trPr/>
        <w:tc>
          <w:tcPr>
            <w:tcW w:w="25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w:t>
              <w:br/>
              <w:t>offices)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0731__20"/>
      <w:bookmarkEnd w:id="12"/>
      <w:r>
        <w:rPr>
          <w:rFonts w:ascii="Times New Roman;Times;Serif" w:hAnsi="Times New Roman;Times;Serif"/>
          <w:b/>
          <w:i w:val="false"/>
          <w:caps w:val="false"/>
          <w:smallCaps w:val="false"/>
          <w:sz w:val="20"/>
        </w:rPr>
        <w:t xml:space="preserve">212) </w:t>
      </w:r>
      <w:bookmarkStart w:id="13" w:name="xdx_906_edei--LocalPhoneNumber_c20260731"/>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90" w:type="dxa"/>
        <w:jc w:val="left"/>
        <w:tblInd w:w="0" w:type="dxa"/>
        <w:tblLayout w:type="fixed"/>
        <w:tblCellMar>
          <w:top w:w="0" w:type="dxa"/>
          <w:left w:w="0" w:type="dxa"/>
          <w:bottom w:w="28" w:type="dxa"/>
          <w:right w:w="0" w:type="dxa"/>
        </w:tblCellMar>
      </w:tblPr>
      <w:tblGrid>
        <w:gridCol w:w="3410"/>
        <w:gridCol w:w="60"/>
        <w:gridCol w:w="1925"/>
        <w:gridCol w:w="60"/>
        <w:gridCol w:w="453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535" w:type="dxa"/>
            <w:tcBorders>
              <w:bottom w:val="single" w:sz="8" w:space="0" w:color="000000"/>
            </w:tcBorders>
            <w:vAlign w:val="center"/>
          </w:tcPr>
          <w:p>
            <w:pPr>
              <w:pStyle w:val="TableContents"/>
              <w:bidi w:val="0"/>
              <w:spacing w:before="0" w:after="283"/>
              <w:jc w:val="center"/>
              <w:rPr/>
            </w:pPr>
            <w:r>
              <w:rPr>
                <w:b/>
              </w:rPr>
              <w:t>Name of each exchange on which registered</w:t>
            </w:r>
            <w:r>
              <w:rPr/>
              <w:t xml:space="preserve"> </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731"/>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731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4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On July 31, 2026, Paramount Skydance Corporation (the “Company”) filed a Current Report on Form 8-K (the “Original Report”) to file, among other things, the unaudited pro forma financial statements included as Exhibit 99.3 thereto. The Company is filing this Amendment No. 1 on Form 8-K/A (the “Amendment”) to amend Exhibit 99.3 of the Original Report in order to correct certain information included in the table on page 5 of such Exhibit 99.3. The table below updates and supersedes the information in the table on page 5 of Exhibit 99.3 to the Original Report. Except for the information contained on such table, this Amendment does not otherwise modify or update the Original Report or the exhibits thereto.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74"/>
        <w:gridCol w:w="60"/>
        <w:gridCol w:w="1305"/>
        <w:gridCol w:w="60"/>
        <w:gridCol w:w="3005"/>
        <w:gridCol w:w="60"/>
        <w:gridCol w:w="60"/>
        <w:gridCol w:w="3481"/>
      </w:tblGrid>
      <w:tr>
        <w:trPr/>
        <w:tc>
          <w:tcPr>
            <w:tcW w:w="217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Existing WBD Notes to be</w:t>
              <w:br/>
              <w:t>Exchanged (the “Existing</w:t>
              <w:br/>
              <w:t>WBD Notes”)</w:t>
            </w:r>
          </w:p>
        </w:tc>
        <w:tc>
          <w:tcPr>
            <w:tcW w:w="60" w:type="dxa"/>
            <w:tcBorders/>
            <w:tcMar>
              <w:bottom w:w="0" w:type="dxa"/>
            </w:tcMar>
            <w:vAlign w:val="center"/>
          </w:tcPr>
          <w:p>
            <w:pPr>
              <w:pStyle w:val="TableContents"/>
              <w:bidi w:val="0"/>
              <w:spacing w:before="0" w:after="283"/>
              <w:jc w:val="center"/>
              <w:rPr/>
            </w:pPr>
            <w:r>
              <w:rPr/>
              <w:t> </w:t>
            </w:r>
          </w:p>
        </w:tc>
        <w:tc>
          <w:tcPr>
            <w:tcW w:w="13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Issuer of Existing</w:t>
              <w:br/>
              <w:t>WBD Notes</w:t>
            </w:r>
          </w:p>
        </w:tc>
        <w:tc>
          <w:tcPr>
            <w:tcW w:w="60" w:type="dxa"/>
            <w:tcBorders/>
            <w:tcMar>
              <w:bottom w:w="0" w:type="dxa"/>
            </w:tcMar>
            <w:vAlign w:val="center"/>
          </w:tcPr>
          <w:p>
            <w:pPr>
              <w:pStyle w:val="TableContents"/>
              <w:bidi w:val="0"/>
              <w:spacing w:before="0" w:after="283"/>
              <w:jc w:val="center"/>
              <w:rPr/>
            </w:pPr>
            <w:r>
              <w:rPr/>
              <w:t> </w:t>
            </w:r>
          </w:p>
        </w:tc>
        <w:tc>
          <w:tcPr>
            <w:tcW w:w="30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of Notes</w:t>
              <w:br/>
              <w:t>Validly Delivered in Consent Solicitations</w:t>
              <w:br/>
              <w:t>and Eligible to Participate in the</w:t>
              <w:br/>
              <w:t>Exchange Offers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4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Lien</w:t>
              <w:br/>
              <w:t>Secured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br/>
              <w:t>Notes Offered</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4.125% Senior Notes due 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$655,825,000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6.250% Senior Secured Second Lien Notes due 2029</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3.625% Senior Notes due 2030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$914,183,000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2030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Notes due 2037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$453,281,000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 Senior Secured Second Lien Notes due 2037</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Notes due 2040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$438,102,000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6.350% Senior Secured Second Lien Notes due 2040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Notes due 2042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$130,366,000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4.950% Senior Secured Second Lien Notes due 2042</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Notes due 2043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$141,584,000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4.875% Senior Secured Second Lien Notes due 2043</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Notes due 2047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 Senior Secured Second Lien Notes due 2047</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Notes due 2049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DCL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$247,860,000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5.300% Senior Secured Second Lien Notes due 2049</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4.054% Senior Notes due 2029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$1,353,828,000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6.304% Senior Secured Second Lien Notes due 2029</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4.279% Senior Notes due 2032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$2,691,764,000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4.904% Senior Secured Second Lien Notes due 2032</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Notes due 2042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$4,104,687,000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5.050% Senior Secured Second Lien Notes due 2042</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Notes due 2052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$949,883,000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5.141% Senior Secured Second Lien Notes due 2052</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4.302% Senior Notes due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pPr>
            <w:r>
              <w:rPr/>
              <w:t>€</w:t>
            </w:r>
            <w:r>
              <w:rPr>
                <w:rFonts w:ascii="Times New Roman;Times;Serif" w:hAnsi="Times New Roman;Times;Serif"/>
                <w:sz w:val="20"/>
              </w:rPr>
              <w:t>234,382,000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5.802% Senior Secured Second Lien Notes due 2030</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4.693% Senior Notes due 2033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DGH Issuer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pPr>
            <w:r>
              <w:rPr/>
              <w:t>€</w:t>
            </w:r>
            <w:r>
              <w:rPr>
                <w:rFonts w:ascii="Times New Roman;Times;Serif" w:hAnsi="Times New Roman;Times;Serif"/>
                <w:sz w:val="20"/>
              </w:rPr>
              <w:t>316,641,000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5.068% Senior Secured Second Lien Notes due 2033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2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746</Words>
  <Characters>4046</Characters>
  <CharactersWithSpaces>4803</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