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4, 2024</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497F"/>
        </w:rPr>
        <w:t>Paramount Global</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001-09553</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04-2949533</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2"/>
        </w:trPr>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PARAA</w:t>
            </w:r>
          </w:p>
        </w:tc>
        <w:tc>
          <w:tcPr>
            <w:tcW w:w="1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5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Class B Common Stock, $0.001 par value</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PARA</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4"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5.03</w:t>
      </w:r>
      <w:r>
        <w:rPr>
          <w:sz w:val="20"/>
          <w:szCs w:val="20"/>
          <w:color w:val="auto"/>
        </w:rPr>
        <w:tab/>
      </w:r>
      <w:r>
        <w:rPr>
          <w:rFonts w:ascii="Times New Roman" w:cs="Times New Roman" w:eastAsia="Times New Roman" w:hAnsi="Times New Roman"/>
          <w:sz w:val="19"/>
          <w:szCs w:val="19"/>
          <w:b w:val="1"/>
          <w:bCs w:val="1"/>
          <w:color w:val="auto"/>
        </w:rPr>
        <w:t>Amendments to Articles of Incorporation or Bylaws; Change in Fiscal Year.</w:t>
      </w:r>
    </w:p>
    <w:p>
      <w:pPr>
        <w:spacing w:after="0" w:line="36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231F20"/>
        </w:rPr>
        <w:t>On June 4, 2024, the Board of Directors of Paramount Global (“Paramount” or the “Company”) approved an amendment and restatement of Paramount’s bylaws (as amended and restated, the “Bylaws”). The amendments primarily remove provisions that, by their terms, were effective only until the second anniversary of the 2019 merger of Viacom Inc. with and into the Company and expired in 2021. The amendments are consistent with the amendments to the Company’s Certificate of Incorporation that were approved at the Company’s 2024 Annual Meeting of Stockholders (the “Annual Meeting”), as disclosed in Item 5.07 below.</w:t>
      </w:r>
    </w:p>
    <w:p>
      <w:pPr>
        <w:spacing w:after="0" w:line="214"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20"/>
          <w:szCs w:val="20"/>
          <w:color w:val="231F20"/>
        </w:rPr>
        <w:t>The foregoing description of the Bylaws is subject to, and qualified in its entirety by reference to, the full text of the Bylaws, which are attached hereto as Exhibit 3.1 (marked against the prior version) and are incorporated by reference herein.</w:t>
      </w:r>
    </w:p>
    <w:p>
      <w:pPr>
        <w:spacing w:after="0" w:line="250" w:lineRule="exact"/>
        <w:rPr>
          <w:sz w:val="20"/>
          <w:szCs w:val="20"/>
          <w:color w:val="auto"/>
        </w:rPr>
      </w:pPr>
    </w:p>
    <w:p>
      <w:pPr>
        <w:ind w:left="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35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231F20"/>
        </w:rPr>
        <w:t>The final results of voting on each of the items presented at the Annual Meeting, as certified by the Company’s independent inspector of election, are set forth below. Each of the directors nominated pursuant to Item 1, as well as Item 2, Item 3 and Item 4, received the affirmative vote of the holders of a majority of the aggregate voting power of the Paramount Class A Common Stock present (whether in person or by proxy) and entitled to vote at the Annual Meeting, and was therefore approved pursuant to the Company’s bylaws. Item 5 and Item 6 did not receive the affirmative vote of the holders of a majority of the aggregate voting power of the Paramount Class A Common Stock present (whether in person or by proxy) and entitled to vote at the Annual Meeting, and were therefore not approved pursuant to the Company’s bylaws. A total of 39,138,999 shares of Class A Common Stock, representing approximately 96.16% of the Class A shares outstanding on the record date, were represented at the Annual Meeting.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  Election of Directors:</w:t>
            </w:r>
          </w:p>
        </w:tc>
        <w:tc>
          <w:tcPr>
            <w:tcW w:w="1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4"/>
        </w:trPr>
        <w:tc>
          <w:tcPr>
            <w:tcW w:w="3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481"/>
              <w:spacing w:after="0" w:line="224" w:lineRule="exact"/>
              <w:rPr>
                <w:sz w:val="20"/>
                <w:szCs w:val="20"/>
                <w:color w:val="auto"/>
              </w:rPr>
            </w:pPr>
            <w:r>
              <w:rPr>
                <w:rFonts w:ascii="Times New Roman" w:cs="Times New Roman" w:eastAsia="Times New Roman" w:hAnsi="Times New Roman"/>
                <w:sz w:val="20"/>
                <w:szCs w:val="20"/>
                <w:b w:val="1"/>
                <w:bCs w:val="1"/>
                <w:color w:val="auto"/>
              </w:rPr>
              <w:t>Broker</w:t>
            </w:r>
          </w:p>
        </w:tc>
      </w:tr>
      <w:tr>
        <w:trPr>
          <w:trHeight w:val="277"/>
        </w:trPr>
        <w:tc>
          <w:tcPr>
            <w:tcW w:w="3540" w:type="dxa"/>
            <w:vAlign w:val="bottom"/>
          </w:tcPr>
          <w:p>
            <w:pPr>
              <w:spacing w:after="0"/>
              <w:rPr>
                <w:sz w:val="24"/>
                <w:szCs w:val="24"/>
                <w:color w:val="auto"/>
              </w:rPr>
            </w:pPr>
          </w:p>
        </w:tc>
        <w:tc>
          <w:tcPr>
            <w:tcW w:w="1960" w:type="dxa"/>
            <w:vAlign w:val="bottom"/>
            <w:gridSpan w:val="2"/>
          </w:tcPr>
          <w:p>
            <w:pPr>
              <w:ind w:left="720"/>
              <w:spacing w:after="0"/>
              <w:rPr>
                <w:sz w:val="20"/>
                <w:szCs w:val="20"/>
                <w:color w:val="auto"/>
              </w:rPr>
            </w:pPr>
            <w:r>
              <w:rPr>
                <w:rFonts w:ascii="Times New Roman" w:cs="Times New Roman" w:eastAsia="Times New Roman" w:hAnsi="Times New Roman"/>
                <w:sz w:val="20"/>
                <w:szCs w:val="20"/>
                <w:b w:val="1"/>
                <w:bCs w:val="1"/>
                <w:color w:val="auto"/>
              </w:rPr>
              <w:t>For</w:t>
            </w:r>
          </w:p>
        </w:tc>
        <w:tc>
          <w:tcPr>
            <w:tcW w:w="1980" w:type="dxa"/>
            <w:vAlign w:val="bottom"/>
            <w:gridSpan w:val="2"/>
          </w:tcPr>
          <w:p>
            <w:pPr>
              <w:ind w:left="56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1980" w:type="dxa"/>
            <w:vAlign w:val="bottom"/>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176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Non-Votes</w:t>
            </w:r>
          </w:p>
        </w:tc>
      </w:tr>
      <w:tr>
        <w:trPr>
          <w:trHeight w:val="263"/>
        </w:trPr>
        <w:tc>
          <w:tcPr>
            <w:tcW w:w="3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Barbara M. Byrne</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32,903,005</w:t>
            </w:r>
          </w:p>
        </w:tc>
        <w:tc>
          <w:tcPr>
            <w:tcW w:w="200" w:type="dxa"/>
            <w:vAlign w:val="bottom"/>
          </w:tcPr>
          <w:p>
            <w:pPr>
              <w:spacing w:after="0"/>
              <w:rPr>
                <w:sz w:val="22"/>
                <w:szCs w:val="22"/>
                <w:color w:val="auto"/>
              </w:rPr>
            </w:pPr>
          </w:p>
        </w:tc>
        <w:tc>
          <w:tcPr>
            <w:tcW w:w="17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265,151</w:t>
            </w:r>
          </w:p>
        </w:tc>
        <w:tc>
          <w:tcPr>
            <w:tcW w:w="220" w:type="dxa"/>
            <w:vAlign w:val="bottom"/>
          </w:tcPr>
          <w:p>
            <w:pPr>
              <w:spacing w:after="0"/>
              <w:rPr>
                <w:sz w:val="22"/>
                <w:szCs w:val="22"/>
                <w:color w:val="auto"/>
              </w:rPr>
            </w:pPr>
          </w:p>
        </w:tc>
        <w:tc>
          <w:tcPr>
            <w:tcW w:w="17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4,561,871</w:t>
            </w:r>
          </w:p>
        </w:tc>
        <w:tc>
          <w:tcPr>
            <w:tcW w:w="220" w:type="dxa"/>
            <w:vAlign w:val="bottom"/>
          </w:tcPr>
          <w:p>
            <w:pPr>
              <w:spacing w:after="0"/>
              <w:rPr>
                <w:sz w:val="22"/>
                <w:szCs w:val="22"/>
                <w:color w:val="auto"/>
              </w:rPr>
            </w:pPr>
          </w:p>
        </w:tc>
        <w:tc>
          <w:tcPr>
            <w:tcW w:w="176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1,408,972</w:t>
            </w:r>
          </w:p>
        </w:tc>
      </w:tr>
      <w:tr>
        <w:trPr>
          <w:trHeight w:val="270"/>
        </w:trPr>
        <w:tc>
          <w:tcPr>
            <w:tcW w:w="3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Linda M. Griego</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32,455,026</w:t>
            </w:r>
          </w:p>
        </w:tc>
        <w:tc>
          <w:tcPr>
            <w:tcW w:w="20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714,958</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4,560,043</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1,408,972</w:t>
            </w:r>
          </w:p>
        </w:tc>
      </w:tr>
      <w:tr>
        <w:trPr>
          <w:trHeight w:val="270"/>
        </w:trPr>
        <w:tc>
          <w:tcPr>
            <w:tcW w:w="3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Judith A. McHale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32,403,778</w:t>
            </w:r>
          </w:p>
        </w:tc>
        <w:tc>
          <w:tcPr>
            <w:tcW w:w="20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767,158</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4,559,091</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1,408,972</w:t>
            </w:r>
          </w:p>
        </w:tc>
      </w:tr>
      <w:tr>
        <w:trPr>
          <w:trHeight w:val="270"/>
        </w:trPr>
        <w:tc>
          <w:tcPr>
            <w:tcW w:w="3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Charles E. Phillips, Jr.</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32,393,050</w:t>
            </w:r>
          </w:p>
        </w:tc>
        <w:tc>
          <w:tcPr>
            <w:tcW w:w="20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777,419</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4,559,558</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1,408,972</w:t>
            </w:r>
          </w:p>
        </w:tc>
      </w:tr>
      <w:tr>
        <w:trPr>
          <w:trHeight w:val="270"/>
        </w:trPr>
        <w:tc>
          <w:tcPr>
            <w:tcW w:w="3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Shari E. Redstone</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32,261,801</w:t>
            </w:r>
          </w:p>
        </w:tc>
        <w:tc>
          <w:tcPr>
            <w:tcW w:w="20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905,254</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4,562,972</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1,408,972</w:t>
            </w:r>
          </w:p>
        </w:tc>
      </w:tr>
      <w:tr>
        <w:trPr>
          <w:trHeight w:val="270"/>
        </w:trPr>
        <w:tc>
          <w:tcPr>
            <w:tcW w:w="3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Susan Schuman</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32,385,655</w:t>
            </w:r>
          </w:p>
        </w:tc>
        <w:tc>
          <w:tcPr>
            <w:tcW w:w="20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785,311</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4,559,061</w:t>
            </w:r>
          </w:p>
        </w:tc>
        <w:tc>
          <w:tcPr>
            <w:tcW w:w="220" w:type="dxa"/>
            <w:vAlign w:val="bottom"/>
          </w:tcPr>
          <w:p>
            <w:pPr>
              <w:spacing w:after="0"/>
              <w:rPr>
                <w:sz w:val="23"/>
                <w:szCs w:val="23"/>
                <w:color w:val="auto"/>
              </w:rPr>
            </w:pPr>
          </w:p>
        </w:tc>
        <w:tc>
          <w:tcPr>
            <w:tcW w:w="17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1,408,972</w:t>
            </w:r>
          </w:p>
        </w:tc>
      </w:tr>
    </w:tbl>
    <w:p>
      <w:pPr>
        <w:spacing w:after="0" w:line="359" w:lineRule="exact"/>
        <w:rPr>
          <w:sz w:val="20"/>
          <w:szCs w:val="20"/>
          <w:color w:val="auto"/>
        </w:rPr>
      </w:pPr>
    </w:p>
    <w:p>
      <w:pPr>
        <w:ind w:left="360" w:right="620" w:hanging="334"/>
        <w:spacing w:after="0" w:line="273" w:lineRule="auto"/>
        <w:tabs>
          <w:tab w:leader="none" w:pos="3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Ratification of the appointment of PricewaterhouseCoopers LLP to serve as the Company’s independent registered public accounting firm for fiscal year 2024:</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66"/>
        </w:trPr>
        <w:tc>
          <w:tcPr>
            <w:tcW w:w="378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For</w:t>
            </w:r>
          </w:p>
        </w:tc>
        <w:tc>
          <w:tcPr>
            <w:tcW w:w="3780" w:type="dxa"/>
            <w:vAlign w:val="bottom"/>
            <w:gridSpan w:val="2"/>
          </w:tcPr>
          <w:p>
            <w:pPr>
              <w:ind w:left="134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Abstentions</w:t>
            </w:r>
          </w:p>
        </w:tc>
      </w:tr>
      <w:tr>
        <w:trPr>
          <w:trHeight w:val="260"/>
        </w:trPr>
        <w:tc>
          <w:tcPr>
            <w:tcW w:w="3320" w:type="dxa"/>
            <w:vAlign w:val="bottom"/>
            <w:tcBorders>
              <w:top w:val="single" w:sz="8" w:color="auto"/>
            </w:tcBorders>
          </w:tcPr>
          <w:p>
            <w:pPr>
              <w:jc w:val="right"/>
              <w:ind w:right="1121"/>
              <w:spacing w:after="0"/>
              <w:rPr>
                <w:sz w:val="20"/>
                <w:szCs w:val="20"/>
                <w:color w:val="auto"/>
              </w:rPr>
            </w:pPr>
            <w:r>
              <w:rPr>
                <w:rFonts w:ascii="Times New Roman" w:cs="Times New Roman" w:eastAsia="Times New Roman" w:hAnsi="Times New Roman"/>
                <w:sz w:val="20"/>
                <w:szCs w:val="20"/>
                <w:color w:val="auto"/>
              </w:rPr>
              <w:t>38,626,893</w:t>
            </w:r>
          </w:p>
        </w:tc>
        <w:tc>
          <w:tcPr>
            <w:tcW w:w="460" w:type="dxa"/>
            <w:vAlign w:val="bottom"/>
          </w:tcPr>
          <w:p>
            <w:pPr>
              <w:spacing w:after="0"/>
              <w:rPr>
                <w:sz w:val="22"/>
                <w:szCs w:val="22"/>
                <w:color w:val="auto"/>
              </w:rPr>
            </w:pPr>
          </w:p>
        </w:tc>
        <w:tc>
          <w:tcPr>
            <w:tcW w:w="332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20"/>
                <w:szCs w:val="20"/>
                <w:color w:val="auto"/>
              </w:rPr>
              <w:t>498,872</w:t>
            </w:r>
          </w:p>
        </w:tc>
        <w:tc>
          <w:tcPr>
            <w:tcW w:w="460" w:type="dxa"/>
            <w:vAlign w:val="bottom"/>
          </w:tcPr>
          <w:p>
            <w:pPr>
              <w:spacing w:after="0"/>
              <w:rPr>
                <w:sz w:val="22"/>
                <w:szCs w:val="22"/>
                <w:color w:val="auto"/>
              </w:rPr>
            </w:pPr>
          </w:p>
        </w:tc>
        <w:tc>
          <w:tcPr>
            <w:tcW w:w="3340" w:type="dxa"/>
            <w:vAlign w:val="bottom"/>
            <w:tcBorders>
              <w:top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13,234</w:t>
            </w:r>
          </w:p>
        </w:tc>
      </w:tr>
    </w:tbl>
    <w:p>
      <w:pPr>
        <w:spacing w:after="0" w:line="37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Amendment and restatement of the Company’s 2009 Long-Term Incentive Plan:</w:t>
      </w: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66"/>
        </w:trPr>
        <w:tc>
          <w:tcPr>
            <w:tcW w:w="28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For</w:t>
            </w:r>
          </w:p>
        </w:tc>
        <w:tc>
          <w:tcPr>
            <w:tcW w:w="28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8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60"/>
        </w:trPr>
        <w:tc>
          <w:tcPr>
            <w:tcW w:w="2360" w:type="dxa"/>
            <w:vAlign w:val="bottom"/>
            <w:tcBorders>
              <w:top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32,932,273</w:t>
            </w:r>
          </w:p>
        </w:tc>
        <w:tc>
          <w:tcPr>
            <w:tcW w:w="460" w:type="dxa"/>
            <w:vAlign w:val="bottom"/>
          </w:tcPr>
          <w:p>
            <w:pPr>
              <w:spacing w:after="0"/>
              <w:rPr>
                <w:sz w:val="22"/>
                <w:szCs w:val="22"/>
                <w:color w:val="auto"/>
              </w:rPr>
            </w:pPr>
          </w:p>
        </w:tc>
        <w:tc>
          <w:tcPr>
            <w:tcW w:w="238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4,767,390</w:t>
            </w:r>
          </w:p>
        </w:tc>
        <w:tc>
          <w:tcPr>
            <w:tcW w:w="440" w:type="dxa"/>
            <w:vAlign w:val="bottom"/>
          </w:tcPr>
          <w:p>
            <w:pPr>
              <w:spacing w:after="0"/>
              <w:rPr>
                <w:sz w:val="22"/>
                <w:szCs w:val="22"/>
                <w:color w:val="auto"/>
              </w:rPr>
            </w:pPr>
          </w:p>
        </w:tc>
        <w:tc>
          <w:tcPr>
            <w:tcW w:w="242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color w:val="auto"/>
              </w:rPr>
              <w:t>30,364</w:t>
            </w:r>
          </w:p>
        </w:tc>
        <w:tc>
          <w:tcPr>
            <w:tcW w:w="440" w:type="dxa"/>
            <w:vAlign w:val="bottom"/>
          </w:tcPr>
          <w:p>
            <w:pPr>
              <w:spacing w:after="0"/>
              <w:rPr>
                <w:sz w:val="22"/>
                <w:szCs w:val="22"/>
                <w:color w:val="auto"/>
              </w:rPr>
            </w:pPr>
          </w:p>
        </w:tc>
        <w:tc>
          <w:tcPr>
            <w:tcW w:w="240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1,408,972</w:t>
            </w:r>
          </w:p>
        </w:tc>
      </w:tr>
    </w:tbl>
    <w:p>
      <w:pPr>
        <w:spacing w:after="0" w:line="37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Amendment and restatement of the Company’s Certificate of Incorporation: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0" w:type="dxa"/>
            <w:vAlign w:val="bottom"/>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For</w:t>
            </w:r>
          </w:p>
        </w:tc>
        <w:tc>
          <w:tcPr>
            <w:tcW w:w="460" w:type="dxa"/>
            <w:vAlign w:val="bottom"/>
          </w:tcPr>
          <w:p>
            <w:pPr>
              <w:spacing w:after="0"/>
              <w:rPr>
                <w:sz w:val="23"/>
                <w:szCs w:val="23"/>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440" w:type="dxa"/>
            <w:vAlign w:val="bottom"/>
          </w:tcPr>
          <w:p>
            <w:pPr>
              <w:spacing w:after="0"/>
              <w:rPr>
                <w:sz w:val="23"/>
                <w:szCs w:val="23"/>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440" w:type="dxa"/>
            <w:vAlign w:val="bottom"/>
          </w:tcPr>
          <w:p>
            <w:pPr>
              <w:spacing w:after="0"/>
              <w:rPr>
                <w:sz w:val="23"/>
                <w:szCs w:val="23"/>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60"/>
        </w:trPr>
        <w:tc>
          <w:tcPr>
            <w:tcW w:w="2700" w:type="dxa"/>
            <w:vAlign w:val="bottom"/>
            <w:gridSpan w:val="2"/>
          </w:tcPr>
          <w:p>
            <w:pPr>
              <w:jc w:val="right"/>
              <w:ind w:right="641"/>
              <w:spacing w:after="0"/>
              <w:rPr>
                <w:sz w:val="20"/>
                <w:szCs w:val="20"/>
                <w:color w:val="auto"/>
              </w:rPr>
            </w:pPr>
            <w:r>
              <w:rPr>
                <w:rFonts w:ascii="Times New Roman" w:cs="Times New Roman" w:eastAsia="Times New Roman" w:hAnsi="Times New Roman"/>
                <w:sz w:val="20"/>
                <w:szCs w:val="20"/>
                <w:color w:val="auto"/>
              </w:rPr>
              <w:t>32,360,353</w:t>
            </w:r>
          </w:p>
        </w:tc>
        <w:tc>
          <w:tcPr>
            <w:tcW w:w="460" w:type="dxa"/>
            <w:vAlign w:val="bottom"/>
          </w:tcPr>
          <w:p>
            <w:pPr>
              <w:spacing w:after="0"/>
              <w:rPr>
                <w:sz w:val="22"/>
                <w:szCs w:val="22"/>
                <w:color w:val="auto"/>
              </w:rPr>
            </w:pPr>
          </w:p>
        </w:tc>
        <w:tc>
          <w:tcPr>
            <w:tcW w:w="238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5,337,198</w:t>
            </w:r>
          </w:p>
        </w:tc>
        <w:tc>
          <w:tcPr>
            <w:tcW w:w="440" w:type="dxa"/>
            <w:vAlign w:val="bottom"/>
          </w:tcPr>
          <w:p>
            <w:pPr>
              <w:spacing w:after="0"/>
              <w:rPr>
                <w:sz w:val="22"/>
                <w:szCs w:val="22"/>
                <w:color w:val="auto"/>
              </w:rPr>
            </w:pPr>
          </w:p>
        </w:tc>
        <w:tc>
          <w:tcPr>
            <w:tcW w:w="242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32,476</w:t>
            </w:r>
          </w:p>
        </w:tc>
        <w:tc>
          <w:tcPr>
            <w:tcW w:w="440" w:type="dxa"/>
            <w:vAlign w:val="bottom"/>
          </w:tcPr>
          <w:p>
            <w:pPr>
              <w:spacing w:after="0"/>
              <w:rPr>
                <w:sz w:val="22"/>
                <w:szCs w:val="22"/>
                <w:color w:val="auto"/>
              </w:rPr>
            </w:pPr>
          </w:p>
        </w:tc>
        <w:tc>
          <w:tcPr>
            <w:tcW w:w="240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1,408,972</w:t>
            </w:r>
          </w:p>
        </w:tc>
      </w:tr>
      <w:tr>
        <w:trPr>
          <w:trHeight w:val="1095"/>
        </w:trPr>
        <w:tc>
          <w:tcPr>
            <w:tcW w:w="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ind w:left="360" w:right="520" w:hanging="334"/>
        <w:spacing w:after="0" w:line="259" w:lineRule="auto"/>
        <w:tabs>
          <w:tab w:leader="none" w:pos="36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proposal requesting that our Board of Directors take steps to adopt a policy to require stockholder approval of certain “golden parachute” compensation packages: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66"/>
        </w:trPr>
        <w:tc>
          <w:tcPr>
            <w:tcW w:w="28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For</w:t>
            </w:r>
          </w:p>
        </w:tc>
        <w:tc>
          <w:tcPr>
            <w:tcW w:w="282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8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60"/>
        </w:trPr>
        <w:tc>
          <w:tcPr>
            <w:tcW w:w="236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930,910</w:t>
            </w:r>
          </w:p>
        </w:tc>
        <w:tc>
          <w:tcPr>
            <w:tcW w:w="460" w:type="dxa"/>
            <w:vAlign w:val="bottom"/>
          </w:tcPr>
          <w:p>
            <w:pPr>
              <w:spacing w:after="0"/>
              <w:rPr>
                <w:sz w:val="22"/>
                <w:szCs w:val="22"/>
                <w:color w:val="auto"/>
              </w:rPr>
            </w:pPr>
          </w:p>
        </w:tc>
        <w:tc>
          <w:tcPr>
            <w:tcW w:w="2380" w:type="dxa"/>
            <w:vAlign w:val="bottom"/>
            <w:tcBorders>
              <w:top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32,232,749</w:t>
            </w:r>
          </w:p>
        </w:tc>
        <w:tc>
          <w:tcPr>
            <w:tcW w:w="440" w:type="dxa"/>
            <w:vAlign w:val="bottom"/>
          </w:tcPr>
          <w:p>
            <w:pPr>
              <w:spacing w:after="0"/>
              <w:rPr>
                <w:sz w:val="22"/>
                <w:szCs w:val="22"/>
                <w:color w:val="auto"/>
              </w:rPr>
            </w:pPr>
          </w:p>
        </w:tc>
        <w:tc>
          <w:tcPr>
            <w:tcW w:w="2420" w:type="dxa"/>
            <w:vAlign w:val="bottom"/>
            <w:tcBorders>
              <w:top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4,566,368</w:t>
            </w:r>
          </w:p>
        </w:tc>
        <w:tc>
          <w:tcPr>
            <w:tcW w:w="440" w:type="dxa"/>
            <w:vAlign w:val="bottom"/>
          </w:tcPr>
          <w:p>
            <w:pPr>
              <w:spacing w:after="0"/>
              <w:rPr>
                <w:sz w:val="22"/>
                <w:szCs w:val="22"/>
                <w:color w:val="auto"/>
              </w:rPr>
            </w:pPr>
          </w:p>
        </w:tc>
        <w:tc>
          <w:tcPr>
            <w:tcW w:w="240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1,408,972</w:t>
            </w:r>
          </w:p>
        </w:tc>
      </w:tr>
    </w:tbl>
    <w:p>
      <w:pPr>
        <w:spacing w:after="0" w:line="372" w:lineRule="exact"/>
        <w:rPr>
          <w:sz w:val="20"/>
          <w:szCs w:val="20"/>
          <w:color w:val="auto"/>
        </w:rPr>
      </w:pPr>
    </w:p>
    <w:p>
      <w:pPr>
        <w:ind w:left="360" w:right="260" w:hanging="334"/>
        <w:spacing w:after="0" w:line="259" w:lineRule="auto"/>
        <w:tabs>
          <w:tab w:leader="none" w:pos="3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proposal requesting that the Company prepare and disclose a “transparency report” regarding its use of artificial intelligence: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20" w:type="dxa"/>
            <w:vAlign w:val="bottom"/>
            <w:gridSpan w:val="4"/>
          </w:tcPr>
          <w:p>
            <w:pPr>
              <w:jc w:val="center"/>
              <w:ind w:right="1860"/>
              <w:spacing w:after="0"/>
              <w:rPr>
                <w:sz w:val="20"/>
                <w:szCs w:val="20"/>
                <w:color w:val="auto"/>
              </w:rPr>
            </w:pPr>
            <w:r>
              <w:rPr>
                <w:rFonts w:ascii="Times New Roman" w:cs="Times New Roman" w:eastAsia="Times New Roman" w:hAnsi="Times New Roman"/>
                <w:sz w:val="20"/>
                <w:szCs w:val="20"/>
                <w:b w:val="1"/>
                <w:bCs w:val="1"/>
                <w:color w:val="auto"/>
              </w:rPr>
              <w:t>For</w:t>
            </w:r>
          </w:p>
        </w:tc>
        <w:tc>
          <w:tcPr>
            <w:tcW w:w="2580" w:type="dxa"/>
            <w:vAlign w:val="bottom"/>
            <w:gridSpan w:val="3"/>
          </w:tcPr>
          <w:p>
            <w:pPr>
              <w:jc w:val="center"/>
              <w:ind w:right="100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700" w:type="dxa"/>
            <w:vAlign w:val="bottom"/>
            <w:gridSpan w:val="2"/>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2"/>
          </w:tcPr>
          <w:p>
            <w:pPr>
              <w:jc w:val="right"/>
              <w:ind w:right="761"/>
              <w:spacing w:after="0"/>
              <w:rPr>
                <w:sz w:val="20"/>
                <w:szCs w:val="20"/>
                <w:color w:val="auto"/>
              </w:rPr>
            </w:pPr>
            <w:r>
              <w:rPr>
                <w:rFonts w:ascii="Times New Roman" w:cs="Times New Roman" w:eastAsia="Times New Roman" w:hAnsi="Times New Roman"/>
                <w:sz w:val="20"/>
                <w:szCs w:val="20"/>
                <w:color w:val="auto"/>
                <w:w w:val="98"/>
              </w:rPr>
              <w:t>804,903</w:t>
            </w:r>
          </w:p>
        </w:tc>
        <w:tc>
          <w:tcPr>
            <w:tcW w:w="4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32,334,742</w:t>
            </w:r>
          </w:p>
        </w:tc>
        <w:tc>
          <w:tcPr>
            <w:tcW w:w="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260" w:type="dxa"/>
            <w:vAlign w:val="bottom"/>
            <w:tcBorders>
              <w:top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4,590,382</w:t>
            </w:r>
          </w:p>
        </w:tc>
        <w:tc>
          <w:tcPr>
            <w:tcW w:w="440" w:type="dxa"/>
            <w:vAlign w:val="bottom"/>
          </w:tcPr>
          <w:p>
            <w:pPr>
              <w:spacing w:after="0"/>
              <w:rPr>
                <w:sz w:val="22"/>
                <w:szCs w:val="22"/>
                <w:color w:val="auto"/>
              </w:rPr>
            </w:pPr>
          </w:p>
        </w:tc>
        <w:tc>
          <w:tcPr>
            <w:tcW w:w="240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1,408,972</w:t>
            </w: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160" w:type="dxa"/>
            <w:vAlign w:val="bottom"/>
          </w:tcPr>
          <w:p>
            <w:pPr>
              <w:spacing w:after="0"/>
              <w:rPr>
                <w:sz w:val="24"/>
                <w:szCs w:val="24"/>
                <w:color w:val="auto"/>
              </w:rPr>
            </w:pPr>
          </w:p>
        </w:tc>
        <w:tc>
          <w:tcPr>
            <w:tcW w:w="4800" w:type="dxa"/>
            <w:vAlign w:val="bottom"/>
            <w:gridSpan w:val="7"/>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  Exhibits.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60" w:type="dxa"/>
            <w:vAlign w:val="bottom"/>
          </w:tcPr>
          <w:p>
            <w:pPr>
              <w:spacing w:after="0"/>
              <w:rPr>
                <w:sz w:val="24"/>
                <w:szCs w:val="24"/>
                <w:color w:val="auto"/>
              </w:rPr>
            </w:pPr>
          </w:p>
        </w:tc>
        <w:tc>
          <w:tcPr>
            <w:tcW w:w="22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9"/>
                <w:szCs w:val="19"/>
                <w:b w:val="1"/>
                <w:bCs w:val="1"/>
                <w:color w:val="auto"/>
                <w:w w:val="97"/>
              </w:rPr>
              <w:t>Number</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Amended and Restated Bylaws, effective as of June 4, 2024.</w:t>
            </w: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104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0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PARAMOUNT GLOBAL</w:t>
      </w:r>
    </w:p>
    <w:p>
      <w:pPr>
        <w:spacing w:after="0" w:line="243"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20"/>
          <w:szCs w:val="20"/>
          <w:color w:val="auto"/>
        </w:rPr>
        <w:t>By:</w:t>
        <w:tab/>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22860</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Christa A. D’Alimonte</w:t>
      </w:r>
    </w:p>
    <w:p>
      <w:pPr>
        <w:spacing w:after="0" w:line="28"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spacing w:after="0" w:line="2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7, 2024</w:t>
      </w:r>
    </w:p>
    <w:p>
      <w:pPr>
        <w:sectPr>
          <w:pgSz w:w="11900" w:h="16838" w:orient="portrait"/>
          <w:cols w:equalWidth="0" w:num="1">
            <w:col w:w="11020"/>
          </w:cols>
          <w:pgMar w:left="320" w:top="761"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Effective </w:t>
      </w:r>
      <w:r>
        <w:rPr>
          <w:rFonts w:ascii="Times New Roman" w:cs="Times New Roman" w:eastAsia="Times New Roman" w:hAnsi="Times New Roman"/>
          <w:sz w:val="22"/>
          <w:szCs w:val="22"/>
          <w:b w:val="1"/>
          <w:bCs w:val="1"/>
          <w:i w:val="1"/>
          <w:iCs w:val="1"/>
          <w:color w:val="FF0000"/>
          <w:strike w:val="1"/>
        </w:rPr>
        <w:t>December 16</w:t>
      </w:r>
      <w:r>
        <w:rPr>
          <w:rFonts w:ascii="Times New Roman" w:cs="Times New Roman" w:eastAsia="Times New Roman" w:hAnsi="Times New Roman"/>
          <w:sz w:val="22"/>
          <w:szCs w:val="22"/>
          <w:b w:val="1"/>
          <w:bCs w:val="1"/>
          <w:i w:val="1"/>
          <w:iCs w:val="1"/>
          <w:u w:val="single" w:color="auto"/>
          <w:color w:val="0000FF"/>
          <w:highlight w:val="white"/>
        </w:rPr>
        <w:t>June 4</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i w:val="1"/>
          <w:iCs w:val="1"/>
          <w:color w:val="FF0000"/>
          <w:strike w:val="1"/>
        </w:rPr>
        <w:t>2022</w:t>
      </w:r>
      <w:r>
        <w:rPr>
          <w:rFonts w:ascii="Times New Roman" w:cs="Times New Roman" w:eastAsia="Times New Roman" w:hAnsi="Times New Roman"/>
          <w:sz w:val="22"/>
          <w:szCs w:val="22"/>
          <w:b w:val="1"/>
          <w:bCs w:val="1"/>
          <w:i w:val="1"/>
          <w:iCs w:val="1"/>
          <w:u w:val="single" w:color="auto"/>
          <w:color w:val="0000FF"/>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PARAMOUNT GLOBAL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2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Section 1. The registered offices of the Corporation shall be in the City of Wilmington, County of New Castle, State of Delaware.</w:t>
      </w:r>
    </w:p>
    <w:p>
      <w:pPr>
        <w:spacing w:after="0" w:line="15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22"/>
          <w:szCs w:val="22"/>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 Meetings of stockholders may be held at such time and place </w:t>
      </w:r>
      <w:r>
        <w:rPr>
          <w:rFonts w:ascii="Times New Roman" w:cs="Times New Roman" w:eastAsia="Times New Roman" w:hAnsi="Times New Roman"/>
          <w:sz w:val="22"/>
          <w:szCs w:val="22"/>
          <w:color w:val="0000FF"/>
        </w:rPr>
        <w:t>(if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which may be</w:t>
      </w:r>
      <w:r>
        <w:rPr>
          <w:rFonts w:ascii="Times New Roman" w:cs="Times New Roman" w:eastAsia="Times New Roman" w:hAnsi="Times New Roman"/>
          <w:sz w:val="22"/>
          <w:szCs w:val="22"/>
          <w:color w:val="auto"/>
        </w:rPr>
        <w:t xml:space="preserve"> within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u w:val="single" w:color="auto"/>
          <w:color w:val="0000FF"/>
          <w:highlight w:val="white"/>
        </w:rPr>
        <w:t>or</w:t>
      </w:r>
      <w:r>
        <w:rPr>
          <w:rFonts w:ascii="Times New Roman" w:cs="Times New Roman" w:eastAsia="Times New Roman" w:hAnsi="Times New Roman"/>
          <w:sz w:val="22"/>
          <w:szCs w:val="22"/>
          <w:color w:val="auto"/>
        </w:rPr>
        <w:t xml:space="preserve"> without the State of Delaware </w:t>
      </w:r>
      <w:r>
        <w:rPr>
          <w:rFonts w:ascii="Times New Roman" w:cs="Times New Roman" w:eastAsia="Times New Roman" w:hAnsi="Times New Roman"/>
          <w:sz w:val="22"/>
          <w:szCs w:val="22"/>
          <w:color w:val="0000FF"/>
        </w:rPr>
        <w:t>and may be held by means of remote communication in accordance with Delaware law</w:t>
      </w:r>
      <w:r>
        <w:rPr>
          <w:rFonts w:ascii="Times New Roman" w:cs="Times New Roman" w:eastAsia="Times New Roman" w:hAnsi="Times New Roman"/>
          <w:sz w:val="22"/>
          <w:szCs w:val="22"/>
          <w:color w:val="auto"/>
        </w:rPr>
        <w:t xml:space="preserve">, as shall be stated in the notice of the meeting or in a valid waiver of notice thereof. The annual meeting of stockholders may be held at such place </w:t>
      </w:r>
      <w:r>
        <w:rPr>
          <w:rFonts w:ascii="Times New Roman" w:cs="Times New Roman" w:eastAsia="Times New Roman" w:hAnsi="Times New Roman"/>
          <w:sz w:val="22"/>
          <w:szCs w:val="22"/>
          <w:color w:val="0000FF"/>
        </w:rPr>
        <w:t>(if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any)</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which may be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within or without the State of Delaware</w:t>
      </w:r>
      <w:r>
        <w:rPr>
          <w:rFonts w:ascii="Times New Roman" w:cs="Times New Roman" w:eastAsia="Times New Roman" w:hAnsi="Times New Roman"/>
          <w:sz w:val="22"/>
          <w:szCs w:val="22"/>
          <w:color w:val="0000FF"/>
        </w:rPr>
        <w:t xml:space="preserve"> and may be held by means of remote communication in accordance </w:t>
      </w:r>
      <w:r>
        <w:rPr>
          <w:rFonts w:ascii="Times New Roman" w:cs="Times New Roman" w:eastAsia="Times New Roman" w:hAnsi="Times New Roman"/>
          <w:sz w:val="22"/>
          <w:szCs w:val="22"/>
          <w:u w:val="single" w:color="auto"/>
          <w:color w:val="0000FF"/>
        </w:rPr>
        <w:t>with Delaware law</w:t>
      </w:r>
      <w:r>
        <w:rPr>
          <w:rFonts w:ascii="Times New Roman" w:cs="Times New Roman" w:eastAsia="Times New Roman" w:hAnsi="Times New Roman"/>
          <w:sz w:val="22"/>
          <w:szCs w:val="22"/>
          <w:color w:val="000000"/>
        </w:rPr>
        <w:t>, as shall be designated by the board of directors and stated in the notice of the meeting or in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duly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executed</w:t>
      </w:r>
      <w:r>
        <w:rPr>
          <w:rFonts w:ascii="Times New Roman" w:cs="Times New Roman" w:eastAsia="Times New Roman" w:hAnsi="Times New Roman"/>
          <w:sz w:val="22"/>
          <w:szCs w:val="22"/>
          <w:u w:val="single" w:color="auto"/>
          <w:color w:val="0000FF"/>
        </w:rPr>
        <w:t>valid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waiver of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-861060</wp:posOffset>
            </wp:positionV>
            <wp:extent cx="441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1960" cy="889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-698500</wp:posOffset>
            </wp:positionV>
            <wp:extent cx="4806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6315" cy="8255"/>
                    </a:xfrm>
                    <a:prstGeom prst="rect">
                      <a:avLst/>
                    </a:prstGeom>
                    <a:noFill/>
                  </pic:spPr>
                </pic:pic>
              </a:graphicData>
            </a:graphic>
          </wp:anchor>
        </w:drawing>
        <w:drawing>
          <wp:anchor simplePos="0" relativeHeight="251657728" behindDoc="1" locked="0" layoutInCell="0" allowOverlap="1">
            <wp:simplePos x="0" y="0"/>
            <wp:positionH relativeFrom="column">
              <wp:posOffset>6891020</wp:posOffset>
            </wp:positionH>
            <wp:positionV relativeFrom="paragraph">
              <wp:posOffset>-527050</wp:posOffset>
            </wp:positionV>
            <wp:extent cx="163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830" cy="825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-363855</wp:posOffset>
            </wp:positionV>
            <wp:extent cx="3736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36340" cy="8890"/>
                    </a:xfrm>
                    <a:prstGeom prst="rect">
                      <a:avLst/>
                    </a:prstGeom>
                    <a:noFill/>
                  </pic:spPr>
                </pic:pic>
              </a:graphicData>
            </a:graphic>
          </wp:anchor>
        </w:drawing>
      </w:r>
    </w:p>
    <w:p>
      <w:pPr>
        <w:spacing w:after="0" w:line="161"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6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 Whenever stockholders are required or permitted to take any action at a meeting, notice of the meeting shall be given </w:t>
      </w:r>
      <w:r>
        <w:rPr>
          <w:rFonts w:ascii="Times New Roman" w:cs="Times New Roman" w:eastAsia="Times New Roman" w:hAnsi="Times New Roman"/>
          <w:sz w:val="22"/>
          <w:szCs w:val="22"/>
          <w:color w:val="FF0000"/>
          <w:strike w:val="1"/>
        </w:rPr>
        <w:t>which notice</w:t>
      </w:r>
      <w:r>
        <w:rPr>
          <w:rFonts w:ascii="Times New Roman" w:cs="Times New Roman" w:eastAsia="Times New Roman" w:hAnsi="Times New Roman"/>
          <w:sz w:val="22"/>
          <w:szCs w:val="22"/>
          <w:u w:val="single" w:color="auto"/>
          <w:color w:val="0000FF"/>
          <w:highlight w:val="white"/>
        </w:rPr>
        <w:t>and</w:t>
      </w:r>
      <w:r>
        <w:rPr>
          <w:rFonts w:ascii="Times New Roman" w:cs="Times New Roman" w:eastAsia="Times New Roman" w:hAnsi="Times New Roman"/>
          <w:sz w:val="22"/>
          <w:szCs w:val="22"/>
          <w:color w:val="auto"/>
        </w:rPr>
        <w:t xml:space="preserve"> shall state the place, </w:t>
      </w:r>
      <w:r>
        <w:rPr>
          <w:rFonts w:ascii="Times New Roman" w:cs="Times New Roman" w:eastAsia="Times New Roman" w:hAnsi="Times New Roman"/>
          <w:sz w:val="22"/>
          <w:szCs w:val="22"/>
          <w:color w:val="0000FF"/>
        </w:rPr>
        <w:t>if any,</w:t>
      </w:r>
      <w:r>
        <w:rPr>
          <w:rFonts w:ascii="Times New Roman" w:cs="Times New Roman" w:eastAsia="Times New Roman" w:hAnsi="Times New Roman"/>
          <w:sz w:val="22"/>
          <w:szCs w:val="22"/>
          <w:color w:val="auto"/>
        </w:rPr>
        <w:t xml:space="preserve"> date and hour of the meeting, </w:t>
      </w:r>
      <w:r>
        <w:rPr>
          <w:rFonts w:ascii="Times New Roman" w:cs="Times New Roman" w:eastAsia="Times New Roman" w:hAnsi="Times New Roman"/>
          <w:sz w:val="22"/>
          <w:szCs w:val="22"/>
          <w:color w:val="0000FF"/>
        </w:rPr>
        <w:t>the means of remote communication, 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any, by which stockholders and proxyholders may be deemed to be present in person and vote at such meeting,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record date for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applicable law (meaning, here and hereinafter, as required </w:t>
      </w:r>
      <w:r>
        <w:rPr>
          <w:rFonts w:ascii="Times New Roman" w:cs="Times New Roman" w:eastAsia="Times New Roman" w:hAnsi="Times New Roman"/>
          <w:sz w:val="22"/>
          <w:szCs w:val="22"/>
          <w:color w:val="FF0000"/>
          <w:strike w:val="1"/>
        </w:rPr>
        <w:t>from time to time</w:t>
      </w:r>
      <w:r>
        <w:rPr>
          <w:rFonts w:ascii="Times New Roman" w:cs="Times New Roman" w:eastAsia="Times New Roman" w:hAnsi="Times New Roman"/>
          <w:sz w:val="22"/>
          <w:szCs w:val="22"/>
          <w:color w:val="000000"/>
        </w:rPr>
        <w:t xml:space="preserve"> by the Delaware General Corporation Law </w:t>
      </w:r>
      <w:r>
        <w:rPr>
          <w:rFonts w:ascii="Times New Roman" w:cs="Times New Roman" w:eastAsia="Times New Roman" w:hAnsi="Times New Roman"/>
          <w:sz w:val="22"/>
          <w:szCs w:val="22"/>
          <w:color w:val="0000FF"/>
        </w:rPr>
        <w:t>(the “DGCL”)</w:t>
      </w:r>
      <w:r>
        <w:rPr>
          <w:rFonts w:ascii="Times New Roman" w:cs="Times New Roman" w:eastAsia="Times New Roman" w:hAnsi="Times New Roman"/>
          <w:sz w:val="22"/>
          <w:szCs w:val="22"/>
          <w:color w:val="000000"/>
        </w:rPr>
        <w:t>) or the Amended and 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-861695</wp:posOffset>
            </wp:positionV>
            <wp:extent cx="375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592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-861695</wp:posOffset>
            </wp:positionV>
            <wp:extent cx="2190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0115" cy="889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-38735</wp:posOffset>
            </wp:positionV>
            <wp:extent cx="822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32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line="347"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 xml:space="preserve">Incorporation </w:t>
      </w:r>
      <w:r>
        <w:rPr>
          <w:rFonts w:ascii="Times New Roman" w:cs="Times New Roman" w:eastAsia="Times New Roman" w:hAnsi="Times New Roman"/>
          <w:sz w:val="22"/>
          <w:szCs w:val="22"/>
          <w:color w:val="0000FF"/>
        </w:rPr>
        <w:t>(the “Charter”)</w:t>
      </w:r>
      <w:r>
        <w:rPr>
          <w:rFonts w:ascii="Times New Roman" w:cs="Times New Roman" w:eastAsia="Times New Roman" w:hAnsi="Times New Roman"/>
          <w:sz w:val="22"/>
          <w:szCs w:val="22"/>
          <w:color w:val="auto"/>
        </w:rPr>
        <w:t>, the notice of any meeting shall be given</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not less than ten nor more than sixty days before the date of the meeting to each stockholder entitled to vote at such meeting as of the record date for determining the stockholders entitled to notice of the meeting. The board of directors may postpone or reschedule any previously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-369570</wp:posOffset>
            </wp:positionV>
            <wp:extent cx="860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15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special</w:t>
      </w:r>
      <w:r>
        <w:rPr>
          <w:rFonts w:ascii="Times New Roman" w:cs="Times New Roman" w:eastAsia="Times New Roman" w:hAnsi="Times New Roman"/>
          <w:sz w:val="22"/>
          <w:szCs w:val="22"/>
          <w:u w:val="single" w:color="auto"/>
          <w:color w:val="0000FF"/>
          <w:highlight w:val="white"/>
        </w:rPr>
        <w:t>Special</w:t>
      </w:r>
      <w:r>
        <w:rPr>
          <w:rFonts w:ascii="Times New Roman" w:cs="Times New Roman" w:eastAsia="Times New Roman" w:hAnsi="Times New Roman"/>
          <w:sz w:val="22"/>
          <w:szCs w:val="22"/>
          <w:color w:val="auto"/>
        </w:rPr>
        <w:t xml:space="preserve"> meetings of the stockholders, for any purpose or purposes, unless otherwise prescribed by statute or by the </w:t>
      </w:r>
      <w:r>
        <w:rPr>
          <w:rFonts w:ascii="Times New Roman" w:cs="Times New Roman" w:eastAsia="Times New Roman" w:hAnsi="Times New Roman"/>
          <w:sz w:val="22"/>
          <w:szCs w:val="22"/>
          <w:color w:val="FF0000"/>
          <w:strike w:val="1"/>
        </w:rPr>
        <w:t>Amended and Restated Certificate of Incorporation</w:t>
      </w:r>
      <w:r>
        <w:rPr>
          <w:rFonts w:ascii="Times New Roman" w:cs="Times New Roman" w:eastAsia="Times New Roman" w:hAnsi="Times New Roman"/>
          <w:sz w:val="22"/>
          <w:szCs w:val="22"/>
          <w:u w:val="single" w:color="auto"/>
          <w:color w:val="0000FF"/>
        </w:rPr>
        <w:t>Charter</w:t>
      </w:r>
      <w:r>
        <w:rPr>
          <w:rFonts w:ascii="Times New Roman" w:cs="Times New Roman" w:eastAsia="Times New Roman" w:hAnsi="Times New Roman"/>
          <w:sz w:val="22"/>
          <w:szCs w:val="22"/>
          <w:color w:val="auto"/>
        </w:rPr>
        <w:t xml:space="preserve">, may be called by the affirmative vote of a majority of the board of directors,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highlight w:val="white"/>
        </w:rPr>
        <w:t>Chair</w:t>
      </w:r>
      <w:r>
        <w:rPr>
          <w:rFonts w:ascii="Times New Roman" w:cs="Times New Roman" w:eastAsia="Times New Roman" w:hAnsi="Times New Roman"/>
          <w:sz w:val="22"/>
          <w:szCs w:val="22"/>
          <w:color w:val="auto"/>
        </w:rPr>
        <w:t xml:space="preserve"> of the Board or the Chief Executive Officer and shall be called by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auto"/>
        </w:rPr>
        <w:t xml:space="preserve"> of the Board, the Chief Executive Officer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Business transacted at any special meeting of stockholders shall be limited to the purposes stated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9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 The officer who has charge of the stock ledger of the Corporation shall </w:t>
      </w:r>
      <w:r>
        <w:rPr>
          <w:rFonts w:ascii="Times New Roman" w:cs="Times New Roman" w:eastAsia="Times New Roman" w:hAnsi="Times New Roman"/>
          <w:sz w:val="22"/>
          <w:szCs w:val="22"/>
          <w:color w:val="FF0000"/>
          <w:strike w:val="1"/>
        </w:rPr>
        <w:t>prepare and</w:t>
      </w:r>
      <w:r>
        <w:rPr>
          <w:rFonts w:ascii="Times New Roman" w:cs="Times New Roman" w:eastAsia="Times New Roman" w:hAnsi="Times New Roman"/>
          <w:sz w:val="22"/>
          <w:szCs w:val="22"/>
          <w:color w:val="auto"/>
        </w:rPr>
        <w:t xml:space="preserve"> make </w:t>
      </w:r>
      <w:r>
        <w:rPr>
          <w:rFonts w:ascii="Times New Roman" w:cs="Times New Roman" w:eastAsia="Times New Roman" w:hAnsi="Times New Roman"/>
          <w:sz w:val="22"/>
          <w:szCs w:val="22"/>
          <w:u w:val="single" w:color="auto"/>
          <w:color w:val="0000FF"/>
        </w:rPr>
        <w:t>available</w:t>
      </w:r>
      <w:r>
        <w:rPr>
          <w:rFonts w:ascii="Times New Roman" w:cs="Times New Roman" w:eastAsia="Times New Roman" w:hAnsi="Times New Roman"/>
          <w:sz w:val="22"/>
          <w:szCs w:val="22"/>
          <w:color w:val="auto"/>
        </w:rPr>
        <w:t xml:space="preserve">, at least ten days before every meeting of stockholders, a complete list of the stockholders entitled to vote at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w:t>
      </w:r>
      <w:r>
        <w:rPr>
          <w:rFonts w:ascii="Times New Roman" w:cs="Times New Roman" w:eastAsia="Times New Roman" w:hAnsi="Times New Roman"/>
          <w:sz w:val="22"/>
          <w:szCs w:val="22"/>
          <w:color w:val="FF0000"/>
          <w:strike w:val="1"/>
        </w:rPr>
        <w:t>at least</w:t>
      </w:r>
      <w:r>
        <w:rPr>
          <w:rFonts w:ascii="Times New Roman" w:cs="Times New Roman" w:eastAsia="Times New Roman" w:hAnsi="Times New Roman"/>
          <w:sz w:val="22"/>
          <w:szCs w:val="22"/>
          <w:color w:val="auto"/>
        </w:rPr>
        <w:t xml:space="preserve"> ten days </w:t>
      </w:r>
      <w:r>
        <w:rPr>
          <w:rFonts w:ascii="Times New Roman" w:cs="Times New Roman" w:eastAsia="Times New Roman" w:hAnsi="Times New Roman"/>
          <w:sz w:val="22"/>
          <w:szCs w:val="22"/>
          <w:color w:val="FF0000"/>
          <w:strike w:val="1"/>
        </w:rPr>
        <w:t>prior to</w:t>
      </w:r>
      <w:r>
        <w:rPr>
          <w:rFonts w:ascii="Times New Roman" w:cs="Times New Roman" w:eastAsia="Times New Roman" w:hAnsi="Times New Roman"/>
          <w:sz w:val="22"/>
          <w:szCs w:val="22"/>
          <w:u w:val="single" w:color="auto"/>
          <w:color w:val="0000FF"/>
        </w:rPr>
        <w:t>ending on the day before</w:t>
      </w:r>
      <w:r>
        <w:rPr>
          <w:rFonts w:ascii="Times New Roman" w:cs="Times New Roman" w:eastAsia="Times New Roman" w:hAnsi="Times New Roman"/>
          <w:sz w:val="22"/>
          <w:szCs w:val="22"/>
          <w:color w:val="auto"/>
        </w:rPr>
        <w:t xml:space="preserve"> the meeting </w:t>
      </w:r>
      <w:r>
        <w:rPr>
          <w:rFonts w:ascii="Times New Roman" w:cs="Times New Roman" w:eastAsia="Times New Roman" w:hAnsi="Times New Roman"/>
          <w:sz w:val="22"/>
          <w:szCs w:val="22"/>
          <w:color w:val="0000FF"/>
        </w:rPr>
        <w:t>date</w:t>
      </w:r>
      <w:r>
        <w:rPr>
          <w:rFonts w:ascii="Times New Roman" w:cs="Times New Roman" w:eastAsia="Times New Roman" w:hAnsi="Times New Roman"/>
          <w:sz w:val="22"/>
          <w:szCs w:val="22"/>
          <w:color w:val="auto"/>
        </w:rPr>
        <w:t xml:space="preserve">, at the principal place of business of the Corporation. The list shall also be </w:t>
      </w:r>
      <w:r>
        <w:rPr>
          <w:rFonts w:ascii="Times New Roman" w:cs="Times New Roman" w:eastAsia="Times New Roman" w:hAnsi="Times New Roman"/>
          <w:sz w:val="22"/>
          <w:szCs w:val="22"/>
          <w:color w:val="FF0000"/>
          <w:strike w:val="1"/>
        </w:rPr>
        <w:t>produced and kept open at the time and place of</w:t>
      </w:r>
      <w:r>
        <w:rPr>
          <w:rFonts w:ascii="Times New Roman" w:cs="Times New Roman" w:eastAsia="Times New Roman" w:hAnsi="Times New Roman"/>
          <w:sz w:val="22"/>
          <w:szCs w:val="22"/>
          <w:u w:val="single" w:color="auto"/>
          <w:color w:val="0000FF"/>
        </w:rPr>
        <w:t>made available for examination during</w:t>
      </w:r>
      <w:r>
        <w:rPr>
          <w:rFonts w:ascii="Times New Roman" w:cs="Times New Roman" w:eastAsia="Times New Roman" w:hAnsi="Times New Roman"/>
          <w:sz w:val="22"/>
          <w:szCs w:val="22"/>
          <w:color w:val="auto"/>
        </w:rPr>
        <w:t xml:space="preserve"> the meeting </w:t>
      </w:r>
      <w:r>
        <w:rPr>
          <w:rFonts w:ascii="Times New Roman" w:cs="Times New Roman" w:eastAsia="Times New Roman" w:hAnsi="Times New Roman"/>
          <w:sz w:val="22"/>
          <w:szCs w:val="22"/>
          <w:color w:val="FF0000"/>
          <w:strike w:val="1"/>
        </w:rPr>
        <w:t>during</w:t>
      </w:r>
      <w:r>
        <w:rPr>
          <w:rFonts w:ascii="Times New Roman" w:cs="Times New Roman" w:eastAsia="Times New Roman" w:hAnsi="Times New Roman"/>
          <w:sz w:val="22"/>
          <w:szCs w:val="22"/>
          <w:u w:val="single" w:color="auto"/>
          <w:color w:val="0000FF"/>
          <w:highlight w:val="white"/>
        </w:rPr>
        <w:t>in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FF0000"/>
          <w:strike w:val="1"/>
        </w:rPr>
        <w:t>whole time thereof, and may be inspected by any stockholder who is present</w:t>
      </w:r>
      <w:r>
        <w:rPr>
          <w:rFonts w:ascii="Times New Roman" w:cs="Times New Roman" w:eastAsia="Times New Roman" w:hAnsi="Times New Roman"/>
          <w:sz w:val="22"/>
          <w:szCs w:val="22"/>
          <w:u w:val="single" w:color="auto"/>
          <w:color w:val="0000FF"/>
          <w:highlight w:val="white"/>
          <w:strike w:val="1"/>
        </w:rPr>
        <w:t>manner, if any, required by Section 219 of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DGCL</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-534035</wp:posOffset>
            </wp:positionV>
            <wp:extent cx="262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890" cy="8890"/>
                    </a:xfrm>
                    <a:prstGeom prst="rect">
                      <a:avLst/>
                    </a:prstGeom>
                    <a:noFill/>
                  </pic:spPr>
                </pic:pic>
              </a:graphicData>
            </a:graphic>
          </wp:anchor>
        </w:drawing>
      </w:r>
    </w:p>
    <w:p>
      <w:pPr>
        <w:spacing w:after="0" w:line="16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7.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applicable law or by the </w:t>
      </w:r>
      <w:r>
        <w:rPr>
          <w:rFonts w:ascii="Times New Roman" w:cs="Times New Roman" w:eastAsia="Times New Roman" w:hAnsi="Times New Roman"/>
          <w:sz w:val="22"/>
          <w:szCs w:val="22"/>
          <w:color w:val="FF0000"/>
          <w:strike w:val="1"/>
        </w:rPr>
        <w:t>Amended and Restated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Certificate of Incorporation</w:t>
      </w:r>
      <w:r>
        <w:rPr>
          <w:rFonts w:ascii="Times New Roman" w:cs="Times New Roman" w:eastAsia="Times New Roman" w:hAnsi="Times New Roman"/>
          <w:sz w:val="22"/>
          <w:szCs w:val="22"/>
          <w:u w:val="single" w:color="auto"/>
          <w:color w:val="0000FF"/>
        </w:rPr>
        <w:t>Charter</w:t>
      </w:r>
      <w:r>
        <w:rPr>
          <w:rFonts w:ascii="Times New Roman" w:cs="Times New Roman" w:eastAsia="Times New Roman" w:hAnsi="Times New Roman"/>
          <w:sz w:val="22"/>
          <w:szCs w:val="22"/>
          <w:color w:val="000000"/>
        </w:rPr>
        <w:t>. Whether or not a quorum is present,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meeting or the holders of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majority of the aggregate voting power of the shares of capital stock entitled to vote who are present in person or represented by proxy at the meeting shall have the power to adjourn the meeting </w:t>
      </w:r>
      <w:r>
        <w:rPr>
          <w:rFonts w:ascii="Times New Roman" w:cs="Times New Roman" w:eastAsia="Times New Roman" w:hAnsi="Times New Roman"/>
          <w:sz w:val="22"/>
          <w:szCs w:val="22"/>
          <w:color w:val="FF0000"/>
          <w:strike w:val="1"/>
        </w:rPr>
        <w:t>from time to time</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ind w:right="340" w:firstLine="648"/>
        <w:spacing w:after="0" w:line="263" w:lineRule="auto"/>
        <w:rPr>
          <w:sz w:val="20"/>
          <w:szCs w:val="20"/>
          <w:color w:val="auto"/>
        </w:rPr>
      </w:pPr>
      <w:r>
        <w:rPr>
          <w:rFonts w:ascii="Times New Roman" w:cs="Times New Roman" w:eastAsia="Times New Roman" w:hAnsi="Times New Roman"/>
          <w:sz w:val="22"/>
          <w:szCs w:val="22"/>
          <w:color w:val="auto"/>
        </w:rPr>
        <w:t>Section 8. When a meeting is adjourned to another time or place</w:t>
      </w:r>
      <w:r>
        <w:rPr>
          <w:rFonts w:ascii="Times New Roman" w:cs="Times New Roman" w:eastAsia="Times New Roman" w:hAnsi="Times New Roman"/>
          <w:sz w:val="22"/>
          <w:szCs w:val="22"/>
          <w:u w:val="single" w:color="auto"/>
          <w:color w:val="0000FF"/>
        </w:rPr>
        <w:t>, if any</w:t>
      </w:r>
      <w:r>
        <w:rPr>
          <w:rFonts w:ascii="Times New Roman" w:cs="Times New Roman" w:eastAsia="Times New Roman" w:hAnsi="Times New Roman"/>
          <w:sz w:val="22"/>
          <w:szCs w:val="22"/>
          <w:color w:val="auto"/>
        </w:rPr>
        <w:t xml:space="preserve">, notice need not be given of the adjourned meeting </w:t>
      </w:r>
      <w:r>
        <w:rPr>
          <w:rFonts w:ascii="Times New Roman" w:cs="Times New Roman" w:eastAsia="Times New Roman" w:hAnsi="Times New Roman"/>
          <w:sz w:val="22"/>
          <w:szCs w:val="22"/>
          <w:u w:val="single" w:color="auto"/>
          <w:color w:val="0000FF"/>
        </w:rPr>
        <w:t>(including an adjournment taken to address a technical failure to convene or continue a meeting using remote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communication)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if the time and place</w:t>
      </w:r>
      <w:r>
        <w:rPr>
          <w:rFonts w:ascii="Times New Roman" w:cs="Times New Roman" w:eastAsia="Times New Roman" w:hAnsi="Times New Roman"/>
          <w:sz w:val="22"/>
          <w:szCs w:val="22"/>
          <w:u w:val="single" w:color="auto"/>
          <w:color w:val="0000FF"/>
        </w:rPr>
        <w: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6" w:name="page7"/>
    <w:bookmarkEnd w:id="6"/>
    <w:p>
      <w:pPr>
        <w:spacing w:after="0" w:line="3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u w:val="single" w:color="auto"/>
          <w:color w:val="0000FF"/>
        </w:rPr>
        <w:t>any,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thereof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(and the means of remote communication, if any, by which stockholders and proxyholders may be deemed to be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present in person and vote at such adjourned meeting)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are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announced at the meeting at which the adjournment is taken</w:t>
      </w:r>
      <w:r>
        <w:rPr>
          <w:rFonts w:ascii="Times New Roman" w:cs="Times New Roman" w:eastAsia="Times New Roman" w:hAnsi="Times New Roman"/>
          <w:sz w:val="21"/>
          <w:szCs w:val="21"/>
          <w:u w:val="single" w:color="auto"/>
          <w:color w:val="0000FF"/>
        </w:rPr>
        <w:t>, (ii)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displayed, during the time scheduled for the meeting, on the same electronic network used to enable stockholders and proxyholders to participate in the meeting by means of remote communication, or (iii) set forth in the notice of meeting given in accordance with Article II, Section 3 of these bylaws</w:t>
      </w:r>
      <w:r>
        <w:rPr>
          <w:rFonts w:ascii="Times New Roman" w:cs="Times New Roman" w:eastAsia="Times New Roman" w:hAnsi="Times New Roman"/>
          <w:sz w:val="21"/>
          <w:szCs w:val="21"/>
          <w:color w:val="000000"/>
        </w:rPr>
        <w:t>; provided, however, that if the date of any adjourned meeting is more than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thirty days after the date for which the meeting was originally noticed, notice of the time and place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Times New Roman" w:cs="Times New Roman" w:eastAsia="Times New Roman" w:hAnsi="Times New Roman"/>
          <w:sz w:val="21"/>
          <w:szCs w:val="21"/>
          <w:u w:val="single" w:color="auto"/>
          <w:color w:val="000000"/>
        </w:rPr>
        <w:t>Article VI</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Section 2(a)</w:t>
      </w:r>
      <w:r>
        <w:rPr>
          <w:rFonts w:ascii="Times New Roman" w:cs="Times New Roman" w:eastAsia="Times New Roman" w:hAnsi="Times New Roman"/>
          <w:sz w:val="21"/>
          <w:szCs w:val="21"/>
          <w:color w:val="000000"/>
        </w:rPr>
        <w:t xml:space="preserve"> of these bylaws,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7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 When a quorum is present at any meeting, the vote of the holders of a majority of the aggregate voting power of the shares of the capital stock entitled to vote who are present in person or represented by proxy shall decide any question brought before such meeting, unless the question is one upon which, by provision of applicable law or of the </w:t>
      </w:r>
      <w:r>
        <w:rPr>
          <w:rFonts w:ascii="Times New Roman" w:cs="Times New Roman" w:eastAsia="Times New Roman" w:hAnsi="Times New Roman"/>
          <w:sz w:val="22"/>
          <w:szCs w:val="22"/>
          <w:color w:val="FF0000"/>
          <w:strike w:val="1"/>
        </w:rPr>
        <w:t>Amended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and Restated Certificate of 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000000"/>
        </w:rPr>
        <w:t>, a different vote is required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 which case such express provision shall govern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control the decision of such question.</w:t>
      </w:r>
    </w:p>
    <w:p>
      <w:pPr>
        <w:spacing w:after="0" w:line="1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10. At every meeting of the stockholders, each stockholder shall be entitled to vote, in person or by a valid proxy given by the stockholder or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the stockholder’s</w:t>
      </w:r>
      <w:r>
        <w:rPr>
          <w:rFonts w:ascii="Times New Roman" w:cs="Times New Roman" w:eastAsia="Times New Roman" w:hAnsi="Times New Roman"/>
          <w:sz w:val="22"/>
          <w:szCs w:val="22"/>
          <w:color w:val="auto"/>
        </w:rPr>
        <w:t xml:space="preserve"> duly authorized attorney-in-fact, each share of the capital stock having voting power held by such stockholder in accordance with the provisions of the </w:t>
      </w:r>
      <w:r>
        <w:rPr>
          <w:rFonts w:ascii="Times New Roman" w:cs="Times New Roman" w:eastAsia="Times New Roman" w:hAnsi="Times New Roman"/>
          <w:sz w:val="22"/>
          <w:szCs w:val="22"/>
          <w:color w:val="FF0000"/>
          <w:strike w:val="1"/>
        </w:rPr>
        <w:t>Amended and Restated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if applicable, the certificate of designations relating thereto, but no proxy shall be voted or acted upon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after three years from its date, unless the proxy provides for a longer period.</w:t>
      </w:r>
    </w:p>
    <w:p>
      <w:pPr>
        <w:spacing w:after="0" w:line="17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 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7" w:name="page8"/>
    <w:bookmarkEnd w:id="7"/>
    <w:p>
      <w:pPr>
        <w:spacing w:after="0" w:line="347" w:lineRule="exact"/>
        <w:rPr>
          <w:sz w:val="20"/>
          <w:szCs w:val="20"/>
          <w:color w:val="auto"/>
        </w:rPr>
      </w:pPr>
    </w:p>
    <w:p>
      <w:pPr>
        <w:ind w:right="6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12. At all meetings of stockholders,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auto"/>
        </w:rPr>
        <w:t xml:space="preserve"> of the meeting shall have absolute authority over matters of procedure, and there shall be no appeal from the ruling of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2"/>
          <w:szCs w:val="22"/>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Notice of Director Nominations and Stockholder Business.</w:t>
      </w:r>
    </w:p>
    <w:p>
      <w:pPr>
        <w:spacing w:after="0" w:line="220" w:lineRule="exact"/>
        <w:rPr>
          <w:sz w:val="20"/>
          <w:szCs w:val="20"/>
          <w:color w:val="auto"/>
        </w:rPr>
      </w:pPr>
    </w:p>
    <w:p>
      <w:pPr>
        <w:ind w:right="100" w:firstLine="1304"/>
        <w:spacing w:after="0" w:line="250" w:lineRule="auto"/>
        <w:tabs>
          <w:tab w:leader="none" w:pos="194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Nominations of persons for election to the board of directors of the Corporation and the proposal of business to be considered by the stockholders may be made at an annual meeting of the stockholders only (i) pursuant to the Corporation’s notice of the meeting (or any supplement thereto), (ii) by or at the direction of the board of directors, (iii) by any stockholder or stockholders that,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represent a sufficient number of votes to take such action by written consent without a meeting or (iv) by any stockholder of the Corporation who is a stockholder of record at the time of the giving of the notice provided for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1304"/>
        <w:spacing w:after="0" w:line="252" w:lineRule="auto"/>
        <w:tabs>
          <w:tab w:leader="none" w:pos="1939"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nominations or other business to be properly brought before an annual meeting by a stockholder pursuant to </w:t>
      </w:r>
      <w:r>
        <w:rPr>
          <w:rFonts w:ascii="Times New Roman" w:cs="Times New Roman" w:eastAsia="Times New Roman" w:hAnsi="Times New Roman"/>
          <w:sz w:val="21"/>
          <w:szCs w:val="21"/>
          <w:u w:val="single" w:color="auto"/>
          <w:color w:val="auto"/>
        </w:rPr>
        <w:t>Section 14(a)(iv)</w:t>
      </w:r>
      <w:r>
        <w:rPr>
          <w:rFonts w:ascii="Times New Roman" w:cs="Times New Roman" w:eastAsia="Times New Roman" w:hAnsi="Times New Roman"/>
          <w:sz w:val="21"/>
          <w:szCs w:val="21"/>
          <w:color w:val="auto"/>
        </w:rPr>
        <w:t xml:space="preserve"> above, the stockholder must have given timely notice thereof in proper written form to the Secretary of the Corporation and any such proposed business, other than the nomination of persons for election to the board of directors, must constitute a proper matter for stockholder action. To be timely, a stockholder’s notice must include all information required by these bylaws and be sent and received by the Secretary at the principal executive offices of the Corporation not later than the close of business on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nor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the first anniversary of the date of the immediately preceding annual meeting; provided, however, that in the event that the date of the annual meeting is more than thirty (30) days earlier or more than sixty (60) days later than such anniversary date, notice by the stockholder to be timely must be so sent and received not earlier than the close of business on the one hundred twentieth</w:t>
      </w:r>
    </w:p>
    <w:p>
      <w:pPr>
        <w:spacing w:after="0" w:line="5" w:lineRule="exact"/>
        <w:rPr>
          <w:rFonts w:ascii="Times New Roman" w:cs="Times New Roman" w:eastAsia="Times New Roman" w:hAnsi="Times New Roman"/>
          <w:sz w:val="21"/>
          <w:szCs w:val="21"/>
          <w:color w:val="auto"/>
        </w:rPr>
      </w:pPr>
    </w:p>
    <w:p>
      <w:pPr>
        <w:ind w:right="1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and not later than the close of business on the later of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annual meeting or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 notice as described herein. To be in proper written form, a stockholder’s notice to the Secretary shall set forth in writing: (i)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(including such person’s written consent to being named in the proxy statement, including,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40" w:right="359" w:bottom="1440" w:gutter="0" w:footer="0" w:header="0"/>
        </w:sectPr>
      </w:pPr>
    </w:p>
    <w:bookmarkStart w:id="8" w:name="page9"/>
    <w:bookmarkEnd w:id="8"/>
    <w:p>
      <w:pPr>
        <w:spacing w:after="0" w:line="34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required, the accompanying proxy card, as a nominee and to serving as a director if elected); (ii)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Corporation document intended to be presented at the meeting), the reasons for conducting such business at the annual meeting and a description of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or series and number of shares of capital stock of the Corporation which are owned beneficially and of record by such stockholder and such beneficial owner, (C) a representation that the stockholder is a holder of record of stock of the Corporation entitled to vote at such meeting and intends to appear in person or by proxy at the meeting to propose such business or nomination and (D)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the Corporation’s voting shares required under applicable law to adopt and/or carry out the proposal or, in the case of a nomination or nominations, a sufficient number of holders of the Corporation’s voting shares to elect such nominee or nominees; provided that in the event that the stockholder giving such notice, or any party associated with the stockholder, intends to solicit proxies in support of nominations of persons for election to the board of directors other than the Corporation’s nominees for election to the board of directors, such representation shall include a statement that such person intends to solicit the holders of at least 67% of the voting power of the Corporation’s shares of outstanding capital stock entitled to vote on the election of directors in support of director nominees other than the Corporation’s nominees for election to the board of directors in accordance with Rule 14a-19 </w:t>
      </w:r>
      <w:r>
        <w:rPr>
          <w:rFonts w:ascii="Times New Roman" w:cs="Times New Roman" w:eastAsia="Times New Roman" w:hAnsi="Times New Roman"/>
          <w:sz w:val="22"/>
          <w:szCs w:val="22"/>
          <w:color w:val="FF0000"/>
          <w:strike w:val="1"/>
        </w:rPr>
        <w:t>promulgated</w:t>
      </w:r>
      <w:r>
        <w:rPr>
          <w:rFonts w:ascii="Times New Roman" w:cs="Times New Roman" w:eastAsia="Times New Roman" w:hAnsi="Times New Roman"/>
          <w:sz w:val="22"/>
          <w:szCs w:val="22"/>
          <w:color w:val="auto"/>
        </w:rPr>
        <w:t xml:space="preserve"> under the Exchange Act (“Rule 14a-19”) and has otherwise complied or will otherwise comply with the requirements of Rule 14a-19. The Corporation may require the stockholder giving such notice to furnish additional information regarding any proposed nominee as it may reasonably require in order to determine the eligibility of such proposed nominee to serve as a director of the Corporation, or that could be material to a stockholder’s understanding of the independence, or lack thereof, of such proposed nominee, under the listing standards of each securities exchange upon which the shares of the Corporation’s capital stock and other securities are listed, any applicable rules of the Securities and Exchange Commission, any publicly disclosed standards used by the board of directors in determining and disclosing the independence of the Corporation’s directors, including those applicable to a director’s service on any of the committees of the board of directors, or the requirements of any other laws or regulations applicable to the Corporation. If requested by the Corporation, the supplemental information required under this paragraph shall be provided by such stockholder within ten (10) days after it has been requested by the Corporation.</w:t>
      </w:r>
    </w:p>
    <w:p>
      <w:pPr>
        <w:spacing w:after="0" w:line="210" w:lineRule="exact"/>
        <w:rPr>
          <w:sz w:val="20"/>
          <w:szCs w:val="20"/>
          <w:color w:val="auto"/>
        </w:rPr>
      </w:pPr>
    </w:p>
    <w:p>
      <w:pPr>
        <w:ind w:right="120" w:firstLine="1304"/>
        <w:spacing w:after="0" w:line="271" w:lineRule="auto"/>
        <w:tabs>
          <w:tab w:leader="none" w:pos="194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to the contrary, in the event that the number of directors to be elected to the board of directors of the Corporation at an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9" w:name="page10"/>
    <w:bookmarkEnd w:id="9"/>
    <w:p>
      <w:pPr>
        <w:spacing w:after="0" w:line="34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meeting is increased and there is no public announcement naming all of the nominees for directors or specifying the size of the increased board of directors made by the Corporation at least one hundred (100) days prior to the first anniversary of the date of the immediately preceding annual meeting, a stockholder’s notice required by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also be considered timely, but only with respect to nominees for any new positions created by such increase, if it shall be sent and received by the Secretary at the principal executive offices of the Corporation not later than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such public announcement is first made by the Corporation.</w:t>
      </w:r>
    </w:p>
    <w:p>
      <w:pPr>
        <w:spacing w:after="0" w:line="195" w:lineRule="exact"/>
        <w:rPr>
          <w:sz w:val="20"/>
          <w:szCs w:val="20"/>
          <w:color w:val="auto"/>
        </w:rPr>
      </w:pPr>
    </w:p>
    <w:p>
      <w:pPr>
        <w:ind w:firstLine="1304"/>
        <w:spacing w:after="0" w:line="247" w:lineRule="auto"/>
        <w:tabs>
          <w:tab w:leader="none" w:pos="193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Only such business shall be conducted at a special meeting of stockholders as shall have been stated in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by any stockholder or stockholders that,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represent a sufficient number of votes to take such action by written consent without a meeting or (iii) by any stockholder of the Corporation who is a stockholder of record at the time of the giving of the notice provided for in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who is entitled to vote at the meeting and who complies fully with the notice and other information requirements and other procedures set forth in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including those requirements and procedures applicable to nominations made in connection with an annual meeting as set forth in paragraph (b)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In the event that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shall include all information required by these bylaws and be sent and received by the Secretary at the principal executive offices of the Corporation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and not later than the close of business on the later of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or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herein.</w:t>
      </w:r>
    </w:p>
    <w:p>
      <w:pPr>
        <w:spacing w:after="0" w:line="187" w:lineRule="exact"/>
        <w:rPr>
          <w:rFonts w:ascii="Times New Roman" w:cs="Times New Roman" w:eastAsia="Times New Roman" w:hAnsi="Times New Roman"/>
          <w:sz w:val="21"/>
          <w:szCs w:val="21"/>
          <w:color w:val="auto"/>
        </w:rPr>
      </w:pPr>
    </w:p>
    <w:p>
      <w:pPr>
        <w:ind w:firstLine="1304"/>
        <w:spacing w:after="0" w:line="250"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such persons who are nominated in accordance with the requirements and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be eligible and qualified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The stockholder providing the notice set forth in paragraph (b)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notify the Secretary in writing at the principal executive offices of the Corporation of any inaccuracy or change in any information provided by such stockholder, including if a stockholder giving notice of any nomination no longer plans to solicit proxies in accordance with its representation pursuant to paragraph (b)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within two (2) business days of becoming aware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40" w:right="379" w:bottom="1440" w:gutter="0" w:footer="0" w:header="0"/>
        </w:sectPr>
      </w:pPr>
    </w:p>
    <w:bookmarkStart w:id="10" w:name="page11"/>
    <w:bookmarkEnd w:id="10"/>
    <w:p>
      <w:pPr>
        <w:spacing w:after="0" w:line="34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such inaccuracy or change. Any information provided pursuant to this paragraph (e)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not be deemed to cure any deficiencies in any notice provided by a stockholder, extend any applicable deadlines under these bylaws, or enable or be deemed to permit a stockholder to amend or update any proposal or to submit any new proposal, including by changing or adding nominees, matters, business, and/or resolutions proposed to be brought before a meeting of stockholders. Except as otherwise provided by law,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highlight w:val="white"/>
        </w:rPr>
        <w:t>chair</w:t>
      </w:r>
      <w:r>
        <w:rPr>
          <w:rFonts w:ascii="Times New Roman" w:cs="Times New Roman" w:eastAsia="Times New Roman" w:hAnsi="Times New Roman"/>
          <w:sz w:val="22"/>
          <w:szCs w:val="22"/>
          <w:color w:val="auto"/>
        </w:rPr>
        <w:t xml:space="preserve"> of the meeting shall have the power and duty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(including whether the stockholder or beneficial owner, if any, on whose behalf the nominee or proposal is made solicited (or is part of a group which solicited) or did not so solicit, as the case may be, proxies in support of such stockholder’s nominee or proposal in compliance with such stockholder’s representation as required by clause (b)(iii)(D)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in the event any proposed nomination or business was not so made or proposed in compliance with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14" w:lineRule="exact"/>
        <w:rPr>
          <w:sz w:val="20"/>
          <w:szCs w:val="20"/>
          <w:color w:val="auto"/>
        </w:rPr>
      </w:pPr>
    </w:p>
    <w:p>
      <w:pPr>
        <w:ind w:firstLine="1304"/>
        <w:spacing w:after="0" w:line="261" w:lineRule="auto"/>
        <w:tabs>
          <w:tab w:leader="none" w:pos="194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unless otherwise required by law, (1) no stockholder or person associated with a stockholder, if any, on whose behalf a nomination is made, shall solicit proxies in support of director nominees, other than the Corporation’s nominees, unless such stockholder and person associated with a stockholder, if any, has complied with Rule 14a-19 in connection with the solicitation of such proxies, including the requirement to provide the Corporation with the notices required thereunder in a timely manner and (2) if any stockholder or person associated with a stockholder (A) provides notice pursuant to Rule 14a-19(b) and (B) subsequently fails to comply with the requirements of Rule 14a-19(a)(2) or Rule 14a-19(a)(3) or fails to timely provide reasonable evidence sufficient to satisfy the Corporation in good faith that such stockholder or person associated with a stockholder has met the requirements of Rule 14a-19(a)(3) in accordance with the following sentence, then the nomination of each such director nominee shall be disregarded and any proxies or votes solicited for the stockholder or person associated with a stockholder’s director nominees shall be disregarded. If any stockholder or person associated with a stockholder provides notice pursuant to Rule 14a-19(b), such stockholder or person associated with a stockholder shall deliver to the Corporation, no later than five (5) business days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11" w:name="page12"/>
    <w:bookmarkEnd w:id="11"/>
    <w:p>
      <w:pPr>
        <w:spacing w:after="0" w:line="347"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21"/>
          <w:szCs w:val="21"/>
          <w:color w:val="auto"/>
        </w:rPr>
        <w:t>the applicable meeting, reasonable documentary evidence that such person has met the requirements of Rule 14a-19, including clause (a)(3) thereof, together with a representation that such person has complied with the requirements of Rule 14a-19.</w:t>
      </w:r>
    </w:p>
    <w:p>
      <w:pPr>
        <w:spacing w:after="0" w:line="135" w:lineRule="exact"/>
        <w:rPr>
          <w:sz w:val="20"/>
          <w:szCs w:val="20"/>
          <w:color w:val="auto"/>
        </w:rPr>
      </w:pPr>
    </w:p>
    <w:p>
      <w:pPr>
        <w:ind w:right="260" w:firstLine="1304"/>
        <w:spacing w:after="0" w:line="271" w:lineRule="auto"/>
        <w:tabs>
          <w:tab w:leader="none" w:pos="19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directly or indirectly soliciting proxies for other stockholders must use a proxy card color other than white, which such color shall be reserved for the exclusive use of the board of directors.</w:t>
      </w:r>
    </w:p>
    <w:p>
      <w:pPr>
        <w:spacing w:after="0" w:line="171" w:lineRule="exact"/>
        <w:rPr>
          <w:rFonts w:ascii="Times New Roman" w:cs="Times New Roman" w:eastAsia="Times New Roman" w:hAnsi="Times New Roman"/>
          <w:sz w:val="22"/>
          <w:szCs w:val="22"/>
          <w:color w:val="auto"/>
        </w:rPr>
      </w:pPr>
    </w:p>
    <w:p>
      <w:pPr>
        <w:ind w:right="100" w:firstLine="1304"/>
        <w:spacing w:after="0" w:line="252" w:lineRule="auto"/>
        <w:tabs>
          <w:tab w:leader="none" w:pos="19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“public announcement” shall mean disclosure in a press release reported by the Dow Jones News Service, Associated Press, or any comparable or successor national news service or in a document publicly filed by the Corporation with the Securities Exchange Commission pursuant to Section 13, 14 or 15(d) of the Exchange Act.</w:t>
      </w:r>
    </w:p>
    <w:p>
      <w:pPr>
        <w:spacing w:after="0" w:line="179" w:lineRule="exact"/>
        <w:rPr>
          <w:rFonts w:ascii="Times New Roman" w:cs="Times New Roman" w:eastAsia="Times New Roman" w:hAnsi="Times New Roman"/>
          <w:sz w:val="22"/>
          <w:szCs w:val="22"/>
          <w:color w:val="auto"/>
        </w:rPr>
      </w:pPr>
    </w:p>
    <w:p>
      <w:pPr>
        <w:ind w:firstLine="1304"/>
        <w:spacing w:after="0" w:line="253" w:lineRule="auto"/>
        <w:tabs>
          <w:tab w:leader="none" w:pos="193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be deemed to affect any rights of stockholders to request inclusion of proposals in the Corporation’s proxy statement pursuant to Rule 14a-8 of Regulation 14A under the Exchange Act (or any successor provision thereto).</w:t>
      </w:r>
    </w:p>
    <w:p>
      <w:pPr>
        <w:spacing w:after="0" w:line="17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u w:val="single" w:color="auto"/>
          <w:color w:val="0000FF"/>
        </w:rPr>
        <w:t>Section 15. Delivery to the Corporation. Whenever this Article II requires one or more persons (including a record or beneficial owner of stock) to deliver a document or information to the Corporation or any officer, employee or agent thereof, the Corporation shall not be required to accept delivery of such document or information unless the document or information is in writing exclusively (and not in an electronic transmission) and delivered exclusively by hand (including overnight courier service) or by certified or registered mail, return receipt requested.</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37"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The number of directors which shall constitute the entire board of directors shall be fixed as set forth in Article V of the </w:t>
      </w:r>
      <w:r>
        <w:rPr>
          <w:rFonts w:ascii="Times New Roman" w:cs="Times New Roman" w:eastAsia="Times New Roman" w:hAnsi="Times New Roman"/>
          <w:sz w:val="22"/>
          <w:szCs w:val="22"/>
          <w:color w:val="FF0000"/>
          <w:strike w:val="1"/>
        </w:rPr>
        <w:t>Amended and Restated Certificate of 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2. Subject to </w:t>
      </w:r>
      <w:r>
        <w:rPr>
          <w:rFonts w:ascii="Times New Roman" w:cs="Times New Roman" w:eastAsia="Times New Roman" w:hAnsi="Times New Roman"/>
          <w:sz w:val="21"/>
          <w:szCs w:val="21"/>
          <w:u w:val="single" w:color="auto"/>
          <w:color w:val="FF0000"/>
          <w:highlight w:val="white"/>
          <w:strike w:val="1"/>
        </w:rPr>
        <w:t>Article XI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highlight w:val="white"/>
          <w:strike w:val="1"/>
        </w:rPr>
        <w:t>and</w:t>
      </w:r>
      <w:r>
        <w:rPr>
          <w:rFonts w:ascii="Times New Roman" w:cs="Times New Roman" w:eastAsia="Times New Roman" w:hAnsi="Times New Roman"/>
          <w:sz w:val="21"/>
          <w:szCs w:val="21"/>
          <w:color w:val="auto"/>
        </w:rPr>
        <w:t xml:space="preserve">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w:t>
      </w:r>
      <w:r>
        <w:rPr>
          <w:rFonts w:ascii="Times New Roman" w:cs="Times New Roman" w:eastAsia="Times New Roman" w:hAnsi="Times New Roman"/>
          <w:sz w:val="21"/>
          <w:szCs w:val="21"/>
          <w:color w:val="FF0000"/>
          <w:strike w:val="1"/>
        </w:rPr>
        <w:t>, subject to Article IX</w:t>
      </w:r>
      <w:r>
        <w:rPr>
          <w:rFonts w:ascii="Times New Roman" w:cs="Times New Roman" w:eastAsia="Times New Roman" w:hAnsi="Times New Roman"/>
          <w:sz w:val="21"/>
          <w:szCs w:val="21"/>
          <w:color w:val="FF0000"/>
          <w:highlight w:val="white"/>
          <w:strike w:val="1"/>
        </w:rPr>
        <w:t>,</w:t>
      </w:r>
      <w:r>
        <w:rPr>
          <w:rFonts w:ascii="Times New Roman" w:cs="Times New Roman" w:eastAsia="Times New Roman" w:hAnsi="Times New Roman"/>
          <w:sz w:val="21"/>
          <w:szCs w:val="21"/>
          <w:color w:val="auto"/>
        </w:rPr>
        <w:t xml:space="preserve"> the directors so chosen shall hold office until the next annual meeting of stockholders of the Corporation or until their successors are duly elected and shall qualify, unless sooner displaced.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-208915</wp:posOffset>
            </wp:positionV>
            <wp:extent cx="558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40" w:right="379" w:bottom="1440" w:gutter="0" w:footer="0" w:header="0"/>
        </w:sectPr>
      </w:pPr>
    </w:p>
    <w:bookmarkStart w:id="12" w:name="page13"/>
    <w:bookmarkEnd w:id="12"/>
    <w:p>
      <w:pPr>
        <w:spacing w:after="0" w:line="347"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if</w:t>
      </w:r>
      <w:r>
        <w:rPr>
          <w:rFonts w:ascii="Times New Roman" w:cs="Times New Roman" w:eastAsia="Times New Roman" w:hAnsi="Times New Roman"/>
          <w:sz w:val="22"/>
          <w:szCs w:val="22"/>
          <w:u w:val="single" w:color="auto"/>
          <w:color w:val="0000FF"/>
          <w:highlight w:val="white"/>
        </w:rPr>
        <w:t>If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there are no directors in office, then an election of directors may be held in the manner provided by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statute.</w:t>
      </w:r>
    </w:p>
    <w:p>
      <w:pPr>
        <w:spacing w:after="0" w:line="158"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color w:val="FF0000"/>
          <w:strike w:val="1"/>
        </w:rPr>
        <w:t>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FF0000"/>
          <w:highlight w:val="white"/>
          <w:strike w:val="1"/>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FF0000"/>
          <w:highlight w:val="white"/>
        </w:rPr>
        <w:t>XI</w:t>
      </w:r>
      <w:r>
        <w:rPr>
          <w:rFonts w:ascii="Times New Roman" w:cs="Times New Roman" w:eastAsia="Times New Roman" w:hAnsi="Times New Roman"/>
          <w:sz w:val="21"/>
          <w:szCs w:val="21"/>
          <w:color w:val="FF0000"/>
          <w:highlight w:val="white"/>
          <w:strike w:val="1"/>
        </w:rPr>
        <w:t>, the</w:t>
      </w:r>
      <w:r>
        <w:rPr>
          <w:rFonts w:ascii="Times New Roman" w:cs="Times New Roman" w:eastAsia="Times New Roman" w:hAnsi="Times New Roman"/>
          <w:sz w:val="21"/>
          <w:szCs w:val="21"/>
          <w:u w:val="single" w:color="auto"/>
          <w:color w:val="0000FF"/>
          <w:highlight w:val="white"/>
        </w:rPr>
        <w:t>The</w:t>
      </w:r>
      <w:r>
        <w:rPr>
          <w:rFonts w:ascii="Times New Roman" w:cs="Times New Roman" w:eastAsia="Times New Roman" w:hAnsi="Times New Roman"/>
          <w:sz w:val="21"/>
          <w:szCs w:val="21"/>
          <w:color w:val="auto"/>
        </w:rPr>
        <w:t xml:space="preserve"> property and business of the Corporation shall be controlled and managed in accordance with the terms of the </w:t>
      </w:r>
      <w:r>
        <w:rPr>
          <w:rFonts w:ascii="Times New Roman" w:cs="Times New Roman" w:eastAsia="Times New Roman" w:hAnsi="Times New Roman"/>
          <w:sz w:val="21"/>
          <w:szCs w:val="21"/>
          <w:color w:val="FF0000"/>
          <w:strike w:val="1"/>
        </w:rPr>
        <w:t>Amended and Restated Certificate of Incorporation</w:t>
      </w:r>
      <w:r>
        <w:rPr>
          <w:rFonts w:ascii="Times New Roman" w:cs="Times New Roman" w:eastAsia="Times New Roman" w:hAnsi="Times New Roman"/>
          <w:sz w:val="21"/>
          <w:szCs w:val="21"/>
          <w:u w:val="single" w:color="auto"/>
          <w:color w:val="0000FF"/>
        </w:rPr>
        <w:t>Charter</w:t>
      </w:r>
      <w:r>
        <w:rPr>
          <w:rFonts w:ascii="Times New Roman" w:cs="Times New Roman" w:eastAsia="Times New Roman" w:hAnsi="Times New Roman"/>
          <w:sz w:val="21"/>
          <w:szCs w:val="21"/>
          <w:color w:val="auto"/>
        </w:rPr>
        <w:t xml:space="preserve"> by its board of directors</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which may exercise all such powers of the Corporation and do all such lawful acts and things as are not by statute or by the </w:t>
      </w:r>
      <w:r>
        <w:rPr>
          <w:rFonts w:ascii="Times New Roman" w:cs="Times New Roman" w:eastAsia="Times New Roman" w:hAnsi="Times New Roman"/>
          <w:sz w:val="21"/>
          <w:szCs w:val="21"/>
          <w:color w:val="FF0000"/>
          <w:strike w:val="1"/>
        </w:rPr>
        <w:t>Amended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Restated Certificate of Incorporation</w:t>
      </w:r>
      <w:r>
        <w:rPr>
          <w:rFonts w:ascii="Times New Roman" w:cs="Times New Roman" w:eastAsia="Times New Roman" w:hAnsi="Times New Roman"/>
          <w:sz w:val="21"/>
          <w:szCs w:val="21"/>
          <w:u w:val="single" w:color="auto"/>
          <w:color w:val="0000FF"/>
          <w:highlight w:val="white"/>
        </w:rPr>
        <w:t>Charter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or by these bylaws directed or required to be exercised or done by the stockholders.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MEETINGS OF THE BOARD OF DIRECTORS</w:t>
      </w:r>
    </w:p>
    <w:p>
      <w:pPr>
        <w:spacing w:after="0" w:line="220"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 The board of directors of the Corporation, or any committees thereof, may hold meetings, both regular and special, </w:t>
      </w:r>
      <w:r>
        <w:rPr>
          <w:rFonts w:ascii="Times New Roman" w:cs="Times New Roman" w:eastAsia="Times New Roman" w:hAnsi="Times New Roman"/>
          <w:sz w:val="22"/>
          <w:szCs w:val="22"/>
          <w:color w:val="FF0000"/>
          <w:strike w:val="1"/>
        </w:rPr>
        <w:t>either</w:t>
      </w:r>
      <w:r>
        <w:rPr>
          <w:rFonts w:ascii="Times New Roman" w:cs="Times New Roman" w:eastAsia="Times New Roman" w:hAnsi="Times New Roman"/>
          <w:sz w:val="22"/>
          <w:szCs w:val="22"/>
          <w:u w:val="single" w:color="auto"/>
          <w:color w:val="0000FF"/>
        </w:rPr>
        <w:t>which may be</w:t>
      </w:r>
      <w:r>
        <w:rPr>
          <w:rFonts w:ascii="Times New Roman" w:cs="Times New Roman" w:eastAsia="Times New Roman" w:hAnsi="Times New Roman"/>
          <w:sz w:val="22"/>
          <w:szCs w:val="22"/>
          <w:color w:val="auto"/>
        </w:rPr>
        <w:t xml:space="preserve"> within or without the State of Delaware </w:t>
      </w:r>
      <w:r>
        <w:rPr>
          <w:rFonts w:ascii="Times New Roman" w:cs="Times New Roman" w:eastAsia="Times New Roman" w:hAnsi="Times New Roman"/>
          <w:sz w:val="22"/>
          <w:szCs w:val="22"/>
          <w:color w:val="0000FF"/>
        </w:rPr>
        <w:t>or otherwise held in accordance with Delaware law</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-53340</wp:posOffset>
            </wp:positionV>
            <wp:extent cx="28486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8610" cy="8255"/>
                    </a:xfrm>
                    <a:prstGeom prst="rect">
                      <a:avLst/>
                    </a:prstGeom>
                    <a:noFill/>
                  </pic:spPr>
                </pic:pic>
              </a:graphicData>
            </a:graphic>
          </wp:anchor>
        </w:drawing>
      </w:r>
    </w:p>
    <w:p>
      <w:pPr>
        <w:spacing w:after="0" w:line="1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A regular annual meeting of the board of directors, including newly elected directors, shall be held in connection with each annual meeting of stockholders </w:t>
      </w:r>
      <w:r>
        <w:rPr>
          <w:rFonts w:ascii="Times New Roman" w:cs="Times New Roman" w:eastAsia="Times New Roman" w:hAnsi="Times New Roman"/>
          <w:sz w:val="22"/>
          <w:szCs w:val="22"/>
          <w:color w:val="FF0000"/>
        </w:rPr>
        <w:t>at the place of such stockholders’ meeting</w:t>
      </w:r>
      <w:r>
        <w:rPr>
          <w:rFonts w:ascii="Times New Roman" w:cs="Times New Roman" w:eastAsia="Times New Roman" w:hAnsi="Times New Roman"/>
          <w:sz w:val="22"/>
          <w:szCs w:val="22"/>
          <w:color w:val="auto"/>
        </w:rPr>
        <w:t xml:space="preserve">, and no notice of such meeting to the directors shall be necessary in order legally to constitute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quorum shall be present. If such meeting is held at any other time or place</w:t>
      </w:r>
      <w:r>
        <w:rPr>
          <w:rFonts w:ascii="Times New Roman" w:cs="Times New Roman" w:eastAsia="Times New Roman" w:hAnsi="Times New Roman"/>
          <w:sz w:val="22"/>
          <w:szCs w:val="22"/>
          <w:u w:val="single" w:color="auto"/>
          <w:color w:val="0000FF"/>
        </w:rPr>
        <w:t>, if any</w:t>
      </w:r>
      <w:r>
        <w:rPr>
          <w:rFonts w:ascii="Times New Roman" w:cs="Times New Roman" w:eastAsia="Times New Roman" w:hAnsi="Times New Roman"/>
          <w:sz w:val="22"/>
          <w:szCs w:val="22"/>
          <w:color w:val="auto"/>
        </w:rPr>
        <w:t>, notice thereof must be given or waived as hereinafter provided for special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-578485</wp:posOffset>
            </wp:positionV>
            <wp:extent cx="2342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2515" cy="8255"/>
                    </a:xfrm>
                    <a:prstGeom prst="rect">
                      <a:avLst/>
                    </a:prstGeom>
                    <a:noFill/>
                  </pic:spPr>
                </pic:pic>
              </a:graphicData>
            </a:graphic>
          </wp:anchor>
        </w:drawing>
      </w:r>
    </w:p>
    <w:p>
      <w:pPr>
        <w:spacing w:after="0" w:line="17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Section 6. Additional regular meetings of the board of directors shall be held on such dates and at such times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and at such places</w:t>
      </w:r>
      <w:r>
        <w:rPr>
          <w:rFonts w:ascii="Times New Roman" w:cs="Times New Roman" w:eastAsia="Times New Roman" w:hAnsi="Times New Roman"/>
          <w:sz w:val="22"/>
          <w:szCs w:val="22"/>
          <w:u w:val="single" w:color="auto"/>
          <w:color w:val="0000FF"/>
        </w:rPr>
        <w:t>, if any,</w:t>
      </w:r>
      <w:r>
        <w:rPr>
          <w:rFonts w:ascii="Times New Roman" w:cs="Times New Roman" w:eastAsia="Times New Roman" w:hAnsi="Times New Roman"/>
          <w:sz w:val="22"/>
          <w:szCs w:val="22"/>
          <w:color w:val="auto"/>
        </w:rPr>
        <w:t xml:space="preserve"> as shall from time to time be determined by the board of directors.</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auto"/>
        </w:rPr>
        <w:t xml:space="preserve"> of the Board or the Chief Executive Officer may call a special meeting of the board of directors at any time by giving notice as provided in these bylaws to each member of the board at least twenty-four (24) hours before the time appointed. Every such notice shall state the time and place </w:t>
      </w:r>
      <w:r>
        <w:rPr>
          <w:rFonts w:ascii="Times New Roman" w:cs="Times New Roman" w:eastAsia="Times New Roman" w:hAnsi="Times New Roman"/>
          <w:sz w:val="22"/>
          <w:szCs w:val="22"/>
          <w:u w:val="single" w:color="auto"/>
          <w:color w:val="0000FF"/>
        </w:rPr>
        <w:t>(and/or method of participation)</w:t>
      </w:r>
      <w:r>
        <w:rPr>
          <w:rFonts w:ascii="Times New Roman" w:cs="Times New Roman" w:eastAsia="Times New Roman" w:hAnsi="Times New Roman"/>
          <w:sz w:val="22"/>
          <w:szCs w:val="22"/>
          <w:color w:val="auto"/>
        </w:rPr>
        <w:t xml:space="preserve"> but need not state the purpose of the meeting. Notwithstanding anything to the contrary herein, the board of directors may not consider any issuance of shares of Class A common stock or other voting securities of the Corporation or any of its subsidiaries at any annual, regular or special meeting unless notice of such proposed issuance shall have been provided personally, orally by telephone or by electronic transmission to each member of the board at least ten (10) business days prior to such meeting.</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w:t>
      </w:r>
      <w:r>
        <w:rPr>
          <w:rFonts w:ascii="Times New Roman" w:cs="Times New Roman" w:eastAsia="Times New Roman" w:hAnsi="Times New Roman"/>
          <w:sz w:val="22"/>
          <w:szCs w:val="22"/>
          <w:color w:val="FF0000"/>
          <w:strike w:val="1"/>
        </w:rPr>
        <w:t>Amended and Restated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these bylaws. If a quorum shall not be present at any meeting of the board of directors, the directors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present thereat may adjourn the meeting </w:t>
      </w:r>
      <w:r>
        <w:rPr>
          <w:rFonts w:ascii="Times New Roman" w:cs="Times New Roman" w:eastAsia="Times New Roman" w:hAnsi="Times New Roman"/>
          <w:sz w:val="22"/>
          <w:szCs w:val="22"/>
          <w:color w:val="FF0000"/>
          <w:strike w:val="1"/>
        </w:rPr>
        <w:t>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time to time</w:t>
      </w:r>
      <w:r>
        <w:rPr>
          <w:rFonts w:ascii="Times New Roman" w:cs="Times New Roman" w:eastAsia="Times New Roman" w:hAnsi="Times New Roman"/>
          <w:sz w:val="22"/>
          <w:szCs w:val="22"/>
          <w:color w:val="000000"/>
        </w:rPr>
        <w:t>, without notice other than announcement at the meeting, until a quorum shall be present.</w:t>
      </w:r>
    </w:p>
    <w:p>
      <w:pPr>
        <w:spacing w:after="0" w:line="233" w:lineRule="exact"/>
        <w:rPr>
          <w:sz w:val="20"/>
          <w:szCs w:val="20"/>
          <w:color w:val="auto"/>
        </w:rPr>
      </w:pPr>
    </w:p>
    <w:p>
      <w:pPr>
        <w:jc w:val="center"/>
        <w:ind w:right="140" w:firstLine="8"/>
        <w:spacing w:after="0" w:line="301" w:lineRule="auto"/>
        <w:tabs>
          <w:tab w:leader="none" w:pos="354"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“Paramount Transaction” means any of the following actions or events: to authorize, enter into, commit to or otherwise legally bind the Corporation and its subsidiaries taken as a whole (the “Company”) to any transaction not in the ordinary course</w:t>
      </w:r>
    </w:p>
    <w:p>
      <w:pPr>
        <w:spacing w:after="0" w:line="1" w:lineRule="exact"/>
        <w:rPr>
          <w:rFonts w:ascii="Times New Roman" w:cs="Times New Roman" w:eastAsia="Times New Roman" w:hAnsi="Times New Roman"/>
          <w:sz w:val="21"/>
          <w:szCs w:val="21"/>
          <w:color w:val="auto"/>
        </w:rPr>
      </w:pPr>
    </w:p>
    <w:p>
      <w:pPr>
        <w:ind w:right="66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business consistent with past practice (by joint venture, consortium, affiliation, agreement, guarantee, understanding or otherwise), for:</w:t>
      </w:r>
    </w:p>
    <w:p>
      <w:pPr>
        <w:spacing w:after="0" w:line="186" w:lineRule="exact"/>
        <w:rPr>
          <w:sz w:val="20"/>
          <w:szCs w:val="20"/>
          <w:color w:val="auto"/>
        </w:rPr>
      </w:pPr>
    </w:p>
    <w:p>
      <w:pPr>
        <w:ind w:right="120" w:firstLine="8"/>
        <w:spacing w:after="0" w:line="2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sale, issuance, transfer, redemption, lien, encumbrance, or other disposition (including, without limitation, by way of recapitalization, reclassification, dividend, distribution, merger, consolidation or otherwise) of (A) any shares of capital stock or </w:t>
      </w:r>
      <w:r>
        <w:rPr>
          <w:rFonts w:ascii="Times New Roman" w:cs="Times New Roman" w:eastAsia="Times New Roman" w:hAnsi="Times New Roman"/>
          <w:sz w:val="22"/>
          <w:szCs w:val="22"/>
          <w:u w:val="single" w:color="auto"/>
          <w:color w:val="0000FF"/>
        </w:rPr>
        <w:t>other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ownership interest of Paramount Pictures Corporation (“Paramount”) or of any direct or indirect subsidiary of the</w:t>
      </w:r>
    </w:p>
    <w:p>
      <w:pPr>
        <w:ind w:right="60"/>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involved with or supporting, in either case, in a material respect, the Corporation’s filmed entertainment business or any other business of Paramount (Paramount and each such subsidiary, a “Paramount Entity”), or (B) any options, warrants, convertible securities or other rights to purchase or acquire or encumber any shares of such capital stock or ownership interest of any Paramount Entity, in any case to a party that is not the Company, or</w:t>
      </w:r>
    </w:p>
    <w:p>
      <w:pPr>
        <w:spacing w:after="0" w:line="217" w:lineRule="exact"/>
        <w:rPr>
          <w:rFonts w:ascii="Times New Roman" w:cs="Times New Roman" w:eastAsia="Times New Roman" w:hAnsi="Times New Roman"/>
          <w:sz w:val="22"/>
          <w:szCs w:val="22"/>
          <w:color w:val="auto"/>
        </w:rPr>
      </w:pPr>
    </w:p>
    <w:p>
      <w:pPr>
        <w:ind w:firstLine="8"/>
        <w:spacing w:after="0" w:line="309"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transfer, license, lien, encumbrance or other disposition of any material asset of (A) any Paramount Entity or (B) the Paramount Entities taken as a whole, in each case, to a party that is not the Company.</w:t>
      </w:r>
    </w:p>
    <w:p>
      <w:pPr>
        <w:spacing w:after="0" w:line="186" w:lineRule="exact"/>
        <w:rPr>
          <w:sz w:val="20"/>
          <w:szCs w:val="20"/>
          <w:color w:val="auto"/>
        </w:rPr>
      </w:pPr>
    </w:p>
    <w:p>
      <w:pPr>
        <w:ind w:right="120" w:firstLine="8"/>
        <w:spacing w:after="0" w:line="302" w:lineRule="auto"/>
        <w:tabs>
          <w:tab w:leader="none" w:pos="34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none of the board, any committee thereof, any member of the board or any executive officer shall, or shall have the power to, authorize, agree to, knowingly cause or permit or take, directly or indirectly, any “Paramount Transaction” without the prior consent of at least 67% of the members of the board.</w:t>
      </w:r>
    </w:p>
    <w:p>
      <w:pPr>
        <w:spacing w:after="0" w:line="17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193"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10. Unless otherwise restricted by the </w:t>
      </w:r>
      <w:r>
        <w:rPr>
          <w:rFonts w:ascii="Times New Roman" w:cs="Times New Roman" w:eastAsia="Times New Roman" w:hAnsi="Times New Roman"/>
          <w:sz w:val="21"/>
          <w:szCs w:val="21"/>
          <w:color w:val="FF0000"/>
          <w:strike w:val="1"/>
        </w:rPr>
        <w:t>Amended and Restated Certificate of Incorporation</w:t>
      </w:r>
      <w:r>
        <w:rPr>
          <w:rFonts w:ascii="Times New Roman" w:cs="Times New Roman" w:eastAsia="Times New Roman" w:hAnsi="Times New Roman"/>
          <w:sz w:val="21"/>
          <w:szCs w:val="21"/>
          <w:u w:val="single" w:color="auto"/>
          <w:color w:val="0000FF"/>
          <w:highlight w:val="white"/>
        </w:rPr>
        <w:t>Charter</w:t>
      </w:r>
      <w:r>
        <w:rPr>
          <w:rFonts w:ascii="Times New Roman" w:cs="Times New Roman" w:eastAsia="Times New Roman" w:hAnsi="Times New Roman"/>
          <w:sz w:val="21"/>
          <w:szCs w:val="21"/>
          <w:color w:val="auto"/>
        </w:rPr>
        <w:t xml:space="preserve"> or these bylaws, members of the board of directors, or any committee thereof, may participate in a meeting of the board of directors, or any committee, by means of conference telephone or </w:t>
      </w:r>
      <w:r>
        <w:rPr>
          <w:rFonts w:ascii="Times New Roman" w:cs="Times New Roman" w:eastAsia="Times New Roman" w:hAnsi="Times New Roman"/>
          <w:sz w:val="21"/>
          <w:szCs w:val="21"/>
          <w:color w:val="FF0000"/>
          <w:strike w:val="1"/>
        </w:rPr>
        <w:t>similar</w:t>
      </w:r>
      <w:r>
        <w:rPr>
          <w:rFonts w:ascii="Times New Roman" w:cs="Times New Roman" w:eastAsia="Times New Roman" w:hAnsi="Times New Roman"/>
          <w:sz w:val="21"/>
          <w:szCs w:val="21"/>
          <w:u w:val="single" w:color="auto"/>
          <w:color w:val="0000FF"/>
        </w:rPr>
        <w:t>other</w:t>
      </w:r>
      <w:r>
        <w:rPr>
          <w:rFonts w:ascii="Times New Roman" w:cs="Times New Roman" w:eastAsia="Times New Roman" w:hAnsi="Times New Roman"/>
          <w:sz w:val="21"/>
          <w:szCs w:val="21"/>
          <w:color w:val="auto"/>
        </w:rPr>
        <w:t xml:space="preserve"> communications equipment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whereby all persons participating in the meeting can hear each other, and such participation in a meeting shall constitute presence in person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80"/>
          </w:cols>
          <w:pgMar w:left="320" w:top="1440" w:right="399" w:bottom="1440" w:gutter="0" w:footer="0" w:header="0"/>
        </w:sectPr>
      </w:pPr>
    </w:p>
    <w:bookmarkStart w:id="14" w:name="page15"/>
    <w:bookmarkEnd w:id="14"/>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COMMITTEES OF DIRECTORS</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color w:val="auto"/>
        </w:rPr>
        <w:t>Designation of Committees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highlight w:val="white"/>
        </w:rPr>
        <w:t>Article XI</w:t>
      </w:r>
      <w:r>
        <w:rPr>
          <w:rFonts w:ascii="Times New Roman" w:cs="Times New Roman" w:eastAsia="Times New Roman" w:hAnsi="Times New Roman"/>
          <w:sz w:val="22"/>
          <w:szCs w:val="22"/>
          <w:color w:val="FF0000"/>
          <w:highlight w:val="white"/>
          <w:strike w:val="1"/>
        </w:rPr>
        <w:t>, the</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auto"/>
        </w:rPr>
        <w:t xml:space="preserv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-541655</wp:posOffset>
            </wp:positionV>
            <wp:extent cx="556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-593090</wp:posOffset>
            </wp:positionV>
            <wp:extent cx="556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148"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color w:val="auto"/>
        </w:rPr>
        <w:t>Vacancies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FF0000"/>
          <w:highlight w:val="white"/>
          <w:strike w:val="1"/>
        </w:rPr>
        <w:t>, in</w:t>
      </w:r>
      <w:r>
        <w:rPr>
          <w:rFonts w:ascii="Times New Roman" w:cs="Times New Roman" w:eastAsia="Times New Roman" w:hAnsi="Times New Roman"/>
          <w:sz w:val="22"/>
          <w:szCs w:val="22"/>
          <w:u w:val="single" w:color="auto"/>
          <w:color w:val="0000FF"/>
          <w:highlight w:val="white"/>
        </w:rPr>
        <w:t>In</w:t>
      </w:r>
      <w:r>
        <w:rPr>
          <w:rFonts w:ascii="Times New Roman" w:cs="Times New Roman" w:eastAsia="Times New Roman" w:hAnsi="Times New Roman"/>
          <w:sz w:val="22"/>
          <w:szCs w:val="22"/>
          <w:color w:val="auto"/>
        </w:rPr>
        <w:t xml:space="preserve"> the absence or disqualification of a member of a committee, the member or members thereof present at any meeting and not disqualified from voting, whether or not </w:t>
      </w:r>
      <w:r>
        <w:rPr>
          <w:rFonts w:ascii="Times New Roman" w:cs="Times New Roman" w:eastAsia="Times New Roman" w:hAnsi="Times New Roman"/>
          <w:sz w:val="22"/>
          <w:szCs w:val="22"/>
          <w:color w:val="FF0000"/>
          <w:strike w:val="1"/>
        </w:rPr>
        <w:t>he or she or they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constitute</w:t>
      </w:r>
      <w:r>
        <w:rPr>
          <w:rFonts w:ascii="Times New Roman" w:cs="Times New Roman" w:eastAsia="Times New Roman" w:hAnsi="Times New Roman"/>
          <w:sz w:val="22"/>
          <w:szCs w:val="22"/>
          <w:u w:val="single" w:color="auto"/>
          <w:color w:val="0000FF"/>
          <w:highlight w:val="white"/>
        </w:rPr>
        <w:t>constituting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 quorum, may unanimously appoint another member of the board of directors to act at the meeting in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place of any such absent or disqualified member.</w:t>
      </w:r>
    </w:p>
    <w:p>
      <w:pPr>
        <w:spacing w:after="0" w:line="189" w:lineRule="exact"/>
        <w:rPr>
          <w:sz w:val="20"/>
          <w:szCs w:val="20"/>
          <w:color w:val="auto"/>
        </w:rPr>
      </w:pPr>
    </w:p>
    <w:p>
      <w:pPr>
        <w:ind w:right="300"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color w:val="auto"/>
        </w:rPr>
        <w:t>Powers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any</w:t>
      </w:r>
      <w:r>
        <w:rPr>
          <w:rFonts w:ascii="Times New Roman" w:cs="Times New Roman" w:eastAsia="Times New Roman" w:hAnsi="Times New Roman"/>
          <w:sz w:val="22"/>
          <w:szCs w:val="22"/>
          <w:u w:val="single" w:color="auto"/>
          <w:color w:val="0000FF"/>
          <w:highlight w:val="white"/>
        </w:rPr>
        <w:t>Any</w:t>
      </w:r>
      <w:r>
        <w:rPr>
          <w:rFonts w:ascii="Times New Roman" w:cs="Times New Roman" w:eastAsia="Times New Roman" w:hAnsi="Times New Roman"/>
          <w:sz w:val="22"/>
          <w:szCs w:val="22"/>
          <w:color w:val="auto"/>
        </w:rPr>
        <w:t xml:space="preserve"> such committee, to the extent provided in the resolution of the board of directors, shall have and may exercise all the powers and authority of the board of directors to the extent provided by Section 141(c) of the </w:t>
      </w:r>
      <w:r>
        <w:rPr>
          <w:rFonts w:ascii="Times New Roman" w:cs="Times New Roman" w:eastAsia="Times New Roman" w:hAnsi="Times New Roman"/>
          <w:sz w:val="22"/>
          <w:szCs w:val="22"/>
          <w:color w:val="FF0000"/>
          <w:strike w:val="1"/>
        </w:rPr>
        <w:t>Delaware General Corporation Law</w:t>
      </w:r>
      <w:r>
        <w:rPr>
          <w:rFonts w:ascii="Times New Roman" w:cs="Times New Roman" w:eastAsia="Times New Roman" w:hAnsi="Times New Roman"/>
          <w:sz w:val="22"/>
          <w:szCs w:val="22"/>
          <w:u w:val="single" w:color="auto"/>
          <w:color w:val="0000FF"/>
          <w:highlight w:val="white"/>
        </w:rPr>
        <w:t>DGCL</w:t>
      </w:r>
      <w:r>
        <w:rPr>
          <w:rFonts w:ascii="Times New Roman" w:cs="Times New Roman" w:eastAsia="Times New Roman" w:hAnsi="Times New Roman"/>
          <w:sz w:val="22"/>
          <w:szCs w:val="22"/>
          <w:color w:val="auto"/>
        </w:rPr>
        <w:t xml:space="preserve"> as it exists now or may hereafter be amended.</w:t>
      </w:r>
    </w:p>
    <w:p>
      <w:pPr>
        <w:spacing w:after="0" w:line="16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i w:val="1"/>
          <w:iCs w:val="1"/>
          <w:color w:val="auto"/>
        </w:rPr>
        <w:t>Minutes</w:t>
      </w:r>
      <w:r>
        <w:rPr>
          <w:rFonts w:ascii="Times New Roman" w:cs="Times New Roman" w:eastAsia="Times New Roman" w:hAnsi="Times New Roman"/>
          <w:sz w:val="22"/>
          <w:szCs w:val="22"/>
          <w:color w:val="auto"/>
        </w:rPr>
        <w:t>. Each committee of the board of directors shall keep regular minutes of its meetings and report the same to the board of directors when required.</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COMPENSATION OF DIRECTORS</w:t>
      </w:r>
    </w:p>
    <w:p>
      <w:pPr>
        <w:spacing w:after="0" w:line="22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15. Unless otherwise restricted by the </w:t>
      </w:r>
      <w:r>
        <w:rPr>
          <w:rFonts w:ascii="Times New Roman" w:cs="Times New Roman" w:eastAsia="Times New Roman" w:hAnsi="Times New Roman"/>
          <w:sz w:val="22"/>
          <w:szCs w:val="22"/>
          <w:color w:val="FF0000"/>
          <w:strike w:val="1"/>
        </w:rPr>
        <w:t>Amended and Restated Certificate of 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auto"/>
        </w:rPr>
        <w:t xml:space="preserve">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REMOVAL OF DIRECTORS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16. Subject to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highlight w:val="white"/>
          <w:strike w:val="1"/>
        </w:rPr>
        <w:t>and</w:t>
      </w:r>
      <w:r>
        <w:rPr>
          <w:rFonts w:ascii="Times New Roman" w:cs="Times New Roman" w:eastAsia="Times New Roman" w:hAnsi="Times New Roman"/>
          <w:sz w:val="22"/>
          <w:szCs w:val="22"/>
          <w:color w:val="auto"/>
        </w:rPr>
        <w:t xml:space="preserve"> the rights of the holders of any series of Preferred Stock or any other class of capital stock of the Corporation (other than the Common Stock) then outstanding, any or all directors may be removed from office at any time prior to the expiration of </w:t>
      </w:r>
      <w:r>
        <w:rPr>
          <w:rFonts w:ascii="Times New Roman" w:cs="Times New Roman" w:eastAsia="Times New Roman" w:hAnsi="Times New Roman"/>
          <w:sz w:val="22"/>
          <w:szCs w:val="22"/>
          <w:color w:val="FF0000"/>
          <w:strike w:val="1"/>
        </w:rPr>
        <w:t>his, her</w:t>
      </w:r>
      <w:r>
        <w:rPr>
          <w:rFonts w:ascii="Times New Roman" w:cs="Times New Roman" w:eastAsia="Times New Roman" w:hAnsi="Times New Roman"/>
          <w:sz w:val="22"/>
          <w:szCs w:val="22"/>
          <w:u w:val="single" w:color="auto"/>
          <w:color w:val="0000FF"/>
          <w:highlight w:val="white"/>
        </w:rPr>
        <w:t>such director’s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color w:val="FF0000"/>
          <w:strike w:val="1"/>
        </w:rPr>
        <w:t>their</w:t>
      </w:r>
      <w:r>
        <w:rPr>
          <w:rFonts w:ascii="Times New Roman" w:cs="Times New Roman" w:eastAsia="Times New Roman" w:hAnsi="Times New Roman"/>
          <w:sz w:val="22"/>
          <w:szCs w:val="22"/>
          <w:u w:val="single" w:color="auto"/>
          <w:color w:val="0000FF"/>
          <w:highlight w:val="white"/>
        </w:rPr>
        <w:t>directors’</w:t>
      </w:r>
      <w:r>
        <w:rPr>
          <w:rFonts w:ascii="Times New Roman" w:cs="Times New Roman" w:eastAsia="Times New Roman" w:hAnsi="Times New Roman"/>
          <w:sz w:val="22"/>
          <w:szCs w:val="22"/>
          <w:color w:val="auto"/>
        </w:rPr>
        <w:t xml:space="preserve">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40" w:right="379" w:bottom="1440" w:gutter="0" w:footer="0" w:header="0"/>
        </w:sectPr>
      </w:pPr>
    </w:p>
    <w:bookmarkStart w:id="15" w:name="page16"/>
    <w:bookmarkEnd w:id="15"/>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1. Whenever, under the provisions of applicable law, the </w:t>
      </w:r>
      <w:r>
        <w:rPr>
          <w:rFonts w:ascii="Times New Roman" w:cs="Times New Roman" w:eastAsia="Times New Roman" w:hAnsi="Times New Roman"/>
          <w:sz w:val="21"/>
          <w:szCs w:val="21"/>
          <w:color w:val="FF0000"/>
          <w:strike w:val="1"/>
        </w:rPr>
        <w:t>Amended and Restated Certificate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Incorporation</w:t>
      </w:r>
      <w:r>
        <w:rPr>
          <w:rFonts w:ascii="Times New Roman" w:cs="Times New Roman" w:eastAsia="Times New Roman" w:hAnsi="Times New Roman"/>
          <w:sz w:val="21"/>
          <w:szCs w:val="21"/>
          <w:u w:val="single" w:color="auto"/>
          <w:color w:val="0000FF"/>
          <w:highlight w:val="white"/>
        </w:rPr>
        <w:t>Charter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or these bylaws, notice is required to be given to (a) any director, it shall be construed to mean oral notice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w:t>
      </w:r>
      <w:r>
        <w:rPr>
          <w:rFonts w:ascii="Times New Roman" w:cs="Times New Roman" w:eastAsia="Times New Roman" w:hAnsi="Times New Roman"/>
          <w:sz w:val="21"/>
          <w:szCs w:val="21"/>
          <w:color w:val="FF0000"/>
          <w:strike w:val="1"/>
        </w:rPr>
        <w:t>Delaware General Corporation Law</w:t>
      </w:r>
      <w:r>
        <w:rPr>
          <w:rFonts w:ascii="Times New Roman" w:cs="Times New Roman" w:eastAsia="Times New Roman" w:hAnsi="Times New Roman"/>
          <w:sz w:val="21"/>
          <w:szCs w:val="21"/>
          <w:u w:val="single" w:color="auto"/>
          <w:color w:val="0000FF"/>
          <w:highlight w:val="white"/>
        </w:rPr>
        <w:t>DGCL</w:t>
      </w:r>
      <w:r>
        <w:rPr>
          <w:rFonts w:ascii="Times New Roman" w:cs="Times New Roman" w:eastAsia="Times New Roman" w:hAnsi="Times New Roman"/>
          <w:sz w:val="21"/>
          <w:szCs w:val="21"/>
          <w:color w:val="000000"/>
        </w:rPr>
        <w:t xml:space="preserve">, in each case, addressed to such director or stockholder, at </w:t>
      </w:r>
      <w:r>
        <w:rPr>
          <w:rFonts w:ascii="Times New Roman" w:cs="Times New Roman" w:eastAsia="Times New Roman" w:hAnsi="Times New Roman"/>
          <w:sz w:val="21"/>
          <w:szCs w:val="21"/>
          <w:color w:val="FF0000"/>
          <w:strike w:val="1"/>
        </w:rPr>
        <w:t>his</w:t>
      </w:r>
      <w:r>
        <w:rPr>
          <w:rFonts w:ascii="Times New Roman" w:cs="Times New Roman" w:eastAsia="Times New Roman" w:hAnsi="Times New Roman"/>
          <w:sz w:val="21"/>
          <w:szCs w:val="21"/>
          <w:u w:val="single" w:color="auto"/>
          <w:color w:val="0000FF"/>
        </w:rPr>
        <w:t>the director’s</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color w:val="FF0000"/>
          <w:strike w:val="1"/>
        </w:rPr>
        <w:t>her</w:t>
      </w:r>
      <w:r>
        <w:rPr>
          <w:rFonts w:ascii="Times New Roman" w:cs="Times New Roman" w:eastAsia="Times New Roman" w:hAnsi="Times New Roman"/>
          <w:sz w:val="21"/>
          <w:szCs w:val="21"/>
          <w:u w:val="single" w:color="auto"/>
          <w:color w:val="0000FF"/>
          <w:highlight w:val="white"/>
        </w:rPr>
        <w:t>stockholder’s</w:t>
      </w:r>
      <w:r>
        <w:rPr>
          <w:rFonts w:ascii="Times New Roman" w:cs="Times New Roman" w:eastAsia="Times New Roman" w:hAnsi="Times New Roman"/>
          <w:sz w:val="21"/>
          <w:szCs w:val="21"/>
          <w:color w:val="000000"/>
        </w:rPr>
        <w:t xml:space="preserve">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w:t>
      </w:r>
      <w:r>
        <w:rPr>
          <w:rFonts w:ascii="Times New Roman" w:cs="Times New Roman" w:eastAsia="Times New Roman" w:hAnsi="Times New Roman"/>
          <w:sz w:val="21"/>
          <w:szCs w:val="21"/>
          <w:color w:val="FF0000"/>
          <w:strike w:val="1"/>
        </w:rPr>
        <w:t>Delaware General Corporation Law</w:t>
      </w:r>
      <w:r>
        <w:rPr>
          <w:rFonts w:ascii="Times New Roman" w:cs="Times New Roman" w:eastAsia="Times New Roman" w:hAnsi="Times New Roman"/>
          <w:sz w:val="21"/>
          <w:szCs w:val="21"/>
          <w:u w:val="single" w:color="auto"/>
          <w:color w:val="0000FF"/>
        </w:rPr>
        <w:t>DGCL</w:t>
      </w:r>
      <w:r>
        <w:rPr>
          <w:rFonts w:ascii="Times New Roman" w:cs="Times New Roman" w:eastAsia="Times New Roman" w:hAnsi="Times New Roman"/>
          <w:sz w:val="21"/>
          <w:szCs w:val="21"/>
          <w:color w:val="000000"/>
        </w:rPr>
        <w:t>.</w:t>
      </w:r>
    </w:p>
    <w:p>
      <w:pPr>
        <w:spacing w:after="0" w:line="17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 Whenever any notice is required to be given under the provisions of applicable law or of the </w:t>
      </w:r>
      <w:r>
        <w:rPr>
          <w:rFonts w:ascii="Times New Roman" w:cs="Times New Roman" w:eastAsia="Times New Roman" w:hAnsi="Times New Roman"/>
          <w:sz w:val="22"/>
          <w:szCs w:val="22"/>
          <w:color w:val="FF0000"/>
          <w:strike w:val="1"/>
        </w:rPr>
        <w:t>Amended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Restated Certificate of 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of these bylaws, a waiver thereof in writing or by electronic transmission, signed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by the person or persons entitled to said notice, whether before or after the time stated therein, shall be deemed equivalent thereto.</w:t>
      </w:r>
    </w:p>
    <w:p>
      <w:pPr>
        <w:spacing w:after="0" w:line="176"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color w:val="FF0000"/>
          <w:strike w:val="1"/>
        </w:rPr>
        <w:t>Except as required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highlight w:val="white"/>
        </w:rPr>
        <w:t>Section 14</w:t>
      </w:r>
      <w:r>
        <w:rPr>
          <w:rFonts w:ascii="Times New Roman" w:cs="Times New Roman" w:eastAsia="Times New Roman" w:hAnsi="Times New Roman"/>
          <w:sz w:val="22"/>
          <w:szCs w:val="22"/>
          <w:color w:val="FF0000"/>
          <w:highlight w:val="white"/>
          <w:strike w:val="1"/>
        </w:rPr>
        <w:t>, attendance</w:t>
      </w:r>
      <w:r>
        <w:rPr>
          <w:rFonts w:ascii="Times New Roman" w:cs="Times New Roman" w:eastAsia="Times New Roman" w:hAnsi="Times New Roman"/>
          <w:sz w:val="22"/>
          <w:szCs w:val="22"/>
          <w:u w:val="single" w:color="auto"/>
          <w:color w:val="0000FF"/>
          <w:highlight w:val="white"/>
        </w:rPr>
        <w:t>Attendance</w:t>
      </w:r>
      <w:r>
        <w:rPr>
          <w:rFonts w:ascii="Times New Roman" w:cs="Times New Roman" w:eastAsia="Times New Roman" w:hAnsi="Times New Roman"/>
          <w:sz w:val="22"/>
          <w:szCs w:val="22"/>
          <w:color w:val="auto"/>
        </w:rPr>
        <w:t xml:space="preserve"> at a meeting shall constitute a waiver of notice except where a director or stockholder attends a meeting for the express purpose of objecting to the transaction of any business because the meeting is not lawfully called or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-369570</wp:posOffset>
            </wp:positionV>
            <wp:extent cx="578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485" cy="889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-421005</wp:posOffset>
            </wp:positionV>
            <wp:extent cx="5784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153"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Section 4. Neither the business to be transacted at, nor the purpose of, any meeting of the board of directors need be specified in the notice or waiver of notice of such meeting.</w:t>
      </w:r>
    </w:p>
    <w:p>
      <w:pPr>
        <w:spacing w:after="0" w:line="16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2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the</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auto"/>
        </w:rPr>
        <w:t xml:space="preserve"> officers of the Corporation shall be elected by the board of directors at its first meeting in connection with each annual meeting of the stockholders and shall be a Chief Executive Officer, a Chief Financial Officer, a </w:t>
      </w:r>
      <w:r>
        <w:rPr>
          <w:rFonts w:ascii="Times New Roman" w:cs="Times New Roman" w:eastAsia="Times New Roman" w:hAnsi="Times New Roman"/>
          <w:sz w:val="22"/>
          <w:szCs w:val="22"/>
          <w:color w:val="FF0000"/>
          <w:strike w:val="1"/>
        </w:rPr>
        <w:t>Chairman and CEO of CBS (until the Specified CBS Date) and/or a</w:t>
      </w:r>
      <w:r>
        <w:rPr>
          <w:rFonts w:ascii="Times New Roman" w:cs="Times New Roman" w:eastAsia="Times New Roman" w:hAnsi="Times New Roman"/>
          <w:sz w:val="22"/>
          <w:szCs w:val="22"/>
          <w:color w:val="auto"/>
        </w:rPr>
        <w:t xml:space="preserve"> Treasurer and a Secretary.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Article XI</w:t>
      </w:r>
      <w:r>
        <w:rPr>
          <w:rFonts w:ascii="Times New Roman" w:cs="Times New Roman" w:eastAsia="Times New Roman" w:hAnsi="Times New Roman"/>
          <w:sz w:val="22"/>
          <w:szCs w:val="22"/>
          <w:color w:val="FF0000"/>
          <w:highlight w:val="white"/>
          <w:strike w:val="1"/>
        </w:rPr>
        <w:t>, the</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board of directors may also elect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highlight w:val="white"/>
        </w:rPr>
        <w:t>Chair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Board, one or more Presidents and Vice Presidents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and one or more Assistant Treasurers and Assistant Secretaries, and such other officers </w:t>
      </w:r>
      <w:r>
        <w:rPr>
          <w:rFonts w:ascii="Times New Roman" w:cs="Times New Roman" w:eastAsia="Times New Roman" w:hAnsi="Times New Roman"/>
          <w:sz w:val="22"/>
          <w:szCs w:val="22"/>
          <w:u w:val="single" w:color="auto"/>
          <w:color w:val="0000FF"/>
        </w:rPr>
        <w:t>of the Corporation</w:t>
      </w:r>
      <w:r>
        <w:rPr>
          <w:rFonts w:ascii="Times New Roman" w:cs="Times New Roman" w:eastAsia="Times New Roman" w:hAnsi="Times New Roman"/>
          <w:sz w:val="22"/>
          <w:szCs w:val="22"/>
          <w:color w:val="000000"/>
        </w:rPr>
        <w:t xml:space="preserve"> as the board of directors deems appropriate. Any number of offices may be held by the same person. Vice Presidents may be given distinctive designations such as Executive Vice President or Senior Vice President. </w:t>
      </w:r>
      <w:r>
        <w:rPr>
          <w:rFonts w:ascii="Times New Roman" w:cs="Times New Roman" w:eastAsia="Times New Roman" w:hAnsi="Times New Roman"/>
          <w:sz w:val="22"/>
          <w:szCs w:val="22"/>
          <w:color w:val="FF0000"/>
          <w:strike w:val="1"/>
        </w:rPr>
        <w:t>Subject to Article XI</w:t>
      </w:r>
      <w:r>
        <w:rPr>
          <w:rFonts w:ascii="Times New Roman" w:cs="Times New Roman" w:eastAsia="Times New Roman" w:hAnsi="Times New Roman"/>
          <w:sz w:val="22"/>
          <w:szCs w:val="22"/>
          <w:color w:val="FF0000"/>
          <w:highlight w:val="white"/>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556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-38735</wp:posOffset>
            </wp:positionV>
            <wp:extent cx="559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9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80"/>
          </w:cols>
          <w:pgMar w:left="320" w:top="1440" w:right="399" w:bottom="1440" w:gutter="0" w:footer="0" w:header="0"/>
        </w:sectPr>
      </w:pPr>
    </w:p>
    <w:bookmarkStart w:id="16" w:name="page17"/>
    <w:bookmarkEnd w:id="16"/>
    <w:p>
      <w:pPr>
        <w:spacing w:after="0" w:line="347"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FF0000"/>
          <w:strike w:val="1"/>
        </w:rPr>
        <w:t>at</w:t>
      </w:r>
      <w:r>
        <w:rPr>
          <w:rFonts w:ascii="Times New Roman" w:cs="Times New Roman" w:eastAsia="Times New Roman" w:hAnsi="Times New Roman"/>
          <w:sz w:val="22"/>
          <w:szCs w:val="22"/>
          <w:u w:val="single" w:color="auto"/>
          <w:color w:val="0000FF"/>
        </w:rPr>
        <w:t>At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time of election, the board of directors may determine that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Board shall be a Non-Executive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highlight w:val="white"/>
        </w:rPr>
        <w:t>Chair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Board.</w:t>
      </w:r>
    </w:p>
    <w:p>
      <w:pPr>
        <w:spacing w:after="0" w:line="158"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the</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auto"/>
        </w:rPr>
        <w:t xml:space="preserv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the</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auto"/>
        </w:rPr>
        <w:t xml:space="preserve"> officers of the Corporation shall hold office until their successors are elected or appointed and qualify or until their earlier resignation or removal. </w:t>
      </w:r>
      <w:r>
        <w:rPr>
          <w:rFonts w:ascii="Times New Roman" w:cs="Times New Roman" w:eastAsia="Times New Roman" w:hAnsi="Times New Roman"/>
          <w:sz w:val="22"/>
          <w:szCs w:val="22"/>
          <w:color w:val="FF0000"/>
          <w:strike w:val="1"/>
        </w:rPr>
        <w:t>Subject to Article XI</w:t>
      </w:r>
      <w:r>
        <w:rPr>
          <w:rFonts w:ascii="Times New Roman" w:cs="Times New Roman" w:eastAsia="Times New Roman" w:hAnsi="Times New Roman"/>
          <w:sz w:val="22"/>
          <w:szCs w:val="22"/>
          <w:color w:val="FF0000"/>
          <w:highlight w:val="white"/>
          <w:strike w:val="1"/>
        </w:rPr>
        <w:t>, any</w:t>
      </w:r>
      <w:r>
        <w:rPr>
          <w:rFonts w:ascii="Times New Roman" w:cs="Times New Roman" w:eastAsia="Times New Roman" w:hAnsi="Times New Roman"/>
          <w:sz w:val="22"/>
          <w:szCs w:val="22"/>
          <w:u w:val="single" w:color="auto"/>
          <w:color w:val="0000FF"/>
          <w:highlight w:val="white"/>
        </w:rPr>
        <w:t>Any</w:t>
      </w:r>
      <w:r>
        <w:rPr>
          <w:rFonts w:ascii="Times New Roman" w:cs="Times New Roman" w:eastAsia="Times New Roman" w:hAnsi="Times New Roman"/>
          <w:sz w:val="22"/>
          <w:szCs w:val="22"/>
          <w:color w:val="auto"/>
        </w:rPr>
        <w:t xml:space="preserve"> officer elected or appointed by the board of directors may be removed at any time with or without cause by the affirmative vote of majority of the board of directors. </w:t>
      </w:r>
      <w:r>
        <w:rPr>
          <w:rFonts w:ascii="Times New Roman" w:cs="Times New Roman" w:eastAsia="Times New Roman" w:hAnsi="Times New Roman"/>
          <w:sz w:val="22"/>
          <w:szCs w:val="22"/>
          <w:color w:val="FF0000"/>
          <w:strike w:val="1"/>
        </w:rPr>
        <w:t>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strike w:val="1"/>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highlight w:val="white"/>
        </w:rPr>
        <w:t>XI</w:t>
      </w:r>
      <w:r>
        <w:rPr>
          <w:rFonts w:ascii="Times New Roman" w:cs="Times New Roman" w:eastAsia="Times New Roman" w:hAnsi="Times New Roman"/>
          <w:sz w:val="22"/>
          <w:szCs w:val="22"/>
          <w:color w:val="FF0000"/>
          <w:highlight w:val="white"/>
          <w:strike w:val="1"/>
        </w:rPr>
        <w:t>, any</w:t>
      </w:r>
      <w:r>
        <w:rPr>
          <w:rFonts w:ascii="Times New Roman" w:cs="Times New Roman" w:eastAsia="Times New Roman" w:hAnsi="Times New Roman"/>
          <w:sz w:val="22"/>
          <w:szCs w:val="22"/>
          <w:u w:val="single" w:color="auto"/>
          <w:color w:val="0000FF"/>
          <w:highlight w:val="white"/>
        </w:rPr>
        <w:t>Any</w:t>
      </w:r>
      <w:r>
        <w:rPr>
          <w:rFonts w:ascii="Times New Roman" w:cs="Times New Roman" w:eastAsia="Times New Roman" w:hAnsi="Times New Roman"/>
          <w:sz w:val="22"/>
          <w:szCs w:val="22"/>
          <w:color w:val="auto"/>
        </w:rPr>
        <w:t xml:space="preserve"> vacancy occurring in any office of the Corporation shall be filled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-537210</wp:posOffset>
            </wp:positionV>
            <wp:extent cx="557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BOARD</w:t>
      </w:r>
    </w:p>
    <w:p>
      <w:pPr>
        <w:spacing w:after="0" w:line="220" w:lineRule="exact"/>
        <w:rPr>
          <w:sz w:val="20"/>
          <w:szCs w:val="20"/>
          <w:color w:val="auto"/>
        </w:rPr>
      </w:pPr>
    </w:p>
    <w:p>
      <w:pPr>
        <w:jc w:val="both"/>
        <w:ind w:right="4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 The </w:t>
      </w:r>
      <w:r>
        <w:rPr>
          <w:rFonts w:ascii="Times New Roman" w:cs="Times New Roman" w:eastAsia="Times New Roman" w:hAnsi="Times New Roman"/>
          <w:sz w:val="22"/>
          <w:szCs w:val="22"/>
          <w:color w:val="FF0000"/>
          <w:strike w:val="1"/>
        </w:rPr>
        <w:t>Chairman</w:t>
      </w:r>
      <w:r>
        <w:rPr>
          <w:rFonts w:ascii="Times New Roman" w:cs="Times New Roman" w:eastAsia="Times New Roman" w:hAnsi="Times New Roman"/>
          <w:sz w:val="22"/>
          <w:szCs w:val="22"/>
          <w:u w:val="single" w:color="auto"/>
          <w:color w:val="0000FF"/>
        </w:rPr>
        <w:t>Chair</w:t>
      </w:r>
      <w:r>
        <w:rPr>
          <w:rFonts w:ascii="Times New Roman" w:cs="Times New Roman" w:eastAsia="Times New Roman" w:hAnsi="Times New Roman"/>
          <w:sz w:val="22"/>
          <w:szCs w:val="22"/>
          <w:color w:val="auto"/>
        </w:rPr>
        <w:t xml:space="preserve"> of the Board, if any shall be elected, shall preside at all meetings of the board of directors and the stockholders and shall have such other powers and perform such other duties as may from time to time be assigned to </w:t>
      </w:r>
      <w:r>
        <w:rPr>
          <w:rFonts w:ascii="Times New Roman" w:cs="Times New Roman" w:eastAsia="Times New Roman" w:hAnsi="Times New Roman"/>
          <w:sz w:val="22"/>
          <w:szCs w:val="22"/>
          <w:color w:val="FF0000"/>
          <w:strike w:val="1"/>
        </w:rPr>
        <w:t>him or her</w:t>
      </w:r>
      <w:r>
        <w:rPr>
          <w:rFonts w:ascii="Times New Roman" w:cs="Times New Roman" w:eastAsia="Times New Roman" w:hAnsi="Times New Roman"/>
          <w:sz w:val="22"/>
          <w:szCs w:val="22"/>
          <w:u w:val="single" w:color="auto"/>
          <w:color w:val="0000FF"/>
          <w:highlight w:val="white"/>
        </w:rPr>
        <w:t>the Chair</w:t>
      </w:r>
      <w:r>
        <w:rPr>
          <w:rFonts w:ascii="Times New Roman" w:cs="Times New Roman" w:eastAsia="Times New Roman" w:hAnsi="Times New Roman"/>
          <w:sz w:val="22"/>
          <w:szCs w:val="22"/>
          <w:color w:val="auto"/>
        </w:rPr>
        <w:t xml:space="preserve"> by the board of directors.</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THE CHIEF EXECUTIVE OFFICER</w:t>
      </w:r>
    </w:p>
    <w:p>
      <w:pPr>
        <w:spacing w:after="0" w:line="220"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w:t>
      </w:r>
      <w:r>
        <w:rPr>
          <w:rFonts w:ascii="Times New Roman" w:cs="Times New Roman" w:eastAsia="Times New Roman" w:hAnsi="Times New Roman"/>
          <w:sz w:val="22"/>
          <w:szCs w:val="22"/>
          <w:color w:val="FF0000"/>
          <w:strike w:val="1"/>
        </w:rPr>
        <w:t>him or her</w:t>
      </w:r>
      <w:r>
        <w:rPr>
          <w:rFonts w:ascii="Times New Roman" w:cs="Times New Roman" w:eastAsia="Times New Roman" w:hAnsi="Times New Roman"/>
          <w:sz w:val="22"/>
          <w:szCs w:val="22"/>
          <w:u w:val="single" w:color="auto"/>
          <w:color w:val="0000FF"/>
          <w:highlight w:val="white"/>
        </w:rPr>
        <w:t>the Chief Executive Officer</w:t>
      </w:r>
      <w:r>
        <w:rPr>
          <w:rFonts w:ascii="Times New Roman" w:cs="Times New Roman" w:eastAsia="Times New Roman" w:hAnsi="Times New Roman"/>
          <w:sz w:val="22"/>
          <w:szCs w:val="22"/>
          <w:color w:val="auto"/>
        </w:rPr>
        <w:t xml:space="preserve"> by the board of directors or these bylaws.</w:t>
      </w: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THE PRESIDENT</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Section 6.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20"/>
          </w:cols>
          <w:pgMar w:left="320" w:top="1440" w:right="459" w:bottom="1440" w:gutter="0" w:footer="0" w:header="0"/>
        </w:sectPr>
      </w:pPr>
    </w:p>
    <w:bookmarkStart w:id="17" w:name="page18"/>
    <w:bookmarkEnd w:id="17"/>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THE VICE PRESIDENTS</w:t>
      </w:r>
    </w:p>
    <w:p>
      <w:pPr>
        <w:spacing w:after="0" w:line="220"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Section 7. The Vice Presidents, if any shall be elected, shall have such powers and perform such duties as may from time to time be assigned to them by the board of directors or the Chief Executive Officer.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THE SECRETARY AND ASSISTANT </w:t>
      </w:r>
      <w:r>
        <w:rPr>
          <w:rFonts w:ascii="Times New Roman" w:cs="Times New Roman" w:eastAsia="Times New Roman" w:hAnsi="Times New Roman"/>
          <w:sz w:val="22"/>
          <w:szCs w:val="22"/>
          <w:color w:val="FF0000"/>
          <w:strike w:val="1"/>
        </w:rPr>
        <w:t>SECRETARY</w:t>
      </w:r>
      <w:r>
        <w:rPr>
          <w:rFonts w:ascii="Times New Roman" w:cs="Times New Roman" w:eastAsia="Times New Roman" w:hAnsi="Times New Roman"/>
          <w:sz w:val="22"/>
          <w:szCs w:val="22"/>
          <w:u w:val="single" w:color="auto"/>
          <w:color w:val="0000FF"/>
          <w:highlight w:val="white"/>
        </w:rPr>
        <w:t>SECRETARIES</w:t>
      </w:r>
    </w:p>
    <w:p>
      <w:pPr>
        <w:spacing w:after="0" w:line="23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8. The Secretary, if any shall be elected, shall attend all meetings of the board of directors and all meetings of the stockholders and record all the proceedings of the meetings of the Corporation and of the board of directors in a book </w:t>
      </w:r>
      <w:r>
        <w:rPr>
          <w:rFonts w:ascii="Times New Roman" w:cs="Times New Roman" w:eastAsia="Times New Roman" w:hAnsi="Times New Roman"/>
          <w:sz w:val="22"/>
          <w:szCs w:val="22"/>
          <w:u w:val="single" w:color="auto"/>
          <w:color w:val="0000FF"/>
        </w:rPr>
        <w:t>and/or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electronic repositories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be kept for that purpose and shall perform like duties for the standing committees of the board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directors when required. </w:t>
      </w:r>
      <w:r>
        <w:rPr>
          <w:rFonts w:ascii="Times New Roman" w:cs="Times New Roman" w:eastAsia="Times New Roman" w:hAnsi="Times New Roman"/>
          <w:sz w:val="22"/>
          <w:szCs w:val="22"/>
          <w:color w:val="FF0000"/>
          <w:strike w:val="1"/>
        </w:rPr>
        <w:t>He or she</w:t>
      </w:r>
      <w:r>
        <w:rPr>
          <w:rFonts w:ascii="Times New Roman" w:cs="Times New Roman" w:eastAsia="Times New Roman" w:hAnsi="Times New Roman"/>
          <w:sz w:val="22"/>
          <w:szCs w:val="22"/>
          <w:u w:val="single" w:color="auto"/>
          <w:color w:val="0000FF"/>
          <w:highlight w:val="white"/>
        </w:rPr>
        <w:t>The Secretary</w:t>
      </w:r>
      <w:r>
        <w:rPr>
          <w:rFonts w:ascii="Times New Roman" w:cs="Times New Roman" w:eastAsia="Times New Roman" w:hAnsi="Times New Roman"/>
          <w:sz w:val="22"/>
          <w:szCs w:val="22"/>
          <w:color w:val="000000"/>
        </w:rPr>
        <w:t xml:space="preserve"> shall give, or cause to be given, notice of all meetings of the stockholders and the special meetings of the board of directors, and shall perform such other duties as may be prescribed by the board of directors or the Chief Executive Officer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highlight w:val="white"/>
        </w:rPr>
        <w:t>. The Secretary shall be</w:t>
      </w:r>
      <w:r>
        <w:rPr>
          <w:rFonts w:ascii="Times New Roman" w:cs="Times New Roman" w:eastAsia="Times New Roman" w:hAnsi="Times New Roman"/>
          <w:sz w:val="22"/>
          <w:szCs w:val="22"/>
          <w:color w:val="000000"/>
        </w:rPr>
        <w:t xml:space="preserve"> under </w:t>
      </w:r>
      <w:r>
        <w:rPr>
          <w:rFonts w:ascii="Times New Roman" w:cs="Times New Roman" w:eastAsia="Times New Roman" w:hAnsi="Times New Roman"/>
          <w:sz w:val="22"/>
          <w:szCs w:val="22"/>
          <w:color w:val="FF0000"/>
          <w:strike w:val="1"/>
        </w:rPr>
        <w:t>whose</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000000"/>
        </w:rPr>
        <w:t xml:space="preserve"> supervision </w:t>
      </w:r>
      <w:r>
        <w:rPr>
          <w:rFonts w:ascii="Times New Roman" w:cs="Times New Roman" w:eastAsia="Times New Roman" w:hAnsi="Times New Roman"/>
          <w:sz w:val="22"/>
          <w:szCs w:val="22"/>
          <w:color w:val="FF0000"/>
          <w:strike w:val="1"/>
        </w:rPr>
        <w:t>he or she shall be. He or she</w:t>
      </w:r>
      <w:r>
        <w:rPr>
          <w:rFonts w:ascii="Times New Roman" w:cs="Times New Roman" w:eastAsia="Times New Roman" w:hAnsi="Times New Roman"/>
          <w:sz w:val="22"/>
          <w:szCs w:val="22"/>
          <w:u w:val="single" w:color="auto"/>
          <w:color w:val="0000FF"/>
        </w:rPr>
        <w:t>of the Chief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Executive Officer. The Secretary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shall have custody of the corporate seal of the Corporation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he or she</w:t>
      </w:r>
      <w:r>
        <w:rPr>
          <w:rFonts w:ascii="Times New Roman" w:cs="Times New Roman" w:eastAsia="Times New Roman" w:hAnsi="Times New Roman"/>
          <w:sz w:val="22"/>
          <w:szCs w:val="22"/>
          <w:u w:val="single" w:color="auto"/>
          <w:color w:val="0000FF"/>
        </w:rPr>
        <w:t>the Secretary</w:t>
      </w:r>
      <w:r>
        <w:rPr>
          <w:rFonts w:ascii="Times New Roman" w:cs="Times New Roman" w:eastAsia="Times New Roman" w:hAnsi="Times New Roman"/>
          <w:sz w:val="22"/>
          <w:szCs w:val="22"/>
          <w:color w:val="000000"/>
        </w:rPr>
        <w:t>, or 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Assistant Secretary, shall have authority to affix the same to any instrument requiring it, and when so affixed, it may be attested by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highlight w:val="white"/>
        </w:rPr>
        <w:t>the</w:t>
      </w:r>
      <w:r>
        <w:rPr>
          <w:rFonts w:ascii="Times New Roman" w:cs="Times New Roman" w:eastAsia="Times New Roman" w:hAnsi="Times New Roman"/>
          <w:sz w:val="22"/>
          <w:szCs w:val="22"/>
          <w:color w:val="000000"/>
        </w:rPr>
        <w:t xml:space="preserve"> signature </w:t>
      </w:r>
      <w:r>
        <w:rPr>
          <w:rFonts w:ascii="Times New Roman" w:cs="Times New Roman" w:eastAsia="Times New Roman" w:hAnsi="Times New Roman"/>
          <w:sz w:val="22"/>
          <w:szCs w:val="22"/>
          <w:color w:val="0000FF"/>
        </w:rPr>
        <w:t>of the Secretary</w:t>
      </w:r>
      <w:r>
        <w:rPr>
          <w:rFonts w:ascii="Times New Roman" w:cs="Times New Roman" w:eastAsia="Times New Roman" w:hAnsi="Times New Roman"/>
          <w:sz w:val="22"/>
          <w:szCs w:val="22"/>
          <w:color w:val="000000"/>
        </w:rPr>
        <w:t xml:space="preserve"> or by the signature of such Assistant Secretary. The board of directors may give general authority to any other officer to affix the seal of the Corporation and to attest the affixing by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highlight w:val="white"/>
        </w:rPr>
        <w:t>such officer’s</w:t>
      </w:r>
      <w:r>
        <w:rPr>
          <w:rFonts w:ascii="Times New Roman" w:cs="Times New Roman" w:eastAsia="Times New Roman" w:hAnsi="Times New Roman"/>
          <w:sz w:val="22"/>
          <w:szCs w:val="22"/>
          <w:color w:val="000000"/>
        </w:rPr>
        <w:t xml:space="preser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-367665</wp:posOffset>
            </wp:positionV>
            <wp:extent cx="902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2335" cy="8890"/>
                    </a:xfrm>
                    <a:prstGeom prst="rect">
                      <a:avLst/>
                    </a:prstGeom>
                    <a:noFill/>
                  </pic:spPr>
                </pic:pic>
              </a:graphicData>
            </a:graphic>
          </wp:anchor>
        </w:drawing>
      </w:r>
    </w:p>
    <w:p>
      <w:pPr>
        <w:spacing w:after="0" w:line="169"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9. The Assistant Secretary, if any shall be elected, or if there be more than one, the Assistant Secretaries </w:t>
      </w:r>
      <w:r>
        <w:rPr>
          <w:rFonts w:ascii="Times New Roman" w:cs="Times New Roman" w:eastAsia="Times New Roman" w:hAnsi="Times New Roman"/>
          <w:sz w:val="21"/>
          <w:szCs w:val="21"/>
          <w:color w:val="FF0000"/>
        </w:rPr>
        <w:t>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the order determined by the board of directors (or if there be no such determination, then in the order of their election)</w:t>
      </w:r>
      <w:r>
        <w:rPr>
          <w:rFonts w:ascii="Times New Roman" w:cs="Times New Roman" w:eastAsia="Times New Roman" w:hAnsi="Times New Roman"/>
          <w:sz w:val="21"/>
          <w:szCs w:val="21"/>
          <w:color w:val="000000"/>
        </w:rPr>
        <w:t>, shall, in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the absence of the Secretary or in the event of </w:t>
      </w:r>
      <w:r>
        <w:rPr>
          <w:rFonts w:ascii="Times New Roman" w:cs="Times New Roman" w:eastAsia="Times New Roman" w:hAnsi="Times New Roman"/>
          <w:sz w:val="21"/>
          <w:szCs w:val="21"/>
          <w:color w:val="FF0000"/>
          <w:strike w:val="1"/>
        </w:rPr>
        <w:t>his or her</w:t>
      </w:r>
      <w:r>
        <w:rPr>
          <w:rFonts w:ascii="Times New Roman" w:cs="Times New Roman" w:eastAsia="Times New Roman" w:hAnsi="Times New Roman"/>
          <w:sz w:val="21"/>
          <w:szCs w:val="21"/>
          <w:u w:val="single" w:color="auto"/>
          <w:color w:val="0000FF"/>
          <w:highlight w:val="white"/>
        </w:rPr>
        <w:t>the Secretary’s</w:t>
      </w:r>
      <w:r>
        <w:rPr>
          <w:rFonts w:ascii="Times New Roman" w:cs="Times New Roman" w:eastAsia="Times New Roman" w:hAnsi="Times New Roman"/>
          <w:sz w:val="21"/>
          <w:szCs w:val="21"/>
          <w:color w:val="000000"/>
        </w:rPr>
        <w:t xml:space="preserve"> inability or refusal to act </w:t>
      </w:r>
      <w:r>
        <w:rPr>
          <w:rFonts w:ascii="Times New Roman" w:cs="Times New Roman" w:eastAsia="Times New Roman" w:hAnsi="Times New Roman"/>
          <w:sz w:val="21"/>
          <w:szCs w:val="21"/>
          <w:color w:val="0000FF"/>
        </w:rPr>
        <w:t>or upon proper delegation by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Secretary</w:t>
      </w:r>
      <w:r>
        <w:rPr>
          <w:rFonts w:ascii="Times New Roman" w:cs="Times New Roman" w:eastAsia="Times New Roman" w:hAnsi="Times New Roman"/>
          <w:sz w:val="21"/>
          <w:szCs w:val="21"/>
          <w:color w:val="000000"/>
        </w:rPr>
        <w:t>, perform the duties and exercise the powers of the Secretary and shall have such other powers and perform such other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duties as may from time to time be assigned to them by the board of directors, the Chief Executive Officer or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6798945</wp:posOffset>
            </wp:positionH>
            <wp:positionV relativeFrom="paragraph">
              <wp:posOffset>-751205</wp:posOffset>
            </wp:positionV>
            <wp:extent cx="140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970"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-374015</wp:posOffset>
            </wp:positionV>
            <wp:extent cx="1828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THE TREASURER AND ASSISTANT TREASURERS</w:t>
      </w:r>
    </w:p>
    <w:p>
      <w:pPr>
        <w:spacing w:after="0" w:line="220" w:lineRule="exact"/>
        <w:rPr>
          <w:sz w:val="20"/>
          <w:szCs w:val="20"/>
          <w:color w:val="auto"/>
        </w:rPr>
      </w:pPr>
    </w:p>
    <w:p>
      <w:pPr>
        <w:ind w:right="360" w:firstLine="648"/>
        <w:spacing w:after="0" w:line="252" w:lineRule="auto"/>
        <w:rPr>
          <w:sz w:val="20"/>
          <w:szCs w:val="20"/>
          <w:color w:val="auto"/>
        </w:rPr>
      </w:pPr>
      <w:r>
        <w:rPr>
          <w:rFonts w:ascii="Times New Roman" w:cs="Times New Roman" w:eastAsia="Times New Roman" w:hAnsi="Times New Roman"/>
          <w:sz w:val="22"/>
          <w:szCs w:val="22"/>
          <w:color w:val="auto"/>
        </w:rPr>
        <w:t>Section 10.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9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11.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the Treasurer’s</w:t>
      </w:r>
      <w:r>
        <w:rPr>
          <w:rFonts w:ascii="Times New Roman" w:cs="Times New Roman" w:eastAsia="Times New Roman" w:hAnsi="Times New Roman"/>
          <w:sz w:val="22"/>
          <w:szCs w:val="22"/>
          <w:color w:val="auto"/>
        </w:rPr>
        <w:t xml:space="preserve"> transactions as Treasurer and of the financial condition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80"/>
          </w:cols>
          <w:pgMar w:left="320" w:top="1440" w:right="399" w:bottom="1440" w:gutter="0" w:footer="0" w:header="0"/>
        </w:sectPr>
      </w:pPr>
    </w:p>
    <w:bookmarkStart w:id="18" w:name="page19"/>
    <w:bookmarkEnd w:id="18"/>
    <w:p>
      <w:pPr>
        <w:spacing w:after="0" w:line="34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12. If required by the board of directors, the Treasurer shall give the Corporation a bond in such sum and with such surety or sureties as shall be satisfactory to the board of directors for the faithful performance of the duties of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Treasurer’s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office and for the restoration to the Corporation, in case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the Treasurer’s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death, resignation, retirement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removal from office, of all books, papers, vouchers, money and other property of whatever kind in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the Treasurer’s</w:t>
      </w:r>
      <w:r>
        <w:rPr>
          <w:rFonts w:ascii="Times New Roman" w:cs="Times New Roman" w:eastAsia="Times New Roman" w:hAnsi="Times New Roman"/>
          <w:sz w:val="22"/>
          <w:szCs w:val="22"/>
          <w:color w:val="000000"/>
        </w:rPr>
        <w:t xml:space="preserve"> possession or under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the Treasurer’s</w:t>
      </w:r>
      <w:r>
        <w:rPr>
          <w:rFonts w:ascii="Times New Roman" w:cs="Times New Roman" w:eastAsia="Times New Roman" w:hAnsi="Times New Roman"/>
          <w:sz w:val="22"/>
          <w:szCs w:val="22"/>
          <w:color w:val="000000"/>
        </w:rPr>
        <w:t xml:space="preserve"> control belonging to the Corporation.</w:t>
      </w:r>
    </w:p>
    <w:p>
      <w:pPr>
        <w:spacing w:after="0" w:line="17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13. The Assistant Treasurer, if any shall be elected, or if there shall be more than one, the Assistant Treasurers </w:t>
      </w:r>
      <w:r>
        <w:rPr>
          <w:rFonts w:ascii="Times New Roman" w:cs="Times New Roman" w:eastAsia="Times New Roman" w:hAnsi="Times New Roman"/>
          <w:sz w:val="21"/>
          <w:szCs w:val="21"/>
          <w:color w:val="FF0000"/>
          <w:strike w:val="1"/>
        </w:rPr>
        <w:t>in the order determined by the board of directors (or if there be no such determination, then in the order of their election)</w:t>
      </w:r>
      <w:r>
        <w:rPr>
          <w:rFonts w:ascii="Times New Roman" w:cs="Times New Roman" w:eastAsia="Times New Roman" w:hAnsi="Times New Roman"/>
          <w:sz w:val="21"/>
          <w:szCs w:val="21"/>
          <w:color w:val="000000"/>
        </w:rPr>
        <w:t>, shall, in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the absence of the Treasurer or in the event of </w:t>
      </w:r>
      <w:r>
        <w:rPr>
          <w:rFonts w:ascii="Times New Roman" w:cs="Times New Roman" w:eastAsia="Times New Roman" w:hAnsi="Times New Roman"/>
          <w:sz w:val="21"/>
          <w:szCs w:val="21"/>
          <w:color w:val="FF0000"/>
          <w:strike w:val="1"/>
        </w:rPr>
        <w:t>his or her</w:t>
      </w:r>
      <w:r>
        <w:rPr>
          <w:rFonts w:ascii="Times New Roman" w:cs="Times New Roman" w:eastAsia="Times New Roman" w:hAnsi="Times New Roman"/>
          <w:sz w:val="21"/>
          <w:szCs w:val="21"/>
          <w:u w:val="single" w:color="auto"/>
          <w:color w:val="0000FF"/>
        </w:rPr>
        <w:t>the Treasurer’s</w:t>
      </w:r>
      <w:r>
        <w:rPr>
          <w:rFonts w:ascii="Times New Roman" w:cs="Times New Roman" w:eastAsia="Times New Roman" w:hAnsi="Times New Roman"/>
          <w:sz w:val="21"/>
          <w:szCs w:val="21"/>
          <w:color w:val="000000"/>
        </w:rPr>
        <w:t xml:space="preserve"> inability or refusal to act </w:t>
      </w:r>
      <w:r>
        <w:rPr>
          <w:rFonts w:ascii="Times New Roman" w:cs="Times New Roman" w:eastAsia="Times New Roman" w:hAnsi="Times New Roman"/>
          <w:sz w:val="21"/>
          <w:szCs w:val="21"/>
          <w:color w:val="0000FF"/>
        </w:rPr>
        <w:t>or upon proper delegation by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Treasurer</w:t>
      </w:r>
      <w:r>
        <w:rPr>
          <w:rFonts w:ascii="Times New Roman" w:cs="Times New Roman" w:eastAsia="Times New Roman" w:hAnsi="Times New Roman"/>
          <w:sz w:val="21"/>
          <w:szCs w:val="21"/>
          <w:color w:val="000000"/>
        </w:rPr>
        <w:t>, perform the duties and exercise the powers of the Treasurer and shall have such other powers and perform such other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duties as may from time to time be assigned to them by the board of directors, the Chief Financial Officer or the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-383540</wp:posOffset>
            </wp:positionV>
            <wp:extent cx="18281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FF0000"/>
          <w:strike w:val="1"/>
        </w:rPr>
        <w:t>CHAIRMAN AND CEO OF CBS</w:t>
      </w:r>
    </w:p>
    <w:p>
      <w:pPr>
        <w:spacing w:after="0" w:line="200" w:lineRule="exact"/>
        <w:rPr>
          <w:sz w:val="20"/>
          <w:szCs w:val="20"/>
          <w:color w:val="auto"/>
        </w:rPr>
      </w:pPr>
    </w:p>
    <w:p>
      <w:pPr>
        <w:spacing w:after="0" w:line="29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FF0000"/>
          <w:strike w:val="1"/>
        </w:rPr>
        <w:t>Section 14. Subject to the provisions of Article XI</w:t>
      </w:r>
      <w:r>
        <w:rPr>
          <w:rFonts w:ascii="Times New Roman" w:cs="Times New Roman" w:eastAsia="Times New Roman" w:hAnsi="Times New Roman"/>
          <w:sz w:val="22"/>
          <w:szCs w:val="22"/>
          <w:color w:val="FF0000"/>
          <w:highlight w:val="white"/>
          <w:strike w:val="1"/>
        </w:rPr>
        <w:t>, the Chairman and CEO of CBS, if any shall be elected, shall be an</w:t>
      </w:r>
      <w:r>
        <w:rPr>
          <w:rFonts w:ascii="Times New Roman" w:cs="Times New Roman" w:eastAsia="Times New Roman" w:hAnsi="Times New Roman"/>
          <w:sz w:val="22"/>
          <w:szCs w:val="22"/>
          <w:color w:val="FF0000"/>
          <w:strike w:val="1"/>
        </w:rPr>
        <w:t xml:space="preserve"> officer of the Corporation and shall be the chief executive officer of the Corporation’s CBS business, reporting to the Chief Executive Officer of the Corporation, and shall have the general powers and duties of supervision, management and control of the business and affairs of the Corporation’s CBS business and such other powers and duties, in each case, as further described in the employment agreement between such officer and the Corporation (or one of its subsidiaries). Subject to the provisions of </w:t>
      </w:r>
      <w:r>
        <w:rPr>
          <w:rFonts w:ascii="Times New Roman" w:cs="Times New Roman" w:eastAsia="Times New Roman" w:hAnsi="Times New Roman"/>
          <w:sz w:val="22"/>
          <w:szCs w:val="22"/>
          <w:u w:val="single" w:color="auto"/>
          <w:color w:val="FF0000"/>
          <w:strike w:val="1"/>
        </w:rPr>
        <w:t>Article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XI</w:t>
      </w:r>
      <w:r>
        <w:rPr>
          <w:rFonts w:ascii="Times New Roman" w:cs="Times New Roman" w:eastAsia="Times New Roman" w:hAnsi="Times New Roman"/>
          <w:sz w:val="22"/>
          <w:szCs w:val="22"/>
          <w:color w:val="FF0000"/>
          <w:strike w:val="1"/>
        </w:rPr>
        <w:t>, the Chairman and CEO of CBS shall perform the duties and exercise the powers incident to the office of chief executive officer of such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-1024890</wp:posOffset>
            </wp:positionV>
            <wp:extent cx="557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wp:posOffset>
            </wp:positionV>
            <wp:extent cx="6807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7200" cy="8255"/>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Section 15.</w:t>
      </w:r>
    </w:p>
    <w:p>
      <w:pPr>
        <w:spacing w:after="0" w:line="220"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1"/>
          <w:szCs w:val="21"/>
          <w:u w:val="single" w:color="auto"/>
          <w:color w:val="0000FF"/>
        </w:rPr>
        <w:t>Section 14.</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In addition to the corporate officers elected by the board of directors pursuant to this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00"/>
        </w:rPr>
        <w:t>Article V</w:t>
      </w:r>
      <w:r>
        <w:rPr>
          <w:rFonts w:ascii="Times New Roman" w:cs="Times New Roman" w:eastAsia="Times New Roman" w:hAnsi="Times New Roman"/>
          <w:sz w:val="21"/>
          <w:szCs w:val="21"/>
          <w:color w:val="000000"/>
        </w:rPr>
        <w:t>, the Chief</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TRANSFERS OF STOCK</w:t>
      </w:r>
    </w:p>
    <w:p>
      <w:pPr>
        <w:spacing w:after="0" w:line="22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FIXING RECORD DATE</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2. (a) In order that the Corporation may determine the stockholders entitled to notice of any meeting of stockholders or any adjournment thereof, the board of directors may fix a record date, which </w:t>
      </w:r>
      <w:r>
        <w:rPr>
          <w:rFonts w:ascii="Times New Roman" w:cs="Times New Roman" w:eastAsia="Times New Roman" w:hAnsi="Times New Roman"/>
          <w:sz w:val="21"/>
          <w:szCs w:val="21"/>
          <w:color w:val="FF0000"/>
          <w:strike w:val="1"/>
        </w:rPr>
        <w:t>record date</w:t>
      </w:r>
      <w:r>
        <w:rPr>
          <w:rFonts w:ascii="Times New Roman" w:cs="Times New Roman" w:eastAsia="Times New Roman" w:hAnsi="Times New Roman"/>
          <w:sz w:val="21"/>
          <w:szCs w:val="21"/>
          <w:color w:val="auto"/>
        </w:rPr>
        <w:t xml:space="preserve"> shall not precede the date upon which the resolution fixing the record date is adopted by the board of directors, and which </w:t>
      </w:r>
      <w:r>
        <w:rPr>
          <w:rFonts w:ascii="Times New Roman" w:cs="Times New Roman" w:eastAsia="Times New Roman" w:hAnsi="Times New Roman"/>
          <w:sz w:val="21"/>
          <w:szCs w:val="21"/>
          <w:color w:val="FF0000"/>
          <w:strike w:val="1"/>
        </w:rPr>
        <w:t>record date</w:t>
      </w:r>
      <w:r>
        <w:rPr>
          <w:rFonts w:ascii="Times New Roman" w:cs="Times New Roman" w:eastAsia="Times New Roman" w:hAnsi="Times New Roman"/>
          <w:sz w:val="21"/>
          <w:szCs w:val="21"/>
          <w:color w:val="auto"/>
        </w:rPr>
        <w:t xml:space="preserve"> shall, except as otherwise required by applicable law,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at the adjourned meeting.</w:t>
      </w:r>
    </w:p>
    <w:p>
      <w:pPr>
        <w:spacing w:after="0" w:line="171" w:lineRule="exact"/>
        <w:rPr>
          <w:sz w:val="20"/>
          <w:szCs w:val="20"/>
          <w:color w:val="auto"/>
        </w:rPr>
      </w:pPr>
    </w:p>
    <w:p>
      <w:pPr>
        <w:ind w:firstLine="1304"/>
        <w:spacing w:after="0" w:line="250" w:lineRule="auto"/>
        <w:tabs>
          <w:tab w:leader="none" w:pos="19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that the Corporation may determine the stockholders entitled to consent to corporate action without a meeting, (including by </w:t>
      </w:r>
      <w:r>
        <w:rPr>
          <w:rFonts w:ascii="Times New Roman" w:cs="Times New Roman" w:eastAsia="Times New Roman" w:hAnsi="Times New Roman"/>
          <w:sz w:val="22"/>
          <w:szCs w:val="22"/>
          <w:color w:val="FF0000"/>
          <w:strike w:val="1"/>
        </w:rPr>
        <w:t>telegram, cablegram or other</w:t>
      </w:r>
      <w:r>
        <w:rPr>
          <w:rFonts w:ascii="Times New Roman" w:cs="Times New Roman" w:eastAsia="Times New Roman" w:hAnsi="Times New Roman"/>
          <w:sz w:val="22"/>
          <w:szCs w:val="22"/>
          <w:color w:val="auto"/>
        </w:rPr>
        <w:t xml:space="preserve"> electronic transmission</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as permitted by law), the board of directors may fix a record date, which </w:t>
      </w:r>
      <w:r>
        <w:rPr>
          <w:rFonts w:ascii="Times New Roman" w:cs="Times New Roman" w:eastAsia="Times New Roman" w:hAnsi="Times New Roman"/>
          <w:sz w:val="22"/>
          <w:szCs w:val="22"/>
          <w:color w:val="FF0000"/>
          <w:strike w:val="1"/>
        </w:rPr>
        <w:t>record date</w:t>
      </w:r>
      <w:r>
        <w:rPr>
          <w:rFonts w:ascii="Times New Roman" w:cs="Times New Roman" w:eastAsia="Times New Roman" w:hAnsi="Times New Roman"/>
          <w:sz w:val="22"/>
          <w:szCs w:val="22"/>
          <w:color w:val="auto"/>
        </w:rPr>
        <w:t xml:space="preserve"> shall not precede the date upon which the resolution fixing the record date is adopted by the board of directors, and which </w:t>
      </w:r>
      <w:r>
        <w:rPr>
          <w:rFonts w:ascii="Times New Roman" w:cs="Times New Roman" w:eastAsia="Times New Roman" w:hAnsi="Times New Roman"/>
          <w:sz w:val="22"/>
          <w:szCs w:val="22"/>
          <w:color w:val="FF0000"/>
          <w:strike w:val="1"/>
        </w:rPr>
        <w:t>record date</w:t>
      </w:r>
      <w:r>
        <w:rPr>
          <w:rFonts w:ascii="Times New Roman" w:cs="Times New Roman" w:eastAsia="Times New Roman" w:hAnsi="Times New Roman"/>
          <w:sz w:val="22"/>
          <w:szCs w:val="22"/>
          <w:color w:val="auto"/>
        </w:rPr>
        <w:t xml:space="preserve"> shall be not more than ten days after the date upon which the resolution fixing the record date is adopted by the board of directors. If no record date has been fixed by the board of directors and no prior action by the board of directors is required by applicable law, the record date for determining stockholders entitled to consent to corporate action without a meeting shall be the first date on which a consent setting forth the action taken or proposed to be taken is delivered to the Corporation in the manner prescribed by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If no record date has been fixed by the board of directors and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40" w:right="379" w:bottom="1440" w:gutter="0" w:footer="0" w:header="0"/>
        </w:sectPr>
      </w:pPr>
    </w:p>
    <w:bookmarkStart w:id="20" w:name="page21"/>
    <w:bookmarkEnd w:id="20"/>
    <w:p>
      <w:pPr>
        <w:spacing w:after="0" w:line="34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1"/>
          <w:szCs w:val="21"/>
          <w:color w:val="auto"/>
        </w:rPr>
        <w:t>action by the board of directors is required by applicable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155" w:lineRule="exact"/>
        <w:rPr>
          <w:sz w:val="20"/>
          <w:szCs w:val="20"/>
          <w:color w:val="auto"/>
        </w:rPr>
      </w:pPr>
    </w:p>
    <w:p>
      <w:pPr>
        <w:ind w:firstLine="1304"/>
        <w:spacing w:after="0" w:line="265" w:lineRule="auto"/>
        <w:tabs>
          <w:tab w:leader="none" w:pos="193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w:t>
      </w:r>
      <w:r>
        <w:rPr>
          <w:rFonts w:ascii="Times New Roman" w:cs="Times New Roman" w:eastAsia="Times New Roman" w:hAnsi="Times New Roman"/>
          <w:sz w:val="21"/>
          <w:szCs w:val="21"/>
          <w:color w:val="FF0000"/>
          <w:strike w:val="1"/>
        </w:rPr>
        <w:t>record date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shall not precede the date upon which the resolution fixing the record date is adopted, and which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record date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shall be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REGISTERED STOCKHOLDERS</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 OF EMPLOYEES</w:t>
      </w:r>
    </w:p>
    <w:p>
      <w:pPr>
        <w:spacing w:after="0" w:line="2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i w:val="1"/>
          <w:iCs w:val="1"/>
          <w:color w:val="auto"/>
        </w:rPr>
        <w:t>Right to Indemnification</w:t>
      </w:r>
      <w:r>
        <w:rPr>
          <w:rFonts w:ascii="Times New Roman" w:cs="Times New Roman" w:eastAsia="Times New Roman" w:hAnsi="Times New Roman"/>
          <w:sz w:val="21"/>
          <w:szCs w:val="21"/>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w:t>
      </w:r>
      <w:r>
        <w:rPr>
          <w:rFonts w:ascii="Times New Roman" w:cs="Times New Roman" w:eastAsia="Times New Roman" w:hAnsi="Times New Roman"/>
          <w:sz w:val="21"/>
          <w:szCs w:val="21"/>
          <w:color w:val="FF0000"/>
          <w:strike w:val="1"/>
        </w:rPr>
        <w:t>he or she</w:t>
      </w:r>
      <w:r>
        <w:rPr>
          <w:rFonts w:ascii="Times New Roman" w:cs="Times New Roman" w:eastAsia="Times New Roman" w:hAnsi="Times New Roman"/>
          <w:sz w:val="21"/>
          <w:szCs w:val="21"/>
          <w:u w:val="single" w:color="auto"/>
          <w:color w:val="0000FF"/>
          <w:highlight w:val="white"/>
        </w:rPr>
        <w:t>such person</w:t>
      </w:r>
      <w:r>
        <w:rPr>
          <w:rFonts w:ascii="Times New Roman" w:cs="Times New Roman" w:eastAsia="Times New Roman" w:hAnsi="Times New Roman"/>
          <w:sz w:val="21"/>
          <w:szCs w:val="21"/>
          <w:color w:val="auto"/>
        </w:rPr>
        <w:t xml:space="preserv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w:t>
      </w:r>
      <w:r>
        <w:rPr>
          <w:rFonts w:ascii="Times New Roman" w:cs="Times New Roman" w:eastAsia="Times New Roman" w:hAnsi="Times New Roman"/>
          <w:sz w:val="21"/>
          <w:szCs w:val="21"/>
          <w:color w:val="FF0000"/>
          <w:strike w:val="1"/>
        </w:rPr>
        <w:t>Delaware General Corporation Law</w:t>
      </w:r>
      <w:r>
        <w:rPr>
          <w:rFonts w:ascii="Times New Roman" w:cs="Times New Roman" w:eastAsia="Times New Roman" w:hAnsi="Times New Roman"/>
          <w:sz w:val="21"/>
          <w:szCs w:val="21"/>
          <w:u w:val="single" w:color="auto"/>
          <w:color w:val="0000FF"/>
        </w:rPr>
        <w:t>DGCL</w:t>
      </w:r>
      <w:r>
        <w:rPr>
          <w:rFonts w:ascii="Times New Roman" w:cs="Times New Roman" w:eastAsia="Times New Roman" w:hAnsi="Times New Roman"/>
          <w:sz w:val="21"/>
          <w:szCs w:val="21"/>
          <w:color w:val="auto"/>
        </w:rPr>
        <w:t xml:space="preserv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w:t>
      </w:r>
      <w:r>
        <w:rPr>
          <w:rFonts w:ascii="Times New Roman" w:cs="Times New Roman" w:eastAsia="Times New Roman" w:hAnsi="Times New Roman"/>
          <w:sz w:val="21"/>
          <w:szCs w:val="21"/>
          <w:color w:val="FF0000"/>
          <w:strike w:val="1"/>
        </w:rPr>
        <w:t>him or her</w:t>
      </w:r>
      <w:r>
        <w:rPr>
          <w:rFonts w:ascii="Times New Roman" w:cs="Times New Roman" w:eastAsia="Times New Roman" w:hAnsi="Times New Roman"/>
          <w:sz w:val="21"/>
          <w:szCs w:val="21"/>
          <w:u w:val="single" w:color="auto"/>
          <w:color w:val="0000FF"/>
        </w:rPr>
        <w:t>such person</w:t>
      </w:r>
      <w:r>
        <w:rPr>
          <w:rFonts w:ascii="Times New Roman" w:cs="Times New Roman" w:eastAsia="Times New Roman" w:hAnsi="Times New Roman"/>
          <w:sz w:val="21"/>
          <w:szCs w:val="21"/>
          <w:color w:val="auto"/>
        </w:rPr>
        <w:t xml:space="preserve"> in connection with such action, suit or proceeding. Notwithstanding the foregoing, except as provided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with respect to proceedings to enforce rights to indemnification and advancement of expenses, the Corporation shall indemnify an indemnitee in connection with a proceeding (or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40" w:right="359" w:bottom="1440" w:gutter="0" w:footer="0" w:header="0"/>
        </w:sectPr>
      </w:pPr>
    </w:p>
    <w:bookmarkStart w:id="21" w:name="page22"/>
    <w:bookmarkEnd w:id="21"/>
    <w:p>
      <w:pPr>
        <w:spacing w:after="0" w:line="34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initiated by the indemnitee, if and only if the board of directors authorized the bringing of the action, suit or proceeding (or part thereof) in advance of the commencement of the proceeding.</w:t>
      </w:r>
    </w:p>
    <w:p>
      <w:pPr>
        <w:spacing w:after="0" w:line="15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Successful Defense</w:t>
      </w:r>
      <w:r>
        <w:rPr>
          <w:rFonts w:ascii="Times New Roman" w:cs="Times New Roman" w:eastAsia="Times New Roman" w:hAnsi="Times New Roman"/>
          <w:sz w:val="22"/>
          <w:szCs w:val="22"/>
          <w:color w:val="auto"/>
        </w:rPr>
        <w:t xml:space="preserve">. To the extent that an indemnitee has been successful on the merits or otherwise in defense of any action, suit or proceeding referred to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in defense of any claim, issue or matter therein, </w:t>
      </w:r>
      <w:r>
        <w:rPr>
          <w:rFonts w:ascii="Times New Roman" w:cs="Times New Roman" w:eastAsia="Times New Roman" w:hAnsi="Times New Roman"/>
          <w:sz w:val="22"/>
          <w:szCs w:val="22"/>
          <w:color w:val="FF0000"/>
          <w:strike w:val="1"/>
        </w:rPr>
        <w:t>he or she</w:t>
      </w:r>
      <w:r>
        <w:rPr>
          <w:rFonts w:ascii="Times New Roman" w:cs="Times New Roman" w:eastAsia="Times New Roman" w:hAnsi="Times New Roman"/>
          <w:sz w:val="22"/>
          <w:szCs w:val="22"/>
          <w:u w:val="single" w:color="auto"/>
          <w:color w:val="0000FF"/>
          <w:highlight w:val="white"/>
        </w:rPr>
        <w:t>such indemnitee</w:t>
      </w:r>
      <w:r>
        <w:rPr>
          <w:rFonts w:ascii="Times New Roman" w:cs="Times New Roman" w:eastAsia="Times New Roman" w:hAnsi="Times New Roman"/>
          <w:sz w:val="22"/>
          <w:szCs w:val="22"/>
          <w:color w:val="auto"/>
        </w:rPr>
        <w:t xml:space="preserve"> shall be indemnified against expenses (including, without limitation, attorneys’ fees) actually and reasonably incurred by </w:t>
      </w:r>
      <w:r>
        <w:rPr>
          <w:rFonts w:ascii="Times New Roman" w:cs="Times New Roman" w:eastAsia="Times New Roman" w:hAnsi="Times New Roman"/>
          <w:sz w:val="22"/>
          <w:szCs w:val="22"/>
          <w:color w:val="FF0000"/>
          <w:strike w:val="1"/>
        </w:rPr>
        <w:t>him or her</w:t>
      </w:r>
      <w:r>
        <w:rPr>
          <w:rFonts w:ascii="Times New Roman" w:cs="Times New Roman" w:eastAsia="Times New Roman" w:hAnsi="Times New Roman"/>
          <w:sz w:val="22"/>
          <w:szCs w:val="22"/>
          <w:u w:val="single" w:color="auto"/>
          <w:color w:val="0000FF"/>
          <w:highlight w:val="white"/>
        </w:rPr>
        <w:t>the indemnitee</w:t>
      </w:r>
      <w:r>
        <w:rPr>
          <w:rFonts w:ascii="Times New Roman" w:cs="Times New Roman" w:eastAsia="Times New Roman" w:hAnsi="Times New Roman"/>
          <w:sz w:val="22"/>
          <w:szCs w:val="22"/>
          <w:color w:val="auto"/>
        </w:rPr>
        <w:t xml:space="preserve"> in connection therewith.</w:t>
      </w:r>
    </w:p>
    <w:p>
      <w:pPr>
        <w:spacing w:after="0" w:line="168"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Advance Payment of Expenses</w:t>
      </w:r>
      <w:r>
        <w:rPr>
          <w:rFonts w:ascii="Times New Roman" w:cs="Times New Roman" w:eastAsia="Times New Roman" w:hAnsi="Times New Roman"/>
          <w:sz w:val="22"/>
          <w:szCs w:val="22"/>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6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Not Exclusive</w:t>
      </w:r>
      <w:r>
        <w:rPr>
          <w:rFonts w:ascii="Times New Roman" w:cs="Times New Roman" w:eastAsia="Times New Roman" w:hAnsi="Times New Roman"/>
          <w:sz w:val="22"/>
          <w:szCs w:val="22"/>
          <w:color w:val="auto"/>
        </w:rPr>
        <w:t xml:space="preserve">. The indemnification and advancement of expenses provided by, or granted pursuant to, the other sections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highlight w:val="white"/>
        </w:rPr>
        <w:t>such person’s</w:t>
      </w:r>
      <w:r>
        <w:rPr>
          <w:rFonts w:ascii="Times New Roman" w:cs="Times New Roman" w:eastAsia="Times New Roman" w:hAnsi="Times New Roman"/>
          <w:sz w:val="22"/>
          <w:szCs w:val="22"/>
          <w:color w:val="auto"/>
        </w:rPr>
        <w:t xml:space="preserve">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8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xml:space="preserve">.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w:t>
      </w:r>
      <w:r>
        <w:rPr>
          <w:rFonts w:ascii="Times New Roman" w:cs="Times New Roman" w:eastAsia="Times New Roman" w:hAnsi="Times New Roman"/>
          <w:sz w:val="22"/>
          <w:szCs w:val="22"/>
          <w:color w:val="FF0000"/>
          <w:strike w:val="1"/>
        </w:rPr>
        <w:t>him or her</w:t>
      </w:r>
      <w:r>
        <w:rPr>
          <w:rFonts w:ascii="Times New Roman" w:cs="Times New Roman" w:eastAsia="Times New Roman" w:hAnsi="Times New Roman"/>
          <w:sz w:val="22"/>
          <w:szCs w:val="22"/>
          <w:u w:val="single" w:color="auto"/>
          <w:color w:val="0000FF"/>
          <w:highlight w:val="white"/>
        </w:rPr>
        <w:t>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person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incurred by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him or her</w:t>
      </w:r>
      <w:r>
        <w:rPr>
          <w:rFonts w:ascii="Times New Roman" w:cs="Times New Roman" w:eastAsia="Times New Roman" w:hAnsi="Times New Roman"/>
          <w:sz w:val="22"/>
          <w:szCs w:val="22"/>
          <w:u w:val="single" w:color="auto"/>
          <w:color w:val="0000FF"/>
        </w:rPr>
        <w:t>such person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 any such capacity, or arising out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his or her</w:t>
      </w:r>
      <w:r>
        <w:rPr>
          <w:rFonts w:ascii="Times New Roman" w:cs="Times New Roman" w:eastAsia="Times New Roman" w:hAnsi="Times New Roman"/>
          <w:sz w:val="22"/>
          <w:szCs w:val="22"/>
          <w:u w:val="single" w:color="auto"/>
          <w:color w:val="0000FF"/>
        </w:rPr>
        <w:t>such person’s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status as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whether or not the Corporation would have the power to indemnify </w:t>
      </w:r>
      <w:r>
        <w:rPr>
          <w:rFonts w:ascii="Times New Roman" w:cs="Times New Roman" w:eastAsia="Times New Roman" w:hAnsi="Times New Roman"/>
          <w:sz w:val="22"/>
          <w:szCs w:val="22"/>
          <w:color w:val="FF0000"/>
          <w:strike w:val="1"/>
        </w:rPr>
        <w:t>him or her</w:t>
      </w:r>
      <w:r>
        <w:rPr>
          <w:rFonts w:ascii="Times New Roman" w:cs="Times New Roman" w:eastAsia="Times New Roman" w:hAnsi="Times New Roman"/>
          <w:sz w:val="22"/>
          <w:szCs w:val="22"/>
          <w:u w:val="single" w:color="auto"/>
          <w:color w:val="0000FF"/>
        </w:rPr>
        <w:t>such person</w:t>
      </w:r>
      <w:r>
        <w:rPr>
          <w:rFonts w:ascii="Times New Roman" w:cs="Times New Roman" w:eastAsia="Times New Roman" w:hAnsi="Times New Roman"/>
          <w:sz w:val="22"/>
          <w:szCs w:val="22"/>
          <w:color w:val="000000"/>
        </w:rPr>
        <w:t xml:space="preserve"> against such liability under the provisions of this </w:t>
      </w:r>
      <w:r>
        <w:rPr>
          <w:rFonts w:ascii="Times New Roman" w:cs="Times New Roman" w:eastAsia="Times New Roman" w:hAnsi="Times New Roman"/>
          <w:sz w:val="22"/>
          <w:szCs w:val="22"/>
          <w:u w:val="single" w:color="auto"/>
          <w:color w:val="000000"/>
        </w:rPr>
        <w:t>Article VII</w:t>
      </w:r>
      <w:r>
        <w:rPr>
          <w:rFonts w:ascii="Times New Roman" w:cs="Times New Roman" w:eastAsia="Times New Roman" w:hAnsi="Times New Roman"/>
          <w:sz w:val="22"/>
          <w:szCs w:val="22"/>
          <w:color w:val="000000"/>
        </w:rPr>
        <w:t>.</w:t>
      </w:r>
    </w:p>
    <w:p>
      <w:pPr>
        <w:spacing w:after="0" w:line="175" w:lineRule="exact"/>
        <w:rPr>
          <w:sz w:val="20"/>
          <w:szCs w:val="20"/>
          <w:color w:val="auto"/>
        </w:rPr>
      </w:pPr>
    </w:p>
    <w:p>
      <w:pPr>
        <w:jc w:val="both"/>
        <w:ind w:right="260"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color w:val="auto"/>
        </w:rPr>
        <w:t>Certain 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3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 xml:space="preserve">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with respect to the resulting or surviving corporation as </w:t>
      </w:r>
      <w:r>
        <w:rPr>
          <w:rFonts w:ascii="Times New Roman" w:cs="Times New Roman" w:eastAsia="Times New Roman" w:hAnsi="Times New Roman"/>
          <w:sz w:val="21"/>
          <w:szCs w:val="21"/>
          <w:color w:val="FF0000"/>
          <w:strike w:val="1"/>
        </w:rPr>
        <w:t>he or she</w:t>
      </w:r>
      <w:r>
        <w:rPr>
          <w:rFonts w:ascii="Times New Roman" w:cs="Times New Roman" w:eastAsia="Times New Roman" w:hAnsi="Times New Roman"/>
          <w:sz w:val="21"/>
          <w:szCs w:val="21"/>
          <w:u w:val="single" w:color="auto"/>
          <w:color w:val="0000FF"/>
          <w:highlight w:val="white"/>
        </w:rPr>
        <w:t>such person</w:t>
      </w:r>
      <w:r>
        <w:rPr>
          <w:rFonts w:ascii="Times New Roman" w:cs="Times New Roman" w:eastAsia="Times New Roman" w:hAnsi="Times New Roman"/>
          <w:sz w:val="21"/>
          <w:szCs w:val="21"/>
          <w:color w:val="auto"/>
        </w:rPr>
        <w:t xml:space="preserve"> would if </w:t>
      </w:r>
      <w:r>
        <w:rPr>
          <w:rFonts w:ascii="Times New Roman" w:cs="Times New Roman" w:eastAsia="Times New Roman" w:hAnsi="Times New Roman"/>
          <w:sz w:val="21"/>
          <w:szCs w:val="21"/>
          <w:color w:val="FF0000"/>
          <w:strike w:val="1"/>
        </w:rPr>
        <w:t>he or she</w:t>
      </w:r>
      <w:r>
        <w:rPr>
          <w:rFonts w:ascii="Times New Roman" w:cs="Times New Roman" w:eastAsia="Times New Roman" w:hAnsi="Times New Roman"/>
          <w:sz w:val="21"/>
          <w:szCs w:val="21"/>
          <w:u w:val="single" w:color="auto"/>
          <w:color w:val="0000FF"/>
        </w:rPr>
        <w:t>such person</w:t>
      </w:r>
      <w:r>
        <w:rPr>
          <w:rFonts w:ascii="Times New Roman" w:cs="Times New Roman" w:eastAsia="Times New Roman" w:hAnsi="Times New Roman"/>
          <w:sz w:val="21"/>
          <w:szCs w:val="21"/>
          <w:color w:val="auto"/>
        </w:rPr>
        <w:t xml:space="preserve"> had served the resulting or surviving corporation in the same capacity. For purposes of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w:t>
      </w:r>
      <w:r>
        <w:rPr>
          <w:rFonts w:ascii="Times New Roman" w:cs="Times New Roman" w:eastAsia="Times New Roman" w:hAnsi="Times New Roman"/>
          <w:sz w:val="21"/>
          <w:szCs w:val="21"/>
          <w:color w:val="FF0000"/>
          <w:strike w:val="1"/>
        </w:rPr>
        <w:t>he or she</w:t>
      </w:r>
      <w:r>
        <w:rPr>
          <w:rFonts w:ascii="Times New Roman" w:cs="Times New Roman" w:eastAsia="Times New Roman" w:hAnsi="Times New Roman"/>
          <w:sz w:val="21"/>
          <w:szCs w:val="21"/>
          <w:u w:val="single" w:color="auto"/>
          <w:color w:val="0000FF"/>
          <w:highlight w:val="white"/>
        </w:rPr>
        <w:t>such person</w:t>
      </w:r>
      <w:r>
        <w:rPr>
          <w:rFonts w:ascii="Times New Roman" w:cs="Times New Roman" w:eastAsia="Times New Roman" w:hAnsi="Times New Roman"/>
          <w:sz w:val="21"/>
          <w:szCs w:val="21"/>
          <w:color w:val="auto"/>
        </w:rPr>
        <w:t xml:space="preserve">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right="2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color w:val="auto"/>
        </w:rPr>
        <w:t>Proceedings to Enforce Rights to Indemnification</w:t>
      </w:r>
      <w:r>
        <w:rPr>
          <w:rFonts w:ascii="Times New Roman" w:cs="Times New Roman" w:eastAsia="Times New Roman" w:hAnsi="Times New Roman"/>
          <w:sz w:val="22"/>
          <w:szCs w:val="22"/>
          <w:color w:val="auto"/>
        </w:rPr>
        <w:t xml:space="preserve">. (a) If a claim under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is not paid in full by the Corporation within 60 days after a written claim has been received by the Corporation, or a claim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is not paid in full by the Corporation within 30 days after a written claim has been received by the Corporation, the indemnitee may at any time thereafter bring suit against the Corporation to recover the unpaid amount of the claim. Any such written claim under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include such documentation and information as is reasonably available to the indemnitee and reasonably necessary to determine whether and to what extent the indemnitee is entitled to indemnification. Any written claim under </w:t>
      </w:r>
      <w:r>
        <w:rPr>
          <w:rFonts w:ascii="Times New Roman" w:cs="Times New Roman" w:eastAsia="Times New Roman" w:hAnsi="Times New Roman"/>
          <w:sz w:val="22"/>
          <w:szCs w:val="22"/>
          <w:u w:val="single" w:color="auto"/>
          <w:color w:val="auto"/>
        </w:rPr>
        <w:t>Sections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include reasonable documentation of the expenses incurred by the indemnitee.</w:t>
      </w:r>
    </w:p>
    <w:p>
      <w:pPr>
        <w:spacing w:after="0" w:line="186" w:lineRule="exact"/>
        <w:rPr>
          <w:sz w:val="20"/>
          <w:szCs w:val="20"/>
          <w:color w:val="auto"/>
        </w:rPr>
      </w:pPr>
    </w:p>
    <w:p>
      <w:pPr>
        <w:ind w:right="100" w:firstLine="1304"/>
        <w:spacing w:after="0" w:line="256"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successful in whole or in part in any suit brought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in a suit brought by the Corporation to recover an advancement of expenses pursuant to the terms of an undertaking to the extent an undertaking would be required of a present director or officer of the Corporation pursuant to Article VI of the </w:t>
      </w:r>
      <w:r>
        <w:rPr>
          <w:rFonts w:ascii="Times New Roman" w:cs="Times New Roman" w:eastAsia="Times New Roman" w:hAnsi="Times New Roman"/>
          <w:sz w:val="22"/>
          <w:szCs w:val="22"/>
          <w:color w:val="FF0000"/>
          <w:strike w:val="1"/>
        </w:rPr>
        <w:t>Amended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Restated Certificate of 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Corporation (an “undertaking”),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indemnitee shall also be entitled to be paid and indemnified for the expense of prosecuting or defending such suit.</w:t>
      </w:r>
    </w:p>
    <w:p>
      <w:pPr>
        <w:spacing w:after="0" w:line="220" w:lineRule="exact"/>
        <w:rPr>
          <w:sz w:val="20"/>
          <w:szCs w:val="20"/>
          <w:color w:val="auto"/>
        </w:rPr>
      </w:pPr>
    </w:p>
    <w:p>
      <w:pPr>
        <w:ind w:firstLine="1304"/>
        <w:spacing w:after="0" w:line="248"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w:t>
      </w:r>
      <w:r>
        <w:rPr>
          <w:rFonts w:ascii="Times New Roman" w:cs="Times New Roman" w:eastAsia="Times New Roman" w:hAnsi="Times New Roman"/>
          <w:sz w:val="22"/>
          <w:szCs w:val="22"/>
          <w:color w:val="FF0000"/>
          <w:strike w:val="1"/>
        </w:rPr>
        <w:t>Delaware General Corporation Law</w:t>
      </w:r>
      <w:r>
        <w:rPr>
          <w:rFonts w:ascii="Times New Roman" w:cs="Times New Roman" w:eastAsia="Times New Roman" w:hAnsi="Times New Roman"/>
          <w:sz w:val="22"/>
          <w:szCs w:val="22"/>
          <w:u w:val="single" w:color="auto"/>
          <w:color w:val="0000FF"/>
        </w:rPr>
        <w:t>DGCL</w:t>
      </w:r>
      <w:r>
        <w:rPr>
          <w:rFonts w:ascii="Times New Roman" w:cs="Times New Roman" w:eastAsia="Times New Roman" w:hAnsi="Times New Roman"/>
          <w:sz w:val="22"/>
          <w:szCs w:val="22"/>
          <w:color w:val="auto"/>
        </w:rPr>
        <w:t xml:space="preserv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w:t>
      </w:r>
      <w:r>
        <w:rPr>
          <w:rFonts w:ascii="Times New Roman" w:cs="Times New Roman" w:eastAsia="Times New Roman" w:hAnsi="Times New Roman"/>
          <w:sz w:val="22"/>
          <w:szCs w:val="22"/>
          <w:color w:val="FF0000"/>
          <w:strike w:val="1"/>
        </w:rPr>
        <w:t>Delaware General Corporation Law</w:t>
      </w:r>
      <w:r>
        <w:rPr>
          <w:rFonts w:ascii="Times New Roman" w:cs="Times New Roman" w:eastAsia="Times New Roman" w:hAnsi="Times New Roman"/>
          <w:sz w:val="22"/>
          <w:szCs w:val="22"/>
          <w:u w:val="single" w:color="auto"/>
          <w:color w:val="0000FF"/>
        </w:rPr>
        <w:t>DGCL</w:t>
      </w:r>
      <w:r>
        <w:rPr>
          <w:rFonts w:ascii="Times New Roman" w:cs="Times New Roman" w:eastAsia="Times New Roman" w:hAnsi="Times New Roman"/>
          <w:sz w:val="22"/>
          <w:szCs w:val="22"/>
          <w:color w:val="auto"/>
        </w:rPr>
        <w:t xml:space="preserv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otherwise shall be on the Corporation.</w:t>
      </w:r>
    </w:p>
    <w:p>
      <w:pPr>
        <w:spacing w:after="0" w:line="179"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color w:val="auto"/>
        </w:rPr>
        <w:t>Preservation of Rights</w:t>
      </w:r>
      <w:r>
        <w:rPr>
          <w:rFonts w:ascii="Times New Roman" w:cs="Times New Roman" w:eastAsia="Times New Roman" w:hAnsi="Times New Roman"/>
          <w:sz w:val="22"/>
          <w:szCs w:val="22"/>
          <w:color w:val="auto"/>
        </w:rPr>
        <w:t xml:space="preserve">. The indemnification and advancement of expenses provided by, or granted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FORUM FOR ADJUDICATION OF DISPUTES</w:t>
      </w:r>
    </w:p>
    <w:p>
      <w:pPr>
        <w:spacing w:after="0" w:line="224" w:lineRule="exact"/>
        <w:rPr>
          <w:sz w:val="20"/>
          <w:szCs w:val="20"/>
          <w:color w:val="auto"/>
        </w:rPr>
      </w:pPr>
    </w:p>
    <w:p>
      <w:pPr>
        <w:ind w:right="120" w:firstLine="1296"/>
        <w:spacing w:after="0" w:line="275" w:lineRule="auto"/>
        <w:rPr>
          <w:sz w:val="20"/>
          <w:szCs w:val="20"/>
          <w:color w:val="auto"/>
        </w:rPr>
      </w:pPr>
      <w:r>
        <w:rPr>
          <w:rFonts w:ascii="Times New Roman" w:cs="Times New Roman" w:eastAsia="Times New Roman" w:hAnsi="Times New Roman"/>
          <w:sz w:val="21"/>
          <w:szCs w:val="21"/>
          <w:color w:val="auto"/>
        </w:rPr>
        <w:t>The Court of Chancery of the State of Delaware (or, if and only if the Court of Chancery of the State of Delaware lacks subject matter jurisdiction, any state or federal court located within the State of Delaware) shall be the sole and exclusive forum for (i) any derivative action or proceeding brought on behalf of the Corporation, (ii) any action or proceeding asserting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34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2"/>
          <w:szCs w:val="22"/>
          <w:color w:val="auto"/>
        </w:rPr>
        <w:t xml:space="preserve">a claim of breach of a fiduciary duty owed by any director, officer or stockholder of the Corporation to the Corporation or the Corporation’s stockholders, (iii) any action or proceeding asserting a claim against the Corporation or any director or officer of the Corporation arising pursuant to, or seeking to enforce any right, obligation, or remedy under, any provision of the </w:t>
      </w:r>
      <w:r>
        <w:rPr>
          <w:rFonts w:ascii="Times New Roman" w:cs="Times New Roman" w:eastAsia="Times New Roman" w:hAnsi="Times New Roman"/>
          <w:sz w:val="22"/>
          <w:szCs w:val="22"/>
          <w:color w:val="FF0000"/>
          <w:strike w:val="1"/>
        </w:rPr>
        <w:t>Delaware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General Corporation Law, the Corporation’s Amended and Restated Certificate of Incorporation</w:t>
      </w:r>
      <w:r>
        <w:rPr>
          <w:rFonts w:ascii="Times New Roman" w:cs="Times New Roman" w:eastAsia="Times New Roman" w:hAnsi="Times New Roman"/>
          <w:sz w:val="22"/>
          <w:szCs w:val="22"/>
          <w:u w:val="single" w:color="auto"/>
          <w:color w:val="0000FF"/>
          <w:highlight w:val="white"/>
        </w:rPr>
        <w:t>DGCL, the Charter</w:t>
      </w:r>
      <w:r>
        <w:rPr>
          <w:rFonts w:ascii="Times New Roman" w:cs="Times New Roman" w:eastAsia="Times New Roman" w:hAnsi="Times New Roman"/>
          <w:sz w:val="22"/>
          <w:szCs w:val="22"/>
          <w:color w:val="000000"/>
        </w:rPr>
        <w:t>, or these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bylaws (as each may be amended from time to time), (iv) any action or proceeding to interpret, apply, enforce, or determine the validity of any provision or provisions of the </w:t>
      </w:r>
      <w:r>
        <w:rPr>
          <w:rFonts w:ascii="Times New Roman" w:cs="Times New Roman" w:eastAsia="Times New Roman" w:hAnsi="Times New Roman"/>
          <w:sz w:val="22"/>
          <w:szCs w:val="22"/>
          <w:color w:val="FF0000"/>
          <w:strike w:val="1"/>
        </w:rPr>
        <w:t>Corporation’s Amended and Restated Certificate of Incorporation</w:t>
      </w:r>
      <w:r>
        <w:rPr>
          <w:rFonts w:ascii="Times New Roman" w:cs="Times New Roman" w:eastAsia="Times New Roman" w:hAnsi="Times New Roman"/>
          <w:sz w:val="22"/>
          <w:szCs w:val="22"/>
          <w:u w:val="single" w:color="auto"/>
          <w:color w:val="0000FF"/>
        </w:rPr>
        <w:t>Charter</w:t>
      </w:r>
      <w:r>
        <w:rPr>
          <w:rFonts w:ascii="Times New Roman" w:cs="Times New Roman" w:eastAsia="Times New Roman" w:hAnsi="Times New Roman"/>
          <w:sz w:val="22"/>
          <w:szCs w:val="22"/>
          <w:color w:val="000000"/>
        </w:rPr>
        <w:t xml:space="preserve"> or these bylaws (as each may be amended from time to time), or any amendment thereto or modification thereof, (v) any action or proceeding asserting a claim against the Corporation or any director or officer of the Corporation governed by the internal affairs doctrine, or (vi) any action or proceeding to determine the result of any vote or action by written consent of stockholders. The board of directors may consent in writing to the selection of an alternative forum; provided, however, that any such consent shall require the affirmative vote of all the directors then in office.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DIVIDENDS</w:t>
      </w:r>
    </w:p>
    <w:p>
      <w:pPr>
        <w:spacing w:after="0" w:line="233"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 Dividends upon the capital stock of the Corporation, subject to the provisions of the </w:t>
      </w:r>
      <w:r>
        <w:rPr>
          <w:rFonts w:ascii="Times New Roman" w:cs="Times New Roman" w:eastAsia="Times New Roman" w:hAnsi="Times New Roman"/>
          <w:sz w:val="22"/>
          <w:szCs w:val="22"/>
          <w:color w:val="FF0000"/>
          <w:strike w:val="1"/>
        </w:rPr>
        <w:t>Amended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Restated Certificate of Incorporation</w:t>
      </w:r>
      <w:r>
        <w:rPr>
          <w:rFonts w:ascii="Times New Roman" w:cs="Times New Roman" w:eastAsia="Times New Roman" w:hAnsi="Times New Roman"/>
          <w:sz w:val="22"/>
          <w:szCs w:val="22"/>
          <w:u w:val="single" w:color="auto"/>
          <w:color w:val="0000FF"/>
          <w:highlight w:val="white"/>
        </w:rPr>
        <w:t>Charter</w:t>
      </w:r>
      <w:r>
        <w:rPr>
          <w:rFonts w:ascii="Times New Roman" w:cs="Times New Roman" w:eastAsia="Times New Roman" w:hAnsi="Times New Roman"/>
          <w:sz w:val="22"/>
          <w:szCs w:val="22"/>
          <w:color w:val="000000"/>
        </w:rPr>
        <w:t>, if any, may be declared by the board of directors at any regular or special meeting,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pursuant to law. Dividends may be paid in cash, in property or in shares of the capital stock, subject to the provisions of any statute, the </w:t>
      </w:r>
      <w:r>
        <w:rPr>
          <w:rFonts w:ascii="Times New Roman" w:cs="Times New Roman" w:eastAsia="Times New Roman" w:hAnsi="Times New Roman"/>
          <w:sz w:val="22"/>
          <w:szCs w:val="22"/>
          <w:color w:val="FF0000"/>
          <w:strike w:val="1"/>
        </w:rPr>
        <w:t>Amended and Restated Certificate of Incorporation</w:t>
      </w:r>
      <w:r>
        <w:rPr>
          <w:rFonts w:ascii="Times New Roman" w:cs="Times New Roman" w:eastAsia="Times New Roman" w:hAnsi="Times New Roman"/>
          <w:sz w:val="22"/>
          <w:szCs w:val="22"/>
          <w:u w:val="single" w:color="auto"/>
          <w:color w:val="0000FF"/>
        </w:rPr>
        <w:t>Charter</w:t>
      </w:r>
      <w:r>
        <w:rPr>
          <w:rFonts w:ascii="Times New Roman" w:cs="Times New Roman" w:eastAsia="Times New Roman" w:hAnsi="Times New Roman"/>
          <w:sz w:val="22"/>
          <w:szCs w:val="22"/>
          <w:color w:val="000000"/>
        </w:rPr>
        <w:t xml:space="preserve"> and these bylaws.</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CHECKS</w:t>
      </w:r>
    </w:p>
    <w:p>
      <w:pPr>
        <w:spacing w:after="0" w:line="22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22"/>
          <w:szCs w:val="22"/>
          <w:color w:val="auto"/>
        </w:rPr>
        <w:t>Section 3. All checks or demands for money of the Corporation shall be signed by such officer or officers or such other person or persons as the board of directors may from time to time designate.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FISCAL YEAR</w:t>
      </w:r>
    </w:p>
    <w:p>
      <w:pPr>
        <w:spacing w:after="0" w:line="22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Section 4. The fiscal year of the Corporation shall end on December 31 unless otherwise specified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SEAL</w:t>
      </w:r>
    </w:p>
    <w:p>
      <w:pPr>
        <w:spacing w:after="0" w:line="220"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ELECTRONIC SIGNATURES</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u w:val="single" w:color="auto"/>
          <w:color w:val="0000FF"/>
        </w:rPr>
        <w:t>Section 6. Except as otherwise required by the Charter (including any certificate of designation relating to any series of Preferred Stock) or these bylaws, any document required by the DGCL, the Charter (including any certificate of designation relating to any series of Preferred Stock) or these bylaws to be executed by any officer, director, stockholder, employee or agent of the Corporation, and any other documents to be executed on behalf of the Corporation, may be executed using a facsimile or other form of electronic signature to the fullest extent permitted by applicable law. The term “electronic signature” as used herein shall have the meaning ascribed thereto in the DGCL.</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In furtherance of and not in limitation of the powers conferred by statute, the board of directors of the Corporation from time to time may adopt, amend, alter, change or repeal the bylaws of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FF0000"/>
          <w:highlight w:val="white"/>
          <w:strike w:val="1"/>
        </w:rPr>
        <w:t>, 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FF0000"/>
          <w:highlight w:val="white"/>
          <w:strike w:val="1"/>
        </w:rPr>
        <w:t>Article XI</w:t>
      </w:r>
      <w:r>
        <w:rPr>
          <w:rFonts w:ascii="Times New Roman" w:cs="Times New Roman" w:eastAsia="Times New Roman" w:hAnsi="Times New Roman"/>
          <w:sz w:val="21"/>
          <w:szCs w:val="21"/>
          <w:color w:val="auto"/>
        </w:rPr>
        <w:t xml:space="preserve">, that any bylaws adopted, amended, altered, changed or repealed by the board of directors or the stockholders of the Corporation may be amended, altered, changed or repealed by the stockholders of the Corporation. Notwithstanding any other provisions of the </w:t>
      </w:r>
      <w:r>
        <w:rPr>
          <w:rFonts w:ascii="Times New Roman" w:cs="Times New Roman" w:eastAsia="Times New Roman" w:hAnsi="Times New Roman"/>
          <w:sz w:val="21"/>
          <w:szCs w:val="21"/>
          <w:color w:val="FF0000"/>
          <w:strike w:val="1"/>
        </w:rPr>
        <w:t>Amended and Restated Certificate of Incorporation of the Corporation</w:t>
      </w:r>
      <w:r>
        <w:rPr>
          <w:rFonts w:ascii="Times New Roman" w:cs="Times New Roman" w:eastAsia="Times New Roman" w:hAnsi="Times New Roman"/>
          <w:sz w:val="21"/>
          <w:szCs w:val="21"/>
          <w:u w:val="single" w:color="auto"/>
          <w:color w:val="0000FF"/>
        </w:rPr>
        <w:t>Charter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or these bylaws (and notwithstanding the fact that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a lesser percentage may be specified by law, the </w:t>
      </w:r>
      <w:r>
        <w:rPr>
          <w:rFonts w:ascii="Times New Roman" w:cs="Times New Roman" w:eastAsia="Times New Roman" w:hAnsi="Times New Roman"/>
          <w:sz w:val="21"/>
          <w:szCs w:val="21"/>
          <w:color w:val="FF0000"/>
          <w:strike w:val="1"/>
        </w:rPr>
        <w:t>Amended and Restated Certificate of Incorporation</w:t>
      </w:r>
      <w:r>
        <w:rPr>
          <w:rFonts w:ascii="Times New Roman" w:cs="Times New Roman" w:eastAsia="Times New Roman" w:hAnsi="Times New Roman"/>
          <w:sz w:val="21"/>
          <w:szCs w:val="21"/>
          <w:u w:val="single" w:color="auto"/>
          <w:color w:val="0000FF"/>
          <w:highlight w:val="white"/>
        </w:rPr>
        <w:t>Charter</w:t>
      </w:r>
      <w:r>
        <w:rPr>
          <w:rFonts w:ascii="Times New Roman" w:cs="Times New Roman" w:eastAsia="Times New Roman" w:hAnsi="Times New Roman"/>
          <w:sz w:val="21"/>
          <w:szCs w:val="21"/>
          <w:color w:val="000000"/>
        </w:rPr>
        <w:t xml:space="preserve"> or these bylaws), the affirmative vote of not less than a majority of the aggregate voting power of all outstanding shares of capital stock of the Corporation then entitled to vote generally in an election of directors, voting together as a single class, shall be required for the stockholders of the Corporation to amend, alter, change, repeal or adopt any bylaws of the Corporation.</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FF0000"/>
          <w:strike w:val="1"/>
        </w:rPr>
        <w:t>ARTICLE XI</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FF0000"/>
          <w:strike w:val="1"/>
        </w:rPr>
        <w:t>DESIGNATED PERIOD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Section 1. Definitions</w:t>
      </w:r>
      <w:r>
        <w:rPr>
          <w:rFonts w:ascii="Times New Roman" w:cs="Times New Roman" w:eastAsia="Times New Roman" w:hAnsi="Times New Roman"/>
          <w:sz w:val="22"/>
          <w:szCs w:val="22"/>
          <w:i w:val="1"/>
          <w:iCs w:val="1"/>
          <w:color w:val="FF0000"/>
          <w:strike w:val="1"/>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Closing Date</w:t>
      </w:r>
      <w:r>
        <w:rPr>
          <w:rFonts w:ascii="Times New Roman" w:cs="Times New Roman" w:eastAsia="Times New Roman" w:hAnsi="Times New Roman"/>
          <w:sz w:val="22"/>
          <w:szCs w:val="22"/>
          <w:color w:val="FF0000"/>
          <w:highlight w:val="white"/>
          <w:strike w:val="1"/>
        </w:rPr>
        <w:t>” shall have the meaning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719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-65405</wp:posOffset>
            </wp:positionV>
            <wp:extent cx="7194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80"/>
          </w:cols>
          <w:pgMar w:left="320" w:top="1440" w:right="399" w:bottom="1440" w:gutter="0" w:footer="0" w:header="0"/>
        </w:sectPr>
      </w:pPr>
    </w:p>
    <w:bookmarkStart w:id="26" w:name="page27"/>
    <w:bookmarkEnd w:id="26"/>
    <w:p>
      <w:pPr>
        <w:spacing w:after="0" w:line="347"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Closing Date CEO</w:t>
      </w:r>
      <w:r>
        <w:rPr>
          <w:rFonts w:ascii="Times New Roman" w:cs="Times New Roman" w:eastAsia="Times New Roman" w:hAnsi="Times New Roman"/>
          <w:sz w:val="22"/>
          <w:szCs w:val="22"/>
          <w:color w:val="FF0000"/>
          <w:highlight w:val="white"/>
          <w:strike w:val="1"/>
        </w:rPr>
        <w:t>” means the individual designated to serve as the Chief Executive Officer of the Corporation at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Effective Time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-215900</wp:posOffset>
            </wp:positionV>
            <wp:extent cx="1028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-267335</wp:posOffset>
            </wp:positionV>
            <wp:extent cx="1028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38"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Closing Date CFO</w:t>
      </w:r>
      <w:r>
        <w:rPr>
          <w:rFonts w:ascii="Times New Roman" w:cs="Times New Roman" w:eastAsia="Times New Roman" w:hAnsi="Times New Roman"/>
          <w:sz w:val="22"/>
          <w:szCs w:val="22"/>
          <w:color w:val="FF0000"/>
          <w:highlight w:val="white"/>
          <w:strike w:val="1"/>
        </w:rPr>
        <w:t>” means the individual designated to serve as the Chief Financial Officer of the Corporation at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Effective Time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-215900</wp:posOffset>
            </wp:positionV>
            <wp:extent cx="1019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91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-267335</wp:posOffset>
            </wp:positionV>
            <wp:extent cx="1019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1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Closing Date Chairman and CEO of CBS</w:t>
      </w:r>
      <w:r>
        <w:rPr>
          <w:rFonts w:ascii="Times New Roman" w:cs="Times New Roman" w:eastAsia="Times New Roman" w:hAnsi="Times New Roman"/>
          <w:sz w:val="22"/>
          <w:szCs w:val="22"/>
          <w:color w:val="FF0000"/>
        </w:rPr>
        <w:t xml:space="preserve">” means the individual designated to serve as the Chairman and CEO of CBS at </w:t>
      </w:r>
      <w:r>
        <w:rPr>
          <w:rFonts w:ascii="Times New Roman" w:cs="Times New Roman" w:eastAsia="Times New Roman" w:hAnsi="Times New Roman"/>
          <w:sz w:val="22"/>
          <w:szCs w:val="22"/>
          <w:color w:val="FF0000"/>
          <w:strike w:val="1"/>
        </w:rPr>
        <w:t>the Effective Time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-215900</wp:posOffset>
            </wp:positionV>
            <wp:extent cx="2278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7838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-267335</wp:posOffset>
            </wp:positionV>
            <wp:extent cx="6643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38"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Closing Date General Counsel</w:t>
      </w:r>
      <w:r>
        <w:rPr>
          <w:rFonts w:ascii="Times New Roman" w:cs="Times New Roman" w:eastAsia="Times New Roman" w:hAnsi="Times New Roman"/>
          <w:sz w:val="22"/>
          <w:szCs w:val="22"/>
          <w:color w:val="FF0000"/>
          <w:highlight w:val="white"/>
          <w:strike w:val="1"/>
        </w:rPr>
        <w:t>” means the individual designated to serve as the General Counsel of the Corporation at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the Effective Time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-215900</wp:posOffset>
            </wp:positionV>
            <wp:extent cx="1670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7068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-267335</wp:posOffset>
            </wp:positionV>
            <wp:extent cx="1670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138" w:lineRule="exact"/>
        <w:rPr>
          <w:sz w:val="20"/>
          <w:szCs w:val="20"/>
          <w:color w:val="auto"/>
        </w:rPr>
      </w:pPr>
    </w:p>
    <w:p>
      <w:pPr>
        <w:ind w:right="880" w:firstLine="648"/>
        <w:spacing w:after="0" w:line="284"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Closing Date General Counsel of CBS</w:t>
      </w:r>
      <w:r>
        <w:rPr>
          <w:rFonts w:ascii="Times New Roman" w:cs="Times New Roman" w:eastAsia="Times New Roman" w:hAnsi="Times New Roman"/>
          <w:sz w:val="22"/>
          <w:szCs w:val="22"/>
          <w:color w:val="FF0000"/>
        </w:rPr>
        <w:t xml:space="preserve">” means the individual designated to serve as the General Counsel of the </w:t>
      </w:r>
      <w:r>
        <w:rPr>
          <w:rFonts w:ascii="Times New Roman" w:cs="Times New Roman" w:eastAsia="Times New Roman" w:hAnsi="Times New Roman"/>
          <w:sz w:val="22"/>
          <w:szCs w:val="22"/>
          <w:color w:val="FF0000"/>
          <w:strike w:val="1"/>
        </w:rPr>
        <w:t>Corporation’s CBS business at the Effective Time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-233680</wp:posOffset>
            </wp:positionV>
            <wp:extent cx="21145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1455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-285115</wp:posOffset>
            </wp:positionV>
            <wp:extent cx="6090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0920" cy="8890"/>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highlight w:val="white"/>
          <w:strike w:val="1"/>
        </w:rPr>
        <w:t>Effective Time</w:t>
      </w:r>
      <w:r>
        <w:rPr>
          <w:rFonts w:ascii="Times New Roman" w:cs="Times New Roman" w:eastAsia="Times New Roman" w:hAnsi="Times New Roman"/>
          <w:sz w:val="22"/>
          <w:szCs w:val="22"/>
          <w:color w:val="FF0000"/>
          <w:highlight w:val="white"/>
          <w:strike w:val="1"/>
        </w:rPr>
        <w:t>” shall have the meaning set forth in the Merger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Existing Specified Executives</w:t>
      </w:r>
      <w:r>
        <w:rPr>
          <w:rFonts w:ascii="Times New Roman" w:cs="Times New Roman" w:eastAsia="Times New Roman" w:hAnsi="Times New Roman"/>
          <w:sz w:val="22"/>
          <w:szCs w:val="22"/>
          <w:color w:val="FF0000"/>
          <w:highlight w:val="white"/>
          <w:strike w:val="1"/>
        </w:rPr>
        <w:t>” means each of Robert M. Bakish, Christina Spade, Christa D’Alimonte, Joseph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1645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528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-65405</wp:posOffset>
            </wp:positionV>
            <wp:extent cx="1645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452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Ianniello and Laura Franco.</w:t>
      </w:r>
    </w:p>
    <w:p>
      <w:pPr>
        <w:spacing w:after="0" w:line="196"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highlight w:val="white"/>
        </w:rPr>
        <w:t>Initial CBS Director</w:t>
      </w:r>
      <w:r>
        <w:rPr>
          <w:rFonts w:ascii="Times New Roman" w:cs="Times New Roman" w:eastAsia="Times New Roman" w:hAnsi="Times New Roman"/>
          <w:sz w:val="22"/>
          <w:szCs w:val="22"/>
          <w:color w:val="FF0000"/>
          <w:highlight w:val="white"/>
        </w:rPr>
        <w:t>” means each of the initial members of the board of directors of the Corporation designated pursuant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highlight w:val="white"/>
          <w:strike w:val="1"/>
        </w:rPr>
        <w:t>Section 1.06(a)(i)</w:t>
      </w:r>
      <w:r>
        <w:rPr>
          <w:rFonts w:ascii="Times New Roman" w:cs="Times New Roman" w:eastAsia="Times New Roman" w:hAnsi="Times New Roman"/>
          <w:sz w:val="22"/>
          <w:szCs w:val="22"/>
          <w:color w:val="FF0000"/>
        </w:rPr>
        <w:t xml:space="preserve"> of the Merger Agreement and, in the event any such director ceases to serve as a member of the board of </w:t>
      </w:r>
      <w:r>
        <w:rPr>
          <w:rFonts w:ascii="Times New Roman" w:cs="Times New Roman" w:eastAsia="Times New Roman" w:hAnsi="Times New Roman"/>
          <w:sz w:val="22"/>
          <w:szCs w:val="22"/>
          <w:color w:val="FF0000"/>
          <w:strike w:val="1"/>
        </w:rPr>
        <w:t xml:space="preserve">directors of the Corporation, the replacement, if any, thereof who is recommended and approved in accordance with </w:t>
      </w:r>
      <w:r>
        <w:rPr>
          <w:rFonts w:ascii="Times New Roman" w:cs="Times New Roman" w:eastAsia="Times New Roman" w:hAnsi="Times New Roman"/>
          <w:sz w:val="22"/>
          <w:szCs w:val="22"/>
          <w:u w:val="single" w:color="auto"/>
          <w:color w:val="FF0000"/>
          <w:highlight w:val="white"/>
          <w:strike w:val="1"/>
        </w:rPr>
        <w:t>Section 2(c)</w:t>
      </w:r>
      <w:r>
        <w:rPr>
          <w:rFonts w:ascii="Times New Roman" w:cs="Times New Roman" w:eastAsia="Times New Roman" w:hAnsi="Times New Roman"/>
          <w:sz w:val="22"/>
          <w:szCs w:val="22"/>
          <w:color w:val="FF0000"/>
          <w:strike w:val="1"/>
        </w:rPr>
        <w:t xml:space="preserve"> of this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and, in connection with such appointment, a majority of the Initial CBS Directors then in office vote in favor of</w:t>
      </w:r>
      <w:r>
        <w:rPr>
          <w:rFonts w:ascii="Times New Roman" w:cs="Times New Roman" w:eastAsia="Times New Roman" w:hAnsi="Times New Roman"/>
          <w:sz w:val="22"/>
          <w:szCs w:val="22"/>
          <w:color w:val="FF0000"/>
          <w:strike w:val="1"/>
        </w:rPr>
        <w:t xml:space="preserve"> such person becoming an Initial CBS Director (or if there are no such Initial CBS Directors then in office other than as a result of removal in breach of these Bylaws, then by at least 75% of the Unaffiliated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-912495</wp:posOffset>
            </wp:positionV>
            <wp:extent cx="66198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9875" cy="889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-818515</wp:posOffset>
            </wp:positionV>
            <wp:extent cx="577786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77865" cy="145415"/>
                    </a:xfrm>
                    <a:prstGeom prst="rect">
                      <a:avLst/>
                    </a:prstGeom>
                    <a:noFill/>
                  </pic:spPr>
                </pic:pic>
              </a:graphicData>
            </a:graphic>
          </wp:anchor>
        </w:drawing>
      </w:r>
    </w:p>
    <w:p>
      <w:pPr>
        <w:spacing w:after="0" w:line="161"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highlight w:val="white"/>
        </w:rPr>
        <w:t>Initial Viacom Director</w:t>
      </w:r>
      <w:r>
        <w:rPr>
          <w:rFonts w:ascii="Times New Roman" w:cs="Times New Roman" w:eastAsia="Times New Roman" w:hAnsi="Times New Roman"/>
          <w:sz w:val="21"/>
          <w:szCs w:val="21"/>
          <w:color w:val="FF0000"/>
          <w:highlight w:val="white"/>
          <w:strike w:val="1"/>
        </w:rPr>
        <w:t>” means each of the initial members of the board of directors of the Corporation designated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 xml:space="preserve">pursuant to </w:t>
      </w:r>
      <w:r>
        <w:rPr>
          <w:rFonts w:ascii="Times New Roman" w:cs="Times New Roman" w:eastAsia="Times New Roman" w:hAnsi="Times New Roman"/>
          <w:sz w:val="21"/>
          <w:szCs w:val="21"/>
          <w:u w:val="single" w:color="auto"/>
          <w:color w:val="FF0000"/>
          <w:strike w:val="1"/>
        </w:rPr>
        <w:t>Section 1.06(a)(ii)</w:t>
      </w:r>
      <w:r>
        <w:rPr>
          <w:rFonts w:ascii="Times New Roman" w:cs="Times New Roman" w:eastAsia="Times New Roman" w:hAnsi="Times New Roman"/>
          <w:sz w:val="21"/>
          <w:szCs w:val="21"/>
          <w:color w:val="FF0000"/>
          <w:strike w:val="1"/>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21"/>
          <w:szCs w:val="21"/>
          <w:u w:val="single" w:color="auto"/>
          <w:color w:val="FF0000"/>
          <w:strike w:val="1"/>
        </w:rPr>
        <w:t xml:space="preserve">Section 2(c) </w:t>
      </w:r>
      <w:r>
        <w:rPr>
          <w:rFonts w:ascii="Times New Roman" w:cs="Times New Roman" w:eastAsia="Times New Roman" w:hAnsi="Times New Roman"/>
          <w:sz w:val="21"/>
          <w:szCs w:val="21"/>
          <w:color w:val="FF0000"/>
          <w:strike w:val="1"/>
        </w:rPr>
        <w:t>of this</w:t>
      </w:r>
      <w:r>
        <w:rPr>
          <w:rFonts w:ascii="Times New Roman" w:cs="Times New Roman" w:eastAsia="Times New Roman" w:hAnsi="Times New Roman"/>
          <w:sz w:val="21"/>
          <w:szCs w:val="21"/>
          <w:u w:val="single" w:color="auto"/>
          <w:color w:val="FF0000"/>
          <w:strike w:val="1"/>
        </w:rPr>
        <w:t xml:space="preserve"> </w:t>
      </w:r>
      <w:r>
        <w:rPr>
          <w:rFonts w:ascii="Times New Roman" w:cs="Times New Roman" w:eastAsia="Times New Roman" w:hAnsi="Times New Roman"/>
          <w:sz w:val="21"/>
          <w:szCs w:val="21"/>
          <w:u w:val="single" w:color="auto"/>
          <w:color w:val="FF0000"/>
          <w:highlight w:val="white"/>
          <w:strike w:val="1"/>
        </w:rPr>
        <w:t>Article XI</w:t>
      </w:r>
      <w:r>
        <w:rPr>
          <w:rFonts w:ascii="Times New Roman" w:cs="Times New Roman" w:eastAsia="Times New Roman" w:hAnsi="Times New Roman"/>
          <w:sz w:val="21"/>
          <w:szCs w:val="21"/>
          <w:u w:val="single" w:color="auto"/>
          <w:color w:val="FF0000"/>
          <w:strike w:val="1"/>
        </w:rPr>
        <w:t xml:space="preserve"> </w:t>
      </w:r>
      <w:r>
        <w:rPr>
          <w:rFonts w:ascii="Times New Roman" w:cs="Times New Roman" w:eastAsia="Times New Roman" w:hAnsi="Times New Roman"/>
          <w:sz w:val="21"/>
          <w:szCs w:val="21"/>
          <w:color w:val="FF0000"/>
          <w:strike w:val="1"/>
        </w:rPr>
        <w:t>and, in connection with such appointment, a majority of the Initial Viacom Directors then in office</w:t>
      </w:r>
      <w:r>
        <w:rPr>
          <w:rFonts w:ascii="Times New Roman" w:cs="Times New Roman" w:eastAsia="Times New Roman" w:hAnsi="Times New Roman"/>
          <w:sz w:val="21"/>
          <w:szCs w:val="21"/>
          <w:u w:val="single" w:color="auto"/>
          <w:color w:val="FF0000"/>
          <w:strike w:val="1"/>
        </w:rPr>
        <w:t xml:space="preserve"> </w:t>
      </w:r>
      <w:r>
        <w:rPr>
          <w:rFonts w:ascii="Times New Roman" w:cs="Times New Roman" w:eastAsia="Times New Roman" w:hAnsi="Times New Roman"/>
          <w:sz w:val="21"/>
          <w:szCs w:val="21"/>
          <w:color w:val="FF0000"/>
          <w:strike w:val="1"/>
        </w:rPr>
        <w:t>vote in favor of such person becoming an Initial Viacom Director (or if there are no such Initial Viacom Directors then in office other than as a result of removal in breach of these Bylaws, then by at least 75% of the Unaffiliated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-869315</wp:posOffset>
            </wp:positionV>
            <wp:extent cx="12763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635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-920750</wp:posOffset>
            </wp:positionV>
            <wp:extent cx="1276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6350"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-500380</wp:posOffset>
            </wp:positionV>
            <wp:extent cx="54432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43220" cy="145415"/>
                    </a:xfrm>
                    <a:prstGeom prst="rect">
                      <a:avLst/>
                    </a:prstGeom>
                    <a:noFill/>
                  </pic:spPr>
                </pic:pic>
              </a:graphicData>
            </a:graphic>
          </wp:anchor>
        </w:drawing>
      </w:r>
    </w:p>
    <w:p>
      <w:pPr>
        <w:spacing w:after="0" w:line="162"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Merger Agreement</w:t>
      </w:r>
      <w:r>
        <w:rPr>
          <w:rFonts w:ascii="Times New Roman" w:cs="Times New Roman" w:eastAsia="Times New Roman" w:hAnsi="Times New Roman"/>
          <w:sz w:val="22"/>
          <w:szCs w:val="22"/>
          <w:color w:val="FF0000"/>
        </w:rPr>
        <w:t xml:space="preserve">” means that certain Agreement and Plan of Merger, dated as of August 13, 2019, between CBS </w:t>
      </w:r>
      <w:r>
        <w:rPr>
          <w:rFonts w:ascii="Times New Roman" w:cs="Times New Roman" w:eastAsia="Times New Roman" w:hAnsi="Times New Roman"/>
          <w:sz w:val="22"/>
          <w:szCs w:val="22"/>
          <w:color w:val="FF0000"/>
          <w:strike w:val="1"/>
        </w:rPr>
        <w:t>Corporation and Viacom Inc., as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-215900</wp:posOffset>
            </wp:positionV>
            <wp:extent cx="1044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4575"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-267335</wp:posOffset>
            </wp:positionV>
            <wp:extent cx="6296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6660"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highlight w:val="white"/>
          <w:strike w:val="1"/>
        </w:rPr>
        <w:t>NAI</w:t>
      </w:r>
      <w:r>
        <w:rPr>
          <w:rFonts w:ascii="Times New Roman" w:cs="Times New Roman" w:eastAsia="Times New Roman" w:hAnsi="Times New Roman"/>
          <w:sz w:val="22"/>
          <w:szCs w:val="22"/>
          <w:color w:val="FF0000"/>
          <w:highlight w:val="white"/>
          <w:strike w:val="1"/>
        </w:rPr>
        <w:t>” means National Amusements, Inc. (and any successor-in-interest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27" w:name="page28"/>
    <w:bookmarkEnd w:id="27"/>
    <w:p>
      <w:pPr>
        <w:spacing w:after="0" w:line="3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highlight w:val="white"/>
        </w:rPr>
        <w:t>NAI Affiliated Directors</w:t>
      </w:r>
      <w:r>
        <w:rPr>
          <w:rFonts w:ascii="Times New Roman" w:cs="Times New Roman" w:eastAsia="Times New Roman" w:hAnsi="Times New Roman"/>
          <w:sz w:val="22"/>
          <w:szCs w:val="22"/>
          <w:color w:val="FF0000"/>
          <w:highlight w:val="white"/>
        </w:rPr>
        <w:t>” means each member of the board of directors of the Corporation affiliated with or associated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 xml:space="preserve">(as such terms are defined in Rule 12b-2 promulgated under the Securities Exchange Act of 1934, as amended) with any of the NAI Entities;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for the avoidance of doubt, (x) Robert N. Klieger shall constitute an NAI Affiliated Director for purposes of these Bylaws and (y) any director who filled a vacancy pursuant to the proviso of </w:t>
      </w:r>
      <w:r>
        <w:rPr>
          <w:rFonts w:ascii="Times New Roman" w:cs="Times New Roman" w:eastAsia="Times New Roman" w:hAnsi="Times New Roman"/>
          <w:sz w:val="22"/>
          <w:szCs w:val="22"/>
          <w:u w:val="single" w:color="auto"/>
          <w:color w:val="FF0000"/>
          <w:strike w:val="1"/>
        </w:rPr>
        <w:t>Section 2(c)</w:t>
      </w:r>
      <w:r>
        <w:rPr>
          <w:rFonts w:ascii="Times New Roman" w:cs="Times New Roman" w:eastAsia="Times New Roman" w:hAnsi="Times New Roman"/>
          <w:sz w:val="22"/>
          <w:szCs w:val="22"/>
          <w:color w:val="FF0000"/>
          <w:strike w:val="1"/>
        </w:rPr>
        <w:t xml:space="preserve"> of this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shall</w:t>
      </w:r>
      <w:r>
        <w:rPr>
          <w:rFonts w:ascii="Times New Roman" w:cs="Times New Roman" w:eastAsia="Times New Roman" w:hAnsi="Times New Roman"/>
          <w:sz w:val="22"/>
          <w:szCs w:val="22"/>
          <w:color w:val="FF0000"/>
          <w:strike w:val="1"/>
        </w:rPr>
        <w:t xml:space="preserve"> constitute an NAI Affiliated Director for purposes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-751205</wp:posOffset>
            </wp:positionV>
            <wp:extent cx="6526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26530" cy="889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NAI Entities</w:t>
      </w:r>
      <w:r>
        <w:rPr>
          <w:rFonts w:ascii="Times New Roman" w:cs="Times New Roman" w:eastAsia="Times New Roman" w:hAnsi="Times New Roman"/>
          <w:sz w:val="22"/>
          <w:szCs w:val="22"/>
          <w:color w:val="FF0000"/>
          <w:highlight w:val="white"/>
          <w:strike w:val="1"/>
        </w:rPr>
        <w:t>” means, collectively, NAI and NAIEH.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6934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-65405</wp:posOffset>
            </wp:positionV>
            <wp:extent cx="693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20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NAI Group</w:t>
      </w:r>
      <w:r>
        <w:rPr>
          <w:rFonts w:ascii="Times New Roman" w:cs="Times New Roman" w:eastAsia="Times New Roman" w:hAnsi="Times New Roman"/>
          <w:sz w:val="22"/>
          <w:szCs w:val="22"/>
          <w:color w:val="FF0000"/>
          <w:highlight w:val="white"/>
          <w:strike w:val="1"/>
        </w:rPr>
        <w:t>” means, collectively, (a) Sumner M. Redstone, (b) Shari E. Redstone, (c) the NAI Entities, (d) the Sumner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M. Redstone National Amusements Trust u/d/t dated June 28, 2002, as amended (the “Trust</w:t>
      </w:r>
      <w:r>
        <w:rPr>
          <w:rFonts w:ascii="Times New Roman" w:cs="Times New Roman" w:eastAsia="Times New Roman" w:hAnsi="Times New Roman"/>
          <w:sz w:val="22"/>
          <w:szCs w:val="22"/>
          <w:color w:val="FF0000"/>
          <w:highlight w:val="white"/>
          <w:strike w:val="1"/>
        </w:rPr>
        <w:t>”), (e) Tyler Korff, (f) David R.</w:t>
      </w:r>
      <w:r>
        <w:rPr>
          <w:rFonts w:ascii="Times New Roman" w:cs="Times New Roman" w:eastAsia="Times New Roman" w:hAnsi="Times New Roman"/>
          <w:sz w:val="22"/>
          <w:szCs w:val="22"/>
          <w:color w:val="FF0000"/>
          <w:strike w:val="1"/>
        </w:rPr>
        <w:t xml:space="preserve"> Andelman, (g) Jill Krutick, (h) Thaddeus Jankowski, (i) Phyllis Redstone, (j) Norman Jacobs, (k) Leonard Lewin and (l) any other trustee of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-538480</wp:posOffset>
            </wp:positionV>
            <wp:extent cx="624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484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-589915</wp:posOffset>
            </wp:positionV>
            <wp:extent cx="6248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484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-375920</wp:posOffset>
            </wp:positionV>
            <wp:extent cx="283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highlight w:val="white"/>
          <w:strike w:val="1"/>
        </w:rPr>
        <w:t>NAIEH</w:t>
      </w:r>
      <w:r>
        <w:rPr>
          <w:rFonts w:ascii="Times New Roman" w:cs="Times New Roman" w:eastAsia="Times New Roman" w:hAnsi="Times New Roman"/>
          <w:sz w:val="22"/>
          <w:szCs w:val="22"/>
          <w:color w:val="FF0000"/>
          <w:highlight w:val="white"/>
          <w:strike w:val="1"/>
        </w:rPr>
        <w:t>” means NAI Entertainment Holdings LLC (and any successor-in-interest thereto).</w:t>
      </w:r>
    </w:p>
    <w:p>
      <w:pPr>
        <w:spacing w:after="0" w:line="220"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Requisite Approval</w:t>
      </w:r>
      <w:r>
        <w:rPr>
          <w:rFonts w:ascii="Times New Roman" w:cs="Times New Roman" w:eastAsia="Times New Roman" w:hAnsi="Times New Roman"/>
          <w:sz w:val="22"/>
          <w:szCs w:val="22"/>
          <w:color w:val="FF0000"/>
        </w:rPr>
        <w:t xml:space="preserve">” means approval by the board of directors of the Corporation, which approval includes approval by </w:t>
      </w:r>
      <w:r>
        <w:rPr>
          <w:rFonts w:ascii="Times New Roman" w:cs="Times New Roman" w:eastAsia="Times New Roman" w:hAnsi="Times New Roman"/>
          <w:sz w:val="22"/>
          <w:szCs w:val="22"/>
          <w:color w:val="FF0000"/>
          <w:strike w:val="1"/>
        </w:rPr>
        <w:t>at least (i) a majority of the Unaffiliated Independent Directors then in office, (ii) two of the Initial CBS Directors then in office and (iii) two of the Initial Viacom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-369570</wp:posOffset>
            </wp:positionV>
            <wp:extent cx="1070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061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-421005</wp:posOffset>
            </wp:positionV>
            <wp:extent cx="65551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5105" cy="8255"/>
                    </a:xfrm>
                    <a:prstGeom prst="rect">
                      <a:avLst/>
                    </a:prstGeom>
                    <a:noFill/>
                  </pic:spPr>
                </pic:pic>
              </a:graphicData>
            </a:graphic>
          </wp:anchor>
        </w:drawing>
      </w:r>
    </w:p>
    <w:p>
      <w:pPr>
        <w:spacing w:after="0" w:line="166"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highlight w:val="white"/>
        </w:rPr>
        <w:t>Specified CBS Date</w:t>
      </w:r>
      <w:r>
        <w:rPr>
          <w:rFonts w:ascii="Times New Roman" w:cs="Times New Roman" w:eastAsia="Times New Roman" w:hAnsi="Times New Roman"/>
          <w:sz w:val="22"/>
          <w:szCs w:val="22"/>
          <w:color w:val="FF0000"/>
        </w:rPr>
        <w:t xml:space="preserve">” means the earliest to occur of (a) the Closing Date Chairman and CEO of CBS’s voluntary </w:t>
      </w:r>
      <w:r>
        <w:rPr>
          <w:rFonts w:ascii="Times New Roman" w:cs="Times New Roman" w:eastAsia="Times New Roman" w:hAnsi="Times New Roman"/>
          <w:sz w:val="22"/>
          <w:szCs w:val="22"/>
          <w:color w:val="FF0000"/>
          <w:strike w:val="1"/>
        </w:rPr>
        <w:t>departure from this Corporation and (b) the date that is fifteen months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-215900</wp:posOffset>
            </wp:positionV>
            <wp:extent cx="11049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490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-267335</wp:posOffset>
            </wp:positionV>
            <wp:extent cx="61633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13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highlight w:val="white"/>
        </w:rPr>
        <w:t>Specified Executive</w:t>
      </w:r>
      <w:r>
        <w:rPr>
          <w:rFonts w:ascii="Times New Roman" w:cs="Times New Roman" w:eastAsia="Times New Roman" w:hAnsi="Times New Roman"/>
          <w:sz w:val="21"/>
          <w:szCs w:val="21"/>
          <w:color w:val="FF0000"/>
          <w:highlight w:val="white"/>
          <w:strike w:val="1"/>
        </w:rPr>
        <w:t>” means an employee who (i) serves in the capacity of (or who would, if appointed, serve in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capacity of) chief operating officer of the Corporation or any other position with substantially similar responsibilities or (ii) served as chief executive officer, chief financial officer, chief operating officer or general counsel at CBS Corporation or Viacom Inc. at any time prior to the Effective Time (excluding, for the avoidance of doubt, the Existing Specified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-538480</wp:posOffset>
            </wp:positionV>
            <wp:extent cx="1096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6645"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-589915</wp:posOffset>
            </wp:positionV>
            <wp:extent cx="1096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157"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highlight w:val="white"/>
        </w:rPr>
        <w:t>Unaffiliated Independent Director</w:t>
      </w:r>
      <w:r>
        <w:rPr>
          <w:rFonts w:ascii="Times New Roman" w:cs="Times New Roman" w:eastAsia="Times New Roman" w:hAnsi="Times New Roman"/>
          <w:sz w:val="21"/>
          <w:szCs w:val="21"/>
          <w:color w:val="FF0000"/>
          <w:highlight w:val="white"/>
          <w:strike w:val="1"/>
        </w:rPr>
        <w:t>” means any member of the board of directors of the Corporation (i) who is not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affiliated or associated (as such terms are defined in Rule 12b-2 promulgated under the Securities Exchange Act of 1934, as amended) with any member of the NAI Group and (ii) who is “</w:t>
      </w:r>
      <w:r>
        <w:rPr>
          <w:rFonts w:ascii="Times New Roman" w:cs="Times New Roman" w:eastAsia="Times New Roman" w:hAnsi="Times New Roman"/>
          <w:sz w:val="21"/>
          <w:szCs w:val="21"/>
          <w:color w:val="FF0000"/>
          <w:highlight w:val="white"/>
          <w:strike w:val="1"/>
        </w:rPr>
        <w:t>independent” under applicable stock exchange and U.S. Securities</w:t>
      </w:r>
      <w:r>
        <w:rPr>
          <w:rFonts w:ascii="Times New Roman" w:cs="Times New Roman" w:eastAsia="Times New Roman" w:hAnsi="Times New Roman"/>
          <w:sz w:val="21"/>
          <w:szCs w:val="21"/>
          <w:color w:val="FF0000"/>
          <w:strike w:val="1"/>
        </w:rPr>
        <w:t xml:space="preserve"> and Exchange Commission rules;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FF0000"/>
          <w:strike w:val="1"/>
        </w:rPr>
        <w:t>however</w:t>
      </w:r>
      <w:r>
        <w:rPr>
          <w:rFonts w:ascii="Times New Roman" w:cs="Times New Roman" w:eastAsia="Times New Roman" w:hAnsi="Times New Roman"/>
          <w:sz w:val="21"/>
          <w:szCs w:val="21"/>
          <w:color w:val="FF0000"/>
          <w:strike w:val="1"/>
        </w:rPr>
        <w:t xml:space="preserve">, that (x) for the avoidance of doubt, Robert N. Klieger shall not constitute an Unaffiliated Independent Director for purposes of these Bylaws and (y) any director who filled a vacancy pursuant to the proviso of </w:t>
      </w:r>
      <w:r>
        <w:rPr>
          <w:rFonts w:ascii="Times New Roman" w:cs="Times New Roman" w:eastAsia="Times New Roman" w:hAnsi="Times New Roman"/>
          <w:sz w:val="21"/>
          <w:szCs w:val="21"/>
          <w:u w:val="single" w:color="auto"/>
          <w:color w:val="FF0000"/>
          <w:highlight w:val="white"/>
          <w:strike w:val="1"/>
        </w:rPr>
        <w:t>Section 2(c)</w:t>
      </w:r>
      <w:r>
        <w:rPr>
          <w:rFonts w:ascii="Times New Roman" w:cs="Times New Roman" w:eastAsia="Times New Roman" w:hAnsi="Times New Roman"/>
          <w:sz w:val="21"/>
          <w:szCs w:val="21"/>
          <w:color w:val="FF0000"/>
          <w:strike w:val="1"/>
        </w:rPr>
        <w:t xml:space="preserve"> of this </w:t>
      </w:r>
      <w:r>
        <w:rPr>
          <w:rFonts w:ascii="Times New Roman" w:cs="Times New Roman" w:eastAsia="Times New Roman" w:hAnsi="Times New Roman"/>
          <w:sz w:val="21"/>
          <w:szCs w:val="21"/>
          <w:u w:val="single" w:color="auto"/>
          <w:color w:val="FF0000"/>
          <w:strike w:val="1"/>
        </w:rPr>
        <w:t>Article XI</w:t>
      </w:r>
      <w:r>
        <w:rPr>
          <w:rFonts w:ascii="Times New Roman" w:cs="Times New Roman" w:eastAsia="Times New Roman" w:hAnsi="Times New Roman"/>
          <w:sz w:val="21"/>
          <w:szCs w:val="21"/>
          <w:color w:val="FF0000"/>
          <w:strike w:val="1"/>
        </w:rPr>
        <w:t xml:space="preserve"> shall not constitute an Unaffiliated Independent Director for purposes of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-869315</wp:posOffset>
            </wp:positionV>
            <wp:extent cx="1859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9280"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-920750</wp:posOffset>
            </wp:positionV>
            <wp:extent cx="1859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9280"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-543560</wp:posOffset>
            </wp:positionV>
            <wp:extent cx="666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750"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-594995</wp:posOffset>
            </wp:positionV>
            <wp:extent cx="666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750"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-174625</wp:posOffset>
            </wp:positionV>
            <wp:extent cx="57689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8975" cy="146050"/>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Section 2.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40" w:right="379" w:bottom="1440" w:gutter="0" w:footer="0" w:header="0"/>
        </w:sectPr>
      </w:pPr>
    </w:p>
    <w:bookmarkStart w:id="28" w:name="page29"/>
    <w:bookmarkEnd w:id="28"/>
    <w:p>
      <w:pPr>
        <w:spacing w:after="0" w:line="347" w:lineRule="exact"/>
        <w:rPr>
          <w:sz w:val="20"/>
          <w:szCs w:val="20"/>
          <w:color w:val="auto"/>
        </w:rPr>
      </w:pPr>
    </w:p>
    <w:p>
      <w:pPr>
        <w:ind w:left="932" w:hanging="284"/>
        <w:spacing w:after="0"/>
        <w:tabs>
          <w:tab w:leader="none" w:pos="932" w:val="left"/>
        </w:tabs>
        <w:numPr>
          <w:ilvl w:val="1"/>
          <w:numId w:val="17"/>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As of the Effective Time, the board of directors shall be composed of: (i) the six (6) Initial CBS Directors; (ii) the four</w:t>
      </w:r>
    </w:p>
    <w:p>
      <w:pPr>
        <w:spacing w:after="0" w:line="39" w:lineRule="exact"/>
        <w:rPr>
          <w:rFonts w:ascii="Times New Roman" w:cs="Times New Roman" w:eastAsia="Times New Roman" w:hAnsi="Times New Roman"/>
          <w:sz w:val="21"/>
          <w:szCs w:val="21"/>
          <w:color w:val="FF0000"/>
          <w:strike w:val="1"/>
        </w:rPr>
      </w:pPr>
    </w:p>
    <w:p>
      <w:pPr>
        <w:ind w:left="312" w:hanging="312"/>
        <w:spacing w:after="0"/>
        <w:tabs>
          <w:tab w:leader="none" w:pos="312" w:val="left"/>
        </w:tabs>
        <w:numPr>
          <w:ilvl w:val="0"/>
          <w:numId w:val="1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Initial Viacom Directors; (iii) two (2) NAI Affiliated Directors; and (iv) the Chief Executive Officer.</w:t>
      </w:r>
    </w:p>
    <w:p>
      <w:pPr>
        <w:spacing w:after="0" w:line="195" w:lineRule="exact"/>
        <w:rPr>
          <w:rFonts w:ascii="Times New Roman" w:cs="Times New Roman" w:eastAsia="Times New Roman" w:hAnsi="Times New Roman"/>
          <w:sz w:val="22"/>
          <w:szCs w:val="22"/>
          <w:color w:val="FF0000"/>
          <w:strike w:val="1"/>
        </w:rPr>
      </w:pPr>
    </w:p>
    <w:p>
      <w:pPr>
        <w:ind w:left="-8" w:right="240" w:firstLine="656"/>
        <w:spacing w:after="0" w:line="234" w:lineRule="auto"/>
        <w:tabs>
          <w:tab w:leader="none" w:pos="946" w:val="left"/>
        </w:tabs>
        <w:numPr>
          <w:ilvl w:val="1"/>
          <w:numId w:val="1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From and after the Closing Date until the second (2</w:t>
      </w:r>
      <w:r>
        <w:rPr>
          <w:rFonts w:ascii="Times New Roman" w:cs="Times New Roman" w:eastAsia="Times New Roman" w:hAnsi="Times New Roman"/>
          <w:sz w:val="28"/>
          <w:szCs w:val="28"/>
          <w:color w:val="FF0000"/>
          <w:strike w:val="1"/>
          <w:vertAlign w:val="superscript"/>
        </w:rPr>
        <w:t>nd</w:t>
      </w:r>
      <w:r>
        <w:rPr>
          <w:rFonts w:ascii="Times New Roman" w:cs="Times New Roman" w:eastAsia="Times New Roman" w:hAnsi="Times New Roman"/>
          <w:sz w:val="22"/>
          <w:szCs w:val="22"/>
          <w:color w:val="FF0000"/>
          <w:strike w:val="1"/>
        </w:rPr>
        <w:t>) anniversary of the Closing Date (the “</w:t>
      </w:r>
      <w:r>
        <w:rPr>
          <w:rFonts w:ascii="Times New Roman" w:cs="Times New Roman" w:eastAsia="Times New Roman" w:hAnsi="Times New Roman"/>
          <w:sz w:val="22"/>
          <w:szCs w:val="22"/>
          <w:color w:val="FF0000"/>
          <w:highlight w:val="white"/>
        </w:rPr>
        <w:t>Designated Period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unless the board of directors shall have adopted a resolution to the contrary that was approved with the Requisite Approval, the number of directors constituting the entire board of directors shall be fixed at thirteen (13) members.</w:t>
      </w:r>
    </w:p>
    <w:p>
      <w:pPr>
        <w:spacing w:after="0" w:line="191" w:lineRule="exact"/>
        <w:rPr>
          <w:rFonts w:ascii="Times New Roman" w:cs="Times New Roman" w:eastAsia="Times New Roman" w:hAnsi="Times New Roman"/>
          <w:sz w:val="22"/>
          <w:szCs w:val="22"/>
          <w:color w:val="FF0000"/>
          <w:strike w:val="1"/>
        </w:rPr>
      </w:pPr>
    </w:p>
    <w:p>
      <w:pPr>
        <w:ind w:left="-8" w:right="140" w:firstLine="656"/>
        <w:spacing w:after="0" w:line="265" w:lineRule="auto"/>
        <w:tabs>
          <w:tab w:leader="none" w:pos="934" w:val="left"/>
        </w:tabs>
        <w:numPr>
          <w:ilvl w:val="1"/>
          <w:numId w:val="18"/>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During the Designated Period, unless the board of directors shall have adopted a resolution to the contrary that was approved with the Requisite Approval, any vacancy on the board of directors shall be filled by a nominee approved by the board of directors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that if such vacancy is created by virtue of an NAI Affiliated Director ceasing to serve on the board of directors then such vacancy may be filled by the stockholders of the Corporation in accordance with these bylaws and the Amended and Restated Certificate of Incorporation of the Corporation.</w:t>
      </w:r>
    </w:p>
    <w:p>
      <w:pPr>
        <w:spacing w:after="0" w:line="168" w:lineRule="exact"/>
        <w:rPr>
          <w:rFonts w:ascii="Times New Roman" w:cs="Times New Roman" w:eastAsia="Times New Roman" w:hAnsi="Times New Roman"/>
          <w:sz w:val="21"/>
          <w:szCs w:val="21"/>
          <w:color w:val="FF0000"/>
          <w:strike w:val="1"/>
        </w:rPr>
      </w:pPr>
    </w:p>
    <w:p>
      <w:pPr>
        <w:ind w:left="-8" w:firstLine="656"/>
        <w:spacing w:after="0" w:line="263" w:lineRule="auto"/>
        <w:tabs>
          <w:tab w:leader="none" w:pos="946" w:val="left"/>
        </w:tabs>
        <w:numPr>
          <w:ilvl w:val="1"/>
          <w:numId w:val="18"/>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During the Designated Period, unless the board of directors shall have adopted a resolution to the contrary that was approved with the Requisite Approval, any candidate approved for nomination or nominated by the board of directors for election to the board of directors at any meeting of stockholders at which the stockholders of the Corporation shall elect directors of the Corporation must have been approved with the Requisite Approval upon the recommendation of the Nominating and Governance Committee (acting by a majority vote) following customary public company practices; provided</w:t>
      </w:r>
      <w:r>
        <w:rPr>
          <w:rFonts w:ascii="Times New Roman" w:cs="Times New Roman" w:eastAsia="Times New Roman" w:hAnsi="Times New Roman"/>
          <w:sz w:val="21"/>
          <w:szCs w:val="21"/>
          <w:color w:val="FF0000"/>
          <w:highlight w:val="white"/>
          <w:strike w:val="1"/>
        </w:rPr>
        <w:t>, that if such candidate is an</w:t>
      </w:r>
      <w:r>
        <w:rPr>
          <w:rFonts w:ascii="Times New Roman" w:cs="Times New Roman" w:eastAsia="Times New Roman" w:hAnsi="Times New Roman"/>
          <w:sz w:val="21"/>
          <w:szCs w:val="21"/>
          <w:color w:val="FF0000"/>
          <w:strike w:val="1"/>
        </w:rPr>
        <w:t xml:space="preserve"> Initial CBS Director, Initial Viacom Director or NAI Affiliated Director serving on the board of directors at the time such approval is sought, such approval need only have been by the affirmative vote of at least a majority of the then-serving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-2787015</wp:posOffset>
            </wp:positionV>
            <wp:extent cx="1009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09650" cy="8890"/>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-2838450</wp:posOffset>
            </wp:positionV>
            <wp:extent cx="11499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998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-369570</wp:posOffset>
            </wp:positionV>
            <wp:extent cx="4845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4505" cy="8890"/>
                    </a:xfrm>
                    <a:prstGeom prst="rect">
                      <a:avLst/>
                    </a:prstGeom>
                    <a:noFill/>
                  </pic:spPr>
                </pic:pic>
              </a:graphicData>
            </a:graphic>
          </wp:anchor>
        </w:drawing>
      </w:r>
    </w:p>
    <w:p>
      <w:pPr>
        <w:spacing w:after="0" w:line="14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FF0000"/>
          <w:strike w:val="1"/>
        </w:rPr>
        <w:t>Section 3. Board Committees</w:t>
      </w:r>
      <w:r>
        <w:rPr>
          <w:rFonts w:ascii="Times New Roman" w:cs="Times New Roman" w:eastAsia="Times New Roman" w:hAnsi="Times New Roman"/>
          <w:sz w:val="22"/>
          <w:szCs w:val="22"/>
          <w:i w:val="1"/>
          <w:iCs w:val="1"/>
          <w:color w:val="FF0000"/>
          <w:highlight w:val="white"/>
          <w:strike w:val="1"/>
        </w:rPr>
        <w:t>.</w:t>
      </w:r>
    </w:p>
    <w:p>
      <w:pPr>
        <w:spacing w:after="0" w:line="224" w:lineRule="exact"/>
        <w:rPr>
          <w:sz w:val="20"/>
          <w:szCs w:val="20"/>
          <w:color w:val="auto"/>
        </w:rPr>
      </w:pPr>
    </w:p>
    <w:p>
      <w:pPr>
        <w:ind w:left="-8" w:right="340" w:firstLine="656"/>
        <w:spacing w:after="0" w:line="256" w:lineRule="auto"/>
        <w:tabs>
          <w:tab w:leader="none" w:pos="934" w:val="left"/>
        </w:tabs>
        <w:numPr>
          <w:ilvl w:val="0"/>
          <w:numId w:val="19"/>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During the Designated Period, unless the board of directors shall have adopted a resolution to the contrary that was approved with the Requisite Approval, the board of directors shall designate, establish and maintain the following standing committees (each, a “</w:t>
      </w:r>
      <w:r>
        <w:rPr>
          <w:rFonts w:ascii="Times New Roman" w:cs="Times New Roman" w:eastAsia="Times New Roman" w:hAnsi="Times New Roman"/>
          <w:sz w:val="22"/>
          <w:szCs w:val="22"/>
          <w:u w:val="single" w:color="auto"/>
          <w:color w:val="FF0000"/>
          <w:strike w:val="1"/>
        </w:rPr>
        <w:t>Specified Post-Merger Committee</w:t>
      </w:r>
      <w:r>
        <w:rPr>
          <w:rFonts w:ascii="Times New Roman" w:cs="Times New Roman" w:eastAsia="Times New Roman" w:hAnsi="Times New Roman"/>
          <w:sz w:val="22"/>
          <w:szCs w:val="22"/>
          <w:color w:val="FF0000"/>
          <w:strike w:val="1"/>
        </w:rPr>
        <w:t>”): (A) the Audit Committee, (B) the Nominating and Governance Committee and (C) the Compensation Committee.</w:t>
      </w:r>
    </w:p>
    <w:p>
      <w:pPr>
        <w:spacing w:after="0" w:line="176" w:lineRule="exact"/>
        <w:rPr>
          <w:rFonts w:ascii="Times New Roman" w:cs="Times New Roman" w:eastAsia="Times New Roman" w:hAnsi="Times New Roman"/>
          <w:sz w:val="22"/>
          <w:szCs w:val="22"/>
          <w:color w:val="FF0000"/>
          <w:strike w:val="1"/>
        </w:rPr>
      </w:pPr>
    </w:p>
    <w:p>
      <w:pPr>
        <w:ind w:left="-8" w:right="140" w:firstLine="656"/>
        <w:spacing w:after="0" w:line="251" w:lineRule="auto"/>
        <w:tabs>
          <w:tab w:leader="none" w:pos="946" w:val="left"/>
        </w:tabs>
        <w:numPr>
          <w:ilvl w:val="0"/>
          <w:numId w:val="19"/>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As of the Effective Time, each Specified Post-Merger Committee shall be composed solely of an equal number of Initial CBS Directors and Initial Viacom Directors. During the Designated Period, unless the board of directors shall have adopted a resolution to the contrary that was approved with the Requisite Approval, the members of each Specified Post-Merger Committee (including the initial members as of the Effective Time) shall be designated, appointed and approved by the board of directors acting with the Requisite Approval. During the Designated Period, unless the board of directors shall have adopted a resolution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32"/>
          </w:cols>
          <w:pgMar w:left="328" w:top="1440" w:right="339" w:bottom="1440" w:gutter="0" w:footer="0" w:header="0"/>
        </w:sectPr>
      </w:pPr>
    </w:p>
    <w:bookmarkStart w:id="29" w:name="page30"/>
    <w:bookmarkEnd w:id="29"/>
    <w:p>
      <w:pPr>
        <w:spacing w:after="0" w:line="3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FF0000"/>
          <w:strike w:val="1"/>
        </w:rPr>
        <w:t xml:space="preserve">that was approved with the Requisite Approval, each Specified Post-Merger Committee shall be composed solely of an equal number of the Initial CBS Directors and Initial Viacom Directors;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each such member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79" w:lineRule="exact"/>
        <w:rPr>
          <w:sz w:val="20"/>
          <w:szCs w:val="20"/>
          <w:color w:val="auto"/>
        </w:rPr>
      </w:pPr>
    </w:p>
    <w:p>
      <w:pPr>
        <w:ind w:firstLine="656"/>
        <w:spacing w:after="0" w:line="248" w:lineRule="auto"/>
        <w:tabs>
          <w:tab w:leader="none" w:pos="942" w:val="left"/>
        </w:tabs>
        <w:numPr>
          <w:ilvl w:val="0"/>
          <w:numId w:val="20"/>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As of the Effective Time, (i) the chairperson of the Audit Committee shall be an Initial CBS Director, (ii) the chairperson of the Nominating and Governance Committee shall be an Initial Viacom Director, and (iii) the chairperson of the Compensation Committee shall be an Initial CBS Director. During the Designated Period, unless the board of directors shall have adopted a resolution to the contrary that was approved with the Requisite Approval, (x) the chairperson of the Audit Committee shall be an Initial CBS Director, (y) the chairperson of the Nominating and Governance Committee shall be an Initial Viacom Director, and (z) the chairperson of the Compensation Committee shall be an Initial CBS Director;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each such designated chairperson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Section 4. Management</w:t>
      </w:r>
      <w:r>
        <w:rPr>
          <w:rFonts w:ascii="Times New Roman" w:cs="Times New Roman" w:eastAsia="Times New Roman" w:hAnsi="Times New Roman"/>
          <w:sz w:val="22"/>
          <w:szCs w:val="22"/>
          <w:i w:val="1"/>
          <w:iCs w:val="1"/>
          <w:color w:val="FF0000"/>
          <w:strike w:val="1"/>
        </w:rPr>
        <w:t>.</w:t>
      </w:r>
    </w:p>
    <w:p>
      <w:pPr>
        <w:spacing w:after="0" w:line="224" w:lineRule="exact"/>
        <w:rPr>
          <w:sz w:val="20"/>
          <w:szCs w:val="20"/>
          <w:color w:val="auto"/>
        </w:rPr>
      </w:pPr>
    </w:p>
    <w:p>
      <w:pPr>
        <w:ind w:right="20" w:firstLine="656"/>
        <w:spacing w:after="0" w:line="251" w:lineRule="auto"/>
        <w:tabs>
          <w:tab w:leader="none" w:pos="942" w:val="left"/>
        </w:tabs>
        <w:numPr>
          <w:ilvl w:val="0"/>
          <w:numId w:val="2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During the Designated Period, unless the board of directors shall have adopted a resolution to the contrary that was approved with the Requisite Approval, the Closing Date CEO, Closing Date CFO, Closing Date General Counsel and Closing Date General Counsel of CBS shall serve as (i) the Chief Executive Officer of the Corporation, (ii) Executive Vice President, Chief Financial Officer of the Corporation, (iii) Executive Vice President, General Counsel of the Corporation and (iv) Executive Vice President of the Corporation and General Counsel of the Corporation’s CBS business, respectively, except in the case of such officers’ voluntary departure from the Corporation.</w:t>
      </w:r>
    </w:p>
    <w:p>
      <w:pPr>
        <w:spacing w:after="0" w:line="181" w:lineRule="exact"/>
        <w:rPr>
          <w:rFonts w:ascii="Times New Roman" w:cs="Times New Roman" w:eastAsia="Times New Roman" w:hAnsi="Times New Roman"/>
          <w:sz w:val="22"/>
          <w:szCs w:val="22"/>
          <w:color w:val="FF0000"/>
          <w:strike w:val="1"/>
        </w:rPr>
      </w:pPr>
    </w:p>
    <w:p>
      <w:pPr>
        <w:ind w:right="80" w:firstLine="656"/>
        <w:spacing w:after="0" w:line="252" w:lineRule="auto"/>
        <w:tabs>
          <w:tab w:leader="none" w:pos="954" w:val="left"/>
        </w:tabs>
        <w:numPr>
          <w:ilvl w:val="0"/>
          <w:numId w:val="2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During the period commencing on the Closing Date and ending on the Specified CBS Date, unless the board of directors shall have adopted a resolution to the contrary that was approved with the Requisite Approval, the Closing Date Chairman and CEO of CBS shall serve as the Chairman and CEO of CBS with the oversight, duties and responsibilities set forth in such individual’s employment agreement as in effect at the Effective Date.</w:t>
      </w:r>
    </w:p>
    <w:p>
      <w:pPr>
        <w:spacing w:after="0" w:line="192" w:lineRule="exact"/>
        <w:rPr>
          <w:rFonts w:ascii="Times New Roman" w:cs="Times New Roman" w:eastAsia="Times New Roman" w:hAnsi="Times New Roman"/>
          <w:sz w:val="22"/>
          <w:szCs w:val="22"/>
          <w:color w:val="FF0000"/>
          <w:strike w:val="1"/>
        </w:rPr>
      </w:pPr>
    </w:p>
    <w:p>
      <w:pPr>
        <w:ind w:right="300" w:firstLine="656"/>
        <w:spacing w:after="0" w:line="257" w:lineRule="auto"/>
        <w:tabs>
          <w:tab w:leader="none" w:pos="942" w:val="left"/>
        </w:tabs>
        <w:numPr>
          <w:ilvl w:val="0"/>
          <w:numId w:val="2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During the Designated Period, unless the board of directors shall have adopted a resolution to the contrary that was approved with the Requisite Approval, the following actions by the Corporation or any of its subsidiaries shall require the Requisite Approval:</w:t>
      </w:r>
    </w:p>
    <w:p>
      <w:pPr>
        <w:spacing w:after="0" w:line="173"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election, hiring or appointment (or similar act) of any Specified Executive;</w:t>
      </w:r>
    </w:p>
    <w:p>
      <w:pPr>
        <w:spacing w:after="0" w:line="219" w:lineRule="exact"/>
        <w:rPr>
          <w:rFonts w:ascii="Times New Roman" w:cs="Times New Roman" w:eastAsia="Times New Roman" w:hAnsi="Times New Roman"/>
          <w:sz w:val="22"/>
          <w:szCs w:val="22"/>
          <w:color w:val="FF0000"/>
          <w:strike w:val="1"/>
        </w:rPr>
      </w:pPr>
    </w:p>
    <w:p>
      <w:pPr>
        <w:ind w:left="980" w:hanging="324"/>
        <w:spacing w:after="0"/>
        <w:tabs>
          <w:tab w:leader="none" w:pos="980" w:val="left"/>
        </w:tabs>
        <w:numPr>
          <w:ilvl w:val="0"/>
          <w:numId w:val="22"/>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the termination or removal (or similar act) of any Existing Specified Executive (other than the Chairman and CEO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CBS);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40" w:right="379" w:bottom="1440" w:gutter="0" w:footer="0" w:header="0"/>
        </w:sectPr>
      </w:pPr>
    </w:p>
    <w:bookmarkStart w:id="30" w:name="page31"/>
    <w:bookmarkEnd w:id="30"/>
    <w:p>
      <w:pPr>
        <w:spacing w:after="0" w:line="347" w:lineRule="exact"/>
        <w:rPr>
          <w:sz w:val="20"/>
          <w:szCs w:val="20"/>
          <w:color w:val="auto"/>
        </w:rPr>
      </w:pPr>
    </w:p>
    <w:p>
      <w:pPr>
        <w:ind w:right="40" w:firstLine="656"/>
        <w:spacing w:after="0" w:line="253" w:lineRule="auto"/>
        <w:tabs>
          <w:tab w:leader="none" w:pos="1026" w:val="left"/>
        </w:tabs>
        <w:numPr>
          <w:ilvl w:val="0"/>
          <w:numId w:val="2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any modification to any of the duties, authority or reporting relationships of the Existing Specified Executives (other than the Chairman and CEO of CBS) having a material effect (it being understood and agreed that the election, hiring or appointment (or similar act) of any person with duties, title or authority substantially similar to any Existing Specified Executive (other than the Chairman and CEO of CBS) while such Existing Specified Executive is concurrently serving in such office shall constitute such a modification having a material effect); and</w:t>
      </w:r>
    </w:p>
    <w:p>
      <w:pPr>
        <w:spacing w:after="0" w:line="178" w:lineRule="exact"/>
        <w:rPr>
          <w:rFonts w:ascii="Times New Roman" w:cs="Times New Roman" w:eastAsia="Times New Roman" w:hAnsi="Times New Roman"/>
          <w:sz w:val="22"/>
          <w:szCs w:val="22"/>
          <w:color w:val="FF0000"/>
          <w:strike w:val="1"/>
        </w:rPr>
      </w:pPr>
    </w:p>
    <w:p>
      <w:pPr>
        <w:ind w:right="240" w:firstLine="656"/>
        <w:spacing w:after="0" w:line="271" w:lineRule="auto"/>
        <w:tabs>
          <w:tab w:leader="none" w:pos="1014" w:val="left"/>
        </w:tabs>
        <w:numPr>
          <w:ilvl w:val="0"/>
          <w:numId w:val="2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any modification to the compensation arrangements of the Existing Specified Executives (other than the Chairman and CEO of CBS) having a material effect.</w:t>
      </w:r>
    </w:p>
    <w:p>
      <w:pPr>
        <w:spacing w:after="0" w:line="158" w:lineRule="exact"/>
        <w:rPr>
          <w:sz w:val="20"/>
          <w:szCs w:val="20"/>
          <w:color w:val="auto"/>
        </w:rPr>
      </w:pPr>
    </w:p>
    <w:p>
      <w:pPr>
        <w:ind w:right="20" w:firstLine="656"/>
        <w:spacing w:after="0" w:line="263" w:lineRule="auto"/>
        <w:tabs>
          <w:tab w:leader="none" w:pos="954" w:val="left"/>
        </w:tabs>
        <w:numPr>
          <w:ilvl w:val="0"/>
          <w:numId w:val="2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During the period commencing on the Closing Date and ending on the Specified CBS Date, unless the board of directors shall have adopted a resolution to the contrary that was approved with the Requisite Approval, the following actions by the Corporation or any of its subsidiaries shall require the Requisite Approval:</w:t>
      </w:r>
    </w:p>
    <w:p>
      <w:pPr>
        <w:spacing w:after="0" w:line="167" w:lineRule="exact"/>
        <w:rPr>
          <w:sz w:val="20"/>
          <w:szCs w:val="20"/>
          <w:color w:val="auto"/>
        </w:rPr>
      </w:pPr>
    </w:p>
    <w:p>
      <w:pPr>
        <w:ind w:left="920" w:hanging="264"/>
        <w:spacing w:after="0"/>
        <w:tabs>
          <w:tab w:leader="none" w:pos="920" w:val="left"/>
        </w:tabs>
        <w:numPr>
          <w:ilvl w:val="0"/>
          <w:numId w:val="2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election, hiring, appointment, termination or removal of the Chairman and CEO of CBS;</w:t>
      </w:r>
    </w:p>
    <w:p>
      <w:pPr>
        <w:spacing w:after="0" w:line="219" w:lineRule="exact"/>
        <w:rPr>
          <w:rFonts w:ascii="Times New Roman" w:cs="Times New Roman" w:eastAsia="Times New Roman" w:hAnsi="Times New Roman"/>
          <w:sz w:val="22"/>
          <w:szCs w:val="22"/>
          <w:color w:val="FF0000"/>
          <w:strike w:val="1"/>
        </w:rPr>
      </w:pPr>
    </w:p>
    <w:p>
      <w:pPr>
        <w:jc w:val="both"/>
        <w:ind w:right="60" w:firstLine="656"/>
        <w:spacing w:after="0" w:line="256" w:lineRule="auto"/>
        <w:tabs>
          <w:tab w:leader="none" w:pos="966" w:val="left"/>
        </w:tabs>
        <w:numPr>
          <w:ilvl w:val="0"/>
          <w:numId w:val="2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any modification to any of the duties, authority or reporting relationships of the Chairman and CEO of CBS having a material effect (it being understood and agreed that the election, hiring or appointment (or similar act) of any person with duties, title or authority substantially similar to the Chairman and CEO of CBS while the Chairman and CEO of CBS is concurrently serving in such office shall constitute such a modification having a material effect); and</w:t>
      </w:r>
    </w:p>
    <w:p>
      <w:pPr>
        <w:spacing w:after="0" w:line="176" w:lineRule="exact"/>
        <w:rPr>
          <w:rFonts w:ascii="Times New Roman" w:cs="Times New Roman" w:eastAsia="Times New Roman" w:hAnsi="Times New Roman"/>
          <w:sz w:val="22"/>
          <w:szCs w:val="22"/>
          <w:color w:val="FF0000"/>
          <w:strike w:val="1"/>
        </w:rPr>
      </w:pPr>
    </w:p>
    <w:p>
      <w:pPr>
        <w:ind w:left="1040" w:hanging="384"/>
        <w:spacing w:after="0"/>
        <w:tabs>
          <w:tab w:leader="none" w:pos="1040" w:val="left"/>
        </w:tabs>
        <w:numPr>
          <w:ilvl w:val="0"/>
          <w:numId w:val="2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any modification to the compensation arrangements of the Chairman and CEO of CBS having a material effect.</w:t>
      </w:r>
    </w:p>
    <w:p>
      <w:pPr>
        <w:spacing w:after="0" w:line="21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FF0000"/>
          <w:strike w:val="1"/>
        </w:rPr>
        <w:t>Section 5. Amendment</w:t>
      </w:r>
      <w:r>
        <w:rPr>
          <w:rFonts w:ascii="Times New Roman" w:cs="Times New Roman" w:eastAsia="Times New Roman" w:hAnsi="Times New Roman"/>
          <w:sz w:val="22"/>
          <w:szCs w:val="22"/>
          <w:i w:val="1"/>
          <w:iCs w:val="1"/>
          <w:color w:val="FF0000"/>
          <w:highlight w:val="white"/>
          <w:strike w:val="1"/>
        </w:rPr>
        <w: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During (i) the Designated Period, the board of directors shall not modify, amend, or repeal any</w:t>
      </w:r>
      <w:r>
        <w:rPr>
          <w:rFonts w:ascii="Times New Roman" w:cs="Times New Roman" w:eastAsia="Times New Roman" w:hAnsi="Times New Roman"/>
          <w:sz w:val="22"/>
          <w:szCs w:val="22"/>
          <w:color w:val="FF0000"/>
          <w:strike w:val="1"/>
        </w:rPr>
        <w:t xml:space="preserve"> provision of this </w:t>
      </w:r>
      <w:r>
        <w:rPr>
          <w:rFonts w:ascii="Times New Roman" w:cs="Times New Roman" w:eastAsia="Times New Roman" w:hAnsi="Times New Roman"/>
          <w:sz w:val="22"/>
          <w:szCs w:val="22"/>
          <w:u w:val="single" w:color="auto"/>
          <w:color w:val="FF0000"/>
          <w:strike w:val="1"/>
        </w:rPr>
        <w:t>Article XI</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(other than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highlight w:val="white"/>
          <w:strike w:val="1"/>
        </w:rPr>
        <w:t>Section 4(d)</w:t>
      </w:r>
      <w:r>
        <w:rPr>
          <w:rFonts w:ascii="Times New Roman" w:cs="Times New Roman" w:eastAsia="Times New Roman" w:hAnsi="Times New Roman"/>
          <w:sz w:val="22"/>
          <w:szCs w:val="22"/>
          <w:color w:val="FF0000"/>
          <w:strike w:val="1"/>
        </w:rPr>
        <w:t xml:space="preserve"> hereof) or </w:t>
      </w:r>
      <w:r>
        <w:rPr>
          <w:rFonts w:ascii="Times New Roman" w:cs="Times New Roman" w:eastAsia="Times New Roman" w:hAnsi="Times New Roman"/>
          <w:sz w:val="22"/>
          <w:szCs w:val="22"/>
          <w:u w:val="single" w:color="auto"/>
          <w:color w:val="FF0000"/>
          <w:highlight w:val="white"/>
          <w:strike w:val="1"/>
        </w:rPr>
        <w:t>Section 4</w:t>
      </w:r>
      <w:r>
        <w:rPr>
          <w:rFonts w:ascii="Times New Roman" w:cs="Times New Roman" w:eastAsia="Times New Roman" w:hAnsi="Times New Roman"/>
          <w:sz w:val="22"/>
          <w:szCs w:val="22"/>
          <w:color w:val="FF0000"/>
          <w:strike w:val="1"/>
        </w:rPr>
        <w:t xml:space="preserve"> of </w:t>
      </w:r>
      <w:r>
        <w:rPr>
          <w:rFonts w:ascii="Times New Roman" w:cs="Times New Roman" w:eastAsia="Times New Roman" w:hAnsi="Times New Roman"/>
          <w:sz w:val="22"/>
          <w:szCs w:val="22"/>
          <w:u w:val="single" w:color="auto"/>
          <w:color w:val="FF0000"/>
          <w:highlight w:val="white"/>
          <w:strike w:val="1"/>
        </w:rPr>
        <w:t>Article IX</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(or any provision of these bylaws making</w:t>
      </w:r>
      <w:r>
        <w:rPr>
          <w:rFonts w:ascii="Times New Roman" w:cs="Times New Roman" w:eastAsia="Times New Roman" w:hAnsi="Times New Roman"/>
          <w:sz w:val="22"/>
          <w:szCs w:val="22"/>
          <w:color w:val="FF0000"/>
          <w:strike w:val="1"/>
        </w:rPr>
        <w:t xml:space="preserve"> reference to any such provision) and the board of directors shall not adopt any other resolution inconsistent with this </w:t>
      </w:r>
      <w:r>
        <w:rPr>
          <w:rFonts w:ascii="Times New Roman" w:cs="Times New Roman" w:eastAsia="Times New Roman" w:hAnsi="Times New Roman"/>
          <w:sz w:val="22"/>
          <w:szCs w:val="22"/>
          <w:u w:val="single" w:color="auto"/>
          <w:color w:val="FF0000"/>
          <w:strike w:val="1"/>
        </w:rPr>
        <w:t>Article XI</w:t>
      </w:r>
      <w:r>
        <w:rPr>
          <w:rFonts w:ascii="Times New Roman" w:cs="Times New Roman" w:eastAsia="Times New Roman" w:hAnsi="Times New Roman"/>
          <w:sz w:val="22"/>
          <w:szCs w:val="22"/>
          <w:color w:val="FF0000"/>
          <w:strike w:val="1"/>
        </w:rPr>
        <w:t xml:space="preserve"> (other than </w:t>
      </w:r>
      <w:r>
        <w:rPr>
          <w:rFonts w:ascii="Times New Roman" w:cs="Times New Roman" w:eastAsia="Times New Roman" w:hAnsi="Times New Roman"/>
          <w:sz w:val="22"/>
          <w:szCs w:val="22"/>
          <w:u w:val="single" w:color="auto"/>
          <w:color w:val="FF0000"/>
          <w:strike w:val="1"/>
        </w:rPr>
        <w:t>Section 4(d)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hereof) or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highlight w:val="white"/>
          <w:strike w:val="1"/>
        </w:rPr>
        <w:t>Section 4</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of</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highlight w:val="white"/>
          <w:strike w:val="1"/>
        </w:rPr>
        <w:t>Article IX</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(or any provision of these bylaws making reference to any such</w:t>
      </w:r>
      <w:r>
        <w:rPr>
          <w:rFonts w:ascii="Times New Roman" w:cs="Times New Roman" w:eastAsia="Times New Roman" w:hAnsi="Times New Roman"/>
          <w:sz w:val="22"/>
          <w:szCs w:val="22"/>
          <w:color w:val="FF0000"/>
          <w:strike w:val="1"/>
        </w:rPr>
        <w:t xml:space="preserve"> provision), and the board of directors shall not recommend for adoption or resolution by the stockholders of any such modification, amendment, repeal or inconsistent provision of this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(other than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highlight w:val="white"/>
          <w:strike w:val="1"/>
        </w:rPr>
        <w:t>Section 4(d)</w:t>
      </w:r>
      <w:r>
        <w:rPr>
          <w:rFonts w:ascii="Times New Roman" w:cs="Times New Roman" w:eastAsia="Times New Roman" w:hAnsi="Times New Roman"/>
          <w:sz w:val="22"/>
          <w:szCs w:val="22"/>
          <w:color w:val="FF0000"/>
          <w:strike w:val="1"/>
        </w:rPr>
        <w:t xml:space="preserve"> hereof) or </w:t>
      </w:r>
      <w:r>
        <w:rPr>
          <w:rFonts w:ascii="Times New Roman" w:cs="Times New Roman" w:eastAsia="Times New Roman" w:hAnsi="Times New Roman"/>
          <w:sz w:val="22"/>
          <w:szCs w:val="22"/>
          <w:u w:val="single" w:color="auto"/>
          <w:color w:val="FF0000"/>
          <w:highlight w:val="white"/>
          <w:strike w:val="1"/>
        </w:rPr>
        <w:t>Section 4</w:t>
      </w:r>
      <w:r>
        <w:rPr>
          <w:rFonts w:ascii="Times New Roman" w:cs="Times New Roman" w:eastAsia="Times New Roman" w:hAnsi="Times New Roman"/>
          <w:sz w:val="22"/>
          <w:szCs w:val="22"/>
          <w:color w:val="FF0000"/>
          <w:strike w:val="1"/>
        </w:rPr>
        <w:t xml:space="preserve"> of </w:t>
      </w:r>
      <w:r>
        <w:rPr>
          <w:rFonts w:ascii="Times New Roman" w:cs="Times New Roman" w:eastAsia="Times New Roman" w:hAnsi="Times New Roman"/>
          <w:sz w:val="22"/>
          <w:szCs w:val="22"/>
          <w:u w:val="single" w:color="auto"/>
          <w:color w:val="FF0000"/>
          <w:strike w:val="1"/>
        </w:rPr>
        <w:t>Article IX</w:t>
      </w:r>
      <w:r>
        <w:rPr>
          <w:rFonts w:ascii="Times New Roman" w:cs="Times New Roman" w:eastAsia="Times New Roman" w:hAnsi="Times New Roman"/>
          <w:sz w:val="22"/>
          <w:szCs w:val="22"/>
          <w:color w:val="FF0000"/>
          <w:strike w:val="1"/>
        </w:rPr>
        <w:t xml:space="preserve"> and (ii) the period commencing on the Closing Date and ending on the Specified CBS Date, the board of directors shall not modify, amend, or repeal any provision of </w:t>
      </w:r>
      <w:r>
        <w:rPr>
          <w:rFonts w:ascii="Times New Roman" w:cs="Times New Roman" w:eastAsia="Times New Roman" w:hAnsi="Times New Roman"/>
          <w:sz w:val="22"/>
          <w:szCs w:val="22"/>
          <w:u w:val="single" w:color="auto"/>
          <w:color w:val="FF0000"/>
          <w:strike w:val="1"/>
        </w:rPr>
        <w:t>Section 4(d)</w:t>
      </w:r>
      <w:r>
        <w:rPr>
          <w:rFonts w:ascii="Times New Roman" w:cs="Times New Roman" w:eastAsia="Times New Roman" w:hAnsi="Times New Roman"/>
          <w:sz w:val="22"/>
          <w:szCs w:val="22"/>
          <w:color w:val="FF0000"/>
          <w:strike w:val="1"/>
        </w:rPr>
        <w:t xml:space="preserve"> of this </w:t>
      </w:r>
      <w:r>
        <w:rPr>
          <w:rFonts w:ascii="Times New Roman" w:cs="Times New Roman" w:eastAsia="Times New Roman" w:hAnsi="Times New Roman"/>
          <w:sz w:val="22"/>
          <w:szCs w:val="22"/>
          <w:u w:val="single" w:color="auto"/>
          <w:color w:val="FF0000"/>
          <w:strike w:val="1"/>
        </w:rPr>
        <w:t>Article XI</w:t>
      </w:r>
      <w:r>
        <w:rPr>
          <w:rFonts w:ascii="Times New Roman" w:cs="Times New Roman" w:eastAsia="Times New Roman" w:hAnsi="Times New Roman"/>
          <w:sz w:val="22"/>
          <w:szCs w:val="22"/>
          <w:color w:val="FF0000"/>
          <w:strike w:val="1"/>
        </w:rPr>
        <w:t xml:space="preserve"> or </w:t>
      </w:r>
      <w:r>
        <w:rPr>
          <w:rFonts w:ascii="Times New Roman" w:cs="Times New Roman" w:eastAsia="Times New Roman" w:hAnsi="Times New Roman"/>
          <w:sz w:val="22"/>
          <w:szCs w:val="22"/>
          <w:u w:val="single" w:color="auto"/>
          <w:color w:val="FF0000"/>
          <w:highlight w:val="white"/>
          <w:strike w:val="1"/>
        </w:rPr>
        <w:t>Section 14</w:t>
      </w:r>
      <w:r>
        <w:rPr>
          <w:rFonts w:ascii="Times New Roman" w:cs="Times New Roman" w:eastAsia="Times New Roman" w:hAnsi="Times New Roman"/>
          <w:sz w:val="22"/>
          <w:szCs w:val="22"/>
          <w:color w:val="FF0000"/>
          <w:strike w:val="1"/>
        </w:rPr>
        <w:t xml:space="preserve"> of </w:t>
      </w:r>
      <w:r>
        <w:rPr>
          <w:rFonts w:ascii="Times New Roman" w:cs="Times New Roman" w:eastAsia="Times New Roman" w:hAnsi="Times New Roman"/>
          <w:sz w:val="22"/>
          <w:szCs w:val="22"/>
          <w:u w:val="single" w:color="auto"/>
          <w:color w:val="FF0000"/>
          <w:strike w:val="1"/>
        </w:rPr>
        <w:t>Article V</w:t>
      </w:r>
      <w:r>
        <w:rPr>
          <w:rFonts w:ascii="Times New Roman" w:cs="Times New Roman" w:eastAsia="Times New Roman" w:hAnsi="Times New Roman"/>
          <w:sz w:val="22"/>
          <w:szCs w:val="22"/>
          <w:color w:val="FF0000"/>
          <w:strike w:val="1"/>
        </w:rPr>
        <w:t xml:space="preserve"> (or any provision of these bylaws making reference to any such provision) and the board of directors shall not adopt any other resolution inconsistent with </w:t>
      </w:r>
      <w:r>
        <w:rPr>
          <w:rFonts w:ascii="Times New Roman" w:cs="Times New Roman" w:eastAsia="Times New Roman" w:hAnsi="Times New Roman"/>
          <w:sz w:val="22"/>
          <w:szCs w:val="22"/>
          <w:u w:val="single" w:color="auto"/>
          <w:color w:val="FF0000"/>
          <w:highlight w:val="white"/>
          <w:strike w:val="1"/>
        </w:rPr>
        <w:t>Section 4(d)</w:t>
      </w:r>
      <w:r>
        <w:rPr>
          <w:rFonts w:ascii="Times New Roman" w:cs="Times New Roman" w:eastAsia="Times New Roman" w:hAnsi="Times New Roman"/>
          <w:sz w:val="22"/>
          <w:szCs w:val="22"/>
          <w:color w:val="FF0000"/>
          <w:strike w:val="1"/>
        </w:rPr>
        <w:t xml:space="preserve"> of this </w:t>
      </w:r>
      <w:r>
        <w:rPr>
          <w:rFonts w:ascii="Times New Roman" w:cs="Times New Roman" w:eastAsia="Times New Roman" w:hAnsi="Times New Roman"/>
          <w:sz w:val="22"/>
          <w:szCs w:val="22"/>
          <w:u w:val="single" w:color="auto"/>
          <w:color w:val="FF0000"/>
          <w:strike w:val="1"/>
        </w:rPr>
        <w:t>Article XI</w:t>
      </w:r>
      <w:r>
        <w:rPr>
          <w:rFonts w:ascii="Times New Roman" w:cs="Times New Roman" w:eastAsia="Times New Roman" w:hAnsi="Times New Roman"/>
          <w:sz w:val="22"/>
          <w:szCs w:val="22"/>
          <w:color w:val="FF0000"/>
          <w:strike w:val="1"/>
        </w:rPr>
        <w:t xml:space="preserve"> or </w:t>
      </w:r>
      <w:r>
        <w:rPr>
          <w:rFonts w:ascii="Times New Roman" w:cs="Times New Roman" w:eastAsia="Times New Roman" w:hAnsi="Times New Roman"/>
          <w:sz w:val="22"/>
          <w:szCs w:val="22"/>
          <w:u w:val="single" w:color="auto"/>
          <w:color w:val="FF0000"/>
          <w:highlight w:val="white"/>
          <w:strike w:val="1"/>
        </w:rPr>
        <w:t>Section 14</w:t>
      </w:r>
      <w:r>
        <w:rPr>
          <w:rFonts w:ascii="Times New Roman" w:cs="Times New Roman" w:eastAsia="Times New Roman" w:hAnsi="Times New Roman"/>
          <w:sz w:val="22"/>
          <w:szCs w:val="22"/>
          <w:color w:val="FF0000"/>
          <w:strike w:val="1"/>
        </w:rPr>
        <w:t xml:space="preserve"> of </w:t>
      </w:r>
      <w:r>
        <w:rPr>
          <w:rFonts w:ascii="Times New Roman" w:cs="Times New Roman" w:eastAsia="Times New Roman" w:hAnsi="Times New Roman"/>
          <w:sz w:val="22"/>
          <w:szCs w:val="22"/>
          <w:u w:val="single" w:color="auto"/>
          <w:color w:val="FF0000"/>
          <w:highlight w:val="white"/>
          <w:strike w:val="1"/>
        </w:rPr>
        <w:t>Article V</w:t>
      </w:r>
      <w:r>
        <w:rPr>
          <w:rFonts w:ascii="Times New Roman" w:cs="Times New Roman" w:eastAsia="Times New Roman" w:hAnsi="Times New Roman"/>
          <w:sz w:val="22"/>
          <w:szCs w:val="22"/>
          <w:color w:val="FF0000"/>
          <w:strike w:val="1"/>
        </w:rPr>
        <w:t xml:space="preserve"> (or any provision of these bylaws making reference to any such provision), and the board of directors shall not recommend for adoption or resolution by the stockholders of any such modification, amendment, repeal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-1808480</wp:posOffset>
            </wp:positionV>
            <wp:extent cx="17970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14605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-1148080</wp:posOffset>
            </wp:positionV>
            <wp:extent cx="6525895" cy="4718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25895" cy="4718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-488315</wp:posOffset>
            </wp:positionV>
            <wp:extent cx="595757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575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160"/>
          </w:cols>
          <w:pgMar w:left="320" w:top="1440" w:right="419" w:bottom="1440" w:gutter="0" w:footer="0" w:header="0"/>
        </w:sectPr>
      </w:pPr>
    </w:p>
    <w:bookmarkStart w:id="31" w:name="page32"/>
    <w:bookmarkEnd w:id="31"/>
    <w:p>
      <w:pPr>
        <w:spacing w:after="0" w:line="34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FF0000"/>
          <w:strike w:val="1"/>
        </w:rPr>
        <w:t>inconsistent provision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highlight w:val="white"/>
          <w:strike w:val="1"/>
        </w:rPr>
        <w:t>Section 4(d)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FF0000"/>
        </w:rPr>
        <w:t xml:space="preserve"> or </w:t>
      </w:r>
      <w:r>
        <w:rPr>
          <w:rFonts w:ascii="Times New Roman" w:cs="Times New Roman" w:eastAsia="Times New Roman" w:hAnsi="Times New Roman"/>
          <w:sz w:val="22"/>
          <w:szCs w:val="22"/>
          <w:u w:val="single" w:color="auto"/>
          <w:color w:val="FF0000"/>
        </w:rPr>
        <w:t>Section 14</w:t>
      </w:r>
      <w:r>
        <w:rPr>
          <w:rFonts w:ascii="Times New Roman" w:cs="Times New Roman" w:eastAsia="Times New Roman" w:hAnsi="Times New Roman"/>
          <w:sz w:val="22"/>
          <w:szCs w:val="22"/>
          <w:color w:val="FF0000"/>
        </w:rPr>
        <w:t xml:space="preserve"> of </w:t>
      </w:r>
      <w:r>
        <w:rPr>
          <w:rFonts w:ascii="Times New Roman" w:cs="Times New Roman" w:eastAsia="Times New Roman" w:hAnsi="Times New Roman"/>
          <w:sz w:val="22"/>
          <w:szCs w:val="22"/>
          <w:u w:val="single" w:color="auto"/>
          <w:color w:val="FF0000"/>
          <w:highlight w:val="white"/>
          <w:strike w:val="1"/>
        </w:rPr>
        <w:t>Article 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highlight w:val="white"/>
          <w:strike w:val="1"/>
        </w:rPr>
        <w:t>(each of clauses (i) and (ii), 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highlight w:val="white"/>
        </w:rPr>
        <w:t>“Amendment</w:t>
      </w:r>
      <w:r>
        <w:rPr>
          <w:rFonts w:ascii="Times New Roman" w:cs="Times New Roman" w:eastAsia="Times New Roman" w:hAnsi="Times New Roman"/>
          <w:sz w:val="22"/>
          <w:szCs w:val="22"/>
          <w:color w:val="FF0000"/>
          <w:highlight w:val="white"/>
          <w:strike w:val="1"/>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without the Requisite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-344805</wp:posOffset>
            </wp:positionV>
            <wp:extent cx="95123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51230" cy="145415"/>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-215900</wp:posOffset>
            </wp:positionV>
            <wp:extent cx="6756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5640" cy="8255"/>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-267335</wp:posOffset>
            </wp:positionV>
            <wp:extent cx="6756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13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FF0000"/>
          <w:strike w:val="1"/>
        </w:rPr>
        <w:t>Section 6. In the event of any inconsistency between any other provision of these bylaws (other than this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highlight w:val="white"/>
        </w:rPr>
        <w:t>Article XI</w:t>
      </w:r>
      <w:r>
        <w:rPr>
          <w:rFonts w:ascii="Times New Roman" w:cs="Times New Roman" w:eastAsia="Times New Roman" w:hAnsi="Times New Roman"/>
          <w:sz w:val="22"/>
          <w:szCs w:val="22"/>
          <w:color w:val="FF0000"/>
          <w:highlight w:val="white"/>
          <w:strike w:val="1"/>
        </w:rPr>
        <w:t>), 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the one hand, and any provision of this Article XI</w:t>
      </w:r>
      <w:r>
        <w:rPr>
          <w:rFonts w:ascii="Times New Roman" w:cs="Times New Roman" w:eastAsia="Times New Roman" w:hAnsi="Times New Roman"/>
          <w:sz w:val="22"/>
          <w:szCs w:val="22"/>
          <w:color w:val="FF0000"/>
          <w:highlight w:val="white"/>
          <w:strike w:val="1"/>
        </w:rPr>
        <w:t>, on the other hand, the provisions of this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highlight w:val="white"/>
          <w:strike w:val="1"/>
        </w:rPr>
        <w:t>Article XI</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FF0000"/>
          <w:highlight w:val="white"/>
          <w:strike w:val="1"/>
        </w:rPr>
        <w:t>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6187440</wp:posOffset>
            </wp:positionH>
            <wp:positionV relativeFrom="paragraph">
              <wp:posOffset>-215900</wp:posOffset>
            </wp:positionV>
            <wp:extent cx="5556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5625" cy="8890"/>
                    </a:xfrm>
                    <a:prstGeom prst="rect">
                      <a:avLst/>
                    </a:prstGeom>
                    <a:noFill/>
                  </pic:spPr>
                </pic:pic>
              </a:graphicData>
            </a:graphic>
          </wp:anchor>
        </w:drawing>
        <w:drawing>
          <wp:anchor simplePos="0" relativeHeight="251657728" behindDoc="1" locked="0" layoutInCell="0" allowOverlap="1">
            <wp:simplePos x="0" y="0"/>
            <wp:positionH relativeFrom="column">
              <wp:posOffset>6187440</wp:posOffset>
            </wp:positionH>
            <wp:positionV relativeFrom="paragraph">
              <wp:posOffset>-267335</wp:posOffset>
            </wp:positionV>
            <wp:extent cx="5556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562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-53340</wp:posOffset>
            </wp:positionV>
            <wp:extent cx="5588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28</w:t>
      </w:r>
    </w:p>
    <w:sectPr>
      <w:pgSz w:w="11900" w:h="16838" w:orient="portrait"/>
      <w:cols w:equalWidth="0" w:num="1">
        <w:col w:w="11020"/>
      </w:cols>
      <w:pgMar w:left="32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decimal"/>
      <w:start w:val="5"/>
    </w:lvl>
  </w:abstractNum>
  <w:abstractNum w:abstractNumId="3">
    <w:nsid w:val="7FDCC233"/>
    <w:multiLevelType w:val="hybridMultilevel"/>
    <w:lvl w:ilvl="0">
      <w:lvlJc w:val="left"/>
      <w:lvlText w:val="%1."/>
      <w:numFmt w:val="decimal"/>
      <w:start w:val="6"/>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3"/>
    </w:lvl>
  </w:abstractNum>
  <w:abstractNum w:abstractNumId="6">
    <w:nsid w:val="6B68079A"/>
    <w:multiLevelType w:val="hybridMultilevel"/>
    <w:lvl w:ilvl="0">
      <w:lvlJc w:val="left"/>
      <w:lvlText w:val="(%1)"/>
      <w:numFmt w:val="lowerLetter"/>
      <w:start w:val="4"/>
    </w:lvl>
  </w:abstractNum>
  <w:abstractNum w:abstractNumId="7">
    <w:nsid w:val="4E6AFB66"/>
    <w:multiLevelType w:val="hybridMultilevel"/>
    <w:lvl w:ilvl="0">
      <w:lvlJc w:val="left"/>
      <w:lvlText w:val="(%1)"/>
      <w:numFmt w:val="lowerLetter"/>
      <w:start w:val="6"/>
    </w:lvl>
  </w:abstractNum>
  <w:abstractNum w:abstractNumId="8">
    <w:nsid w:val="25E45D32"/>
    <w:multiLevelType w:val="hybridMultilevel"/>
    <w:lvl w:ilvl="0">
      <w:lvlJc w:val="left"/>
      <w:lvlText w:val="(%1)"/>
      <w:numFmt w:val="lowerLetter"/>
      <w:start w:val="7"/>
    </w:lvl>
  </w:abstractNum>
  <w:abstractNum w:abstractNumId="9">
    <w:nsid w:val="519B500D"/>
    <w:multiLevelType w:val="hybridMultilevel"/>
    <w:lvl w:ilvl="0">
      <w:lvlJc w:val="left"/>
      <w:lvlText w:val="(%1)"/>
      <w:numFmt w:val="upperLetter"/>
      <w:start w:val="1"/>
    </w:lvl>
  </w:abstractNum>
  <w:abstractNum w:abstractNumId="10">
    <w:nsid w:val="431BD7B7"/>
    <w:multiLevelType w:val="hybridMultilevel"/>
    <w:lvl w:ilvl="0">
      <w:lvlJc w:val="left"/>
      <w:lvlText w:val="(%1)"/>
      <w:numFmt w:val="lowerRoman"/>
      <w:start w:val="1"/>
    </w:lvl>
  </w:abstractNum>
  <w:abstractNum w:abstractNumId="11">
    <w:nsid w:val="3F2DBA31"/>
    <w:multiLevelType w:val="hybridMultilevel"/>
    <w:lvl w:ilvl="0">
      <w:lvlJc w:val="left"/>
      <w:lvlText w:val="(%1)"/>
      <w:numFmt w:val="upperLetter"/>
      <w:start w:val="2"/>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1)"/>
      <w:numFmt w:val="lowerLetter"/>
      <w:start w:val="2"/>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4"/>
    </w:lvl>
    <w:lvl w:ilvl="1">
      <w:lvlJc w:val="left"/>
      <w:lvlText w:val="(%2)"/>
      <w:numFmt w:val="lowerLetter"/>
      <w:start w:val="2"/>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Roman"/>
      <w:start w:val="3"/>
    </w:lvl>
  </w:abstractNum>
  <w:abstractNum w:abstractNumId="23">
    <w:nsid w:val="8EDBDAB"/>
    <w:multiLevelType w:val="hybridMultilevel"/>
    <w:lvl w:ilvl="0">
      <w:lvlJc w:val="left"/>
      <w:lvlText w:val="(%1)"/>
      <w:numFmt w:val="lowerLetter"/>
      <w:start w:val="4"/>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2024-06-07T15:38:13Z</dcterms:created>
  <dcterms:modified xsi:type="dcterms:W3CDTF">2024-06-07T15:38:13Z</dcterms:modified>
</cp:coreProperties>
</file>