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259715</wp:posOffset>
            </wp:positionH>
            <wp:positionV relativeFrom="page">
              <wp:posOffset>671830</wp:posOffset>
            </wp:positionV>
            <wp:extent cx="70377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17145"/>
                    </a:xfrm>
                    <a:prstGeom prst="rect">
                      <a:avLst/>
                    </a:prstGeom>
                    <a:noFill/>
                  </pic:spPr>
                </pic:pic>
              </a:graphicData>
            </a:graphic>
          </wp:anchor>
        </w:drawing>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85"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CURRENT REPORT</w:t>
      </w:r>
    </w:p>
    <w:p>
      <w:pPr>
        <w:spacing w:after="0" w:line="28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50"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May 14, 2021</w:t>
      </w:r>
    </w:p>
    <w:p>
      <w:pPr>
        <w:spacing w:after="0" w:line="25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VIACOMCBS INC.</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(Exact name of registrant as specified in its charter)</w:t>
      </w:r>
    </w:p>
    <w:p>
      <w:pPr>
        <w:spacing w:after="0" w:line="131"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32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right"/>
              <w:ind w:right="1130"/>
              <w:spacing w:after="0"/>
              <w:rPr>
                <w:sz w:val="20"/>
                <w:szCs w:val="20"/>
                <w:color w:val="auto"/>
              </w:rPr>
            </w:pPr>
            <w:r>
              <w:rPr>
                <w:rFonts w:ascii="Arial" w:cs="Arial" w:eastAsia="Arial" w:hAnsi="Arial"/>
                <w:sz w:val="18"/>
                <w:szCs w:val="18"/>
                <w:b w:val="1"/>
                <w:bCs w:val="1"/>
                <w:color w:val="auto"/>
              </w:rPr>
              <w:t>001-09553</w:t>
            </w:r>
          </w:p>
        </w:tc>
        <w:tc>
          <w:tcPr>
            <w:tcW w:w="2720" w:type="dxa"/>
            <w:vAlign w:val="bottom"/>
          </w:tcPr>
          <w:p>
            <w:pPr>
              <w:jc w:val="right"/>
              <w:ind w:right="530"/>
              <w:spacing w:after="0"/>
              <w:rPr>
                <w:sz w:val="20"/>
                <w:szCs w:val="20"/>
                <w:color w:val="auto"/>
              </w:rPr>
            </w:pPr>
            <w:r>
              <w:rPr>
                <w:rFonts w:ascii="Arial" w:cs="Arial" w:eastAsia="Arial" w:hAnsi="Arial"/>
                <w:sz w:val="18"/>
                <w:szCs w:val="18"/>
                <w:b w:val="1"/>
                <w:bCs w:val="1"/>
                <w:color w:val="auto"/>
              </w:rPr>
              <w:t>04-2949533</w:t>
            </w:r>
          </w:p>
        </w:tc>
      </w:tr>
      <w:tr>
        <w:trPr>
          <w:trHeight w:val="176"/>
        </w:trPr>
        <w:tc>
          <w:tcPr>
            <w:tcW w:w="3280" w:type="dxa"/>
            <w:vAlign w:val="bottom"/>
          </w:tcPr>
          <w:p>
            <w:pPr>
              <w:jc w:val="center"/>
              <w:ind w:right="350"/>
              <w:spacing w:after="0" w:line="176" w:lineRule="exact"/>
              <w:rPr>
                <w:sz w:val="20"/>
                <w:szCs w:val="20"/>
                <w:color w:val="auto"/>
              </w:rPr>
            </w:pPr>
            <w:r>
              <w:rPr>
                <w:rFonts w:ascii="Arial" w:cs="Arial" w:eastAsia="Arial" w:hAnsi="Arial"/>
                <w:sz w:val="18"/>
                <w:szCs w:val="18"/>
                <w:color w:val="auto"/>
                <w:w w:val="92"/>
              </w:rPr>
              <w:t>(State or other jurisdiction of</w:t>
            </w:r>
          </w:p>
        </w:tc>
        <w:tc>
          <w:tcPr>
            <w:tcW w:w="30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3"/>
              </w:rPr>
              <w:t>(Commission File Number)</w:t>
            </w:r>
          </w:p>
        </w:tc>
        <w:tc>
          <w:tcPr>
            <w:tcW w:w="272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4"/>
              </w:rPr>
              <w:t>(IRS Employer Identification</w:t>
            </w:r>
          </w:p>
        </w:tc>
      </w:tr>
      <w:tr>
        <w:trPr>
          <w:trHeight w:val="230"/>
        </w:trPr>
        <w:tc>
          <w:tcPr>
            <w:tcW w:w="3280" w:type="dxa"/>
            <w:vAlign w:val="bottom"/>
          </w:tcPr>
          <w:p>
            <w:pPr>
              <w:jc w:val="center"/>
              <w:ind w:right="350"/>
              <w:spacing w:after="0"/>
              <w:rPr>
                <w:sz w:val="20"/>
                <w:szCs w:val="20"/>
                <w:color w:val="auto"/>
              </w:rPr>
            </w:pPr>
            <w:r>
              <w:rPr>
                <w:rFonts w:ascii="Arial" w:cs="Arial" w:eastAsia="Arial" w:hAnsi="Arial"/>
                <w:sz w:val="18"/>
                <w:szCs w:val="18"/>
                <w:color w:val="auto"/>
                <w:w w:val="94"/>
              </w:rPr>
              <w:t>incorporation)</w:t>
            </w:r>
          </w:p>
        </w:tc>
        <w:tc>
          <w:tcPr>
            <w:tcW w:w="3040" w:type="dxa"/>
            <w:vAlign w:val="bottom"/>
          </w:tcPr>
          <w:p>
            <w:pPr>
              <w:spacing w:after="0"/>
              <w:rPr>
                <w:sz w:val="20"/>
                <w:szCs w:val="20"/>
                <w:color w:val="auto"/>
              </w:rPr>
            </w:pPr>
          </w:p>
        </w:tc>
        <w:tc>
          <w:tcPr>
            <w:tcW w:w="2720" w:type="dxa"/>
            <w:vAlign w:val="bottom"/>
          </w:tcPr>
          <w:p>
            <w:pPr>
              <w:jc w:val="center"/>
              <w:ind w:left="510"/>
              <w:spacing w:after="0"/>
              <w:rPr>
                <w:sz w:val="20"/>
                <w:szCs w:val="20"/>
                <w:color w:val="auto"/>
              </w:rPr>
            </w:pPr>
            <w:r>
              <w:rPr>
                <w:rFonts w:ascii="Arial" w:cs="Arial" w:eastAsia="Arial" w:hAnsi="Arial"/>
                <w:sz w:val="18"/>
                <w:szCs w:val="18"/>
                <w:color w:val="auto"/>
                <w:w w:val="91"/>
              </w:rPr>
              <w:t>Number)</w:t>
            </w:r>
          </w:p>
        </w:tc>
      </w:tr>
      <w:tr>
        <w:trPr>
          <w:trHeight w:val="480"/>
        </w:trPr>
        <w:tc>
          <w:tcPr>
            <w:tcW w:w="32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1515 Broadway</w:t>
            </w:r>
          </w:p>
        </w:tc>
        <w:tc>
          <w:tcPr>
            <w:tcW w:w="30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4"/>
        </w:trPr>
        <w:tc>
          <w:tcPr>
            <w:tcW w:w="3280" w:type="dxa"/>
            <w:vAlign w:val="bottom"/>
          </w:tcPr>
          <w:p>
            <w:pPr>
              <w:ind w:left="580"/>
              <w:spacing w:after="0"/>
              <w:rPr>
                <w:sz w:val="20"/>
                <w:szCs w:val="20"/>
                <w:color w:val="auto"/>
              </w:rPr>
            </w:pPr>
            <w:r>
              <w:rPr>
                <w:rFonts w:ascii="Arial" w:cs="Arial" w:eastAsia="Arial" w:hAnsi="Arial"/>
                <w:sz w:val="18"/>
                <w:szCs w:val="18"/>
                <w:b w:val="1"/>
                <w:bCs w:val="1"/>
                <w:color w:val="auto"/>
              </w:rPr>
              <w:t>New York, New York</w:t>
            </w:r>
          </w:p>
        </w:tc>
        <w:tc>
          <w:tcPr>
            <w:tcW w:w="3040" w:type="dxa"/>
            <w:vAlign w:val="bottom"/>
          </w:tcPr>
          <w:p>
            <w:pPr>
              <w:spacing w:after="0"/>
              <w:rPr>
                <w:sz w:val="20"/>
                <w:szCs w:val="20"/>
                <w:color w:val="auto"/>
              </w:rPr>
            </w:pPr>
          </w:p>
        </w:tc>
        <w:tc>
          <w:tcPr>
            <w:tcW w:w="2720" w:type="dxa"/>
            <w:vAlign w:val="bottom"/>
          </w:tcPr>
          <w:p>
            <w:pPr>
              <w:jc w:val="right"/>
              <w:ind w:right="750"/>
              <w:spacing w:after="0"/>
              <w:rPr>
                <w:sz w:val="20"/>
                <w:szCs w:val="20"/>
                <w:color w:val="auto"/>
              </w:rPr>
            </w:pPr>
            <w:r>
              <w:rPr>
                <w:rFonts w:ascii="Arial" w:cs="Arial" w:eastAsia="Arial" w:hAnsi="Arial"/>
                <w:sz w:val="18"/>
                <w:szCs w:val="18"/>
                <w:b w:val="1"/>
                <w:bCs w:val="1"/>
                <w:color w:val="auto"/>
              </w:rPr>
              <w:t>10036</w:t>
            </w:r>
          </w:p>
        </w:tc>
      </w:tr>
      <w:tr>
        <w:trPr>
          <w:trHeight w:val="230"/>
        </w:trPr>
        <w:tc>
          <w:tcPr>
            <w:tcW w:w="3280" w:type="dxa"/>
            <w:vAlign w:val="bottom"/>
          </w:tcPr>
          <w:p>
            <w:pPr>
              <w:jc w:val="center"/>
              <w:ind w:right="330"/>
              <w:spacing w:after="0"/>
              <w:rPr>
                <w:sz w:val="20"/>
                <w:szCs w:val="20"/>
                <w:color w:val="auto"/>
              </w:rPr>
            </w:pPr>
            <w:r>
              <w:rPr>
                <w:rFonts w:ascii="Arial" w:cs="Arial" w:eastAsia="Arial" w:hAnsi="Arial"/>
                <w:sz w:val="18"/>
                <w:szCs w:val="18"/>
                <w:color w:val="auto"/>
                <w:w w:val="92"/>
              </w:rPr>
              <w:t>(Address of principal executive offices)</w:t>
            </w:r>
          </w:p>
        </w:tc>
        <w:tc>
          <w:tcPr>
            <w:tcW w:w="3040" w:type="dxa"/>
            <w:vAlign w:val="bottom"/>
          </w:tcPr>
          <w:p>
            <w:pPr>
              <w:spacing w:after="0"/>
              <w:rPr>
                <w:sz w:val="20"/>
                <w:szCs w:val="20"/>
                <w:color w:val="auto"/>
              </w:rPr>
            </w:pPr>
          </w:p>
        </w:tc>
        <w:tc>
          <w:tcPr>
            <w:tcW w:w="2720" w:type="dxa"/>
            <w:vAlign w:val="bottom"/>
          </w:tcPr>
          <w:p>
            <w:pPr>
              <w:jc w:val="center"/>
              <w:ind w:left="510"/>
              <w:spacing w:after="0"/>
              <w:rPr>
                <w:sz w:val="20"/>
                <w:szCs w:val="20"/>
                <w:color w:val="auto"/>
              </w:rPr>
            </w:pPr>
            <w:r>
              <w:rPr>
                <w:rFonts w:ascii="Arial" w:cs="Arial" w:eastAsia="Arial" w:hAnsi="Arial"/>
                <w:sz w:val="18"/>
                <w:szCs w:val="18"/>
                <w:color w:val="auto"/>
                <w:w w:val="94"/>
              </w:rPr>
              <w:t>(Zip Code)</w:t>
            </w:r>
          </w:p>
        </w:tc>
      </w:tr>
    </w:tbl>
    <w:p>
      <w:pPr>
        <w:spacing w:after="0" w:line="180" w:lineRule="exact"/>
        <w:rPr>
          <w:sz w:val="24"/>
          <w:szCs w:val="24"/>
          <w:color w:val="auto"/>
        </w:rPr>
      </w:pPr>
    </w:p>
    <w:p>
      <w:pPr>
        <w:ind w:left="2840"/>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(212) 258-6000</w:t>
      </w:r>
    </w:p>
    <w:p>
      <w:pPr>
        <w:spacing w:after="0" w:line="148" w:lineRule="exact"/>
        <w:rPr>
          <w:sz w:val="24"/>
          <w:szCs w:val="24"/>
          <w:color w:val="auto"/>
        </w:rPr>
      </w:pPr>
    </w:p>
    <w:p>
      <w:pPr>
        <w:ind w:left="4900"/>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119"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registered pursuant to Section 12(b) of the Act:</w:t>
      </w:r>
    </w:p>
    <w:p>
      <w:pPr>
        <w:spacing w:after="0" w:line="121" w:lineRule="exact"/>
        <w:rPr>
          <w:sz w:val="24"/>
          <w:szCs w:val="24"/>
          <w:color w:val="auto"/>
        </w:rPr>
      </w:pPr>
    </w:p>
    <w:tbl>
      <w:tblPr>
        <w:tblLayout w:type="fixed"/>
        <w:tblInd w:w="60" w:type="dxa"/>
        <w:tblCellMar>
          <w:top w:w="0" w:type="dxa"/>
          <w:left w:w="0" w:type="dxa"/>
          <w:bottom w:w="0" w:type="dxa"/>
          <w:right w:w="0" w:type="dxa"/>
        </w:tblCellMar>
      </w:tblPr>
      <w:tr>
        <w:trPr>
          <w:trHeight w:val="192"/>
        </w:trPr>
        <w:tc>
          <w:tcPr>
            <w:tcW w:w="5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1680" w:type="dxa"/>
            <w:vAlign w:val="bottom"/>
            <w:gridSpan w:val="2"/>
          </w:tcPr>
          <w:p>
            <w:pPr>
              <w:ind w:left="260"/>
              <w:spacing w:after="0"/>
              <w:rPr>
                <w:sz w:val="20"/>
                <w:szCs w:val="20"/>
                <w:color w:val="auto"/>
              </w:rPr>
            </w:pPr>
            <w:r>
              <w:rPr>
                <w:rFonts w:ascii="Arial" w:cs="Arial" w:eastAsia="Arial" w:hAnsi="Arial"/>
                <w:sz w:val="14"/>
                <w:szCs w:val="14"/>
                <w:b w:val="1"/>
                <w:bCs w:val="1"/>
                <w:color w:val="auto"/>
              </w:rPr>
              <w:t>Trading Symbols</w:t>
            </w:r>
          </w:p>
        </w:tc>
        <w:tc>
          <w:tcPr>
            <w:tcW w:w="39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2"/>
        </w:trPr>
        <w:tc>
          <w:tcPr>
            <w:tcW w:w="52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Class A Common Stock, $0.001 par value</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center"/>
              <w:ind w:right="8"/>
              <w:spacing w:after="0"/>
              <w:rPr>
                <w:sz w:val="20"/>
                <w:szCs w:val="20"/>
                <w:color w:val="auto"/>
              </w:rPr>
            </w:pPr>
            <w:r>
              <w:rPr>
                <w:rFonts w:ascii="Arial" w:cs="Arial" w:eastAsia="Arial" w:hAnsi="Arial"/>
                <w:sz w:val="14"/>
                <w:szCs w:val="14"/>
                <w:color w:val="auto"/>
              </w:rPr>
              <w:t>VIACA</w:t>
            </w:r>
          </w:p>
        </w:tc>
        <w:tc>
          <w:tcPr>
            <w:tcW w:w="100" w:type="dxa"/>
            <w:vAlign w:val="bottom"/>
          </w:tcPr>
          <w:p>
            <w:pPr>
              <w:spacing w:after="0"/>
              <w:rPr>
                <w:sz w:val="15"/>
                <w:szCs w:val="15"/>
                <w:color w:val="auto"/>
              </w:rPr>
            </w:pPr>
          </w:p>
        </w:tc>
        <w:tc>
          <w:tcPr>
            <w:tcW w:w="3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4"/>
        </w:trPr>
        <w:tc>
          <w:tcPr>
            <w:tcW w:w="5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Class B Common Stock, $0.001 par value</w:t>
            </w: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color w:val="auto"/>
              </w:rPr>
              <w:t>VIAC</w:t>
            </w:r>
          </w:p>
        </w:tc>
        <w:tc>
          <w:tcPr>
            <w:tcW w:w="39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53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5.75% Series A Mandatory Convertible Preferred Stock, $0.001 par value</w:t>
            </w: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VIACP</w:t>
            </w:r>
          </w:p>
        </w:tc>
        <w:tc>
          <w:tcPr>
            <w:tcW w:w="39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bl>
    <w:p>
      <w:pPr>
        <w:spacing w:after="0" w:line="146" w:lineRule="exact"/>
        <w:rPr>
          <w:sz w:val="24"/>
          <w:szCs w:val="24"/>
          <w:color w:val="auto"/>
        </w:rPr>
      </w:pPr>
    </w:p>
    <w:p>
      <w:pPr>
        <w:ind w:right="38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69862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17145"/>
                    </a:xfrm>
                    <a:prstGeom prst="rect">
                      <a:avLst/>
                    </a:prstGeom>
                    <a:noFill/>
                  </pic:spPr>
                </pic:pic>
              </a:graphicData>
            </a:graphic>
          </wp:anchor>
        </w:drawing>
      </w:r>
    </w:p>
    <w:p>
      <w:pPr>
        <w:sectPr>
          <w:pgSz w:w="11900" w:h="16838" w:orient="portrait"/>
          <w:cols w:equalWidth="0" w:num="1">
            <w:col w:w="11100"/>
          </w:cols>
          <w:pgMar w:left="400" w:top="1286" w:right="399" w:bottom="1440" w:gutter="0" w:footer="0" w:header="0"/>
        </w:sectPr>
      </w:pPr>
    </w:p>
    <w:bookmarkStart w:id="1" w:name="page2"/>
    <w:bookmarkEnd w:id="1"/>
    <w:p>
      <w:pPr>
        <w:ind w:left="60"/>
        <w:spacing w:after="0"/>
        <w:tabs>
          <w:tab w:leader="none" w:pos="160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316"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On September 9, 2018, CBS Corporation (the “Company”) entered into a separation and settlement agreement and releases (the “Separation Agreement”) with Leslie Moonves, pursuant to which Mr. Moonves resigned as a director and as Chairman of the Board, President and Chief Executive Officer of the Company. In October 2018, the Company contributed $120 million to a grantor trust pursuant to the Separation Agreement. On December 17, 2018, the CBS Board of Directors announced that it had determined that there were grounds to terminate Mr. Moonves’ employment for cause under his employment agreement with the Company. Any dispute related to the CBS Board of Directors’ determination was subject to binding arbitration as set forth in the Separation Agreement. On January 16, 2019, Mr. Moonves commenced a binding arbitration proceeding with respect to this matter and the related CBS Board of Directors investigation. The disputes between Mr. Moonves and CBS have now been resolved, and on May 14, 2021, the parties dismissed the arbitration proceeding. The assets of the grantor trust will revert to the Company in their entirety.</w:t>
      </w:r>
    </w:p>
    <w:p>
      <w:pPr>
        <w:sectPr>
          <w:pgSz w:w="11900" w:h="16838" w:orient="portrait"/>
          <w:cols w:equalWidth="0" w:num="1">
            <w:col w:w="11200"/>
          </w:cols>
          <w:pgMar w:left="320" w:top="805"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720"/>
        <w:spacing w:after="0"/>
        <w:rPr>
          <w:sz w:val="20"/>
          <w:szCs w:val="20"/>
          <w:color w:val="auto"/>
        </w:rPr>
      </w:pPr>
      <w:r>
        <w:rPr>
          <w:rFonts w:ascii="Arial" w:cs="Arial" w:eastAsia="Arial" w:hAnsi="Arial"/>
          <w:sz w:val="20"/>
          <w:szCs w:val="20"/>
          <w:color w:val="auto"/>
        </w:rPr>
        <w:t>VIACOMCBS INC.</w:t>
      </w:r>
    </w:p>
    <w:p>
      <w:pPr>
        <w:spacing w:after="0" w:line="229" w:lineRule="exact"/>
        <w:rPr>
          <w:sz w:val="20"/>
          <w:szCs w:val="20"/>
          <w:color w:val="auto"/>
        </w:rPr>
      </w:pPr>
    </w:p>
    <w:p>
      <w:pPr>
        <w:ind w:left="6720"/>
        <w:spacing w:after="0"/>
        <w:tabs>
          <w:tab w:leader="none" w:pos="7220" w:val="left"/>
        </w:tabs>
        <w:rPr>
          <w:sz w:val="20"/>
          <w:szCs w:val="20"/>
          <w:color w:val="auto"/>
        </w:rPr>
      </w:pPr>
      <w:r>
        <w:rPr>
          <w:rFonts w:ascii="Arial" w:cs="Arial" w:eastAsia="Arial" w:hAnsi="Arial"/>
          <w:sz w:val="20"/>
          <w:szCs w:val="20"/>
          <w:color w:val="auto"/>
        </w:rPr>
        <w:t>By:</w:t>
        <w:tab/>
        <w:t>/s/ Christa A. D'Alimonte</w:t>
      </w:r>
    </w:p>
    <w:p>
      <w:pPr>
        <w:spacing w:after="0" w:line="16" w:lineRule="exact"/>
        <w:rPr>
          <w:sz w:val="20"/>
          <w:szCs w:val="20"/>
          <w:color w:val="auto"/>
        </w:rPr>
      </w:pPr>
    </w:p>
    <w:tbl>
      <w:tblPr>
        <w:tblLayout w:type="fixed"/>
        <w:tblInd w:w="7180" w:type="dxa"/>
        <w:tblCellMar>
          <w:top w:w="0" w:type="dxa"/>
          <w:left w:w="0" w:type="dxa"/>
          <w:bottom w:w="0" w:type="dxa"/>
          <w:right w:w="0" w:type="dxa"/>
        </w:tblCellMar>
      </w:tblPr>
      <w:tr>
        <w:trPr>
          <w:trHeight w:val="233"/>
        </w:trPr>
        <w:tc>
          <w:tcPr>
            <w:tcW w:w="7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w:t>
            </w:r>
          </w:p>
        </w:tc>
        <w:tc>
          <w:tcPr>
            <w:tcW w:w="3360" w:type="dxa"/>
            <w:vAlign w:val="bottom"/>
            <w:tcBorders>
              <w:top w:val="single" w:sz="8" w:color="auto"/>
            </w:tcBorders>
          </w:tcPr>
          <w:p>
            <w:pPr>
              <w:ind w:left="160"/>
              <w:spacing w:after="0"/>
              <w:rPr>
                <w:sz w:val="20"/>
                <w:szCs w:val="20"/>
                <w:color w:val="auto"/>
              </w:rPr>
            </w:pPr>
            <w:r>
              <w:rPr>
                <w:rFonts w:ascii="Arial" w:cs="Arial" w:eastAsia="Arial" w:hAnsi="Arial"/>
                <w:sz w:val="20"/>
                <w:szCs w:val="20"/>
                <w:color w:val="auto"/>
              </w:rPr>
              <w:t>Christa A. D'Alimonte</w:t>
            </w:r>
          </w:p>
        </w:tc>
      </w:tr>
      <w:tr>
        <w:trPr>
          <w:trHeight w:val="243"/>
        </w:trPr>
        <w:tc>
          <w:tcPr>
            <w:tcW w:w="700" w:type="dxa"/>
            <w:vAlign w:val="bottom"/>
          </w:tcPr>
          <w:p>
            <w:pPr>
              <w:ind w:left="20"/>
              <w:spacing w:after="0"/>
              <w:rPr>
                <w:sz w:val="20"/>
                <w:szCs w:val="20"/>
                <w:color w:val="auto"/>
              </w:rPr>
            </w:pPr>
            <w:r>
              <w:rPr>
                <w:rFonts w:ascii="Arial" w:cs="Arial" w:eastAsia="Arial" w:hAnsi="Arial"/>
                <w:sz w:val="20"/>
                <w:szCs w:val="20"/>
                <w:color w:val="auto"/>
              </w:rPr>
              <w:t>Title:</w:t>
            </w:r>
          </w:p>
        </w:tc>
        <w:tc>
          <w:tcPr>
            <w:tcW w:w="3360" w:type="dxa"/>
            <w:vAlign w:val="bottom"/>
          </w:tcPr>
          <w:p>
            <w:pPr>
              <w:ind w:left="160"/>
              <w:spacing w:after="0"/>
              <w:rPr>
                <w:sz w:val="20"/>
                <w:szCs w:val="20"/>
                <w:color w:val="auto"/>
              </w:rPr>
            </w:pPr>
            <w:r>
              <w:rPr>
                <w:rFonts w:ascii="Arial" w:cs="Arial" w:eastAsia="Arial" w:hAnsi="Arial"/>
                <w:sz w:val="20"/>
                <w:szCs w:val="20"/>
                <w:color w:val="auto"/>
              </w:rPr>
              <w:t>Executive Vice President,</w:t>
            </w:r>
          </w:p>
        </w:tc>
      </w:tr>
      <w:tr>
        <w:trPr>
          <w:trHeight w:val="250"/>
        </w:trPr>
        <w:tc>
          <w:tcPr>
            <w:tcW w:w="70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20"/>
                <w:szCs w:val="20"/>
                <w:color w:val="auto"/>
              </w:rPr>
              <w:t>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Date: May 14, 2021</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2021-05-14T15:14:34Z</dcterms:created>
  <dcterms:modified xsi:type="dcterms:W3CDTF">2021-05-14T15:14:34Z</dcterms:modified>
</cp:coreProperties>
</file>