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533570d71_sctota.htm"/>
      <w:bookmarkStart w:id="1" w:name="kstm2533570d71_sctota"/>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Tender Offer Statement Pursuant to Section 14(d)(1) or 13(e)(1)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Warner Bros. Discovery,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Subject Company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Prince Sub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direct wholly owned subsidiary of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(Parent of Offeror)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(Names of Filing Persons (identifying status as offeror, issuer or other person))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A Common Stock, par value $0.01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of Class of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934423104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Number of Class of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Makan Delrahim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258-6000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Address and Telephone Number of Person Authorized to Receive Notices and Communications on Behalf of Filing Persons)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With a copy to: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tbl>
      <w:tblPr>
        <w:tblW w:w="5185" w:type="dxa"/>
        <w:jc w:val="left"/>
        <w:tblInd w:w="0" w:type="dxa"/>
        <w:tblLayout w:type="fixed"/>
        <w:tblCellMar>
          <w:top w:w="0" w:type="dxa"/>
          <w:left w:w="0" w:type="dxa"/>
          <w:bottom w:w="0" w:type="dxa"/>
          <w:right w:w="0" w:type="dxa"/>
        </w:tblCellMar>
      </w:tblPr>
      <w:tblGrid>
        <w:gridCol w:w="2690"/>
        <w:gridCol w:w="2495"/>
      </w:tblGrid>
      <w:tr>
        <w:trPr/>
        <w:tc>
          <w:tcPr>
            <w:tcW w:w="26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Faiza J. Saeed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Andrew J. Pitts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Daniel Haaren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J. Cerqueira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Claudia J. Ricciardi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Cravath, Swaine &amp; Moore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Manhattan West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 Ninth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474-1000</w:t>
            </w:r>
          </w:p>
        </w:tc>
        <w:tc>
          <w:tcPr>
            <w:tcW w:w="24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Nussbaum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 Schleusener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Latham &amp; Watkins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1271 Avenue of the Americas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906-1200</w:t>
            </w:r>
          </w:p>
        </w:tc>
      </w:tr>
    </w:tbl>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3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Check the box if the filing relates solely to preliminary communications made before the commencement of a tender offer.</w:t>
            </w:r>
          </w:p>
        </w:tc>
      </w:tr>
    </w:tbl>
    <w:p>
      <w:pPr>
        <w:pStyle w:val="TextBody"/>
        <w:bidi w:val="0"/>
        <w:spacing w:before="0" w:after="0"/>
        <w:ind w:left="0" w:right="0" w:firstLine="1102"/>
        <w:jc w:val="left"/>
        <w:rPr>
          <w:caps w:val="false"/>
          <w:smallCaps w:val="false"/>
        </w:rPr>
      </w:pPr>
      <w:r>
        <w:rPr>
          <w:caps w:val="false"/>
          <w:smallCaps w:val="false"/>
        </w:rPr>
        <w:t> </w:t>
      </w:r>
    </w:p>
    <w:p>
      <w:pPr>
        <w:pStyle w:val="TextBody"/>
        <w:bidi w:val="0"/>
        <w:spacing w:before="0" w:after="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38"/>
        <w:gridCol w:w="23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sz w:val="20"/>
              </w:rPr>
            </w:pPr>
            <w:r>
              <w:rPr>
                <w:sz w:val="20"/>
              </w:rPr>
              <w:t>third-party tender offer subject to Rule 14d-1.</w:t>
            </w:r>
          </w:p>
        </w:tc>
      </w:tr>
    </w:tbl>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3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sz w:val="20"/>
              </w:rPr>
            </w:pPr>
            <w:r>
              <w:rPr>
                <w:sz w:val="20"/>
              </w:rPr>
              <w:t>issuer tender offer subject to Rule 13e-4.</w:t>
            </w:r>
          </w:p>
        </w:tc>
      </w:tr>
    </w:tbl>
    <w:p>
      <w:pPr>
        <w:pStyle w:val="TextBody"/>
        <w:bidi w:val="0"/>
        <w:spacing w:before="0" w:after="0"/>
        <w:ind w:left="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going-private transaction subject to Rule 13e-3.</w:t>
            </w:r>
          </w:p>
        </w:tc>
      </w:tr>
    </w:tbl>
    <w:p>
      <w:pPr>
        <w:pStyle w:val="TextBody"/>
        <w:bidi w:val="0"/>
        <w:spacing w:before="0" w:after="0"/>
        <w:ind w:left="0" w:right="0" w:hanging="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3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sz w:val="20"/>
              </w:rPr>
            </w:pPr>
            <w:r>
              <w:rPr>
                <w:sz w:val="20"/>
              </w:rPr>
              <w:t>amendment to Schedule 13D under Rule 13d-2.</w:t>
            </w:r>
          </w:p>
        </w:tc>
      </w:tr>
    </w:tbl>
    <w:p>
      <w:pPr>
        <w:pStyle w:val="TextBody"/>
        <w:bidi w:val="0"/>
        <w:spacing w:before="0" w:after="0"/>
        <w:ind w:left="0" w:right="0" w:firstLine="1102"/>
        <w:jc w:val="left"/>
        <w:rPr>
          <w:caps w:val="false"/>
          <w:smallCaps w:val="false"/>
        </w:rPr>
      </w:pPr>
      <w:r>
        <w:rPr>
          <w:caps w:val="false"/>
          <w:smallCaps w:val="false"/>
        </w:rPr>
        <w:t> </w:t>
      </w:r>
    </w:p>
    <w:p>
      <w:pPr>
        <w:pStyle w:val="TextBody"/>
        <w:bidi w:val="0"/>
        <w:spacing w:before="0" w:after="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firstLine="1102"/>
        <w:jc w:val="left"/>
        <w:rPr>
          <w:caps w:val="false"/>
          <w:smallCaps w:val="false"/>
        </w:rPr>
      </w:pPr>
      <w:r>
        <w:rPr>
          <w:caps w:val="false"/>
          <w:smallCaps w:val="false"/>
        </w:rPr>
        <w:t> </w:t>
      </w:r>
    </w:p>
    <w:p>
      <w:pPr>
        <w:pStyle w:val="TextBody"/>
        <w:bidi w:val="0"/>
        <w:spacing w:before="0" w:after="0"/>
        <w:ind w:left="0" w:right="0" w:firstLine="11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23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Rule 13e-4(i) (Cross-Border Issuer Tender Offer)</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3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Rule 14d-1(d) (Cross-Border Third-Party Tender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25 to Schedule TO (together with any exhibits and annexes attached hereto, and as it may be amended or supplemented from time to time,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filed by (i) Prince Sub Inc., a Delaware corporation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a direct wholly owned subsidiary of Paramount Skydance Corporation, a Delaware corporation (“</w:t>
      </w:r>
      <w:r>
        <w:rPr>
          <w:rFonts w:ascii="Times New Roman;Times;Serif" w:hAnsi="Times New Roman;Times;Serif"/>
          <w:b/>
          <w:i w:val="false"/>
          <w:caps w:val="false"/>
          <w:smallCaps w:val="false"/>
          <w:sz w:val="20"/>
        </w:rPr>
        <w:t>Paramount</w:t>
      </w:r>
      <w:r>
        <w:rPr>
          <w:rFonts w:ascii="Times New Roman;Times;Serif" w:hAnsi="Times New Roman;Times;Serif"/>
          <w:b w:val="false"/>
          <w:i w:val="false"/>
          <w:caps w:val="false"/>
          <w:smallCaps w:val="false"/>
          <w:sz w:val="20"/>
        </w:rPr>
        <w:t>”), and (ii) Paramount, and amends and supplements the Tender Offer Statement on Schedule TO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December 8, 2025 (together with any amendments and supplements thereto, the “</w:t>
      </w:r>
      <w:r>
        <w:rPr>
          <w:rFonts w:ascii="Times New Roman;Times;Serif" w:hAnsi="Times New Roman;Times;Serif"/>
          <w:b/>
          <w:i w:val="false"/>
          <w:caps w:val="false"/>
          <w:smallCaps w:val="false"/>
          <w:sz w:val="20"/>
        </w:rPr>
        <w:t>Schedule TO</w:t>
      </w:r>
      <w:r>
        <w:rPr>
          <w:rFonts w:ascii="Times New Roman;Times;Serif" w:hAnsi="Times New Roman;Times;Serif"/>
          <w:b w:val="false"/>
          <w:i w:val="false"/>
          <w:caps w:val="false"/>
          <w:smallCaps w:val="false"/>
          <w:sz w:val="20"/>
        </w:rPr>
        <w:t>”)  by the Purchaser and Paramount. This Schedule TO relates to the offer by the Purchaser to purchase all of the outstanding shares of Series A Common Stock, par value $0.01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Warner Bros. Discovery, Inc., a Delaware corporation (“</w:t>
      </w:r>
      <w:r>
        <w:rPr>
          <w:rFonts w:ascii="Times New Roman;Times;Serif" w:hAnsi="Times New Roman;Times;Serif"/>
          <w:b/>
          <w:i w:val="false"/>
          <w:caps w:val="false"/>
          <w:smallCaps w:val="false"/>
          <w:sz w:val="20"/>
        </w:rPr>
        <w:t>Warner Bros.</w:t>
      </w:r>
      <w:r>
        <w:rPr>
          <w:rFonts w:ascii="Times New Roman;Times;Serif" w:hAnsi="Times New Roman;Times;Serif"/>
          <w:b w:val="false"/>
          <w:i w:val="false"/>
          <w:caps w:val="false"/>
          <w:smallCaps w:val="false"/>
          <w:sz w:val="20"/>
        </w:rPr>
        <w:t>”), at $30.00 per share, net to the seller in cash, without interest and less any required withholding taxes, upon the terms and subject to the conditions set forth in the Offer to Purchase, dated December 8, 2025 (as it may be amended or supplemented from time to time, the “</w:t>
      </w:r>
      <w:r>
        <w:rPr>
          <w:rFonts w:ascii="Times New Roman;Times;Serif" w:hAnsi="Times New Roman;Times;Serif"/>
          <w:b/>
          <w:i w:val="false"/>
          <w:caps w:val="false"/>
          <w:smallCaps w:val="false"/>
          <w:sz w:val="20"/>
        </w:rPr>
        <w:t>Offer to Purchase</w:t>
      </w:r>
      <w:r>
        <w:rPr>
          <w:rFonts w:ascii="Times New Roman;Times;Serif" w:hAnsi="Times New Roman;Times;Serif"/>
          <w:b w:val="false"/>
          <w:i w:val="false"/>
          <w:caps w:val="false"/>
          <w:smallCaps w:val="false"/>
          <w:sz w:val="20"/>
        </w:rPr>
        <w:t>”), a copy of which is attached as Exhibit (a)(1)(A) to the Schedule TO filed with the SEC on December 8, 2025, and in the related Letter of Transmittal (as it may be amended or supplemented from time to time, the “</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and together with the Offer to Purchase,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a copy of which is attached as Exhibit (a)(1)(B) to the Schedule TO filed with the SEC on December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 of the Schedule TO is hereby amended and supplemented by adding the following exhibit.</w:t>
      </w:r>
    </w:p>
    <w:tbl>
      <w:tblPr>
        <w:tblW w:w="8125" w:type="dxa"/>
        <w:jc w:val="left"/>
        <w:tblInd w:w="0" w:type="dxa"/>
        <w:tblLayout w:type="fixed"/>
        <w:tblCellMar>
          <w:top w:w="0" w:type="dxa"/>
          <w:left w:w="0" w:type="dxa"/>
          <w:bottom w:w="0" w:type="dxa"/>
          <w:right w:w="0" w:type="dxa"/>
        </w:tblCellMar>
      </w:tblPr>
      <w:tblGrid>
        <w:gridCol w:w="905"/>
        <w:gridCol w:w="60"/>
        <w:gridCol w:w="7160"/>
      </w:tblGrid>
      <w:tr>
        <w:trPr/>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hyperlink w:anchor="tm2533570d71_exa5am.htm">
              <w:r>
                <w:rPr>
                  <w:rStyle w:val="InternetLink"/>
                  <w:sz w:val="20"/>
                </w:rPr>
                <w:t>(a)(5)(AM)</w:t>
              </w:r>
            </w:hyperlink>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hyperlink w:anchor="tm2533570d71_exa5am.htm">
              <w:r>
                <w:rPr>
                  <w:rStyle w:val="InternetLink"/>
                  <w:sz w:val="20"/>
                </w:rPr>
                <w:t>Stockholder letter issued by Paramount Skydance Corporation, dated February 25,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25,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380"/>
        <w:gridCol w:w="701"/>
        <w:gridCol w:w="2823"/>
      </w:tblGrid>
      <w:tr>
        <w:trPr/>
        <w:tc>
          <w:tcPr>
            <w:tcW w:w="75" w:type="dxa"/>
            <w:tcBorders/>
            <w:vAlign w:val="center"/>
          </w:tcPr>
          <w:p>
            <w:pPr>
              <w:pStyle w:val="TableContents"/>
              <w:bidi w:val="0"/>
              <w:spacing w:before="0" w:after="283"/>
              <w:jc w:val="left"/>
              <w:rPr/>
            </w:pPr>
            <w:r>
              <w:rPr/>
              <w:t> </w:t>
            </w:r>
          </w:p>
        </w:tc>
        <w:tc>
          <w:tcPr>
            <w:tcW w:w="3904" w:type="dxa"/>
            <w:gridSpan w:val="3"/>
            <w:tcBorders/>
            <w:vAlign w:val="center"/>
          </w:tcPr>
          <w:p>
            <w:pPr>
              <w:pStyle w:val="TableContents"/>
              <w:bidi w:val="0"/>
              <w:spacing w:before="0" w:after="283"/>
              <w:jc w:val="left"/>
              <w:rPr>
                <w:b/>
                <w:caps/>
                <w:sz w:val="20"/>
              </w:rPr>
            </w:pPr>
            <w:r>
              <w:rPr>
                <w:b/>
                <w:caps/>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904"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both"/>
              <w:rPr>
                <w:sz w:val="20"/>
              </w:rPr>
            </w:pPr>
            <w:r>
              <w:rPr>
                <w:sz w:val="20"/>
              </w:rPr>
              <w:t>By:</w:t>
            </w:r>
          </w:p>
        </w:tc>
        <w:tc>
          <w:tcPr>
            <w:tcW w:w="3524"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Stephanie Kyoko McKinnon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both"/>
              <w:rPr/>
            </w:pPr>
            <w:r>
              <w:rPr/>
              <w:t> </w:t>
            </w:r>
          </w:p>
        </w:tc>
        <w:tc>
          <w:tcPr>
            <w:tcW w:w="701" w:type="dxa"/>
            <w:tcBorders/>
            <w:vAlign w:val="center"/>
          </w:tcPr>
          <w:p>
            <w:pPr>
              <w:pStyle w:val="TableContents"/>
              <w:bidi w:val="0"/>
              <w:spacing w:before="0" w:after="283"/>
              <w:jc w:val="left"/>
              <w:rPr>
                <w:sz w:val="20"/>
              </w:rPr>
            </w:pPr>
            <w:r>
              <w:rPr>
                <w:sz w:val="20"/>
              </w:rPr>
              <w:t xml:space="preserve">Name: </w:t>
            </w:r>
          </w:p>
        </w:tc>
        <w:tc>
          <w:tcPr>
            <w:tcW w:w="2823" w:type="dxa"/>
            <w:tcBorders/>
            <w:vAlign w:val="center"/>
          </w:tcPr>
          <w:p>
            <w:pPr>
              <w:pStyle w:val="TableContents"/>
              <w:bidi w:val="0"/>
              <w:spacing w:before="0" w:after="283"/>
              <w:jc w:val="left"/>
              <w:rPr>
                <w:sz w:val="20"/>
              </w:rPr>
            </w:pPr>
            <w:r>
              <w:rPr>
                <w:sz w:val="20"/>
              </w:rPr>
              <w:t>Stephanie Kyoko McKinnon</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both"/>
              <w:rPr/>
            </w:pPr>
            <w:r>
              <w:rPr/>
              <w:t> </w:t>
            </w:r>
          </w:p>
        </w:tc>
        <w:tc>
          <w:tcPr>
            <w:tcW w:w="701" w:type="dxa"/>
            <w:tcBorders/>
            <w:vAlign w:val="center"/>
          </w:tcPr>
          <w:p>
            <w:pPr>
              <w:pStyle w:val="TableContents"/>
              <w:bidi w:val="0"/>
              <w:spacing w:before="0" w:after="283"/>
              <w:jc w:val="left"/>
              <w:rPr>
                <w:sz w:val="20"/>
              </w:rPr>
            </w:pPr>
            <w:r>
              <w:rPr>
                <w:sz w:val="20"/>
              </w:rPr>
              <w:t xml:space="preserve">Title: </w:t>
            </w:r>
          </w:p>
        </w:tc>
        <w:tc>
          <w:tcPr>
            <w:tcW w:w="2823" w:type="dxa"/>
            <w:tcBorders/>
            <w:vAlign w:val="center"/>
          </w:tcPr>
          <w:p>
            <w:pPr>
              <w:pStyle w:val="TableContents"/>
              <w:bidi w:val="0"/>
              <w:spacing w:before="0" w:after="283"/>
              <w:jc w:val="left"/>
              <w:rPr>
                <w:sz w:val="20"/>
              </w:rPr>
            </w:pPr>
            <w:r>
              <w:rPr>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60" w:type="dxa"/>
        <w:jc w:val="left"/>
        <w:tblInd w:w="0" w:type="dxa"/>
        <w:tblLayout w:type="fixed"/>
        <w:tblCellMar>
          <w:top w:w="0" w:type="dxa"/>
          <w:left w:w="0" w:type="dxa"/>
          <w:bottom w:w="0" w:type="dxa"/>
          <w:right w:w="0" w:type="dxa"/>
        </w:tblCellMar>
      </w:tblPr>
      <w:tblGrid>
        <w:gridCol w:w="75"/>
        <w:gridCol w:w="320"/>
        <w:gridCol w:w="590"/>
        <w:gridCol w:w="2375"/>
      </w:tblGrid>
      <w:tr>
        <w:trPr/>
        <w:tc>
          <w:tcPr>
            <w:tcW w:w="75" w:type="dxa"/>
            <w:tcBorders/>
            <w:vAlign w:val="center"/>
          </w:tcPr>
          <w:p>
            <w:pPr>
              <w:pStyle w:val="TableContents"/>
              <w:bidi w:val="0"/>
              <w:spacing w:before="0" w:after="283"/>
              <w:jc w:val="left"/>
              <w:rPr/>
            </w:pPr>
            <w:r>
              <w:rPr/>
              <w:t> </w:t>
            </w:r>
          </w:p>
        </w:tc>
        <w:tc>
          <w:tcPr>
            <w:tcW w:w="3285" w:type="dxa"/>
            <w:gridSpan w:val="3"/>
            <w:tcBorders/>
            <w:vAlign w:val="center"/>
          </w:tcPr>
          <w:p>
            <w:pPr>
              <w:pStyle w:val="TableContents"/>
              <w:bidi w:val="0"/>
              <w:spacing w:before="0" w:after="283"/>
              <w:jc w:val="left"/>
              <w:rPr>
                <w:b/>
                <w:caps/>
                <w:sz w:val="20"/>
              </w:rPr>
            </w:pPr>
            <w:r>
              <w:rPr>
                <w:b/>
                <w:caps/>
                <w:sz w:val="20"/>
              </w:rPr>
              <w:t xml:space="preserve">Prince sub inc. </w:t>
            </w:r>
          </w:p>
        </w:tc>
      </w:tr>
      <w:tr>
        <w:trPr/>
        <w:tc>
          <w:tcPr>
            <w:tcW w:w="75" w:type="dxa"/>
            <w:tcBorders/>
            <w:vAlign w:val="center"/>
          </w:tcPr>
          <w:p>
            <w:pPr>
              <w:pStyle w:val="TableContents"/>
              <w:bidi w:val="0"/>
              <w:spacing w:before="0" w:after="283"/>
              <w:jc w:val="left"/>
              <w:rPr/>
            </w:pPr>
            <w:r>
              <w:rPr/>
              <w:t> </w:t>
            </w:r>
          </w:p>
        </w:tc>
        <w:tc>
          <w:tcPr>
            <w:tcW w:w="3285" w:type="dxa"/>
            <w:gridSpan w:val="3"/>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296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Stephanie Kyoko McKinnon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375" w:type="dxa"/>
            <w:tcBorders/>
            <w:vAlign w:val="center"/>
          </w:tcPr>
          <w:p>
            <w:pPr>
              <w:pStyle w:val="TableContents"/>
              <w:bidi w:val="0"/>
              <w:spacing w:before="0" w:after="283"/>
              <w:jc w:val="left"/>
              <w:rPr>
                <w:sz w:val="20"/>
              </w:rPr>
            </w:pPr>
            <w:r>
              <w:rPr>
                <w:sz w:val="20"/>
              </w:rPr>
              <w:t>Stephanie Kyoko McKinnon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2375" w:type="dxa"/>
            <w:tcBorders/>
            <w:vAlign w:val="center"/>
          </w:tcPr>
          <w:p>
            <w:pPr>
              <w:pStyle w:val="TableContents"/>
              <w:bidi w:val="0"/>
              <w:spacing w:before="0" w:after="283"/>
              <w:jc w:val="left"/>
              <w:rPr>
                <w:sz w:val="20"/>
              </w:rPr>
            </w:pPr>
            <w:r>
              <w:rPr>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INDEX </w:t>
      </w:r>
    </w:p>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28" w:type="dxa"/>
          <w:right w:w="0" w:type="dxa"/>
        </w:tblCellMar>
      </w:tblPr>
      <w:tblGrid>
        <w:gridCol w:w="905"/>
        <w:gridCol w:w="60"/>
        <w:gridCol w:w="7160"/>
      </w:tblGrid>
      <w:tr>
        <w:trPr/>
        <w:tc>
          <w:tcPr>
            <w:tcW w:w="905" w:type="dxa"/>
            <w:tcBorders>
              <w:bottom w:val="single" w:sz="8" w:space="0" w:color="000000"/>
            </w:tcBorders>
            <w:vAlign w:val="center"/>
          </w:tcPr>
          <w:p>
            <w:pPr>
              <w:pStyle w:val="TableContents"/>
              <w:bidi w:val="0"/>
              <w:spacing w:before="0" w:after="283"/>
              <w:jc w:val="center"/>
              <w:rPr>
                <w:b/>
                <w:i/>
                <w:sz w:val="20"/>
              </w:rPr>
            </w:pPr>
            <w:r>
              <w:rPr>
                <w:b/>
                <w:i/>
                <w:sz w:val="20"/>
              </w:rPr>
              <w:t>Index No.</w:t>
            </w:r>
          </w:p>
        </w:tc>
        <w:tc>
          <w:tcPr>
            <w:tcW w:w="60" w:type="dxa"/>
            <w:tcBorders/>
            <w:tcMar>
              <w:bottom w:w="0" w:type="dxa"/>
            </w:tcMar>
            <w:vAlign w:val="center"/>
          </w:tcPr>
          <w:p>
            <w:pPr>
              <w:pStyle w:val="TableContents"/>
              <w:bidi w:val="0"/>
              <w:spacing w:before="0" w:after="283"/>
              <w:jc w:val="left"/>
              <w:rPr/>
            </w:pPr>
            <w:r>
              <w:rPr/>
              <w:t> </w:t>
            </w:r>
          </w:p>
        </w:tc>
        <w:tc>
          <w:tcPr>
            <w:tcW w:w="7160" w:type="dxa"/>
            <w:tcBorders>
              <w:bottom w:val="single" w:sz="8" w:space="0" w:color="000000"/>
            </w:tcBorders>
            <w:vAlign w:val="center"/>
          </w:tcPr>
          <w:p>
            <w:pPr>
              <w:pStyle w:val="TableContents"/>
              <w:bidi w:val="0"/>
              <w:spacing w:before="0" w:after="283"/>
              <w:jc w:val="left"/>
              <w:rPr/>
            </w:pPr>
            <w:r>
              <w:rPr/>
              <w:t> </w:t>
            </w:r>
          </w:p>
        </w:tc>
      </w:tr>
      <w:tr>
        <w:trPr/>
        <w:tc>
          <w:tcPr>
            <w:tcW w:w="905" w:type="dxa"/>
            <w:tcBorders/>
            <w:tcMar>
              <w:bottom w:w="0" w:type="dxa"/>
            </w:tcMar>
            <w:vAlign w:val="center"/>
          </w:tcPr>
          <w:p>
            <w:pPr>
              <w:pStyle w:val="TableContents"/>
              <w:bidi w:val="0"/>
              <w:spacing w:before="0" w:after="283"/>
              <w:jc w:val="left"/>
              <w:rPr/>
            </w:pPr>
            <w:r>
              <w:rPr/>
              <w:t> </w:t>
            </w:r>
          </w:p>
        </w:tc>
        <w:tc>
          <w:tcPr>
            <w:tcW w:w="7220" w:type="dxa"/>
            <w:gridSpan w:val="2"/>
            <w:tcBorders/>
            <w:tcMar>
              <w:bottom w:w="0" w:type="dxa"/>
            </w:tcMar>
            <w:vAlign w:val="center"/>
          </w:tcPr>
          <w:p>
            <w:pPr>
              <w:pStyle w:val="TableContents"/>
              <w:bidi w:val="0"/>
              <w:spacing w:before="0" w:after="283"/>
              <w:jc w:val="left"/>
              <w:rPr/>
            </w:pPr>
            <w:r>
              <w:rPr/>
              <w:t> </w:t>
            </w:r>
          </w:p>
        </w:tc>
      </w:tr>
      <w:tr>
        <w:trPr/>
        <w:tc>
          <w:tcPr>
            <w:tcW w:w="905" w:type="dxa"/>
            <w:tcBorders/>
            <w:tcMar>
              <w:bottom w:w="0" w:type="dxa"/>
            </w:tcMar>
            <w:vAlign w:val="center"/>
          </w:tcPr>
          <w:p>
            <w:pPr>
              <w:pStyle w:val="TableContents"/>
              <w:bidi w:val="0"/>
              <w:spacing w:before="0" w:after="283"/>
              <w:jc w:val="left"/>
              <w:rPr/>
            </w:pPr>
            <w:hyperlink w:anchor="tm2533570d71_exa5am.htm">
              <w:r>
                <w:rPr>
                  <w:rStyle w:val="InternetLink"/>
                  <w:sz w:val="20"/>
                </w:rPr>
                <w:t>(a)(5)(AM)</w:t>
              </w:r>
            </w:hyperlink>
          </w:p>
        </w:tc>
        <w:tc>
          <w:tcPr>
            <w:tcW w:w="60" w:type="dxa"/>
            <w:tcBorders/>
            <w:tcMar>
              <w:bottom w:w="0" w:type="dxa"/>
            </w:tcMar>
            <w:vAlign w:val="center"/>
          </w:tcPr>
          <w:p>
            <w:pPr>
              <w:pStyle w:val="TableContents"/>
              <w:bidi w:val="0"/>
              <w:spacing w:before="0" w:after="283"/>
              <w:jc w:val="left"/>
              <w:rPr/>
            </w:pPr>
            <w:r>
              <w:rPr/>
              <w:t> </w:t>
            </w:r>
          </w:p>
        </w:tc>
        <w:tc>
          <w:tcPr>
            <w:tcW w:w="7160" w:type="dxa"/>
            <w:tcBorders/>
            <w:tcMar>
              <w:bottom w:w="0" w:type="dxa"/>
            </w:tcMar>
            <w:vAlign w:val="center"/>
          </w:tcPr>
          <w:p>
            <w:pPr>
              <w:pStyle w:val="TableContents"/>
              <w:bidi w:val="0"/>
              <w:spacing w:before="0" w:after="283"/>
              <w:jc w:val="left"/>
              <w:rPr/>
            </w:pPr>
            <w:hyperlink w:anchor="tm2533570d71_exa5am.htm">
              <w:r>
                <w:rPr>
                  <w:rStyle w:val="InternetLink"/>
                  <w:sz w:val="20"/>
                </w:rPr>
                <w:t>Stockholder letter issued by Paramount Skydance Corporation, dated February 25,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tm2533570d71_exa5am.htm"/>
      <w:bookmarkStart w:id="3" w:name="kstm2533570d71_exa5am"/>
      <w:bookmarkEnd w:id="2"/>
      <w:bookmarkEnd w:id="3"/>
      <w:r>
        <w:rPr>
          <w:rFonts w:ascii="Times New Roman;Times;Serif" w:hAnsi="Times New Roman;Times;Serif"/>
          <w:b/>
          <w:i w:val="false"/>
          <w:caps w:val="false"/>
          <w:smallCaps w:val="false"/>
          <w:sz w:val="20"/>
        </w:rPr>
        <w:t>Exhibit (a)(5)(AM)</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971675" cy="1485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1485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Points: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For 2026, we continue to expect total revenue of $30 billion, representing 4% year-over-year growth, with DTC being the primary driver, and Adj. EBITDA</w:t>
            </w:r>
            <w:r>
              <w:rPr>
                <w:position w:val="7"/>
                <w:sz w:val="16"/>
                <w:sz w:val="20"/>
              </w:rPr>
              <w:t>1</w:t>
            </w:r>
            <w:r>
              <w:rPr/>
              <w:t xml:space="preserve"> of $3.8 billion.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DTC revenue grew 10% year-over-year in Q4, fueled by 17% growth at Paramount+, and we expect acceleration into 2026, driven by continued investment in premium storytelling, including: the UFC, </w:t>
            </w:r>
            <w:r>
              <w:rPr>
                <w:i/>
              </w:rPr>
              <w:t>Marshals</w:t>
            </w:r>
            <w:r>
              <w:rPr/>
              <w:t xml:space="preserve">, </w:t>
            </w:r>
            <w:r>
              <w:rPr>
                <w:i/>
              </w:rPr>
              <w:t>The Madison</w:t>
            </w:r>
            <w:r>
              <w:rPr/>
              <w:t xml:space="preserve">, </w:t>
            </w:r>
            <w:r>
              <w:rPr>
                <w:i/>
              </w:rPr>
              <w:t>The Agency</w:t>
            </w:r>
            <w:r>
              <w:rPr/>
              <w:t xml:space="preserve">, </w:t>
            </w:r>
            <w:r>
              <w:rPr>
                <w:i/>
              </w:rPr>
              <w:t>Star Trek: Strange New Worlds</w:t>
            </w:r>
            <w:r>
              <w:rPr/>
              <w:t>, and more; we ended the year with 79 million paid subscribers.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Through our “Paramount One” initiative, we are activating the full strength of our platforms to amplify priority campaigns and tentpole events as demonstrated by the hugely successful launch of the UFC on Paramount+ in January.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are firmly on track to deliver at least $3 billion in efficiencies through 2027, with more than $2.5 billion in run-rate efficiencies expected by the end of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We are making focused investments in technology and innovation across our streaming business to enhance our product and overall offering, recognizing that sustainable growth is driven not only by what audiences watch, but by the quality of the end-to-end user experience.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Fellow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we launched the new Paramount with three North Star priorities: 1) investing in our growth businesses anchored by our creative engines and exceptional storytelling; 2) scaling our direct-to-consumer business globally; and 3) driving efficiency enterprise-wide with a focus on long-term free cash flow generation. Over the past six months, we have made meaningful progress across each of these areas and remain confident in the path we’ve set to transform this storied company for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Supercharging Our Creative Engine</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storytelling company our mission is to entertain audiences around the world with the best films, television series, sports, news, and games. We continue to advance this mission by expanding our world-class roster of talent, strengthening our creative engines, and building a stronger slate across film, television, and streaming. We firmly believe that human talent and ingenuity will continue to be the driving factor in creating amazing stories, and with the innovation we’re seeing in AI today, our goal is to provide storytellers the best tools available to help bring their ideas to life. At the same time, we’re ardent defenders of intellectual property rights, as evidenced by our prompt cease-and-desist to prevent the use of our intellectual property (IP) in the content Seedance 2.0 creates.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measures are detailed in the Supplemental Disclosures at the end of this letter.</w:t>
      </w:r>
    </w:p>
    <w:tbl>
      <w:tblPr>
        <w:tblW w:w="230" w:type="dxa"/>
        <w:jc w:val="left"/>
        <w:tblInd w:w="0" w:type="dxa"/>
        <w:tblLayout w:type="fixed"/>
        <w:tblCellMar>
          <w:top w:w="0" w:type="dxa"/>
          <w:left w:w="0" w:type="dxa"/>
          <w:bottom w:w="0" w:type="dxa"/>
          <w:right w:w="0" w:type="dxa"/>
        </w:tblCellMar>
      </w:tblPr>
      <w:tblGrid>
        <w:gridCol w:w="75"/>
        <w:gridCol w:w="15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ambition is to be </w:t>
      </w:r>
      <w:r>
        <w:rPr>
          <w:rFonts w:ascii="Times New Roman;Times;Serif" w:hAnsi="Times New Roman;Times;Serif"/>
          <w:b w:val="false"/>
          <w:i/>
          <w:caps w:val="false"/>
          <w:smallCaps w:val="false"/>
          <w:sz w:val="20"/>
        </w:rPr>
        <w:t>the</w:t>
      </w:r>
      <w:r>
        <w:rPr>
          <w:rFonts w:ascii="Times New Roman;Times;Serif" w:hAnsi="Times New Roman;Times;Serif"/>
          <w:b w:val="false"/>
          <w:i w:val="false"/>
          <w:caps w:val="false"/>
          <w:smallCaps w:val="false"/>
          <w:sz w:val="20"/>
        </w:rPr>
        <w:t xml:space="preserve"> home for the industry’s leading talent, both in front of and behind the camera. To that end, we have welcomed a growing roster of exceptional creatives - and we are incredibly grateful to them and all of the directors, producers, writers, editors and crew whose talent and dedication drive our success every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we signed a first-look, three-year film and TV producing deal with </w:t>
      </w:r>
      <w:r>
        <w:rPr>
          <w:rFonts w:ascii="Times New Roman;Times;Serif" w:hAnsi="Times New Roman;Times;Serif"/>
          <w:b/>
          <w:i w:val="false"/>
          <w:caps w:val="false"/>
          <w:smallCaps w:val="false"/>
          <w:sz w:val="20"/>
        </w:rPr>
        <w:t>Jon M. Chu</w:t>
      </w:r>
      <w:r>
        <w:rPr>
          <w:rFonts w:ascii="Times New Roman;Times;Serif" w:hAnsi="Times New Roman;Times;Serif"/>
          <w:b w:val="false"/>
          <w:i w:val="false"/>
          <w:caps w:val="false"/>
          <w:smallCaps w:val="false"/>
          <w:sz w:val="20"/>
        </w:rPr>
        <w:t xml:space="preserve">, whose films include </w:t>
      </w:r>
      <w:r>
        <w:rPr>
          <w:rFonts w:ascii="Times New Roman;Times;Serif" w:hAnsi="Times New Roman;Times;Serif"/>
          <w:b w:val="false"/>
          <w:i/>
          <w:caps w:val="false"/>
          <w:smallCaps w:val="false"/>
          <w:sz w:val="20"/>
        </w:rPr>
        <w:t>Wicked: For Good</w:t>
      </w:r>
      <w:r>
        <w:rPr>
          <w:rFonts w:ascii="Times New Roman;Times;Serif" w:hAnsi="Times New Roman;Times;Serif"/>
          <w:b w:val="false"/>
          <w:i w:val="false"/>
          <w:caps w:val="false"/>
          <w:smallCaps w:val="false"/>
          <w:sz w:val="20"/>
        </w:rPr>
        <w:t xml:space="preserve">, which saw the biggest global opening ever for a movie based on a Broadway show, </w:t>
      </w:r>
      <w:r>
        <w:rPr>
          <w:rFonts w:ascii="Times New Roman;Times;Serif" w:hAnsi="Times New Roman;Times;Serif"/>
          <w:b w:val="false"/>
          <w:i/>
          <w:caps w:val="false"/>
          <w:smallCaps w:val="false"/>
          <w:sz w:val="20"/>
        </w:rPr>
        <w:t>Crazy Rich Asians</w:t>
      </w:r>
      <w:r>
        <w:rPr>
          <w:rFonts w:ascii="Times New Roman;Times;Serif" w:hAnsi="Times New Roman;Times;Serif"/>
          <w:b w:val="false"/>
          <w:i w:val="false"/>
          <w:caps w:val="false"/>
          <w:smallCaps w:val="false"/>
          <w:sz w:val="20"/>
        </w:rPr>
        <w:t xml:space="preserve">, the highest-grossing romantic comedy in nearly a decade, and many others. We signed a multi-year first-look film and TV producing deal with </w:t>
      </w:r>
      <w:r>
        <w:rPr>
          <w:rFonts w:ascii="Times New Roman;Times;Serif" w:hAnsi="Times New Roman;Times;Serif"/>
          <w:b/>
          <w:i w:val="false"/>
          <w:caps w:val="false"/>
          <w:smallCaps w:val="false"/>
          <w:sz w:val="20"/>
        </w:rPr>
        <w:t>Issa Rae</w:t>
      </w:r>
      <w:r>
        <w:rPr>
          <w:rFonts w:ascii="Times New Roman;Times;Serif" w:hAnsi="Times New Roman;Times;Serif"/>
          <w:b w:val="false"/>
          <w:i w:val="false"/>
          <w:caps w:val="false"/>
          <w:smallCaps w:val="false"/>
          <w:sz w:val="20"/>
        </w:rPr>
        <w:t xml:space="preserve">, the creator of </w:t>
      </w:r>
      <w:r>
        <w:rPr>
          <w:rFonts w:ascii="Times New Roman;Times;Serif" w:hAnsi="Times New Roman;Times;Serif"/>
          <w:b w:val="false"/>
          <w:i/>
          <w:caps w:val="false"/>
          <w:smallCaps w:val="false"/>
          <w:sz w:val="20"/>
        </w:rPr>
        <w:t>Insecure</w:t>
      </w:r>
      <w:r>
        <w:rPr>
          <w:rFonts w:ascii="Times New Roman;Times;Serif" w:hAnsi="Times New Roman;Times;Serif"/>
          <w:b w:val="false"/>
          <w:i w:val="false"/>
          <w:caps w:val="false"/>
          <w:smallCaps w:val="false"/>
          <w:sz w:val="20"/>
        </w:rPr>
        <w:t xml:space="preserve">. And most recently, Paramount Pictures signed a three-year first-look directing and producing deal with filmmaker </w:t>
      </w:r>
      <w:r>
        <w:rPr>
          <w:rFonts w:ascii="Times New Roman;Times;Serif" w:hAnsi="Times New Roman;Times;Serif"/>
          <w:b/>
          <w:i w:val="false"/>
          <w:caps w:val="false"/>
          <w:smallCaps w:val="false"/>
          <w:sz w:val="20"/>
        </w:rPr>
        <w:t>Dan Trachtenberg</w:t>
      </w:r>
      <w:r>
        <w:rPr>
          <w:rFonts w:ascii="Times New Roman;Times;Serif" w:hAnsi="Times New Roman;Times;Serif"/>
          <w:b w:val="false"/>
          <w:i w:val="false"/>
          <w:caps w:val="false"/>
          <w:smallCaps w:val="false"/>
          <w:sz w:val="20"/>
        </w:rPr>
        <w:t xml:space="preserve">, best known for the hit sci-fi thriller </w:t>
      </w:r>
      <w:r>
        <w:rPr>
          <w:rFonts w:ascii="Times New Roman;Times;Serif" w:hAnsi="Times New Roman;Times;Serif"/>
          <w:b w:val="false"/>
          <w:i/>
          <w:caps w:val="false"/>
          <w:smallCaps w:val="false"/>
          <w:sz w:val="20"/>
        </w:rPr>
        <w:t xml:space="preserve">10 Cloverfield Lane </w:t>
      </w:r>
      <w:r>
        <w:rPr>
          <w:rFonts w:ascii="Times New Roman;Times;Serif" w:hAnsi="Times New Roman;Times;Serif"/>
          <w:b w:val="false"/>
          <w:i w:val="false"/>
          <w:caps w:val="false"/>
          <w:smallCaps w:val="false"/>
          <w:sz w:val="20"/>
        </w:rPr>
        <w:t xml:space="preserve">and for revitalizing the </w:t>
      </w:r>
      <w:r>
        <w:rPr>
          <w:rFonts w:ascii="Times New Roman;Times;Serif" w:hAnsi="Times New Roman;Times;Serif"/>
          <w:b w:val="false"/>
          <w:i/>
          <w:caps w:val="false"/>
          <w:smallCaps w:val="false"/>
          <w:sz w:val="20"/>
        </w:rPr>
        <w:t>Predator</w:t>
      </w:r>
      <w:r>
        <w:rPr>
          <w:rFonts w:ascii="Times New Roman;Times;Serif" w:hAnsi="Times New Roman;Times;Serif"/>
          <w:b w:val="false"/>
          <w:i w:val="false"/>
          <w:caps w:val="false"/>
          <w:smallCaps w:val="false"/>
          <w:sz w:val="20"/>
        </w:rPr>
        <w:t xml:space="preserve"> franchise. Paramount Television Studios also signed an overall deal with </w:t>
      </w:r>
      <w:r>
        <w:rPr>
          <w:rFonts w:ascii="Times New Roman;Times;Serif" w:hAnsi="Times New Roman;Times;Serif"/>
          <w:b/>
          <w:i w:val="false"/>
          <w:caps w:val="false"/>
          <w:smallCaps w:val="false"/>
          <w:sz w:val="20"/>
        </w:rPr>
        <w:t xml:space="preserve">Ashley Lyle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Bart Nickerson</w:t>
      </w:r>
      <w:r>
        <w:rPr>
          <w:rFonts w:ascii="Times New Roman;Times;Serif" w:hAnsi="Times New Roman;Times;Serif"/>
          <w:b w:val="false"/>
          <w:i w:val="false"/>
          <w:caps w:val="false"/>
          <w:smallCaps w:val="false"/>
          <w:sz w:val="20"/>
        </w:rPr>
        <w:t xml:space="preserve">, the creative forces behind the </w:t>
      </w:r>
      <w:r>
        <w:rPr>
          <w:rFonts w:ascii="Times New Roman;Times;Serif" w:hAnsi="Times New Roman;Times;Serif"/>
          <w:b w:val="false"/>
          <w:i/>
          <w:caps w:val="false"/>
          <w:smallCaps w:val="false"/>
          <w:sz w:val="20"/>
        </w:rPr>
        <w:t>Yellowjackets</w:t>
      </w:r>
      <w:r>
        <w:rPr>
          <w:rFonts w:ascii="Times New Roman;Times;Serif" w:hAnsi="Times New Roman;Times;Serif"/>
          <w:b w:val="false"/>
          <w:i w:val="false"/>
          <w:caps w:val="false"/>
          <w:smallCaps w:val="false"/>
          <w:sz w:val="20"/>
        </w:rPr>
        <w:t xml:space="preserv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Paramount’s commitment to delivering quality storytelling that will resonate with audiences worldwide and drive sustainable growth is also reflected in our increased output, with 11 films and 11 new series greenlit since August. We have 15+ films currently dated for 2026 – up from 8 releases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Among them </w:t>
      </w:r>
      <w:r>
        <w:rPr>
          <w:rFonts w:ascii="Times New Roman;Times;Serif" w:hAnsi="Times New Roman;Times;Serif"/>
          <w:b w:val="false"/>
          <w:i w:val="false"/>
          <w:caps w:val="false"/>
          <w:smallCaps w:val="false"/>
          <w:sz w:val="20"/>
          <w:shd w:fill="FFFFFF" w:val="clear"/>
        </w:rPr>
        <w:t xml:space="preserve">are: the seventh installment of the </w:t>
      </w:r>
      <w:r>
        <w:rPr>
          <w:rFonts w:ascii="Times New Roman;Times;Serif" w:hAnsi="Times New Roman;Times;Serif"/>
          <w:b/>
          <w:i/>
          <w:caps w:val="false"/>
          <w:smallCaps w:val="false"/>
          <w:sz w:val="20"/>
        </w:rPr>
        <w:t>Scream</w:t>
      </w:r>
      <w:r>
        <w:rPr>
          <w:rFonts w:ascii="Times New Roman;Times;Serif" w:hAnsi="Times New Roman;Times;Serif"/>
          <w:b w:val="false"/>
          <w:i w:val="false"/>
          <w:caps w:val="false"/>
          <w:smallCaps w:val="false"/>
          <w:sz w:val="20"/>
          <w:shd w:fill="FFFFFF" w:val="clear"/>
        </w:rPr>
        <w:t> franchise, premiering in theaters February 27; concert film </w:t>
      </w:r>
      <w:r>
        <w:rPr>
          <w:rFonts w:ascii="Times New Roman;Times;Serif" w:hAnsi="Times New Roman;Times;Serif"/>
          <w:b/>
          <w:i/>
          <w:caps w:val="false"/>
          <w:smallCaps w:val="false"/>
          <w:sz w:val="20"/>
        </w:rPr>
        <w:t>Billie Eilish – HIT ME HARD AND SOFT – THE TOUR (LIVE IN 3D)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shd w:fill="FFFFFF" w:val="clear"/>
        </w:rPr>
        <w:t>directed by James Cameron and Eilish; </w:t>
      </w:r>
      <w:r>
        <w:rPr>
          <w:rFonts w:ascii="Times New Roman;Times;Serif" w:hAnsi="Times New Roman;Times;Serif"/>
          <w:b/>
          <w:i/>
          <w:caps w:val="false"/>
          <w:smallCaps w:val="false"/>
          <w:sz w:val="20"/>
        </w:rPr>
        <w:t>Scary Movie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shd w:fill="FFFFFF" w:val="clear"/>
        </w:rPr>
        <w:t xml:space="preserve"> part of Paramount’s first-look deal with Miramax; an </w:t>
      </w:r>
      <w:r>
        <w:rPr>
          <w:rFonts w:ascii="Times New Roman;Times;Serif" w:hAnsi="Times New Roman;Times;Serif"/>
          <w:b/>
          <w:i/>
          <w:caps w:val="false"/>
          <w:smallCaps w:val="false"/>
          <w:sz w:val="20"/>
        </w:rPr>
        <w:t>Untitled Jackass Film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with Johnny Knoxville; </w:t>
      </w:r>
      <w:r>
        <w:rPr>
          <w:rFonts w:ascii="Times New Roman;Times;Serif" w:hAnsi="Times New Roman;Times;Serif"/>
          <w:b/>
          <w:i/>
          <w:caps w:val="false"/>
          <w:smallCaps w:val="false"/>
          <w:sz w:val="20"/>
        </w:rPr>
        <w:t>PAW Patrol: The Dino Movie</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shd w:fill="FFFFFF" w:val="clear"/>
        </w:rPr>
        <w:t>the third film installment of the hit franchise; </w:t>
      </w:r>
      <w:r>
        <w:rPr>
          <w:rFonts w:ascii="Times New Roman;Times;Serif" w:hAnsi="Times New Roman;Times;Serif"/>
          <w:b/>
          <w:i/>
          <w:caps w:val="false"/>
          <w:smallCaps w:val="false"/>
          <w:sz w:val="20"/>
        </w:rPr>
        <w:t>Ebenezer: A Christmas Carol</w:t>
      </w:r>
      <w:r>
        <w:rPr>
          <w:rFonts w:ascii="Times New Roman;Times;Serif" w:hAnsi="Times New Roman;Times;Serif"/>
          <w:b/>
          <w:i/>
          <w:caps w:val="false"/>
          <w:smallCaps w:val="false"/>
          <w:sz w:val="20"/>
          <w:shd w:fill="FFFFFF" w:val="clear"/>
        </w:rPr>
        <w:t> </w:t>
      </w:r>
      <w:r>
        <w:rPr>
          <w:rFonts w:ascii="Times New Roman;Times;Serif" w:hAnsi="Times New Roman;Times;Serif"/>
          <w:b w:val="false"/>
          <w:i w:val="false"/>
          <w:caps w:val="false"/>
          <w:smallCaps w:val="false"/>
          <w:sz w:val="20"/>
          <w:shd w:fill="FFFFFF" w:val="clear"/>
        </w:rPr>
        <w:t xml:space="preserve">starring Johnny Depp; </w:t>
      </w:r>
      <w:r>
        <w:rPr>
          <w:rFonts w:ascii="Times New Roman;Times;Serif" w:hAnsi="Times New Roman;Times;Serif"/>
          <w:b/>
          <w:i/>
          <w:caps w:val="false"/>
          <w:smallCaps w:val="false"/>
          <w:sz w:val="20"/>
        </w:rPr>
        <w:t>Street Fighter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shd w:fill="FFFFFF" w:val="clear"/>
        </w:rPr>
        <w:t xml:space="preserve"> in partnership with Legendary Entertainment; the </w:t>
      </w:r>
      <w:r>
        <w:rPr>
          <w:rFonts w:ascii="Times New Roman;Times;Serif" w:hAnsi="Times New Roman;Times;Serif"/>
          <w:b/>
          <w:i/>
          <w:caps w:val="false"/>
          <w:smallCaps w:val="false"/>
          <w:sz w:val="20"/>
        </w:rPr>
        <w:t>Untitled John Tuggle Project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starring David Corenswet and Isabel May; and Gina Prince-Bythewood’s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Children of Blood and Bone</w:t>
      </w:r>
      <w:r>
        <w:rPr>
          <w:rFonts w:ascii="Times New Roman;Times;Serif" w:hAnsi="Times New Roman;Times;Serif"/>
          <w:b w:val="false"/>
          <w:i w:val="false"/>
          <w:caps w:val="false"/>
          <w:smallCaps w:val="false"/>
          <w:sz w:val="20"/>
          <w:shd w:fill="FFFFFF" w:val="clear"/>
        </w:rPr>
        <w:t xml:space="preserve">, based on the best-selling YA book series.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will continue to build our slate into 2027 and beyond, including a new, untitled James Wan/Jason Blum/Oren Peli </w:t>
      </w:r>
      <w:r>
        <w:rPr>
          <w:rFonts w:ascii="Times New Roman;Times;Serif" w:hAnsi="Times New Roman;Times;Serif"/>
          <w:b/>
          <w:i/>
          <w:caps w:val="false"/>
          <w:smallCaps w:val="false"/>
          <w:sz w:val="20"/>
        </w:rPr>
        <w:t>Paranormal Activity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movie; the third installment of the </w:t>
      </w:r>
      <w:r>
        <w:rPr>
          <w:rFonts w:ascii="Times New Roman;Times;Serif" w:hAnsi="Times New Roman;Times;Serif"/>
          <w:b/>
          <w:i/>
          <w:caps w:val="false"/>
          <w:smallCaps w:val="false"/>
          <w:sz w:val="20"/>
        </w:rPr>
        <w:t>A Quiet Place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 xml:space="preserve">franchise; </w:t>
      </w:r>
      <w:r>
        <w:rPr>
          <w:rFonts w:ascii="Times New Roman;Times;Serif" w:hAnsi="Times New Roman;Times;Serif"/>
          <w:b/>
          <w:i/>
          <w:caps w:val="false"/>
          <w:smallCaps w:val="false"/>
          <w:sz w:val="20"/>
        </w:rPr>
        <w:t>Sonic the Hedgehog 4</w:t>
      </w:r>
      <w:r>
        <w:rPr>
          <w:rFonts w:ascii="Times New Roman;Times;Serif" w:hAnsi="Times New Roman;Times;Serif"/>
          <w:b w:val="false"/>
          <w:i w:val="false"/>
          <w:caps w:val="false"/>
          <w:smallCaps w:val="false"/>
          <w:sz w:val="20"/>
          <w:shd w:fill="FFFFFF" w:val="clear"/>
        </w:rPr>
        <w:t xml:space="preserve">, in partnership with SEGA; and a forthcoming </w:t>
      </w:r>
      <w:r>
        <w:rPr>
          <w:rFonts w:ascii="Times New Roman;Times;Serif" w:hAnsi="Times New Roman;Times;Serif"/>
          <w:b/>
          <w:i/>
          <w:caps w:val="false"/>
          <w:smallCaps w:val="false"/>
          <w:sz w:val="20"/>
        </w:rPr>
        <w:t>Call of Duty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film adaptation in partnership with Activision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Paramount Television Studios’ upcoming series debuts include Taylor Sheridan’s newest creations, </w:t>
      </w:r>
      <w:r>
        <w:rPr>
          <w:rFonts w:ascii="Times New Roman;Times;Serif" w:hAnsi="Times New Roman;Times;Serif"/>
          <w:b/>
          <w:i/>
          <w:caps w:val="false"/>
          <w:smallCaps w:val="false"/>
          <w:sz w:val="20"/>
        </w:rPr>
        <w:t>Marshals</w:t>
      </w:r>
      <w:r>
        <w:rPr>
          <w:rFonts w:ascii="Times New Roman;Times;Serif" w:hAnsi="Times New Roman;Times;Serif"/>
          <w:b w:val="false"/>
          <w:i w:val="false"/>
          <w:caps w:val="false"/>
          <w:smallCaps w:val="false"/>
          <w:sz w:val="20"/>
          <w:shd w:fill="FFFFFF" w:val="clear"/>
        </w:rPr>
        <w:t xml:space="preserve">, which premieres on CBS on March 1 and will be on Paramount+ the next day in the U.S. and first-run in </w:t>
      </w:r>
      <w:r>
        <w:rPr>
          <w:rFonts w:ascii="Times New Roman;Times;Serif" w:hAnsi="Times New Roman;Times;Serif"/>
          <w:b w:val="false"/>
          <w:i w:val="false"/>
          <w:caps w:val="false"/>
          <w:smallCaps w:val="false"/>
          <w:sz w:val="20"/>
        </w:rPr>
        <w:t xml:space="preserve">many </w:t>
      </w:r>
      <w:r>
        <w:rPr>
          <w:rFonts w:ascii="Times New Roman;Times;Serif" w:hAnsi="Times New Roman;Times;Serif"/>
          <w:b w:val="false"/>
          <w:i w:val="false"/>
          <w:caps w:val="false"/>
          <w:smallCaps w:val="false"/>
          <w:sz w:val="20"/>
          <w:shd w:fill="FFFFFF" w:val="clear"/>
        </w:rPr>
        <w:t xml:space="preserve">international markets, and </w:t>
      </w:r>
      <w:r>
        <w:rPr>
          <w:rFonts w:ascii="Times New Roman;Times;Serif" w:hAnsi="Times New Roman;Times;Serif"/>
          <w:b/>
          <w:i/>
          <w:caps w:val="false"/>
          <w:smallCaps w:val="false"/>
          <w:sz w:val="20"/>
        </w:rPr>
        <w:t>The Madison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starring Michelle Pfeiffer and Kurt Russell, also debuting on Paramount+ on March 14. These join season five of fan favorite </w:t>
      </w:r>
      <w:r>
        <w:rPr>
          <w:rFonts w:ascii="Times New Roman;Times;Serif" w:hAnsi="Times New Roman;Times;Serif"/>
          <w:b/>
          <w:i/>
          <w:caps w:val="false"/>
          <w:smallCaps w:val="false"/>
          <w:sz w:val="20"/>
          <w:shd w:fill="FFFFFF" w:val="clear"/>
        </w:rPr>
        <w:t>Emily in Paris</w:t>
      </w:r>
      <w:r>
        <w:rPr>
          <w:rFonts w:ascii="Times New Roman;Times;Serif" w:hAnsi="Times New Roman;Times;Serif"/>
          <w:b w:val="false"/>
          <w:i w:val="false"/>
          <w:caps w:val="false"/>
          <w:smallCaps w:val="false"/>
          <w:sz w:val="20"/>
          <w:shd w:fill="FFFFFF" w:val="clear"/>
        </w:rPr>
        <w:t xml:space="preserve"> on Netflix, season two of the hit series </w:t>
      </w:r>
      <w:r>
        <w:rPr>
          <w:rFonts w:ascii="Times New Roman;Times;Serif" w:hAnsi="Times New Roman;Times;Serif"/>
          <w:b/>
          <w:i/>
          <w:caps w:val="false"/>
          <w:smallCaps w:val="false"/>
          <w:sz w:val="20"/>
          <w:shd w:fill="FFFFFF" w:val="clear"/>
        </w:rPr>
        <w:t>Cross</w:t>
      </w:r>
      <w:r>
        <w:rPr>
          <w:rFonts w:ascii="Times New Roman;Times;Serif" w:hAnsi="Times New Roman;Times;Serif"/>
          <w:b w:val="false"/>
          <w:i w:val="false"/>
          <w:caps w:val="false"/>
          <w:smallCaps w:val="false"/>
          <w:sz w:val="20"/>
          <w:shd w:fill="FFFFFF" w:val="clear"/>
        </w:rPr>
        <w:t xml:space="preserve"> for Prime Video, and season three of </w:t>
      </w:r>
      <w:r>
        <w:rPr>
          <w:rFonts w:ascii="Times New Roman;Times;Serif" w:hAnsi="Times New Roman;Times;Serif"/>
          <w:b/>
          <w:i/>
          <w:caps w:val="false"/>
          <w:smallCaps w:val="false"/>
          <w:sz w:val="20"/>
          <w:shd w:fill="FFFFFF" w:val="clear"/>
        </w:rPr>
        <w:t>School Spirits</w:t>
      </w:r>
      <w:r>
        <w:rPr>
          <w:rFonts w:ascii="Times New Roman;Times;Serif" w:hAnsi="Times New Roman;Times;Serif"/>
          <w:b w:val="false"/>
          <w:i w:val="false"/>
          <w:caps w:val="false"/>
          <w:smallCaps w:val="false"/>
          <w:sz w:val="20"/>
          <w:shd w:fill="FFFFFF" w:val="clear"/>
        </w:rPr>
        <w:t xml:space="preserve"> on Paramount+.</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core strength of Paramount is our ability to leverage our IP across our ecosystem, maximizing its creative and commercial potential. This integrated approach allows us to amplify our stories across film, television, streaming, live experiences, publishing, and consumer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our newly launched “Paramount One” initiative, we’re able to align our businesses enterprise-wide to cross-promote priority campaigns and tentpole events. In doing so, we mobilize the full power of our platforms behind these priorities, as we did with the hugely successful launch of the UFC, which became the platform’s largest exclusive live event to date, reaching approximately 7 million households in the U.S. and Latin America. This success was propelled by high-impact promotional spots across our CBS properties, including during </w:t>
      </w:r>
      <w:r>
        <w:rPr>
          <w:rFonts w:ascii="Times New Roman;Times;Serif" w:hAnsi="Times New Roman;Times;Serif"/>
          <w:b w:val="false"/>
          <w:i/>
          <w:caps w:val="false"/>
          <w:smallCaps w:val="false"/>
          <w:sz w:val="20"/>
        </w:rPr>
        <w:t>THE NFL ON CBS’s</w:t>
      </w:r>
      <w:r>
        <w:rPr>
          <w:rFonts w:ascii="Times New Roman;Times;Serif" w:hAnsi="Times New Roman;Times;Serif"/>
          <w:b w:val="false"/>
          <w:i w:val="false"/>
          <w:caps w:val="false"/>
          <w:smallCaps w:val="false"/>
          <w:sz w:val="20"/>
        </w:rPr>
        <w:t xml:space="preserve"> record-breaking Thanksgiving Day game and during our primetime coverage of New Years Eve on CBS, and more. This companywide coordination and all-hands-on-deck mentality enables us to amplify our reach, accelerate audience engagement, and unlock incremental value across our company and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recent example is our </w:t>
      </w:r>
      <w:r>
        <w:rPr>
          <w:rFonts w:ascii="Times New Roman;Times;Serif" w:hAnsi="Times New Roman;Times;Serif"/>
          <w:b/>
          <w:i/>
          <w:caps w:val="false"/>
          <w:smallCaps w:val="false"/>
          <w:sz w:val="20"/>
        </w:rPr>
        <w:t>Teenage Mutant Ninja Turtles</w:t>
      </w:r>
      <w:r>
        <w:rPr>
          <w:rFonts w:ascii="Times New Roman;Times;Serif" w:hAnsi="Times New Roman;Times;Serif"/>
          <w:b w:val="false"/>
          <w:i w:val="false"/>
          <w:caps w:val="false"/>
          <w:smallCaps w:val="false"/>
          <w:sz w:val="20"/>
        </w:rPr>
        <w:t xml:space="preserve"> franchise, which has generated over $10 billion in global retail sales since Paramount acquired the property in 2009. </w:t>
      </w:r>
      <w:r>
        <w:rPr>
          <w:rFonts w:ascii="Times New Roman;Times;Serif" w:hAnsi="Times New Roman;Times;Serif"/>
          <w:b w:val="false"/>
          <w:i/>
          <w:caps w:val="false"/>
          <w:smallCaps w:val="false"/>
          <w:sz w:val="20"/>
        </w:rPr>
        <w:t>Turtles</w:t>
      </w:r>
      <w:r>
        <w:rPr>
          <w:rFonts w:ascii="Times New Roman;Times;Serif" w:hAnsi="Times New Roman;Times;Serif"/>
          <w:b w:val="false"/>
          <w:i w:val="false"/>
          <w:caps w:val="false"/>
          <w:smallCaps w:val="false"/>
          <w:sz w:val="20"/>
        </w:rPr>
        <w:t xml:space="preserve"> has been a global phenomenon for more than 40 years, encompassing film, television, live experiences, digital games, publishing, and consumer products. It is one of the most successful franchises in entertainment history, and we are thrilled to be revitalizing the property through an ambitious and comprehensive expansion of </w:t>
      </w:r>
      <w:r>
        <w:rPr>
          <w:rFonts w:ascii="Times New Roman;Times;Serif" w:hAnsi="Times New Roman;Times;Serif"/>
          <w:b w:val="false"/>
          <w:i/>
          <w:caps w:val="false"/>
          <w:smallCaps w:val="false"/>
          <w:sz w:val="20"/>
        </w:rPr>
        <w:t>Turtles</w:t>
      </w:r>
      <w:r>
        <w:rPr>
          <w:rFonts w:ascii="Times New Roman;Times;Serif" w:hAnsi="Times New Roman;Times;Serif"/>
          <w:b w:val="false"/>
          <w:i w:val="false"/>
          <w:caps w:val="false"/>
          <w:smallCaps w:val="false"/>
          <w:sz w:val="20"/>
        </w:rPr>
        <w:t xml:space="preserve">, designed to drive sustained, multi-year growth. The robust portfolio of planned offerings includes two major theatrical releases – Seth Rogen’s sequel to </w:t>
      </w:r>
      <w:r>
        <w:rPr>
          <w:rFonts w:ascii="Times New Roman;Times;Serif" w:hAnsi="Times New Roman;Times;Serif"/>
          <w:b w:val="false"/>
          <w:i/>
          <w:caps w:val="false"/>
          <w:smallCaps w:val="false"/>
          <w:sz w:val="20"/>
        </w:rPr>
        <w:t>Mutant Mayhem</w:t>
      </w:r>
      <w:r>
        <w:rPr>
          <w:rFonts w:ascii="Times New Roman;Times;Serif" w:hAnsi="Times New Roman;Times;Serif"/>
          <w:b w:val="false"/>
          <w:i w:val="false"/>
          <w:caps w:val="false"/>
          <w:smallCaps w:val="false"/>
          <w:sz w:val="20"/>
        </w:rPr>
        <w:t xml:space="preserve"> in 2027 and a live-action/CG animation hybrid in 2028 – as well as our recently announced partnership with Mattel for franchise-themed toys, and much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Building on </w:t>
      </w:r>
      <w:r>
        <w:rPr>
          <w:rFonts w:ascii="Times New Roman;Times;Serif" w:hAnsi="Times New Roman;Times;Serif"/>
          <w:b w:val="false"/>
          <w:i w:val="false"/>
          <w:caps w:val="false"/>
          <w:smallCaps w:val="false"/>
          <w:color w:val="0A0A0A"/>
          <w:sz w:val="20"/>
        </w:rPr>
        <w:t xml:space="preserve">this integrated approach, our ecosystem is anchored by platforms that bring our stories to audiences at scale. At the heart of that reach, CBS has the most hit shows on broadcast television with 8 of the Top 10, including the #1 series </w:t>
      </w:r>
      <w:r>
        <w:rPr>
          <w:rFonts w:ascii="Times New Roman;Times;Serif" w:hAnsi="Times New Roman;Times;Serif"/>
          <w:b/>
          <w:i/>
          <w:caps w:val="false"/>
          <w:smallCaps w:val="false"/>
          <w:color w:val="0A0A0A"/>
          <w:sz w:val="20"/>
        </w:rPr>
        <w:t>Tracker</w:t>
      </w:r>
      <w:r>
        <w:rPr>
          <w:rFonts w:ascii="Times New Roman;Times;Serif" w:hAnsi="Times New Roman;Times;Serif"/>
          <w:b w:val="false"/>
          <w:i w:val="false"/>
          <w:caps w:val="false"/>
          <w:smallCaps w:val="false"/>
          <w:color w:val="0A0A0A"/>
          <w:sz w:val="20"/>
        </w:rPr>
        <w:t xml:space="preserve">, the #1 new show </w:t>
      </w:r>
      <w:r>
        <w:rPr>
          <w:rFonts w:ascii="Times New Roman;Times;Serif" w:hAnsi="Times New Roman;Times;Serif"/>
          <w:b/>
          <w:i/>
          <w:caps w:val="false"/>
          <w:smallCaps w:val="false"/>
          <w:color w:val="0A0A0A"/>
          <w:sz w:val="20"/>
        </w:rPr>
        <w:t>Sheriff Country</w:t>
      </w:r>
      <w:r>
        <w:rPr>
          <w:rFonts w:ascii="Times New Roman;Times;Serif" w:hAnsi="Times New Roman;Times;Serif"/>
          <w:b w:val="false"/>
          <w:i w:val="false"/>
          <w:caps w:val="false"/>
          <w:smallCaps w:val="false"/>
          <w:color w:val="0A0A0A"/>
          <w:sz w:val="20"/>
        </w:rPr>
        <w:t xml:space="preserve">, and the #1 news program </w:t>
      </w:r>
      <w:r>
        <w:rPr>
          <w:rFonts w:ascii="Times New Roman;Times;Serif" w:hAnsi="Times New Roman;Times;Serif"/>
          <w:b/>
          <w:i/>
          <w:caps w:val="false"/>
          <w:smallCaps w:val="false"/>
          <w:color w:val="0A0A0A"/>
          <w:sz w:val="20"/>
        </w:rPr>
        <w:t>60 Minutes</w:t>
      </w:r>
      <w:r>
        <w:rPr>
          <w:rFonts w:ascii="Times New Roman;Times;Serif" w:hAnsi="Times New Roman;Times;Serif"/>
          <w:b w:val="false"/>
          <w:i w:val="false"/>
          <w:caps w:val="false"/>
          <w:smallCaps w:val="false"/>
          <w:color w:val="0A0A0A"/>
          <w:sz w:val="20"/>
        </w:rPr>
        <w:t xml:space="preserve">. The most-watched primetime entertainment lineup returns this week with </w:t>
      </w:r>
      <w:r>
        <w:rPr>
          <w:rFonts w:ascii="Times New Roman;Times;Serif" w:hAnsi="Times New Roman;Times;Serif"/>
          <w:b/>
          <w:i/>
          <w:caps w:val="false"/>
          <w:smallCaps w:val="false"/>
          <w:color w:val="0A0A0A"/>
          <w:sz w:val="20"/>
        </w:rPr>
        <w:t>Marshals</w:t>
      </w:r>
      <w:r>
        <w:rPr>
          <w:rFonts w:ascii="Times New Roman;Times;Serif" w:hAnsi="Times New Roman;Times;Serif"/>
          <w:b w:val="false"/>
          <w:i w:val="false"/>
          <w:caps w:val="false"/>
          <w:smallCaps w:val="false"/>
          <w:color w:val="0A0A0A"/>
          <w:sz w:val="20"/>
        </w:rPr>
        <w:t xml:space="preserve"> and the epic 50th season of </w:t>
      </w:r>
      <w:r>
        <w:rPr>
          <w:rFonts w:ascii="Times New Roman;Times;Serif" w:hAnsi="Times New Roman;Times;Serif"/>
          <w:b/>
          <w:i/>
          <w:caps w:val="false"/>
          <w:smallCaps w:val="false"/>
          <w:color w:val="0A0A0A"/>
          <w:sz w:val="20"/>
        </w:rPr>
        <w:t>Survivor</w:t>
      </w:r>
      <w:r>
        <w:rPr>
          <w:rFonts w:ascii="Times New Roman;Times;Serif" w:hAnsi="Times New Roman;Times;Serif"/>
          <w:b w:val="false"/>
          <w:i w:val="false"/>
          <w:caps w:val="false"/>
          <w:smallCaps w:val="false"/>
          <w:color w:val="0A0A0A"/>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 xml:space="preserve">In our sports portfolio, </w:t>
      </w:r>
      <w:r>
        <w:rPr>
          <w:rFonts w:ascii="Times New Roman;Times;Serif" w:hAnsi="Times New Roman;Times;Serif"/>
          <w:b/>
          <w:i/>
          <w:caps w:val="false"/>
          <w:smallCaps w:val="false"/>
          <w:color w:val="0A0A0A"/>
          <w:sz w:val="20"/>
        </w:rPr>
        <w:t>THE NFL ON CBS</w:t>
      </w:r>
      <w:r>
        <w:rPr>
          <w:rFonts w:ascii="Times New Roman;Times;Serif" w:hAnsi="Times New Roman;Times;Serif"/>
          <w:b w:val="false"/>
          <w:i w:val="false"/>
          <w:caps w:val="false"/>
          <w:smallCaps w:val="false"/>
          <w:color w:val="0A0A0A"/>
          <w:sz w:val="20"/>
        </w:rPr>
        <w:t xml:space="preserve"> shattered viewership records throughout the year, culminating in CBS’ most-watched NFL season on record, propelled by the most-watched NFL regular-season game ever with the Chiefs-Cowboys game on Thanksgiving Day, with an average of</w:t>
      </w:r>
      <w:r>
        <w:rPr>
          <w:rFonts w:ascii="Times New Roman;Times;Serif" w:hAnsi="Times New Roman;Times;Serif"/>
          <w:b w:val="false"/>
          <w:i w:val="false"/>
          <w:caps w:val="false"/>
          <w:smallCaps w:val="false"/>
          <w:sz w:val="20"/>
        </w:rPr>
        <w:t xml:space="preserve"> more than 57 million viewers. For the third year in a row, </w:t>
      </w:r>
      <w:r>
        <w:rPr>
          <w:rFonts w:ascii="Times New Roman;Times;Serif" w:hAnsi="Times New Roman;Times;Serif"/>
          <w:b/>
          <w:i/>
          <w:caps w:val="false"/>
          <w:smallCaps w:val="false"/>
          <w:sz w:val="20"/>
        </w:rPr>
        <w:t>THE NFL ON CBS</w:t>
      </w:r>
      <w:r>
        <w:rPr>
          <w:rFonts w:ascii="Times New Roman;Times;Serif" w:hAnsi="Times New Roman;Times;Serif"/>
          <w:b w:val="false"/>
          <w:i w:val="false"/>
          <w:caps w:val="false"/>
          <w:smallCaps w:val="false"/>
          <w:sz w:val="20"/>
        </w:rPr>
        <w:t xml:space="preserve"> national game at 4:25pm ET ranked as the #1 program in all of television, averaging more than 25.8 million viewers. We ended with </w:t>
      </w:r>
      <w:r>
        <w:rPr>
          <w:rFonts w:ascii="Times New Roman;Times;Serif" w:hAnsi="Times New Roman;Times;Serif"/>
          <w:b w:val="false"/>
          <w:i w:val="false"/>
          <w:caps w:val="false"/>
          <w:smallCaps w:val="false"/>
          <w:color w:val="0A0A0A"/>
          <w:sz w:val="20"/>
        </w:rPr>
        <w:t xml:space="preserve">the AFC Championship Game, which drew nearly 49 million viewers, making it the most-watched postseason game of the year on any network, with the exception of the Super Bowl.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A0A0A"/>
          <w:sz w:val="20"/>
        </w:rPr>
      </w:pPr>
      <w:r>
        <w:rPr>
          <w:rFonts w:ascii="Times New Roman;Times;Serif" w:hAnsi="Times New Roman;Times;Serif"/>
          <w:b w:val="false"/>
          <w:i w:val="false"/>
          <w:caps w:val="false"/>
          <w:smallCaps w:val="false"/>
          <w:color w:val="0A0A0A"/>
          <w:sz w:val="20"/>
        </w:rPr>
        <w:t>At CBS News, the leadership team is focused on building ‘one newsroom with one mission’ – delivering exceptional journalism to the broadest possible audience. With trust in mainstream news and legacy media at historic lows, transformation is essential. The goal is to build a modern news organization equipped for the digital age and rooted in facts, rigorous reporting, and audience-first storytelling.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A0A0A"/>
          <w:sz w:val="20"/>
        </w:rPr>
        <w:t>As part of this revitalization, we are focused on expanding the range of stories covered and the voices amplified. We are reimagining CBS News</w:t>
      </w:r>
      <w:r>
        <w:rPr>
          <w:rFonts w:ascii="Times New Roman;Times;Serif" w:hAnsi="Times New Roman;Times;Serif"/>
          <w:b w:val="false"/>
          <w:i w:val="false"/>
          <w:caps w:val="false"/>
          <w:smallCaps w:val="false"/>
          <w:sz w:val="20"/>
        </w:rPr>
        <w:t xml:space="preserve"> 24/7 wit</w:t>
      </w:r>
      <w:r>
        <w:rPr>
          <w:rFonts w:ascii="Times New Roman;Times;Serif" w:hAnsi="Times New Roman;Times;Serif"/>
          <w:b w:val="false"/>
          <w:i w:val="false"/>
          <w:caps w:val="false"/>
          <w:smallCaps w:val="false"/>
          <w:color w:val="0A0A0A"/>
          <w:sz w:val="20"/>
        </w:rPr>
        <w:t xml:space="preserve">h new formats and programming and by investing in key brands such as </w:t>
      </w:r>
      <w:r>
        <w:rPr>
          <w:rFonts w:ascii="Times New Roman;Times;Serif" w:hAnsi="Times New Roman;Times;Serif"/>
          <w:b/>
          <w:i/>
          <w:caps w:val="false"/>
          <w:smallCaps w:val="false"/>
          <w:color w:val="0A0A0A"/>
          <w:sz w:val="20"/>
        </w:rPr>
        <w:t>60 Minutes</w:t>
      </w:r>
      <w:r>
        <w:rPr>
          <w:rFonts w:ascii="Times New Roman;Times;Serif" w:hAnsi="Times New Roman;Times;Serif"/>
          <w:b w:val="false"/>
          <w:i/>
          <w:caps w:val="false"/>
          <w:smallCaps w:val="false"/>
          <w:color w:val="0A0A0A"/>
          <w:sz w:val="20"/>
        </w:rPr>
        <w:t xml:space="preserve">, </w:t>
      </w:r>
      <w:r>
        <w:rPr>
          <w:rFonts w:ascii="Times New Roman;Times;Serif" w:hAnsi="Times New Roman;Times;Serif"/>
          <w:b/>
          <w:i/>
          <w:caps w:val="false"/>
          <w:smallCaps w:val="false"/>
          <w:color w:val="0A0A0A"/>
          <w:sz w:val="20"/>
        </w:rPr>
        <w:t>48 Hours</w:t>
      </w:r>
      <w:r>
        <w:rPr>
          <w:rFonts w:ascii="Times New Roman;Times;Serif" w:hAnsi="Times New Roman;Times;Serif"/>
          <w:b w:val="false"/>
          <w:i/>
          <w:caps w:val="false"/>
          <w:smallCaps w:val="false"/>
          <w:color w:val="0A0A0A"/>
          <w:sz w:val="20"/>
        </w:rPr>
        <w:t xml:space="preserve">, </w:t>
      </w:r>
      <w:r>
        <w:rPr>
          <w:rFonts w:ascii="Times New Roman;Times;Serif" w:hAnsi="Times New Roman;Times;Serif"/>
          <w:b w:val="false"/>
          <w:i w:val="false"/>
          <w:caps w:val="false"/>
          <w:smallCaps w:val="false"/>
          <w:color w:val="0A0A0A"/>
          <w:sz w:val="20"/>
        </w:rPr>
        <w:t xml:space="preserve">and </w:t>
      </w:r>
      <w:r>
        <w:rPr>
          <w:rFonts w:ascii="Times New Roman;Times;Serif" w:hAnsi="Times New Roman;Times;Serif"/>
          <w:b/>
          <w:i/>
          <w:caps w:val="false"/>
          <w:smallCaps w:val="false"/>
          <w:color w:val="0A0A0A"/>
          <w:sz w:val="20"/>
        </w:rPr>
        <w:t>Sunday Morning</w:t>
      </w:r>
      <w:r>
        <w:rPr>
          <w:rFonts w:ascii="Times New Roman;Times;Serif" w:hAnsi="Times New Roman;Times;Serif"/>
          <w:b w:val="false"/>
          <w:i w:val="false"/>
          <w:caps w:val="false"/>
          <w:smallCaps w:val="false"/>
          <w:color w:val="0A0A0A"/>
          <w:sz w:val="20"/>
        </w:rPr>
        <w:t xml:space="preserve"> through podcasts, newsletters, live journalism events, and more. </w:t>
      </w:r>
    </w:p>
    <w:p>
      <w:pPr>
        <w:pStyle w:val="TextBody"/>
        <w:bidi w:val="0"/>
        <w:spacing w:before="0" w:after="0"/>
        <w:ind w:left="0" w:right="0" w:hanging="0"/>
        <w:jc w:val="left"/>
        <w:rPr>
          <w:caps w:val="false"/>
          <w:smallCaps w:val="false"/>
          <w:color w:val="0F4761"/>
        </w:rPr>
      </w:pPr>
      <w:r>
        <w:rPr>
          <w:caps w:val="false"/>
          <w:smallCaps w:val="false"/>
          <w:color w:val="0F4761"/>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Scaling Our Streaming Services</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Growing our direct-to-consumer business remains our top priority. Recognizing that great storytelling drives engagement, we’re investing aggressively in compelling original content to attract a broad audience.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Over the past several months, we’ve announced several new series – some of which come from third-party production companies and studios as part of our strategy to bring the best storytelling to consumers – including: the legal thriller from A24, </w:t>
      </w:r>
      <w:r>
        <w:rPr>
          <w:rFonts w:ascii="Times New Roman;Times;Serif" w:hAnsi="Times New Roman;Times;Serif"/>
          <w:b/>
          <w:i/>
          <w:caps w:val="false"/>
          <w:smallCaps w:val="false"/>
          <w:sz w:val="20"/>
        </w:rPr>
        <w:t>Discretion</w:t>
      </w:r>
      <w:r>
        <w:rPr>
          <w:rFonts w:ascii="Times New Roman;Times;Serif" w:hAnsi="Times New Roman;Times;Serif"/>
          <w:b w:val="false"/>
          <w:i w:val="false"/>
          <w:caps w:val="false"/>
          <w:smallCaps w:val="false"/>
          <w:sz w:val="20"/>
          <w:shd w:fill="FFFFFF" w:val="clear"/>
        </w:rPr>
        <w:t xml:space="preserve">, starring and executive produced by Nicole Kidman and Elle Fanning; the six-episode limited series </w:t>
      </w:r>
      <w:r>
        <w:rPr>
          <w:rFonts w:ascii="Times New Roman;Times;Serif" w:hAnsi="Times New Roman;Times;Serif"/>
          <w:b/>
          <w:i/>
          <w:caps w:val="false"/>
          <w:smallCaps w:val="false"/>
          <w:sz w:val="20"/>
        </w:rPr>
        <w:t>9/12</w:t>
      </w:r>
      <w:r>
        <w:rPr>
          <w:rFonts w:ascii="Times New Roman;Times;Serif" w:hAnsi="Times New Roman;Times;Serif"/>
          <w:b w:val="false"/>
          <w:i w:val="false"/>
          <w:caps w:val="false"/>
          <w:smallCaps w:val="false"/>
          <w:sz w:val="20"/>
          <w:shd w:fill="FFFFFF" w:val="clear"/>
        </w:rPr>
        <w:t xml:space="preserve">, produced by Paramount Television Studios and SISTER, starring and executive produced by Jeremy Strong; and </w:t>
      </w:r>
      <w:r>
        <w:rPr>
          <w:rFonts w:ascii="Times New Roman;Times;Serif" w:hAnsi="Times New Roman;Times;Serif"/>
          <w:b/>
          <w:i/>
          <w:caps w:val="false"/>
          <w:smallCaps w:val="false"/>
          <w:sz w:val="20"/>
        </w:rPr>
        <w:t>Fear Not</w:t>
      </w:r>
      <w:r>
        <w:rPr>
          <w:rFonts w:ascii="Times New Roman;Times;Serif" w:hAnsi="Times New Roman;Times;Serif"/>
          <w:b w:val="false"/>
          <w:i w:val="false"/>
          <w:caps w:val="false"/>
          <w:smallCaps w:val="false"/>
          <w:sz w:val="20"/>
          <w:shd w:fill="FFFFFF" w:val="clear"/>
        </w:rPr>
        <w:t>, a six-part true-crime limited series, starring and executive produced by Anne Hathaway, and produced with MGM Television.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These will join an already robust upcoming slate that includes </w:t>
      </w:r>
      <w:r>
        <w:rPr>
          <w:rFonts w:ascii="Times New Roman;Times;Serif" w:hAnsi="Times New Roman;Times;Serif"/>
          <w:b/>
          <w:i/>
          <w:caps w:val="false"/>
          <w:smallCaps w:val="false"/>
          <w:sz w:val="20"/>
        </w:rPr>
        <w:t>The Madison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 xml:space="preserve">the much-anticipated </w:t>
      </w:r>
      <w:r>
        <w:rPr>
          <w:rFonts w:ascii="Times New Roman;Times;Serif" w:hAnsi="Times New Roman;Times;Serif"/>
          <w:b w:val="false"/>
          <w:i/>
          <w:caps w:val="false"/>
          <w:smallCaps w:val="false"/>
          <w:sz w:val="20"/>
        </w:rPr>
        <w:t>Yellowstone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spin-off, </w:t>
      </w:r>
      <w:r>
        <w:rPr>
          <w:rFonts w:ascii="Times New Roman;Times;Serif" w:hAnsi="Times New Roman;Times;Serif"/>
          <w:b/>
          <w:i/>
          <w:caps w:val="false"/>
          <w:smallCaps w:val="false"/>
          <w:sz w:val="20"/>
        </w:rPr>
        <w:t>Dutton Ranch</w:t>
      </w:r>
      <w:r>
        <w:rPr>
          <w:rFonts w:ascii="Times New Roman;Times;Serif" w:hAnsi="Times New Roman;Times;Serif"/>
          <w:b w:val="false"/>
          <w:i w:val="false"/>
          <w:caps w:val="false"/>
          <w:smallCaps w:val="false"/>
          <w:sz w:val="20"/>
          <w:shd w:fill="FFFFFF" w:val="clear"/>
        </w:rPr>
        <w:t>, coming to the service this summer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We’re about to start production on an extension of Taylor Sheridan’s hit series </w:t>
      </w:r>
      <w:r>
        <w:rPr>
          <w:rFonts w:ascii="Times New Roman;Times;Serif" w:hAnsi="Times New Roman;Times;Serif"/>
          <w:b/>
          <w:i/>
          <w:caps w:val="false"/>
          <w:smallCaps w:val="false"/>
          <w:sz w:val="20"/>
        </w:rPr>
        <w:t>Tulsa King</w:t>
      </w:r>
      <w:r>
        <w:rPr>
          <w:rFonts w:ascii="Times New Roman;Times;Serif" w:hAnsi="Times New Roman;Times;Serif"/>
          <w:b w:val="false"/>
          <w:i w:val="false"/>
          <w:caps w:val="false"/>
          <w:smallCaps w:val="false"/>
          <w:sz w:val="20"/>
          <w:shd w:fill="FFFFFF" w:val="clear"/>
        </w:rPr>
        <w:t xml:space="preserve">, titled </w:t>
      </w:r>
      <w:r>
        <w:rPr>
          <w:rFonts w:ascii="Times New Roman;Times;Serif" w:hAnsi="Times New Roman;Times;Serif"/>
          <w:b/>
          <w:i/>
          <w:caps w:val="false"/>
          <w:smallCaps w:val="false"/>
          <w:sz w:val="20"/>
        </w:rPr>
        <w:t>Frisco King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and starring Samuel L. Jackson. Looking ahead, over the next year we will premiere new seasons of </w:t>
      </w:r>
      <w:r>
        <w:rPr>
          <w:rFonts w:ascii="Times New Roman;Times;Serif" w:hAnsi="Times New Roman;Times;Serif"/>
          <w:b/>
          <w:i/>
          <w:caps w:val="false"/>
          <w:smallCaps w:val="false"/>
          <w:sz w:val="20"/>
        </w:rPr>
        <w:t>The Agency</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Star Trek: Strange New Worlds</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Lioness</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MobLand</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Tulsa King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as well as the third installment of </w:t>
      </w:r>
      <w:r>
        <w:rPr>
          <w:rFonts w:ascii="Times New Roman;Times;Serif" w:hAnsi="Times New Roman;Times;Serif"/>
          <w:b/>
          <w:i/>
          <w:caps w:val="false"/>
          <w:smallCaps w:val="false"/>
          <w:sz w:val="20"/>
        </w:rPr>
        <w:t>Landman</w:t>
      </w:r>
      <w:r>
        <w:rPr>
          <w:rFonts w:ascii="Times New Roman;Times;Serif" w:hAnsi="Times New Roman;Times;Serif"/>
          <w:b w:val="false"/>
          <w:i w:val="false"/>
          <w:caps w:val="false"/>
          <w:smallCaps w:val="false"/>
          <w:sz w:val="20"/>
          <w:shd w:fill="FFFFFF" w:val="clear"/>
        </w:rPr>
        <w:t>, whose record-breaking second season reached over 25 million subscriber households and has been a top viewed series across all of streaming since its launch in November 2025. Our momentum is exciting, and we anticipate it will carry through to 2027 as our slate really begins to fully represent the vision of our DTC leadership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Sports also remains a key driver of streaming growth, particularly our partnership with the </w:t>
      </w:r>
      <w:r>
        <w:rPr>
          <w:rFonts w:ascii="Times New Roman;Times;Serif" w:hAnsi="Times New Roman;Times;Serif"/>
          <w:b/>
          <w:i w:val="false"/>
          <w:caps w:val="false"/>
          <w:smallCaps w:val="false"/>
          <w:sz w:val="20"/>
        </w:rPr>
        <w:t>Ultimate Fighting Championship</w:t>
      </w:r>
      <w:r>
        <w:rPr>
          <w:rFonts w:ascii="Times New Roman;Times;Serif" w:hAnsi="Times New Roman;Times;Serif"/>
          <w:b w:val="false"/>
          <w:i w:val="false"/>
          <w:caps w:val="false"/>
          <w:smallCaps w:val="false"/>
          <w:sz w:val="20"/>
        </w:rPr>
        <w:t>. We officially launched our 7-year partnership in January, becoming the exclusive home for all live numbered events and Fight Nights in the US and Latin America and in Australia for Fight Nights and select bouts in the numbered events, and we could not be more pleased with the early performance. As mentioned above, the debut of UFC 324 on Paramount+ exceeded our expectations as the platform’s biggest-ever exclusive live event, with Paramount+ seeing its highest global view hours ever the week it launched.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that performance was powered by significant investments made in the lead up to the launch. Ahead of UFC 324, our Product &amp; Tech team focused on building and hardening the core platform to deliver a premium, global experience for fans across both live events and video-on-demand (VOD). The team launched approximately 1,400 VOD assets alongside live coverage, supported feeds in three languages, and expanded availability to 20 markets. The team also introduced advanced live features designed specifically for sports, including the ability to rewind live matches, instantly create and share highlight clips, and generate AI-powered recaps of the action – all while ensuring the platform was fully optimized for scale, reliability and seamless performance on day one.</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13 marquee numbered events, we have 30 Fight Nights for a year-round lineup. Fans of UFC are coming to Paramount+ for the action and staying longer to enjoy other titles on the platform – we’re seeing encouraging early signals across both engagement and retention from our UFC viewers.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7, UFC returns to Las Vegas for UFC 326. The lead up to the last three matches of the fight card will be available on both Paramount+ and CBS, where we expect the reach of CBS will help expand upon the rapidly growing fan base on our platforms. Needless to say, we are incredibly excited about our partnership with the UFC and the growth opportunities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Another area where we see significant opportunity is with Pluto TV. Pluto continues to see healthy growth in time spent, which, coupled with ongoing improvements to the product experience and content offering, gives us confidence in our long-term trajectory. For example, we added the full </w:t>
      </w:r>
      <w:r>
        <w:rPr>
          <w:rFonts w:ascii="Times New Roman;Times;Serif" w:hAnsi="Times New Roman;Times;Serif"/>
          <w:b/>
          <w:i/>
          <w:caps w:val="false"/>
          <w:smallCaps w:val="false"/>
          <w:sz w:val="20"/>
        </w:rPr>
        <w:t xml:space="preserve">The X Files </w:t>
      </w:r>
      <w:r>
        <w:rPr>
          <w:rFonts w:ascii="Times New Roman;Times;Serif" w:hAnsi="Times New Roman;Times;Serif"/>
          <w:b w:val="false"/>
          <w:i w:val="false"/>
          <w:caps w:val="false"/>
          <w:smallCaps w:val="false"/>
          <w:sz w:val="20"/>
        </w:rPr>
        <w:t>catalog to Pluto TV in early January, and it has since become a top performing on-demand 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course, sustainable growth in streaming depends not only on what people watch, but on the overall quality of the user experience. With this in mind, we have prioritized investing in technology and data capabilities to enhance our DTC offering. As highlighted last quarter, we are building a unified technology stack for Paramount+ and Pluto TV, with the first implementation milestone targeted for this summer. We are also encouraged by early product and monetization results from increasing the velocity of our experimentation, with A/B testing output increasing significantly quarter-over-quarter in Q4.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critical area of investment is our ad sales technology. By modernizing our platform and leveraging advanced data analytics, we can deliver more precise targeting, better measurement, and more engaging ad experiences for both viewers and advertisers. At the same time, we’ve brought in new leadership for our advertising business and are reworking our go-to-market strategy. We expect these investments will drive incremental revenue, enhance efficiency, and strengthen our offering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note, we launched and piloted Precision+, an AI-powered advertising product that combines Paramount and third-party data to optimize ad delivery in real time, driving meaningful performance gains above benchmarks for advertisers, and giving Paramount greater control over advertising outcomes. We also developed and patented an AI-driven system that automatically detects broken, duplicated, mismatched, or noncompliant ads, ensuring a better experience for viewers and giving advertisers confidence that their campaigns are running correctly.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examples reflect the deliberate investments we’re making across our streaming business to improve our product experience and offering.</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Driving</w:t>
        <w:tab/>
        <w:t xml:space="preserve"> Efficiency and Optimizing Investment Enterprise-wide</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We’ve also made strong progress against our third North Star priority: driving enterprise-wide efficiency with a focus on long-term free cash flow generation. In our Q3’25 shareholder letter, we raised our estimate of total efficiencies through our transformation efforts from at least $2 billion to at least $3 billion. And our confidence in achieving this level of efficiency through the business has only grown over the past quarter as we’ve built upon our early successes across our four major transformation workstreams: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53"/>
        <w:gridCol w:w="9785"/>
      </w:tblGrid>
      <w:tr>
        <w:trPr/>
        <w:tc>
          <w:tcPr>
            <w:tcW w:w="6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b/>
              </w:rPr>
            </w:pPr>
            <w:r>
              <w:rPr>
                <w:b/>
              </w:rPr>
              <w:t>1.</w:t>
            </w:r>
          </w:p>
        </w:tc>
        <w:tc>
          <w:tcPr>
            <w:tcW w:w="9785" w:type="dxa"/>
            <w:tcBorders/>
            <w:vAlign w:val="center"/>
          </w:tcPr>
          <w:p>
            <w:pPr>
              <w:pStyle w:val="TableContents"/>
              <w:bidi w:val="0"/>
              <w:spacing w:before="0" w:after="283"/>
              <w:jc w:val="left"/>
              <w:rPr>
                <w:b/>
              </w:rPr>
            </w:pPr>
            <w:r>
              <w:rPr>
                <w:b/>
              </w:rPr>
              <w:t>Making technology a core competency of the company</w:t>
            </w:r>
          </w:p>
        </w:tc>
      </w:tr>
    </w:tbl>
    <w:tbl>
      <w:tblPr>
        <w:tblW w:w="5000" w:type="pct"/>
        <w:jc w:val="left"/>
        <w:tblInd w:w="0" w:type="dxa"/>
        <w:tblLayout w:type="fixed"/>
        <w:tblCellMar>
          <w:top w:w="0" w:type="dxa"/>
          <w:left w:w="0" w:type="dxa"/>
          <w:bottom w:w="0" w:type="dxa"/>
          <w:right w:w="0" w:type="dxa"/>
        </w:tblCellMar>
      </w:tblPr>
      <w:tblGrid>
        <w:gridCol w:w="49"/>
        <w:gridCol w:w="264"/>
        <w:gridCol w:w="9892"/>
      </w:tblGrid>
      <w:tr>
        <w:trPr/>
        <w:tc>
          <w:tcPr>
            <w:tcW w:w="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b/>
              </w:rPr>
            </w:pPr>
            <w:r>
              <w:rPr>
                <w:b/>
              </w:rPr>
              <w:t>2.</w:t>
            </w:r>
          </w:p>
        </w:tc>
        <w:tc>
          <w:tcPr>
            <w:tcW w:w="9892" w:type="dxa"/>
            <w:tcBorders/>
            <w:vAlign w:val="center"/>
          </w:tcPr>
          <w:p>
            <w:pPr>
              <w:pStyle w:val="TableContents"/>
              <w:bidi w:val="0"/>
              <w:spacing w:before="0" w:after="283"/>
              <w:jc w:val="left"/>
              <w:rPr>
                <w:b/>
              </w:rPr>
            </w:pPr>
            <w:r>
              <w:rPr>
                <w:b/>
              </w:rPr>
              <w:t>Enhancing corporate-wide efficiency and scalability across our operations</w:t>
            </w:r>
          </w:p>
        </w:tc>
      </w:tr>
    </w:tbl>
    <w:tbl>
      <w:tblPr>
        <w:tblW w:w="5000" w:type="pct"/>
        <w:jc w:val="left"/>
        <w:tblInd w:w="0" w:type="dxa"/>
        <w:tblLayout w:type="fixed"/>
        <w:tblCellMar>
          <w:top w:w="0" w:type="dxa"/>
          <w:left w:w="0" w:type="dxa"/>
          <w:bottom w:w="0" w:type="dxa"/>
          <w:right w:w="0" w:type="dxa"/>
        </w:tblCellMar>
      </w:tblPr>
      <w:tblGrid>
        <w:gridCol w:w="62"/>
        <w:gridCol w:w="331"/>
        <w:gridCol w:w="9812"/>
      </w:tblGrid>
      <w:tr>
        <w:trPr/>
        <w:tc>
          <w:tcPr>
            <w:tcW w:w="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b/>
              </w:rPr>
            </w:pPr>
            <w:r>
              <w:rPr>
                <w:b/>
              </w:rPr>
              <w:t>3.</w:t>
            </w:r>
          </w:p>
        </w:tc>
        <w:tc>
          <w:tcPr>
            <w:tcW w:w="9812" w:type="dxa"/>
            <w:tcBorders/>
            <w:vAlign w:val="center"/>
          </w:tcPr>
          <w:p>
            <w:pPr>
              <w:pStyle w:val="TableContents"/>
              <w:bidi w:val="0"/>
              <w:spacing w:before="0" w:after="283"/>
              <w:jc w:val="left"/>
              <w:rPr>
                <w:b/>
              </w:rPr>
            </w:pPr>
            <w:r>
              <w:rPr>
                <w:b/>
              </w:rPr>
              <w:t>Unifying the organization under clear, cohesive leadership</w:t>
            </w:r>
          </w:p>
        </w:tc>
      </w:tr>
    </w:tbl>
    <w:tbl>
      <w:tblPr>
        <w:tblW w:w="5000" w:type="pct"/>
        <w:jc w:val="left"/>
        <w:tblInd w:w="0" w:type="dxa"/>
        <w:tblLayout w:type="fixed"/>
        <w:tblCellMar>
          <w:top w:w="0" w:type="dxa"/>
          <w:left w:w="0" w:type="dxa"/>
          <w:bottom w:w="0" w:type="dxa"/>
          <w:right w:w="0" w:type="dxa"/>
        </w:tblCellMar>
      </w:tblPr>
      <w:tblGrid>
        <w:gridCol w:w="89"/>
        <w:gridCol w:w="468"/>
        <w:gridCol w:w="9648"/>
      </w:tblGrid>
      <w:tr>
        <w:trPr/>
        <w:tc>
          <w:tcPr>
            <w:tcW w:w="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b/>
              </w:rPr>
            </w:pPr>
            <w:r>
              <w:rPr>
                <w:b/>
              </w:rPr>
              <w:t>4.</w:t>
            </w:r>
          </w:p>
        </w:tc>
        <w:tc>
          <w:tcPr>
            <w:tcW w:w="9648" w:type="dxa"/>
            <w:tcBorders/>
            <w:vAlign w:val="center"/>
          </w:tcPr>
          <w:p>
            <w:pPr>
              <w:pStyle w:val="TableContents"/>
              <w:bidi w:val="0"/>
              <w:spacing w:before="0" w:after="283"/>
              <w:jc w:val="left"/>
              <w:rPr>
                <w:b/>
              </w:rPr>
            </w:pPr>
            <w:r>
              <w:rPr>
                <w:b/>
              </w:rPr>
              <w:t>Optimizing our workforce for the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seeing particularly strong progress across the first and second workstreams. For example, in Q4, we executed new partnerships that will drive efficiency in our cloud spend, resulting in savings of over $50 million annually on average. Separately, we made significant progress in converging the back-end systems of our streaming services and remain on track for a mid-year launch. Similarly, we continue to advance the migration of our entire business to Oracle Fusion as our companywide ERP platform, positioning us to respond more nimbly to an evolving landscape. This unified system will streamline operations, improve data visibility, and enable faster, more informed decision-making across the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modernize our systems with initiatives like Oracle Fusion, we are also retooling the ways our teams work together. In early January, we executed phase one of our return to office initiative across our New York and Los Angeles offices. By fostering greater in-person collaboration, we expect to accelerate innovation and unlock even greater creativity across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of note, we finalized our sale of Chilevisión in January, which, in addition to the divestiture of Telefe in Argentina, represents efforts to focus on our core businesses while streamlining our operations by roughly 1,600.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 organizational perspective, we have our full leadership team in place, which is focused on transforming all areas of the company. Operationally, we have successfully integrated the Skydance business into our studio operations. Since the Skydance transaction announcement, we are on track to deliver at least $3 billion in efficiencies through 2027, and we are on track to realize over $2.5 billion in total run-rate efficiencies through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 xml:space="preserve">Q4 Results and Q1 and 2026 Outlook </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Q4 results and our Q1 and 2026 outlook are below. As noted last quarter, beginning with this report, our Paramount+ subscriber metric will reflect only paying subscribers, excluding those on free trials. Subscriber figures prior to Q4’25 have been restated to exclude free trials.</w:t>
      </w:r>
    </w:p>
    <w:p>
      <w:pPr>
        <w:pStyle w:val="TextBody"/>
        <w:bidi w:val="0"/>
        <w:spacing w:before="0" w:after="0"/>
        <w:ind w:left="0" w:right="0" w:hanging="0"/>
        <w:jc w:val="left"/>
        <w:rPr>
          <w:caps w:val="false"/>
          <w:smallCaps w:val="false"/>
        </w:rPr>
      </w:pPr>
      <w:r>
        <w:rPr>
          <w:caps w:val="false"/>
          <w:smallCaps w:val="false"/>
        </w:rPr>
        <w:t> </w:t>
      </w:r>
    </w:p>
    <w:tbl>
      <w:tblPr>
        <w:tblW w:w="9248" w:type="dxa"/>
        <w:jc w:val="left"/>
        <w:tblInd w:w="0" w:type="dxa"/>
        <w:tblLayout w:type="fixed"/>
        <w:tblCellMar>
          <w:top w:w="0" w:type="dxa"/>
          <w:left w:w="0" w:type="dxa"/>
          <w:bottom w:w="0" w:type="dxa"/>
          <w:right w:w="0" w:type="dxa"/>
        </w:tblCellMar>
      </w:tblPr>
      <w:tblGrid>
        <w:gridCol w:w="2480"/>
        <w:gridCol w:w="60"/>
        <w:gridCol w:w="125"/>
        <w:gridCol w:w="485"/>
        <w:gridCol w:w="245"/>
        <w:gridCol w:w="60"/>
        <w:gridCol w:w="125"/>
        <w:gridCol w:w="485"/>
        <w:gridCol w:w="245"/>
        <w:gridCol w:w="60"/>
        <w:gridCol w:w="125"/>
        <w:gridCol w:w="485"/>
        <w:gridCol w:w="245"/>
        <w:gridCol w:w="60"/>
        <w:gridCol w:w="255"/>
        <w:gridCol w:w="994"/>
        <w:gridCol w:w="185"/>
        <w:gridCol w:w="60"/>
        <w:gridCol w:w="276"/>
        <w:gridCol w:w="1078"/>
        <w:gridCol w:w="185"/>
        <w:gridCol w:w="60"/>
        <w:gridCol w:w="125"/>
        <w:gridCol w:w="485"/>
        <w:gridCol w:w="260"/>
      </w:tblGrid>
      <w:tr>
        <w:trPr/>
        <w:tc>
          <w:tcPr>
            <w:tcW w:w="248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399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Predecessor</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20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Successor</w:t>
            </w:r>
          </w:p>
        </w:tc>
        <w:tc>
          <w:tcPr>
            <w:tcW w:w="2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80" w:type="dxa"/>
            <w:tcBorders/>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in millions, except per</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4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Period From</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5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Period From</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60" w:type="dxa"/>
            <w:tcBorders/>
            <w:vAlign w:val="center"/>
          </w:tcPr>
          <w:p>
            <w:pPr>
              <w:pStyle w:val="TableContents"/>
              <w:bidi w:val="0"/>
              <w:spacing w:before="0" w:after="283"/>
              <w:jc w:val="left"/>
              <w:rPr>
                <w:color w:val="000000"/>
              </w:rPr>
            </w:pPr>
            <w:r>
              <w:rPr>
                <w:color w:val="000000"/>
              </w:rPr>
              <w:t> </w:t>
            </w:r>
          </w:p>
        </w:tc>
      </w:tr>
      <w:tr>
        <w:trPr/>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share amounts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Q4’24</w:t>
            </w:r>
          </w:p>
        </w:tc>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Q1’25</w:t>
            </w:r>
          </w:p>
        </w:tc>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Q2’25</w:t>
            </w:r>
          </w:p>
        </w:tc>
        <w:tc>
          <w:tcPr>
            <w:tcW w:w="24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7/1/25 - 8/6/25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8/7/25 - 9/30/25</w:t>
            </w:r>
          </w:p>
        </w:tc>
        <w:tc>
          <w:tcPr>
            <w:tcW w:w="185"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Q4’25</w:t>
            </w:r>
          </w:p>
        </w:tc>
        <w:tc>
          <w:tcPr>
            <w:tcW w:w="2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r>
      <w:tr>
        <w:trPr/>
        <w:tc>
          <w:tcPr>
            <w:tcW w:w="248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4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249" w:type="dxa"/>
            <w:gridSpan w:val="2"/>
            <w:tcBorders/>
            <w:vAlign w:val="center"/>
          </w:tcPr>
          <w:p>
            <w:pPr>
              <w:pStyle w:val="TableContents"/>
              <w:bidi w:val="0"/>
              <w:spacing w:before="0" w:after="283"/>
              <w:jc w:val="left"/>
              <w:rPr>
                <w:color w:val="000000"/>
              </w:rPr>
            </w:pPr>
            <w:r>
              <w:rPr>
                <w:color w:val="000000"/>
              </w:rPr>
              <w:t> </w:t>
            </w:r>
          </w:p>
        </w:tc>
        <w:tc>
          <w:tcPr>
            <w:tcW w:w="1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54" w:type="dxa"/>
            <w:gridSpan w:val="2"/>
            <w:tcBorders/>
            <w:vAlign w:val="center"/>
          </w:tcPr>
          <w:p>
            <w:pPr>
              <w:pStyle w:val="TableContents"/>
              <w:bidi w:val="0"/>
              <w:spacing w:before="0" w:after="283"/>
              <w:jc w:val="left"/>
              <w:rPr>
                <w:color w:val="000000"/>
              </w:rPr>
            </w:pPr>
            <w:r>
              <w:rPr>
                <w:color w:val="000000"/>
              </w:rPr>
              <w:t> </w:t>
            </w:r>
          </w:p>
        </w:tc>
        <w:tc>
          <w:tcPr>
            <w:tcW w:w="18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610" w:type="dxa"/>
            <w:gridSpan w:val="2"/>
            <w:tcBorders/>
            <w:vAlign w:val="center"/>
          </w:tcPr>
          <w:p>
            <w:pPr>
              <w:pStyle w:val="TableContents"/>
              <w:bidi w:val="0"/>
              <w:spacing w:before="0" w:after="283"/>
              <w:jc w:val="left"/>
              <w:rPr>
                <w:color w:val="000000"/>
              </w:rPr>
            </w:pPr>
            <w:r>
              <w:rPr>
                <w:color w:val="000000"/>
              </w:rPr>
              <w:t> </w:t>
            </w:r>
          </w:p>
        </w:tc>
        <w:tc>
          <w:tcPr>
            <w:tcW w:w="260" w:type="dxa"/>
            <w:tcBorders/>
            <w:vAlign w:val="center"/>
          </w:tcPr>
          <w:p>
            <w:pPr>
              <w:pStyle w:val="TableContents"/>
              <w:bidi w:val="0"/>
              <w:spacing w:before="0" w:after="283"/>
              <w:jc w:val="left"/>
              <w:rPr>
                <w:color w:val="000000"/>
              </w:rPr>
            </w:pPr>
            <w:r>
              <w:rPr>
                <w:color w:val="000000"/>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Direct-to-Consumer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2,213</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 Media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4,979</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Filmed Entertainment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7,984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7,192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8,148</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w:t>
            </w:r>
          </w:p>
        </w:tc>
        <w:tc>
          <w:tcPr>
            <w:tcW w:w="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w:t>
            </w:r>
          </w:p>
        </w:tc>
        <w:tc>
          <w:tcPr>
            <w:tcW w:w="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(244</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(573</w:t>
            </w:r>
          </w:p>
        </w:tc>
        <w:tc>
          <w:tcPr>
            <w:tcW w:w="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Diluted EPS </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OIBDA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688</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 OIBDA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9.6</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217</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Outstanding </w:t>
            </w:r>
            <w:r>
              <w:rPr>
                <w:rFonts w:ascii="Times New Roman;Times;Serif" w:hAnsi="Times New Roman;Times;Serif"/>
                <w:b/>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669</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680</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1,564</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1,686</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1,837</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23</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17</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Subscribers (M)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78.9</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(1) Diluted EPS from continuing operations attributable to Paramount or Paramount Skydance; (2) weighted average number of diluted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summarizes our financial performance and outlook. We discuss profitability for the periods before (“predecessor”) and after (“successor”) the transaction close (subsequently pre-close and post-close) in accordance with the financial reporting requirements for our transaction. Additional supplemental information is also available on our IR website.</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Q4, total revenue of $8.1 billion increased 2% versus revenue of $8.0 billion in Q4’24 for the predecessor company, led by an increase in licensing and subscription revenues, partially offset by declines in theatrical, advertising, and affiliate revenues. By segment: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DTC revenue increased 10% year-over-year, driven by 17% growth in Paramount+ revenue. Paramount+ ARPU increased by 10% with paid subscribers up 4%. DTC revenue from non-Paramount+ sources, primarily Pluto, declined -16% year-over-year, primarily due to ongoing monetization headwinds. In Q4, Paramount+ subscribers increased by 1 million quarter-over-quarter.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In TV Media, revenue declined -5% year-over-year. Results were driven by advertising declines of -10% including a seven percentage point impact from political spending and the Big Ten championship in Q4’24 and a decline in affiliate revenue of -7% year-over-year due to lower pay TV subscriber volume, partially offset by 10% year-over-year growth in licensing.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 xml:space="preserve">Filmed Entertainment revenue increased 16% year-over-year versus Q4’24 revenue, primarily due to the consolidation of Skydance licensing and other revenue, partially offset by a significant decline in theatrical revenue as we compared against the Q4’24 release slate which included </w:t>
            </w:r>
            <w:r>
              <w:rPr>
                <w:i/>
              </w:rPr>
              <w:t>Gladiator II</w:t>
            </w:r>
            <w:r>
              <w:rPr/>
              <w:t xml:space="preserve">, </w:t>
            </w:r>
            <w:r>
              <w:rPr>
                <w:i/>
              </w:rPr>
              <w:t>Sonic the Hedgehog 3</w:t>
            </w:r>
            <w:r>
              <w:rPr/>
              <w:t xml:space="preserve">, and </w:t>
            </w:r>
            <w:r>
              <w:rPr>
                <w:i/>
              </w:rPr>
              <w:t>Smile 2</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was -$339 million (-4% margin), which included $546 million of restructuring and transaction-related costs. Adj. OIBDA was $612 million (8% margin), a 51% increase year-over-year. By segment: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DTC adj. OIBDA was -$158 million (-7% margin), reflecting seasonally higher content costs somewhat offset by a content expense benefit from reductions in content assets resulting from the change in accounting basis resulting from the merger. Across the year, we saw healthy improvement in DTC adj. OIBDA margins, reflecting continued topline momentum and disciplined investments in growth as well as the impact of our new accounting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TV Media adj. OIBDA was $1.1 billion (23% margin), up 15% year-over-year, as we continue to prioritize disciplined cost management relative to the declines in pay TV and linear advertising revenues.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Filmed Entertainment adj. OIBDA was -$119 million (-9% margin). This performance, which is largely attributed to weak theatrical performance, did not meet our expectations and, as we mentioned in our prior letter, is an area we are actively addressing as we work to rebuild our film slate for profitable growth in 2026, 2027, and beyond.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operations was $217 million in Q4. Free cash flow was $101 million in the same period, including payments for restructuring, transaction-related items, and transformation initiatives of $153 million.</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Go-forward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previously noted, we plan to re-segment our business starting with our Q1’26 results to reflect our reorganization across DTC, TV Media, and Studios, which will give better transparency to our results and align with how we manage the business. Recasted financials for prior periods will be provided prior to our Q1’26 report. With our re-segmentation, we also plan to update our segment expense allocations to better reflect how we operate and make cost decisions across the business, with centralized costs that were previously allocated at the segment level moving to corporate overhead. Finally, we will also transition from adj. OIBDA as a measure of non-GAAP profitability to adj. EBITDA, which excludes stock-based compensation.</w:t>
      </w:r>
    </w:p>
    <w:p>
      <w:pPr>
        <w:pStyle w:val="TextBody"/>
        <w:bidi w:val="0"/>
        <w:spacing w:before="0" w:after="0"/>
        <w:ind w:left="0" w:right="0" w:hanging="0"/>
        <w:jc w:val="left"/>
        <w:rPr>
          <w:caps w:val="false"/>
          <w:smallCaps w:val="false"/>
        </w:rPr>
      </w:pPr>
      <w:r>
        <w:rPr>
          <w:caps w:val="false"/>
          <w:smallCaps w:val="false"/>
        </w:rPr>
        <w:t> </w:t>
      </w:r>
    </w:p>
    <w:tbl>
      <w:tblPr>
        <w:tblW w:w="4200" w:type="dxa"/>
        <w:jc w:val="center"/>
        <w:tblInd w:w="0" w:type="dxa"/>
        <w:tblLayout w:type="fixed"/>
        <w:tblCellMar>
          <w:top w:w="0" w:type="dxa"/>
          <w:left w:w="0" w:type="dxa"/>
          <w:bottom w:w="0" w:type="dxa"/>
          <w:right w:w="0" w:type="dxa"/>
        </w:tblCellMar>
      </w:tblPr>
      <w:tblGrid>
        <w:gridCol w:w="2060"/>
        <w:gridCol w:w="60"/>
        <w:gridCol w:w="1310"/>
        <w:gridCol w:w="60"/>
        <w:gridCol w:w="710"/>
      </w:tblGrid>
      <w:tr>
        <w:trPr/>
        <w:tc>
          <w:tcPr>
            <w:tcW w:w="2060" w:type="dxa"/>
            <w:tcBorders/>
            <w:vAlign w:val="center"/>
          </w:tcPr>
          <w:p>
            <w:pPr>
              <w:pStyle w:val="TableContents"/>
              <w:bidi w:val="0"/>
              <w:spacing w:before="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 in millions</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Q1’26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2026</w:t>
            </w:r>
          </w:p>
        </w:tc>
      </w:tr>
      <w:tr>
        <w:trPr/>
        <w:tc>
          <w:tcPr>
            <w:tcW w:w="20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Outlook</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Outlook</w:t>
            </w:r>
          </w:p>
        </w:tc>
      </w:tr>
      <w:tr>
        <w:trPr/>
        <w:tc>
          <w:tcPr>
            <w:tcW w:w="206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1310"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color w:val="000000"/>
              </w:rPr>
            </w:pPr>
            <w:r>
              <w:rPr>
                <w:color w:val="000000"/>
              </w:rPr>
              <w:t> </w:t>
            </w:r>
          </w:p>
        </w:tc>
        <w:tc>
          <w:tcPr>
            <w:tcW w:w="710" w:type="dxa"/>
            <w:tcBorders/>
            <w:vAlign w:val="center"/>
          </w:tcPr>
          <w:p>
            <w:pPr>
              <w:pStyle w:val="TableContents"/>
              <w:bidi w:val="0"/>
              <w:spacing w:before="0" w:after="283"/>
              <w:jc w:val="left"/>
              <w:rPr>
                <w:color w:val="000000"/>
              </w:rPr>
            </w:pPr>
            <w:r>
              <w:rPr>
                <w:color w:val="000000"/>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$7,150 - $7,350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Y/Y Growth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$900 - $1,000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$3,800</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 EBITDA Margin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12.7%</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we continue to expect total revenue of $30 billion, or 4% growth year-over-year, inclusive of predecessor and successor periods. We expect DTC will be the primary driver of this growth, with revenue accelerating due to increases in subscription and advertising revenue growth. We expect Paramount+ to have healthy, accelerating underlying subscriber growth year-over-year. However, our strategic decision to exit approximately 4-5 million hard bundle subscribers with unattractive economics, which accounted for less than 2% of Paramount+ revenue in 2025, will result in only modestly higher total paid subscribers compared to 2025. This deliberate mix shift prioritizes strong underlying subscriber growth, accelerating ARPU, and overall revenue growth over reported subscriber 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expect growth in our new Studio segment from licensing and other, including a full-year impact of Skydance revenue, as well as higher licensing across our other studios, partially offset by significantly lower theatrical revenue year-over-year as we work to recalibrate our film slate and compare against </w:t>
      </w:r>
      <w:r>
        <w:rPr>
          <w:rFonts w:ascii="Times New Roman;Times;Serif" w:hAnsi="Times New Roman;Times;Serif"/>
          <w:b w:val="false"/>
          <w:i/>
          <w:caps w:val="false"/>
          <w:smallCaps w:val="false"/>
          <w:sz w:val="20"/>
        </w:rPr>
        <w:t xml:space="preserve">Mission: Impossible – The Final Reckoning </w:t>
      </w:r>
      <w:r>
        <w:rPr>
          <w:rFonts w:ascii="Times New Roman;Times;Serif" w:hAnsi="Times New Roman;Times;Serif"/>
          <w:b w:val="false"/>
          <w:i w:val="false"/>
          <w:caps w:val="false"/>
          <w:smallCaps w:val="false"/>
          <w:sz w:val="20"/>
        </w:rPr>
        <w:t>and due to lower average box office revenue per film across more releases in 2026. In TV Media, we expect continued headwinds to affiliate revenue due to pay TV subscriber declines. We also expect linear advertising declines will moderate versus 2025, including the combined effects of expected political spending in 2026 and the sale of Telefe and Chilevisión. Across the factors above, we’d expect total company revenue to be relatively more weighted to the second half of the year, with profitability roughly evenly weighted.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forecast adj. EBITDA of $3.8 billion, or a 12.7% margin, which excludes roughly $300 million of stock-based compensation. We will balance near-term profitability with reinvestment as we make progress against our $3 billion-plus efficiencies plan while investing in content and technology, both of which we expect to drive significant DTC revenue growth and overhead cost reductions in 2027 and beyond. In DTC, we continue to expect to grow our profitability in 2026 relative to 2025. We expect to be profitable in our Studio segment, and to have stable margins in TV Media.</w:t>
      </w:r>
    </w:p>
    <w:p>
      <w:pPr>
        <w:pStyle w:val="TextBody"/>
        <w:bidi w:val="0"/>
        <w:spacing w:before="0" w:after="0"/>
        <w:ind w:left="0" w:right="0" w:hanging="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785"/>
        <w:gridCol w:w="15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85850" cy="342900"/>
                          </a:xfrm>
                          <a:prstGeom prst="rect">
                            <a:avLst/>
                          </a:prstGeom>
                        </pic:spPr>
                      </pic:pic>
                    </a:graphicData>
                  </a:graphic>
                </wp:inline>
              </w:drawing>
            </w:r>
            <w:r>
              <w:rPr/>
              <w:t> </w:t>
            </w:r>
          </w:p>
        </w:tc>
        <w:tc>
          <w:tcPr>
            <w:tcW w:w="155"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expect free cash flow conversion of approximately 5% before roughly $800 million of transformation costs, as previously noted. We expect future years to have better free cash flow conversion as 2026 is an important year for investing in the transformation of the business and ramping up our content slate, which we expect to fuel growth in 2027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Q1’26, we expect total revenue of $7.15 billion to $7.35 billion or -1% to 2% growth year-over-year versus Q1’25 for the predecessor company led by DTC revenue growth, partially offset by declines in TV Media and a slight decline in Studios revenue due to comparing against stronger theatrical performance in Q1’25 which included the continued benefit of </w:t>
      </w:r>
      <w:r>
        <w:rPr>
          <w:rFonts w:ascii="Times New Roman;Times;Serif" w:hAnsi="Times New Roman;Times;Serif"/>
          <w:b w:val="false"/>
          <w:i/>
          <w:caps w:val="false"/>
          <w:smallCaps w:val="false"/>
          <w:sz w:val="20"/>
        </w:rPr>
        <w:t xml:space="preserve">Sonic the Hedgehog 3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Gladiator II</w:t>
      </w:r>
      <w:r>
        <w:rPr>
          <w:rFonts w:ascii="Times New Roman;Times;Serif" w:hAnsi="Times New Roman;Times;Serif"/>
          <w:b w:val="false"/>
          <w:i w:val="false"/>
          <w:caps w:val="false"/>
          <w:smallCaps w:val="false"/>
          <w:sz w:val="20"/>
        </w:rPr>
        <w:t>. For our Q1 DTC forecast, we expect strong revenue growth, accelerating nicely quarter over quarter. Growth will be driven by Paramount+ ARPU growth and domestic subscriber adds, partially offset from the exit of international hard bundles that accounted for over 1 million paid subscribers at the end of 2025. We expect the exit of hard bundles will result in flattish quarter over quarter subscribers.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adj. EBITDA of $900 million to $1 billion, or a 13.1% margin at the midpoint, with approximately $75 million of stock-based compensation in the quarter. We expect continued year-over-year improvement in total DTC profitability in Q1. We anticipate transformation costs of several hundred million in Q1, which will impact our reported free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medium-term financial goals are to transition to sustainable topline growth driven by DTC, with increasing margins and FCF conversion, while managing our balance sheet to regain investment grade debt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Capital Structure &amp; Capital Allocation</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ended the quarter with $3.3 billion in cash and cash equivalents and $13.7 billion in gross debt. We continue to expect to achieve investment grade debt metrics by the end of 2027 as we make progress against our current transformation plan. Early in Q1, we repaid $347 million of debt maturing with cash on hand and have $86 million in debt maturing for the remainder of 2026. In late Q4, we extended our outstanding revolving credit facility of $3.5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allocation priorities remain: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317"/>
        <w:gridCol w:w="9828"/>
      </w:tblGrid>
      <w:tr>
        <w:trPr/>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1.</w:t>
            </w:r>
          </w:p>
        </w:tc>
        <w:tc>
          <w:tcPr>
            <w:tcW w:w="9828" w:type="dxa"/>
            <w:tcBorders/>
            <w:vAlign w:val="center"/>
          </w:tcPr>
          <w:p>
            <w:pPr>
              <w:pStyle w:val="TableContents"/>
              <w:bidi w:val="0"/>
              <w:spacing w:before="0" w:after="283"/>
              <w:jc w:val="left"/>
              <w:rPr/>
            </w:pPr>
            <w:r>
              <w:rPr/>
              <w:t>Invest organically for long-term profitable growth in our business</w:t>
            </w:r>
          </w:p>
        </w:tc>
      </w:tr>
    </w:tbl>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283"/>
              <w:jc w:val="left"/>
              <w:rPr/>
            </w:pPr>
            <w:r>
              <w:rPr/>
              <w:t>Consider M&amp;A where it accelerates our path towards achieving our North Star and other financial goals</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283"/>
              <w:jc w:val="left"/>
              <w:rPr/>
            </w:pPr>
            <w:r>
              <w:rPr/>
              <w:t>Manage our balance sheet to regain and then maintain investment grade credit metrics</w:t>
            </w:r>
          </w:p>
        </w:tc>
      </w:tr>
    </w:tbl>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283"/>
              <w:jc w:val="left"/>
              <w:rPr/>
            </w:pPr>
            <w:r>
              <w:rPr/>
              <w:t>Return excess cash to shareholders beyond our current dividend once we reach investment grade credit metrics</w:t>
            </w:r>
          </w:p>
        </w:tc>
      </w:tr>
    </w:tbl>
    <w:p>
      <w:pPr>
        <w:pStyle w:val="TextBody"/>
        <w:bidi w:val="0"/>
        <w:spacing w:before="0" w:after="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1785"/>
        <w:gridCol w:w="27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85850" cy="342900"/>
                          </a:xfrm>
                          <a:prstGeom prst="rect">
                            <a:avLst/>
                          </a:prstGeom>
                        </pic:spPr>
                      </pic:pic>
                    </a:graphicData>
                  </a:graphic>
                </wp:inline>
              </w:drawing>
            </w:r>
            <w:r>
              <w:rPr/>
              <w:t> </w:t>
            </w:r>
          </w:p>
        </w:tc>
        <w:tc>
          <w:tcPr>
            <w:tcW w:w="275"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Proposal to Acquire Warner Bros. Discovery</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WBD’s Board of Directors determined that Paramount’s revised $31 per share, all-cash offer to acquire WBD could reasonably be expected to lead to a “Company Superior Proposal” under the terms of WBD’s merger agreement with Netflix, Inc. We welcome the WBD Board’s determination and look forward to continuing to engage constructively with WBD to deliver the benefits of Paramount’s proposal to WBD shareholders, the creative community and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perspective, we approach investment decisions at Paramount, including our offer to acquire WBD, through the lens of our North Star priorities and financial goals. While we are confident in our standalone strategy and growth trajectory for Paramount, we view WBD as an accelerant to achieving these goals more quickly, in a way that is economically compelling for Paramount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color w:val="0F4761"/>
          <w:sz w:val="20"/>
        </w:rPr>
      </w:pPr>
      <w:r>
        <w:rPr>
          <w:rFonts w:ascii="Times New Roman;Times;Serif" w:hAnsi="Times New Roman;Times;Serif"/>
          <w:b/>
          <w:i/>
          <w:caps w:val="false"/>
          <w:smallCaps w:val="false"/>
          <w:color w:val="0F4761"/>
          <w:sz w:val="20"/>
        </w:rPr>
        <w:t>Closing</w:t>
      </w:r>
    </w:p>
    <w:p>
      <w:pPr>
        <w:pStyle w:val="TextBody"/>
        <w:bidi w:val="0"/>
        <w:spacing w:before="0" w:after="0"/>
        <w:ind w:left="0" w:right="0" w:hanging="0"/>
        <w:jc w:val="left"/>
        <w:rPr>
          <w:caps w:val="false"/>
          <w:smallCaps w:val="false"/>
          <w:color w:val="0F4761"/>
        </w:rPr>
      </w:pPr>
      <w:r>
        <w:rPr>
          <w:caps w:val="false"/>
          <w:smallCaps w:val="false"/>
          <w:color w:val="0F4761"/>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pleased with our progress this quarter and year-to-date, we remain focused on the work ahead, confident in our strategy, and committed to delivering long-term value for our shareholders – progress made possible by the tremendous efforts, dedication, and commitment of our people, who continue to drive our success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CEO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a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1785"/>
        <w:gridCol w:w="27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85850" cy="342900"/>
                          </a:xfrm>
                          <a:prstGeom prst="rect">
                            <a:avLst/>
                          </a:prstGeom>
                        </pic:spPr>
                      </pic:pic>
                    </a:graphicData>
                  </a:graphic>
                </wp:inline>
              </w:drawing>
            </w:r>
            <w:r>
              <w:rPr/>
              <w:t> </w:t>
            </w:r>
          </w:p>
        </w:tc>
        <w:tc>
          <w:tcPr>
            <w:tcW w:w="275"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Cautionary Note Concerning Forward-Looking Statements </w:t>
      </w:r>
      <w:r>
        <w:rPr>
          <w:rFonts w:ascii="Times New Roman;Times;Serif" w:hAnsi="Times New Roman;Times;Serif"/>
          <w:b w:val="false"/>
          <w:i w:val="false"/>
          <w:caps w:val="false"/>
          <w:smallCaps w:val="false"/>
          <w:sz w:val="20"/>
        </w:rPr>
        <w:br/>
        <w:br/>
        <w:t>This letter contains both historical and forward-looking statements, including statements related to our future financial results and performance, potential achievements and transactions (including with respect to our cash tender offer for all of the outstanding shares of Series A Common Stock of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(as it may be amended or restated),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risks and costs associated with the integration of, and our ability to integrate, the businesses of Paramount Global and Skydance Media, LLC successfully and to achieve anticipated synergies; litigation relating to the Transactions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our Company, including that our stockholders may not realize any change of control premium on shares of our Class B common stock and that we may become subject to the control of a presently unknown third party; risks associated with our status as a “controlled company” under Nasdaq rules, including our exemption from certain corporate governance requirements; risks associated with the lack of voting rights of our Class B common stock; risks that anti-takeover provisions in our amended and restated certificate of incorporation (“Charter”) and amended and restated bylaws, and under Delaware law could deter, delay, or prevent a change of control; risks that exclusive forum provisions in our Charter could limit a stockholder’s choice of forum for certain claims and discourage lawsuits against our directors and officers; risks that corporate opportunity provisions in our Charter could permit certain persons to pursue competitive opportunities that might otherwise be available to us; risks associated with our holding company structure, including our dependence on distributions from our subsidiaries to meet our tax obligations and other cash requirements; and other factors described in our news releases and filings with the Securities and Exchange Commission, including but not limited to our most recent Annual Report on Form 10-K and our reports on Form 10-Q and Form 8-K. There may be additional risks, uncertainties and factors that we do not currently view as material or that are not necessarily known. The forward-looking statements included in this letter are made only as of the date hereof, and we do not undertake any obligation to publicly update any forward-looking statements to reflect subsequent events or circumstances.</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1785"/>
        <w:gridCol w:w="27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85850" cy="342900"/>
                          </a:xfrm>
                          <a:prstGeom prst="rect">
                            <a:avLst/>
                          </a:prstGeom>
                        </pic:spPr>
                      </pic:pic>
                    </a:graphicData>
                  </a:graphic>
                </wp:inline>
              </w:drawing>
            </w:r>
            <w:r>
              <w:rPr/>
              <w:t> </w:t>
            </w:r>
          </w:p>
        </w:tc>
        <w:tc>
          <w:tcPr>
            <w:tcW w:w="275"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buy or a solicitation of an offer to sell securities. This communication relates to a proposal that Paramount has made for an acquisition of WBD, the Tender Offer that Paramount, through Prince Sub Inc., its wholly owned subsidiary, has made to WBD stockholders, and Paramount’s intention to solicit proxies against the Proposed Netflix Transaction and other proposals to be voted on by WBD stockholders at the special meeting of WBD stockholders to be held to approve the Proposed Netflix Merger Transaction (the “Netflix Merger Solicitation”) and/or for use at the WBD annual meeting.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Potential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Prince Sub Inc. and the other participants in the Netflix Merger Solicitation have filed a preliminary proxy statement and the accompanying BLUE proxy card with the SEC on January [21], 2026 in connection with the Netflix Merger Solicitation (the “Preliminary Special Meeting Proxy Statement”). Paramount expects to file a definitive proxy statement and the accompanying proxy card with the SEC in connection with the Netflix Merger Solicitation and may file other proxy solicitation materials in connection therewith or the annual meeting of WBD stockholders, or other documents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PARAMOUNT STRONGLY ADVISES ALL STOCKHOLDERS OF WBD TO READ THE PRELIMINARY SPECIAL MEETING PROXY STATEMENT AND OTHER PROXY MATERIALS AS THEY BECOME AVAILABLE BECAUSE THEY WILL CONTAIN IMPORTANT INFORMATION, INCLUDING INFORMATION RELATED TO THE PARTICIPANTS. SUCH PROXY MATERIALS WILL BE AVAILABLE AT NO CHARGE ON THE SEC’S WEB SITE AT </w:t>
      </w:r>
      <w:r>
        <w:rPr>
          <w:rFonts w:ascii="Times New Roman;Times;Serif" w:hAnsi="Times New Roman;Times;Serif"/>
          <w:b w:val="false"/>
          <w:i w:val="false"/>
          <w:caps w:val="false"/>
          <w:smallCaps w:val="false"/>
          <w:color w:val="0000FF"/>
          <w:sz w:val="20"/>
          <w:u w:val="single"/>
        </w:rPr>
        <w:t>HTTP://WWW.SEC.GOV</w:t>
      </w:r>
      <w:r>
        <w:rPr>
          <w:rFonts w:ascii="Times New Roman;Times;Serif" w:hAnsi="Times New Roman;Times;Serif"/>
          <w:b w:val="false"/>
          <w:i w:val="false"/>
          <w:caps w:val="false"/>
          <w:smallCaps w:val="false"/>
          <w:sz w:val="20"/>
        </w:rPr>
        <w:t>. IN ADDITION, PARAMOUNT AND THE OTHER PARTICIPANTS IN SUCH PROXY SOLICITATIONS WILL PROVIDE COPIES OF THE APPLICABLE PROXY STATEMENTS WITHOUT CHARGE, WHEN AVAILABLE, UPON REQUEST. REQUESTS FOR SUCH COPIES SHOULD BE DIRECTED TO THE APPLICABLE PROXY SOLICITOR.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1785"/>
        <w:gridCol w:w="27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85850" cy="342900"/>
                          </a:xfrm>
                          <a:prstGeom prst="rect">
                            <a:avLst/>
                          </a:prstGeom>
                        </pic:spPr>
                      </pic:pic>
                    </a:graphicData>
                  </a:graphic>
                </wp:inline>
              </w:drawing>
            </w:r>
            <w:r>
              <w:rPr/>
              <w:t> </w:t>
            </w:r>
          </w:p>
        </w:tc>
        <w:tc>
          <w:tcPr>
            <w:tcW w:w="275"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in the Netflix Merger Solicitation are expected to be Paramount, Prince Sub, Inc., certain directors and executive officers of Paramount and Prince Sub, Inc., Lawrence Ellison, RedBird Capital Management and The Lawrence J. Ellison Revocable Trust, u/a/d 1/22/88, as amended. Additional information about the participants in the Netflix Merger Solicitation is available in the Preliminary Special Meeting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0" w:type="dxa"/>
          <w:right w:w="0" w:type="dxa"/>
        </w:tblCellMar>
      </w:tblPr>
      <w:tblGrid>
        <w:gridCol w:w="1785"/>
        <w:gridCol w:w="275"/>
      </w:tblGrid>
      <w:tr>
        <w:trPr/>
        <w:tc>
          <w:tcPr>
            <w:tcW w:w="1785" w:type="dxa"/>
            <w:tcBorders/>
            <w:vAlign w:val="center"/>
          </w:tcPr>
          <w:p>
            <w:pPr>
              <w:pStyle w:val="TableContents"/>
              <w:bidi w:val="0"/>
              <w:spacing w:before="0" w:after="283"/>
              <w:jc w:val="left"/>
              <w:rPr/>
            </w:pPr>
            <w:r>
              <w:rPr/>
              <w:drawing>
                <wp:inline distT="0" distB="0" distL="0" distR="0">
                  <wp:extent cx="1085850" cy="342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85850" cy="342900"/>
                          </a:xfrm>
                          <a:prstGeom prst="rect">
                            <a:avLst/>
                          </a:prstGeom>
                        </pic:spPr>
                      </pic:pic>
                    </a:graphicData>
                  </a:graphic>
                </wp:inline>
              </w:drawing>
            </w:r>
            <w:r>
              <w:rPr/>
              <w:t> </w:t>
            </w:r>
          </w:p>
        </w:tc>
        <w:tc>
          <w:tcPr>
            <w:tcW w:w="275"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Paramount Global and Skydance Media, LLC (“Skydance”) became subsidiaries of Paramount Skydance Corporation, pursuant to a transaction agreement entered into on July 7, 2024 (the transactions contemplated by the Transaction Agreement,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within our Form 10-K for 2025 are presented in two distinct periods to indicate a new basis of accounting established for Paramount Global’s net assets upon the closing of the Transactions. The periods prior to August 7, 2025 include only Paramount Global and are identified as “Predecessor,” and the periods beginning on August 7, 2025 reflect Paramount Skydance Corporation and are identified as “Successor.” Due to the new accounting basis, the results of operations and cash flows are not comparable between the Successor and Predecessor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presentation within this letter, financial statements, and supplemental disclosures of non-GAAP financial measures also reflect the distinction between the Successor and Predecessor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 of our Form 10-K for 2025 for additional details regarding the new accounting basis established following the Transactions.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2937"/>
        <w:gridCol w:w="60"/>
        <w:gridCol w:w="268"/>
        <w:gridCol w:w="1044"/>
        <w:gridCol w:w="80"/>
        <w:gridCol w:w="60"/>
        <w:gridCol w:w="295"/>
        <w:gridCol w:w="1148"/>
        <w:gridCol w:w="80"/>
        <w:gridCol w:w="60"/>
        <w:gridCol w:w="249"/>
        <w:gridCol w:w="1190"/>
        <w:gridCol w:w="80"/>
        <w:gridCol w:w="60"/>
        <w:gridCol w:w="209"/>
        <w:gridCol w:w="991"/>
        <w:gridCol w:w="80"/>
        <w:gridCol w:w="60"/>
        <w:gridCol w:w="200"/>
        <w:gridCol w:w="954"/>
        <w:gridCol w:w="100"/>
      </w:tblGrid>
      <w:tr>
        <w:trPr/>
        <w:tc>
          <w:tcPr>
            <w:tcW w:w="2937" w:type="dxa"/>
            <w:tcBorders>
              <w:top w:val="single" w:sz="16"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312" w:type="dxa"/>
            <w:gridSpan w:val="2"/>
            <w:tcBorders>
              <w:top w:val="single" w:sz="16"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443" w:type="dxa"/>
            <w:gridSpan w:val="2"/>
            <w:tcBorders>
              <w:top w:val="single" w:sz="16"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8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439" w:type="dxa"/>
            <w:gridSpan w:val="2"/>
            <w:tcBorders>
              <w:top w:val="single" w:sz="16"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2494" w:type="dxa"/>
            <w:gridSpan w:val="6"/>
            <w:tcBorders>
              <w:top w:val="single" w:sz="16" w:space="0" w:color="000000"/>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100" w:type="dxa"/>
            <w:tcBorders>
              <w:top w:val="single" w:sz="16" w:space="0" w:color="000000"/>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12"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443"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39"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54"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12"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443"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39"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200"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54" w:type="dxa"/>
            <w:gridSpan w:val="2"/>
            <w:tcBorders>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0" w:type="dxa"/>
            <w:tcBorders>
              <w:bottom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8,148</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7,984</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12,269</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16,622</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29,213</w:t>
            </w:r>
          </w:p>
        </w:tc>
        <w:tc>
          <w:tcPr>
            <w:tcW w:w="10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bottom w:w="0" w:type="dxa"/>
            </w:tcMar>
            <w:vAlign w:val="center"/>
          </w:tcPr>
          <w:p>
            <w:pPr>
              <w:pStyle w:val="TableContents"/>
              <w:bidi w:val="0"/>
              <w:spacing w:before="0" w:after="283"/>
              <w:jc w:val="left"/>
              <w:rPr/>
            </w:pPr>
            <w:r>
              <w:rPr/>
              <w:t> </w:t>
            </w:r>
          </w:p>
        </w:tc>
        <w:tc>
          <w:tcPr>
            <w:tcW w:w="1044"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FFFFFF" w:val="clear"/>
            <w:tcMar>
              <w:top w:w="0" w:type="dxa"/>
              <w:bottom w:w="0" w:type="dxa"/>
            </w:tcMar>
            <w:vAlign w:val="center"/>
          </w:tcPr>
          <w:p>
            <w:pPr>
              <w:pStyle w:val="TableContents"/>
              <w:bidi w:val="0"/>
              <w:spacing w:before="0" w:after="283"/>
              <w:jc w:val="left"/>
              <w:rPr/>
            </w:pPr>
            <w:r>
              <w:rPr/>
              <w:t> </w:t>
            </w:r>
          </w:p>
        </w:tc>
        <w:tc>
          <w:tcPr>
            <w:tcW w:w="1148"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49" w:type="dxa"/>
            <w:tcBorders/>
            <w:shd w:fill="FFFFFF" w:val="clear"/>
            <w:tcMar>
              <w:top w:w="0" w:type="dxa"/>
              <w:bottom w:w="0" w:type="dxa"/>
            </w:tcMar>
            <w:vAlign w:val="center"/>
          </w:tcPr>
          <w:p>
            <w:pPr>
              <w:pStyle w:val="TableContents"/>
              <w:bidi w:val="0"/>
              <w:spacing w:before="0" w:after="283"/>
              <w:jc w:val="left"/>
              <w:rPr/>
            </w:pPr>
            <w:r>
              <w:rPr/>
              <w:t> </w:t>
            </w:r>
          </w:p>
        </w:tc>
        <w:tc>
          <w:tcPr>
            <w:tcW w:w="1190"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FFFFFF" w:val="clear"/>
            <w:tcMar>
              <w:top w:w="0" w:type="dxa"/>
              <w:bottom w:w="0" w:type="dxa"/>
            </w:tcMar>
            <w:vAlign w:val="center"/>
          </w:tcPr>
          <w:p>
            <w:pPr>
              <w:pStyle w:val="TableContents"/>
              <w:bidi w:val="0"/>
              <w:spacing w:before="0" w:after="283"/>
              <w:jc w:val="left"/>
              <w:rPr/>
            </w:pPr>
            <w:r>
              <w:rPr/>
              <w:t> </w:t>
            </w:r>
          </w:p>
        </w:tc>
        <w:tc>
          <w:tcPr>
            <w:tcW w:w="991"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00" w:type="dxa"/>
            <w:tcBorders/>
            <w:shd w:fill="FFFFFF" w:val="clear"/>
            <w:tcMar>
              <w:top w:w="0" w:type="dxa"/>
              <w:bottom w:w="0" w:type="dxa"/>
            </w:tcMar>
            <w:vAlign w:val="center"/>
          </w:tcPr>
          <w:p>
            <w:pPr>
              <w:pStyle w:val="TableContents"/>
              <w:bidi w:val="0"/>
              <w:spacing w:before="0" w:after="283"/>
              <w:jc w:val="left"/>
              <w:rPr/>
            </w:pPr>
            <w:r>
              <w:rPr/>
              <w:t> </w:t>
            </w:r>
          </w:p>
        </w:tc>
        <w:tc>
          <w:tcPr>
            <w:tcW w:w="954" w:type="dxa"/>
            <w:tcBorders/>
            <w:shd w:fill="FFFFFF" w:val="clear"/>
            <w:tcMar>
              <w:top w:w="0" w:type="dxa"/>
              <w:bottom w:w="0" w:type="dxa"/>
            </w:tcMar>
            <w:vAlign w:val="center"/>
          </w:tcPr>
          <w:p>
            <w:pPr>
              <w:pStyle w:val="TableContents"/>
              <w:bidi w:val="0"/>
              <w:spacing w:before="0" w:after="283"/>
              <w:jc w:val="right"/>
              <w:rPr/>
            </w:pPr>
            <w:r>
              <w:rPr/>
              <w:t> </w:t>
            </w:r>
          </w:p>
        </w:tc>
        <w:tc>
          <w:tcPr>
            <w:tcW w:w="10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5,767</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8,408</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11,287</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19,437</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1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2,594</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6,658</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1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transaction-related items, and other </w:t>
              <w:br/>
              <w:t>   corporate matters</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1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8,487</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7,855</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12,364</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15,628</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34,482</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dispositions</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1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1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investments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100"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Earnings (loss) from continuing operations before income </w:t>
              <w:br/>
              <w:t xml:space="preserve">taxes and equity in loss of investee companies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(provision for) income taxes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10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from continuing operations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(6,163</w:t>
            </w:r>
          </w:p>
        </w:tc>
        <w:tc>
          <w:tcPr>
            <w:tcW w:w="1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from discontinued operations, net of tax</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earnings (loss) </w:t>
              <w:br/>
              <w:t>   (Parent and noncontrolling interests)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(6,149</w:t>
            </w:r>
          </w:p>
        </w:tc>
        <w:tc>
          <w:tcPr>
            <w:tcW w:w="1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w:t>
            </w:r>
          </w:p>
        </w:tc>
        <w:tc>
          <w:tcPr>
            <w:tcW w:w="8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0" w:type="dxa"/>
            <w:tcBorders>
              <w:bottom w:val="single" w:sz="8"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Parent</w:t>
            </w:r>
          </w:p>
        </w:tc>
        <w:tc>
          <w:tcPr>
            <w:tcW w:w="60" w:type="dxa"/>
            <w:tcBorders>
              <w:bottom w:val="single" w:sz="16"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bottom w:val="single" w:sz="16"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single" w:sz="16"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6"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16"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8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single" w:sz="16"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6"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single" w:sz="16"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w:t>
            </w:r>
          </w:p>
        </w:tc>
        <w:tc>
          <w:tcPr>
            <w:tcW w:w="100" w:type="dxa"/>
            <w:tcBorders>
              <w:bottom w:val="single" w:sz="16"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bottom w:w="0" w:type="dxa"/>
            </w:tcMar>
            <w:vAlign w:val="center"/>
          </w:tcPr>
          <w:p>
            <w:pPr>
              <w:pStyle w:val="TableContents"/>
              <w:bidi w:val="0"/>
              <w:spacing w:before="0" w:after="283"/>
              <w:jc w:val="left"/>
              <w:rPr/>
            </w:pPr>
            <w:r>
              <w:rPr/>
              <w:t> </w:t>
            </w:r>
          </w:p>
        </w:tc>
        <w:tc>
          <w:tcPr>
            <w:tcW w:w="1044"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FFFFFF" w:val="clear"/>
            <w:tcMar>
              <w:top w:w="0" w:type="dxa"/>
              <w:bottom w:w="0" w:type="dxa"/>
            </w:tcMar>
            <w:vAlign w:val="center"/>
          </w:tcPr>
          <w:p>
            <w:pPr>
              <w:pStyle w:val="TableContents"/>
              <w:bidi w:val="0"/>
              <w:spacing w:before="0" w:after="283"/>
              <w:jc w:val="left"/>
              <w:rPr/>
            </w:pPr>
            <w:r>
              <w:rPr/>
              <w:t> </w:t>
            </w:r>
          </w:p>
        </w:tc>
        <w:tc>
          <w:tcPr>
            <w:tcW w:w="1148"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49" w:type="dxa"/>
            <w:tcBorders/>
            <w:shd w:fill="FFFFFF" w:val="clear"/>
            <w:tcMar>
              <w:top w:w="0" w:type="dxa"/>
              <w:bottom w:w="0" w:type="dxa"/>
            </w:tcMar>
            <w:vAlign w:val="center"/>
          </w:tcPr>
          <w:p>
            <w:pPr>
              <w:pStyle w:val="TableContents"/>
              <w:bidi w:val="0"/>
              <w:spacing w:before="0" w:after="283"/>
              <w:jc w:val="left"/>
              <w:rPr/>
            </w:pPr>
            <w:r>
              <w:rPr/>
              <w:t> </w:t>
            </w:r>
          </w:p>
        </w:tc>
        <w:tc>
          <w:tcPr>
            <w:tcW w:w="1190"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FFFFFF" w:val="clear"/>
            <w:tcMar>
              <w:top w:w="0" w:type="dxa"/>
              <w:bottom w:w="0" w:type="dxa"/>
            </w:tcMar>
            <w:vAlign w:val="center"/>
          </w:tcPr>
          <w:p>
            <w:pPr>
              <w:pStyle w:val="TableContents"/>
              <w:bidi w:val="0"/>
              <w:spacing w:before="0" w:after="283"/>
              <w:jc w:val="left"/>
              <w:rPr/>
            </w:pPr>
            <w:r>
              <w:rPr/>
              <w:t> </w:t>
            </w:r>
          </w:p>
        </w:tc>
        <w:tc>
          <w:tcPr>
            <w:tcW w:w="991"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00" w:type="dxa"/>
            <w:tcBorders/>
            <w:shd w:fill="FFFFFF" w:val="clear"/>
            <w:tcMar>
              <w:top w:w="0" w:type="dxa"/>
              <w:bottom w:w="0" w:type="dxa"/>
            </w:tcMar>
            <w:vAlign w:val="center"/>
          </w:tcPr>
          <w:p>
            <w:pPr>
              <w:pStyle w:val="TableContents"/>
              <w:bidi w:val="0"/>
              <w:spacing w:before="0" w:after="283"/>
              <w:jc w:val="left"/>
              <w:rPr/>
            </w:pPr>
            <w:r>
              <w:rPr/>
              <w:t> </w:t>
            </w:r>
          </w:p>
        </w:tc>
        <w:tc>
          <w:tcPr>
            <w:tcW w:w="954" w:type="dxa"/>
            <w:tcBorders/>
            <w:shd w:fill="FFFFFF" w:val="clear"/>
            <w:tcMar>
              <w:top w:w="0" w:type="dxa"/>
              <w:bottom w:w="0" w:type="dxa"/>
            </w:tcMar>
            <w:vAlign w:val="center"/>
          </w:tcPr>
          <w:p>
            <w:pPr>
              <w:pStyle w:val="TableContents"/>
              <w:bidi w:val="0"/>
              <w:spacing w:before="0" w:after="283"/>
              <w:jc w:val="right"/>
              <w:rPr/>
            </w:pPr>
            <w:r>
              <w:rPr/>
              <w:t> </w:t>
            </w:r>
          </w:p>
        </w:tc>
        <w:tc>
          <w:tcPr>
            <w:tcW w:w="10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attributable to Parent: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68" w:type="dxa"/>
            <w:tcBorders/>
            <w:shd w:fill="CCEEFF" w:val="clear"/>
            <w:tcMar>
              <w:top w:w="0" w:type="dxa"/>
              <w:bottom w:w="0" w:type="dxa"/>
            </w:tcMar>
            <w:vAlign w:val="center"/>
          </w:tcPr>
          <w:p>
            <w:pPr>
              <w:pStyle w:val="TableContents"/>
              <w:bidi w:val="0"/>
              <w:spacing w:before="0" w:after="283"/>
              <w:jc w:val="left"/>
              <w:rPr/>
            </w:pPr>
            <w:r>
              <w:rPr/>
              <w:t> </w:t>
            </w:r>
          </w:p>
        </w:tc>
        <w:tc>
          <w:tcPr>
            <w:tcW w:w="1044"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CCEEFF" w:val="clear"/>
            <w:tcMar>
              <w:top w:w="0" w:type="dxa"/>
              <w:bottom w:w="0" w:type="dxa"/>
            </w:tcMar>
            <w:vAlign w:val="center"/>
          </w:tcPr>
          <w:p>
            <w:pPr>
              <w:pStyle w:val="TableContents"/>
              <w:bidi w:val="0"/>
              <w:spacing w:before="0" w:after="283"/>
              <w:jc w:val="left"/>
              <w:rPr/>
            </w:pPr>
            <w:r>
              <w:rPr/>
              <w:t> </w:t>
            </w:r>
          </w:p>
        </w:tc>
        <w:tc>
          <w:tcPr>
            <w:tcW w:w="1148"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49" w:type="dxa"/>
            <w:tcBorders/>
            <w:shd w:fill="CCEEFF" w:val="clear"/>
            <w:tcMar>
              <w:top w:w="0" w:type="dxa"/>
              <w:bottom w:w="0" w:type="dxa"/>
            </w:tcMar>
            <w:vAlign w:val="center"/>
          </w:tcPr>
          <w:p>
            <w:pPr>
              <w:pStyle w:val="TableContents"/>
              <w:bidi w:val="0"/>
              <w:spacing w:before="0" w:after="283"/>
              <w:jc w:val="left"/>
              <w:rPr/>
            </w:pPr>
            <w:r>
              <w:rPr/>
              <w:t> </w:t>
            </w:r>
          </w:p>
        </w:tc>
        <w:tc>
          <w:tcPr>
            <w:tcW w:w="1190"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CCEEFF" w:val="clear"/>
            <w:tcMar>
              <w:top w:w="0" w:type="dxa"/>
              <w:bottom w:w="0" w:type="dxa"/>
            </w:tcMar>
            <w:vAlign w:val="center"/>
          </w:tcPr>
          <w:p>
            <w:pPr>
              <w:pStyle w:val="TableContents"/>
              <w:bidi w:val="0"/>
              <w:spacing w:before="0" w:after="283"/>
              <w:jc w:val="left"/>
              <w:rPr/>
            </w:pPr>
            <w:r>
              <w:rPr/>
              <w:t> </w:t>
            </w:r>
          </w:p>
        </w:tc>
        <w:tc>
          <w:tcPr>
            <w:tcW w:w="991"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00" w:type="dxa"/>
            <w:tcBorders/>
            <w:shd w:fill="CCEEFF" w:val="clear"/>
            <w:tcMar>
              <w:top w:w="0" w:type="dxa"/>
              <w:bottom w:w="0" w:type="dxa"/>
            </w:tcMar>
            <w:vAlign w:val="center"/>
          </w:tcPr>
          <w:p>
            <w:pPr>
              <w:pStyle w:val="TableContents"/>
              <w:bidi w:val="0"/>
              <w:spacing w:before="0" w:after="283"/>
              <w:jc w:val="left"/>
              <w:rPr/>
            </w:pPr>
            <w:r>
              <w:rPr/>
              <w:t> </w:t>
            </w:r>
          </w:p>
        </w:tc>
        <w:tc>
          <w:tcPr>
            <w:tcW w:w="954" w:type="dxa"/>
            <w:tcBorders/>
            <w:shd w:fill="CCEEFF" w:val="clear"/>
            <w:tcMar>
              <w:top w:w="0" w:type="dxa"/>
              <w:bottom w:w="0" w:type="dxa"/>
            </w:tcMar>
            <w:vAlign w:val="center"/>
          </w:tcPr>
          <w:p>
            <w:pPr>
              <w:pStyle w:val="TableContents"/>
              <w:bidi w:val="0"/>
              <w:spacing w:before="0" w:after="283"/>
              <w:jc w:val="right"/>
              <w:rPr/>
            </w:pPr>
            <w:r>
              <w:rPr/>
              <w:t> </w:t>
            </w:r>
          </w:p>
        </w:tc>
        <w:tc>
          <w:tcPr>
            <w:tcW w:w="100" w:type="dxa"/>
            <w:tcBorders/>
            <w:shd w:fill="CCEEFF" w:val="clear"/>
            <w:tcMar>
              <w:top w:w="0" w:type="dxa"/>
              <w:bottom w:w="0" w:type="dxa"/>
            </w:tcMar>
            <w:vAlign w:val="center"/>
          </w:tcPr>
          <w:p>
            <w:pPr>
              <w:pStyle w:val="TableContents"/>
              <w:bidi w:val="0"/>
              <w:spacing w:before="0" w:after="283"/>
              <w:jc w:val="left"/>
              <w:rPr/>
            </w:pPr>
            <w:r>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bottom w:val="single" w:sz="8" w:space="0" w:color="000000"/>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from discontinued operations, net of tax</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8" w:space="0" w:color="000000"/>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8" w:space="0" w:color="000000"/>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8" w:space="0" w:color="000000"/>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8" w:space="0" w:color="000000"/>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00" w:type="dxa"/>
            <w:tcBorders>
              <w:bottom w:val="single" w:sz="8" w:space="0" w:color="000000"/>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Parent</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w:t>
            </w:r>
          </w:p>
        </w:tc>
        <w:tc>
          <w:tcPr>
            <w:tcW w:w="100"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68" w:type="dxa"/>
            <w:tcBorders/>
            <w:shd w:fill="CCEEFF" w:val="clear"/>
            <w:tcMar>
              <w:top w:w="0" w:type="dxa"/>
              <w:bottom w:w="0" w:type="dxa"/>
            </w:tcMar>
            <w:vAlign w:val="center"/>
          </w:tcPr>
          <w:p>
            <w:pPr>
              <w:pStyle w:val="TableContents"/>
              <w:bidi w:val="0"/>
              <w:spacing w:before="0" w:after="283"/>
              <w:jc w:val="left"/>
              <w:rPr/>
            </w:pPr>
            <w:r>
              <w:rPr/>
              <w:t> </w:t>
            </w:r>
          </w:p>
        </w:tc>
        <w:tc>
          <w:tcPr>
            <w:tcW w:w="1044"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CCEEFF" w:val="clear"/>
            <w:tcMar>
              <w:top w:w="0" w:type="dxa"/>
              <w:bottom w:w="0" w:type="dxa"/>
            </w:tcMar>
            <w:vAlign w:val="center"/>
          </w:tcPr>
          <w:p>
            <w:pPr>
              <w:pStyle w:val="TableContents"/>
              <w:bidi w:val="0"/>
              <w:spacing w:before="0" w:after="283"/>
              <w:jc w:val="left"/>
              <w:rPr/>
            </w:pPr>
            <w:r>
              <w:rPr/>
              <w:t> </w:t>
            </w:r>
          </w:p>
        </w:tc>
        <w:tc>
          <w:tcPr>
            <w:tcW w:w="1148"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49" w:type="dxa"/>
            <w:tcBorders/>
            <w:shd w:fill="CCEEFF" w:val="clear"/>
            <w:tcMar>
              <w:top w:w="0" w:type="dxa"/>
              <w:bottom w:w="0" w:type="dxa"/>
            </w:tcMar>
            <w:vAlign w:val="center"/>
          </w:tcPr>
          <w:p>
            <w:pPr>
              <w:pStyle w:val="TableContents"/>
              <w:bidi w:val="0"/>
              <w:spacing w:before="0" w:after="283"/>
              <w:jc w:val="left"/>
              <w:rPr/>
            </w:pPr>
            <w:r>
              <w:rPr/>
              <w:t> </w:t>
            </w:r>
          </w:p>
        </w:tc>
        <w:tc>
          <w:tcPr>
            <w:tcW w:w="1190"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CCEEFF" w:val="clear"/>
            <w:tcMar>
              <w:top w:w="0" w:type="dxa"/>
              <w:bottom w:w="0" w:type="dxa"/>
            </w:tcMar>
            <w:vAlign w:val="center"/>
          </w:tcPr>
          <w:p>
            <w:pPr>
              <w:pStyle w:val="TableContents"/>
              <w:bidi w:val="0"/>
              <w:spacing w:before="0" w:after="283"/>
              <w:jc w:val="left"/>
              <w:rPr/>
            </w:pPr>
            <w:r>
              <w:rPr/>
              <w:t> </w:t>
            </w:r>
          </w:p>
        </w:tc>
        <w:tc>
          <w:tcPr>
            <w:tcW w:w="991"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00" w:type="dxa"/>
            <w:tcBorders/>
            <w:shd w:fill="CCEEFF" w:val="clear"/>
            <w:tcMar>
              <w:top w:w="0" w:type="dxa"/>
              <w:bottom w:w="0" w:type="dxa"/>
            </w:tcMar>
            <w:vAlign w:val="center"/>
          </w:tcPr>
          <w:p>
            <w:pPr>
              <w:pStyle w:val="TableContents"/>
              <w:bidi w:val="0"/>
              <w:spacing w:before="0" w:after="283"/>
              <w:jc w:val="left"/>
              <w:rPr/>
            </w:pPr>
            <w:r>
              <w:rPr/>
              <w:t> </w:t>
            </w:r>
          </w:p>
        </w:tc>
        <w:tc>
          <w:tcPr>
            <w:tcW w:w="954" w:type="dxa"/>
            <w:tcBorders/>
            <w:shd w:fill="CCEEFF" w:val="clear"/>
            <w:tcMar>
              <w:top w:w="0" w:type="dxa"/>
              <w:bottom w:w="0" w:type="dxa"/>
            </w:tcMar>
            <w:vAlign w:val="center"/>
          </w:tcPr>
          <w:p>
            <w:pPr>
              <w:pStyle w:val="TableContents"/>
              <w:bidi w:val="0"/>
              <w:spacing w:before="0" w:after="283"/>
              <w:jc w:val="right"/>
              <w:rPr/>
            </w:pPr>
            <w:r>
              <w:rPr/>
              <w:t> </w:t>
            </w:r>
          </w:p>
        </w:tc>
        <w:tc>
          <w:tcPr>
            <w:tcW w:w="100" w:type="dxa"/>
            <w:tcBorders/>
            <w:shd w:fill="CCEEFF" w:val="clear"/>
            <w:tcMar>
              <w:top w:w="0" w:type="dxa"/>
              <w:bottom w:w="0" w:type="dxa"/>
            </w:tcMar>
            <w:vAlign w:val="center"/>
          </w:tcPr>
          <w:p>
            <w:pPr>
              <w:pStyle w:val="TableContents"/>
              <w:bidi w:val="0"/>
              <w:spacing w:before="0" w:after="283"/>
              <w:jc w:val="left"/>
              <w:rPr/>
            </w:pPr>
            <w:r>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attributable to Parent: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bottom w:w="0" w:type="dxa"/>
            </w:tcMar>
            <w:vAlign w:val="center"/>
          </w:tcPr>
          <w:p>
            <w:pPr>
              <w:pStyle w:val="TableContents"/>
              <w:bidi w:val="0"/>
              <w:spacing w:before="0" w:after="283"/>
              <w:jc w:val="left"/>
              <w:rPr/>
            </w:pPr>
            <w:r>
              <w:rPr/>
              <w:t> </w:t>
            </w:r>
          </w:p>
        </w:tc>
        <w:tc>
          <w:tcPr>
            <w:tcW w:w="1044"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FFFFFF" w:val="clear"/>
            <w:tcMar>
              <w:top w:w="0" w:type="dxa"/>
              <w:bottom w:w="0" w:type="dxa"/>
            </w:tcMar>
            <w:vAlign w:val="center"/>
          </w:tcPr>
          <w:p>
            <w:pPr>
              <w:pStyle w:val="TableContents"/>
              <w:bidi w:val="0"/>
              <w:spacing w:before="0" w:after="283"/>
              <w:jc w:val="left"/>
              <w:rPr/>
            </w:pPr>
            <w:r>
              <w:rPr/>
              <w:t> </w:t>
            </w:r>
          </w:p>
        </w:tc>
        <w:tc>
          <w:tcPr>
            <w:tcW w:w="1148"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49" w:type="dxa"/>
            <w:tcBorders/>
            <w:shd w:fill="FFFFFF" w:val="clear"/>
            <w:tcMar>
              <w:top w:w="0" w:type="dxa"/>
              <w:bottom w:w="0" w:type="dxa"/>
            </w:tcMar>
            <w:vAlign w:val="center"/>
          </w:tcPr>
          <w:p>
            <w:pPr>
              <w:pStyle w:val="TableContents"/>
              <w:bidi w:val="0"/>
              <w:spacing w:before="0" w:after="283"/>
              <w:jc w:val="left"/>
              <w:rPr/>
            </w:pPr>
            <w:r>
              <w:rPr/>
              <w:t> </w:t>
            </w:r>
          </w:p>
        </w:tc>
        <w:tc>
          <w:tcPr>
            <w:tcW w:w="1190"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FFFFFF" w:val="clear"/>
            <w:tcMar>
              <w:top w:w="0" w:type="dxa"/>
              <w:bottom w:w="0" w:type="dxa"/>
            </w:tcMar>
            <w:vAlign w:val="center"/>
          </w:tcPr>
          <w:p>
            <w:pPr>
              <w:pStyle w:val="TableContents"/>
              <w:bidi w:val="0"/>
              <w:spacing w:before="0" w:after="283"/>
              <w:jc w:val="left"/>
              <w:rPr/>
            </w:pPr>
            <w:r>
              <w:rPr/>
              <w:t> </w:t>
            </w:r>
          </w:p>
        </w:tc>
        <w:tc>
          <w:tcPr>
            <w:tcW w:w="991"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00" w:type="dxa"/>
            <w:tcBorders/>
            <w:shd w:fill="FFFFFF" w:val="clear"/>
            <w:tcMar>
              <w:top w:w="0" w:type="dxa"/>
              <w:bottom w:w="0" w:type="dxa"/>
            </w:tcMar>
            <w:vAlign w:val="center"/>
          </w:tcPr>
          <w:p>
            <w:pPr>
              <w:pStyle w:val="TableContents"/>
              <w:bidi w:val="0"/>
              <w:spacing w:before="0" w:after="283"/>
              <w:jc w:val="left"/>
              <w:rPr/>
            </w:pPr>
            <w:r>
              <w:rPr/>
              <w:t> </w:t>
            </w:r>
          </w:p>
        </w:tc>
        <w:tc>
          <w:tcPr>
            <w:tcW w:w="954" w:type="dxa"/>
            <w:tcBorders/>
            <w:shd w:fill="FFFFFF" w:val="clear"/>
            <w:tcMar>
              <w:top w:w="0" w:type="dxa"/>
              <w:bottom w:w="0" w:type="dxa"/>
            </w:tcMar>
            <w:vAlign w:val="center"/>
          </w:tcPr>
          <w:p>
            <w:pPr>
              <w:pStyle w:val="TableContents"/>
              <w:bidi w:val="0"/>
              <w:spacing w:before="0" w:after="283"/>
              <w:jc w:val="right"/>
              <w:rPr/>
            </w:pPr>
            <w:r>
              <w:rPr/>
              <w:t> </w:t>
            </w:r>
          </w:p>
        </w:tc>
        <w:tc>
          <w:tcPr>
            <w:tcW w:w="10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1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from discontinued operations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0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1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bottom w:w="0" w:type="dxa"/>
            </w:tcMar>
            <w:vAlign w:val="center"/>
          </w:tcPr>
          <w:p>
            <w:pPr>
              <w:pStyle w:val="TableContents"/>
              <w:bidi w:val="0"/>
              <w:spacing w:before="0" w:after="283"/>
              <w:jc w:val="left"/>
              <w:rPr/>
            </w:pPr>
            <w:r>
              <w:rPr/>
              <w:t> </w:t>
            </w:r>
          </w:p>
        </w:tc>
        <w:tc>
          <w:tcPr>
            <w:tcW w:w="1044"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FFFFFF" w:val="clear"/>
            <w:tcMar>
              <w:top w:w="0" w:type="dxa"/>
              <w:bottom w:w="0" w:type="dxa"/>
            </w:tcMar>
            <w:vAlign w:val="center"/>
          </w:tcPr>
          <w:p>
            <w:pPr>
              <w:pStyle w:val="TableContents"/>
              <w:bidi w:val="0"/>
              <w:spacing w:before="0" w:after="283"/>
              <w:jc w:val="left"/>
              <w:rPr/>
            </w:pPr>
            <w:r>
              <w:rPr/>
              <w:t> </w:t>
            </w:r>
          </w:p>
        </w:tc>
        <w:tc>
          <w:tcPr>
            <w:tcW w:w="1148"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49" w:type="dxa"/>
            <w:tcBorders/>
            <w:shd w:fill="FFFFFF" w:val="clear"/>
            <w:tcMar>
              <w:top w:w="0" w:type="dxa"/>
              <w:bottom w:w="0" w:type="dxa"/>
            </w:tcMar>
            <w:vAlign w:val="center"/>
          </w:tcPr>
          <w:p>
            <w:pPr>
              <w:pStyle w:val="TableContents"/>
              <w:bidi w:val="0"/>
              <w:spacing w:before="0" w:after="283"/>
              <w:jc w:val="left"/>
              <w:rPr/>
            </w:pPr>
            <w:r>
              <w:rPr/>
              <w:t> </w:t>
            </w:r>
          </w:p>
        </w:tc>
        <w:tc>
          <w:tcPr>
            <w:tcW w:w="1190"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FFFFFF" w:val="clear"/>
            <w:tcMar>
              <w:top w:w="0" w:type="dxa"/>
              <w:bottom w:w="0" w:type="dxa"/>
            </w:tcMar>
            <w:vAlign w:val="center"/>
          </w:tcPr>
          <w:p>
            <w:pPr>
              <w:pStyle w:val="TableContents"/>
              <w:bidi w:val="0"/>
              <w:spacing w:before="0" w:after="283"/>
              <w:jc w:val="left"/>
              <w:rPr/>
            </w:pPr>
            <w:r>
              <w:rPr/>
              <w:t> </w:t>
            </w:r>
          </w:p>
        </w:tc>
        <w:tc>
          <w:tcPr>
            <w:tcW w:w="991"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00" w:type="dxa"/>
            <w:tcBorders/>
            <w:shd w:fill="FFFFFF" w:val="clear"/>
            <w:tcMar>
              <w:top w:w="0" w:type="dxa"/>
              <w:bottom w:w="0" w:type="dxa"/>
            </w:tcMar>
            <w:vAlign w:val="center"/>
          </w:tcPr>
          <w:p>
            <w:pPr>
              <w:pStyle w:val="TableContents"/>
              <w:bidi w:val="0"/>
              <w:spacing w:before="0" w:after="283"/>
              <w:jc w:val="left"/>
              <w:rPr/>
            </w:pPr>
            <w:r>
              <w:rPr/>
              <w:t> </w:t>
            </w:r>
          </w:p>
        </w:tc>
        <w:tc>
          <w:tcPr>
            <w:tcW w:w="954" w:type="dxa"/>
            <w:tcBorders/>
            <w:shd w:fill="FFFFFF" w:val="clear"/>
            <w:tcMar>
              <w:top w:w="0" w:type="dxa"/>
              <w:bottom w:w="0" w:type="dxa"/>
            </w:tcMar>
            <w:vAlign w:val="center"/>
          </w:tcPr>
          <w:p>
            <w:pPr>
              <w:pStyle w:val="TableContents"/>
              <w:bidi w:val="0"/>
              <w:spacing w:before="0" w:after="283"/>
              <w:jc w:val="right"/>
              <w:rPr/>
            </w:pPr>
            <w:r>
              <w:rPr/>
              <w:t> </w:t>
            </w:r>
          </w:p>
        </w:tc>
        <w:tc>
          <w:tcPr>
            <w:tcW w:w="10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common share attributable  </w:t>
              <w:br/>
              <w:t>     to Parent:</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68" w:type="dxa"/>
            <w:tcBorders/>
            <w:shd w:fill="CCEEFF" w:val="clear"/>
            <w:tcMar>
              <w:top w:w="0" w:type="dxa"/>
              <w:bottom w:w="0" w:type="dxa"/>
            </w:tcMar>
            <w:vAlign w:val="center"/>
          </w:tcPr>
          <w:p>
            <w:pPr>
              <w:pStyle w:val="TableContents"/>
              <w:bidi w:val="0"/>
              <w:spacing w:before="0" w:after="283"/>
              <w:jc w:val="left"/>
              <w:rPr/>
            </w:pPr>
            <w:r>
              <w:rPr/>
              <w:t> </w:t>
            </w:r>
          </w:p>
        </w:tc>
        <w:tc>
          <w:tcPr>
            <w:tcW w:w="1044"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CCEEFF" w:val="clear"/>
            <w:tcMar>
              <w:top w:w="0" w:type="dxa"/>
              <w:bottom w:w="0" w:type="dxa"/>
            </w:tcMar>
            <w:vAlign w:val="center"/>
          </w:tcPr>
          <w:p>
            <w:pPr>
              <w:pStyle w:val="TableContents"/>
              <w:bidi w:val="0"/>
              <w:spacing w:before="0" w:after="283"/>
              <w:jc w:val="left"/>
              <w:rPr/>
            </w:pPr>
            <w:r>
              <w:rPr/>
              <w:t> </w:t>
            </w:r>
          </w:p>
        </w:tc>
        <w:tc>
          <w:tcPr>
            <w:tcW w:w="1148"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49" w:type="dxa"/>
            <w:tcBorders/>
            <w:shd w:fill="CCEEFF" w:val="clear"/>
            <w:tcMar>
              <w:top w:w="0" w:type="dxa"/>
              <w:bottom w:w="0" w:type="dxa"/>
            </w:tcMar>
            <w:vAlign w:val="center"/>
          </w:tcPr>
          <w:p>
            <w:pPr>
              <w:pStyle w:val="TableContents"/>
              <w:bidi w:val="0"/>
              <w:spacing w:before="0" w:after="283"/>
              <w:jc w:val="left"/>
              <w:rPr/>
            </w:pPr>
            <w:r>
              <w:rPr/>
              <w:t> </w:t>
            </w:r>
          </w:p>
        </w:tc>
        <w:tc>
          <w:tcPr>
            <w:tcW w:w="1190"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CCEEFF" w:val="clear"/>
            <w:tcMar>
              <w:top w:w="0" w:type="dxa"/>
              <w:bottom w:w="0" w:type="dxa"/>
            </w:tcMar>
            <w:vAlign w:val="center"/>
          </w:tcPr>
          <w:p>
            <w:pPr>
              <w:pStyle w:val="TableContents"/>
              <w:bidi w:val="0"/>
              <w:spacing w:before="0" w:after="283"/>
              <w:jc w:val="left"/>
              <w:rPr/>
            </w:pPr>
            <w:r>
              <w:rPr/>
              <w:t> </w:t>
            </w:r>
          </w:p>
        </w:tc>
        <w:tc>
          <w:tcPr>
            <w:tcW w:w="991"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00" w:type="dxa"/>
            <w:tcBorders/>
            <w:shd w:fill="CCEEFF" w:val="clear"/>
            <w:tcMar>
              <w:top w:w="0" w:type="dxa"/>
              <w:bottom w:w="0" w:type="dxa"/>
            </w:tcMar>
            <w:vAlign w:val="center"/>
          </w:tcPr>
          <w:p>
            <w:pPr>
              <w:pStyle w:val="TableContents"/>
              <w:bidi w:val="0"/>
              <w:spacing w:before="0" w:after="283"/>
              <w:jc w:val="left"/>
              <w:rPr/>
            </w:pPr>
            <w:r>
              <w:rPr/>
              <w:t> </w:t>
            </w:r>
          </w:p>
        </w:tc>
        <w:tc>
          <w:tcPr>
            <w:tcW w:w="954" w:type="dxa"/>
            <w:tcBorders/>
            <w:shd w:fill="CCEEFF" w:val="clear"/>
            <w:tcMar>
              <w:top w:w="0" w:type="dxa"/>
              <w:bottom w:w="0" w:type="dxa"/>
            </w:tcMar>
            <w:vAlign w:val="center"/>
          </w:tcPr>
          <w:p>
            <w:pPr>
              <w:pStyle w:val="TableContents"/>
              <w:bidi w:val="0"/>
              <w:spacing w:before="0" w:after="283"/>
              <w:jc w:val="right"/>
              <w:rPr/>
            </w:pPr>
            <w:r>
              <w:rPr/>
              <w:t> </w:t>
            </w:r>
          </w:p>
        </w:tc>
        <w:tc>
          <w:tcPr>
            <w:tcW w:w="100" w:type="dxa"/>
            <w:tcBorders/>
            <w:shd w:fill="CCEEFF" w:val="clear"/>
            <w:tcMar>
              <w:top w:w="0" w:type="dxa"/>
              <w:bottom w:w="0" w:type="dxa"/>
            </w:tcMar>
            <w:vAlign w:val="center"/>
          </w:tcPr>
          <w:p>
            <w:pPr>
              <w:pStyle w:val="TableContents"/>
              <w:bidi w:val="0"/>
              <w:spacing w:before="0" w:after="283"/>
              <w:jc w:val="left"/>
              <w:rPr/>
            </w:pPr>
            <w:r>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from discontinued operations</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CCEEFF" w:val="clear"/>
            <w:tcMar>
              <w:top w:w="0" w:type="dxa"/>
              <w:bottom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0"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8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4" w:type="dxa"/>
            <w:tcBorders/>
            <w:shd w:fill="FFFF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100"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68" w:type="dxa"/>
            <w:tcBorders/>
            <w:shd w:fill="CCEEFF" w:val="clear"/>
            <w:tcMar>
              <w:top w:w="0" w:type="dxa"/>
              <w:bottom w:w="0" w:type="dxa"/>
            </w:tcMar>
            <w:vAlign w:val="center"/>
          </w:tcPr>
          <w:p>
            <w:pPr>
              <w:pStyle w:val="TableContents"/>
              <w:bidi w:val="0"/>
              <w:spacing w:before="0" w:after="283"/>
              <w:jc w:val="left"/>
              <w:rPr/>
            </w:pPr>
            <w:r>
              <w:rPr/>
              <w:t> </w:t>
            </w:r>
          </w:p>
        </w:tc>
        <w:tc>
          <w:tcPr>
            <w:tcW w:w="1044"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CCEEFF" w:val="clear"/>
            <w:tcMar>
              <w:top w:w="0" w:type="dxa"/>
              <w:bottom w:w="0" w:type="dxa"/>
            </w:tcMar>
            <w:vAlign w:val="center"/>
          </w:tcPr>
          <w:p>
            <w:pPr>
              <w:pStyle w:val="TableContents"/>
              <w:bidi w:val="0"/>
              <w:spacing w:before="0" w:after="283"/>
              <w:jc w:val="left"/>
              <w:rPr/>
            </w:pPr>
            <w:r>
              <w:rPr/>
              <w:t> </w:t>
            </w:r>
          </w:p>
        </w:tc>
        <w:tc>
          <w:tcPr>
            <w:tcW w:w="1148"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49" w:type="dxa"/>
            <w:tcBorders/>
            <w:shd w:fill="CCEEFF" w:val="clear"/>
            <w:tcMar>
              <w:top w:w="0" w:type="dxa"/>
              <w:bottom w:w="0" w:type="dxa"/>
            </w:tcMar>
            <w:vAlign w:val="center"/>
          </w:tcPr>
          <w:p>
            <w:pPr>
              <w:pStyle w:val="TableContents"/>
              <w:bidi w:val="0"/>
              <w:spacing w:before="0" w:after="283"/>
              <w:jc w:val="left"/>
              <w:rPr/>
            </w:pPr>
            <w:r>
              <w:rPr/>
              <w:t> </w:t>
            </w:r>
          </w:p>
        </w:tc>
        <w:tc>
          <w:tcPr>
            <w:tcW w:w="1190"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CCEEFF" w:val="clear"/>
            <w:tcMar>
              <w:top w:w="0" w:type="dxa"/>
              <w:bottom w:w="0" w:type="dxa"/>
            </w:tcMar>
            <w:vAlign w:val="center"/>
          </w:tcPr>
          <w:p>
            <w:pPr>
              <w:pStyle w:val="TableContents"/>
              <w:bidi w:val="0"/>
              <w:spacing w:before="0" w:after="283"/>
              <w:jc w:val="left"/>
              <w:rPr/>
            </w:pPr>
            <w:r>
              <w:rPr/>
              <w:t> </w:t>
            </w:r>
          </w:p>
        </w:tc>
        <w:tc>
          <w:tcPr>
            <w:tcW w:w="991" w:type="dxa"/>
            <w:tcBorders/>
            <w:shd w:fill="CCEEFF" w:val="clear"/>
            <w:tcMar>
              <w:top w:w="0" w:type="dxa"/>
              <w:bottom w:w="0" w:type="dxa"/>
            </w:tcMar>
            <w:vAlign w:val="center"/>
          </w:tcPr>
          <w:p>
            <w:pPr>
              <w:pStyle w:val="TableContents"/>
              <w:bidi w:val="0"/>
              <w:spacing w:before="0" w:after="283"/>
              <w:jc w:val="right"/>
              <w:rPr/>
            </w:pPr>
            <w:r>
              <w:rPr/>
              <w:t> </w:t>
            </w:r>
          </w:p>
        </w:tc>
        <w:tc>
          <w:tcPr>
            <w:tcW w:w="80" w:type="dxa"/>
            <w:tcBorders/>
            <w:shd w:fill="CCEEFF" w:val="clear"/>
            <w:tcMar>
              <w:top w:w="0" w:type="dxa"/>
              <w:bottom w:w="0" w:type="dxa"/>
            </w:tcMar>
            <w:vAlign w:val="center"/>
          </w:tcPr>
          <w:p>
            <w:pPr>
              <w:pStyle w:val="TableContents"/>
              <w:bidi w:val="0"/>
              <w:spacing w:before="0" w:after="283"/>
              <w:jc w:val="left"/>
              <w:rPr/>
            </w:pPr>
            <w:r>
              <w:rPr/>
              <w:t> </w:t>
            </w:r>
          </w:p>
        </w:tc>
        <w:tc>
          <w:tcPr>
            <w:tcW w:w="60" w:type="dxa"/>
            <w:tcBorders/>
            <w:shd w:fill="CCEEFF" w:val="clear"/>
            <w:tcMar>
              <w:top w:w="0" w:type="dxa"/>
              <w:bottom w:w="0" w:type="dxa"/>
            </w:tcMar>
            <w:vAlign w:val="center"/>
          </w:tcPr>
          <w:p>
            <w:pPr>
              <w:pStyle w:val="TableContents"/>
              <w:bidi w:val="0"/>
              <w:spacing w:before="0" w:after="283"/>
              <w:jc w:val="left"/>
              <w:rPr/>
            </w:pPr>
            <w:r>
              <w:rPr/>
              <w:t> </w:t>
            </w:r>
          </w:p>
        </w:tc>
        <w:tc>
          <w:tcPr>
            <w:tcW w:w="200" w:type="dxa"/>
            <w:tcBorders/>
            <w:shd w:fill="CCEEFF" w:val="clear"/>
            <w:tcMar>
              <w:top w:w="0" w:type="dxa"/>
              <w:bottom w:w="0" w:type="dxa"/>
            </w:tcMar>
            <w:vAlign w:val="center"/>
          </w:tcPr>
          <w:p>
            <w:pPr>
              <w:pStyle w:val="TableContents"/>
              <w:bidi w:val="0"/>
              <w:spacing w:before="0" w:after="283"/>
              <w:jc w:val="left"/>
              <w:rPr/>
            </w:pPr>
            <w:r>
              <w:rPr/>
              <w:t> </w:t>
            </w:r>
          </w:p>
        </w:tc>
        <w:tc>
          <w:tcPr>
            <w:tcW w:w="954" w:type="dxa"/>
            <w:tcBorders/>
            <w:shd w:fill="CCEEFF" w:val="clear"/>
            <w:tcMar>
              <w:top w:w="0" w:type="dxa"/>
              <w:bottom w:w="0" w:type="dxa"/>
            </w:tcMar>
            <w:vAlign w:val="center"/>
          </w:tcPr>
          <w:p>
            <w:pPr>
              <w:pStyle w:val="TableContents"/>
              <w:bidi w:val="0"/>
              <w:spacing w:before="0" w:after="283"/>
              <w:jc w:val="right"/>
              <w:rPr/>
            </w:pPr>
            <w:r>
              <w:rPr/>
              <w:t> </w:t>
            </w:r>
          </w:p>
        </w:tc>
        <w:tc>
          <w:tcPr>
            <w:tcW w:w="100" w:type="dxa"/>
            <w:tcBorders/>
            <w:shd w:fill="CCEEFF" w:val="clear"/>
            <w:tcMar>
              <w:top w:w="0" w:type="dxa"/>
              <w:bottom w:w="0" w:type="dxa"/>
            </w:tcMar>
            <w:vAlign w:val="center"/>
          </w:tcPr>
          <w:p>
            <w:pPr>
              <w:pStyle w:val="TableContents"/>
              <w:bidi w:val="0"/>
              <w:spacing w:before="0" w:after="283"/>
              <w:jc w:val="left"/>
              <w:rPr/>
            </w:pPr>
            <w:r>
              <w:rPr/>
              <w:t> </w:t>
            </w:r>
          </w:p>
        </w:tc>
      </w:tr>
      <w:tr>
        <w:trPr/>
        <w:tc>
          <w:tcPr>
            <w:tcW w:w="2937" w:type="dxa"/>
            <w:tcBorders/>
            <w:shd w:fill="FFFF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68" w:type="dxa"/>
            <w:tcBorders/>
            <w:shd w:fill="FFFFFF" w:val="clear"/>
            <w:tcMar>
              <w:top w:w="0" w:type="dxa"/>
              <w:bottom w:w="0" w:type="dxa"/>
            </w:tcMar>
            <w:vAlign w:val="center"/>
          </w:tcPr>
          <w:p>
            <w:pPr>
              <w:pStyle w:val="TableContents"/>
              <w:bidi w:val="0"/>
              <w:spacing w:before="0" w:after="283"/>
              <w:jc w:val="left"/>
              <w:rPr/>
            </w:pPr>
            <w:r>
              <w:rPr/>
              <w:t> </w:t>
            </w:r>
          </w:p>
        </w:tc>
        <w:tc>
          <w:tcPr>
            <w:tcW w:w="1044"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95" w:type="dxa"/>
            <w:tcBorders/>
            <w:shd w:fill="FFFFFF" w:val="clear"/>
            <w:tcMar>
              <w:top w:w="0" w:type="dxa"/>
              <w:bottom w:w="0" w:type="dxa"/>
            </w:tcMar>
            <w:vAlign w:val="center"/>
          </w:tcPr>
          <w:p>
            <w:pPr>
              <w:pStyle w:val="TableContents"/>
              <w:bidi w:val="0"/>
              <w:spacing w:before="0" w:after="283"/>
              <w:jc w:val="left"/>
              <w:rPr/>
            </w:pPr>
            <w:r>
              <w:rPr/>
              <w:t> </w:t>
            </w:r>
          </w:p>
        </w:tc>
        <w:tc>
          <w:tcPr>
            <w:tcW w:w="1148"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49" w:type="dxa"/>
            <w:tcBorders/>
            <w:shd w:fill="FFFFFF" w:val="clear"/>
            <w:tcMar>
              <w:top w:w="0" w:type="dxa"/>
              <w:bottom w:w="0" w:type="dxa"/>
            </w:tcMar>
            <w:vAlign w:val="center"/>
          </w:tcPr>
          <w:p>
            <w:pPr>
              <w:pStyle w:val="TableContents"/>
              <w:bidi w:val="0"/>
              <w:spacing w:before="0" w:after="283"/>
              <w:jc w:val="left"/>
              <w:rPr/>
            </w:pPr>
            <w:r>
              <w:rPr/>
              <w:t> </w:t>
            </w:r>
          </w:p>
        </w:tc>
        <w:tc>
          <w:tcPr>
            <w:tcW w:w="1190"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bottom w:w="0" w:type="dxa"/>
            </w:tcMar>
            <w:vAlign w:val="center"/>
          </w:tcPr>
          <w:p>
            <w:pPr>
              <w:pStyle w:val="TableContents"/>
              <w:bidi w:val="0"/>
              <w:spacing w:before="0" w:after="283"/>
              <w:jc w:val="left"/>
              <w:rPr/>
            </w:pPr>
            <w:r>
              <w:rPr/>
              <w:t> </w:t>
            </w:r>
          </w:p>
        </w:tc>
        <w:tc>
          <w:tcPr>
            <w:tcW w:w="209" w:type="dxa"/>
            <w:tcBorders/>
            <w:shd w:fill="FFFFFF" w:val="clear"/>
            <w:tcMar>
              <w:top w:w="0" w:type="dxa"/>
              <w:bottom w:w="0" w:type="dxa"/>
            </w:tcMar>
            <w:vAlign w:val="center"/>
          </w:tcPr>
          <w:p>
            <w:pPr>
              <w:pStyle w:val="TableContents"/>
              <w:bidi w:val="0"/>
              <w:spacing w:before="0" w:after="283"/>
              <w:jc w:val="left"/>
              <w:rPr/>
            </w:pPr>
            <w:r>
              <w:rPr/>
              <w:t> </w:t>
            </w:r>
          </w:p>
        </w:tc>
        <w:tc>
          <w:tcPr>
            <w:tcW w:w="991" w:type="dxa"/>
            <w:tcBorders/>
            <w:shd w:fill="FFFFFF" w:val="clear"/>
            <w:tcMar>
              <w:top w:w="0" w:type="dxa"/>
              <w:bottom w:w="0" w:type="dxa"/>
            </w:tcMar>
            <w:vAlign w:val="center"/>
          </w:tcPr>
          <w:p>
            <w:pPr>
              <w:pStyle w:val="TableContents"/>
              <w:bidi w:val="0"/>
              <w:spacing w:before="0" w:after="283"/>
              <w:jc w:val="right"/>
              <w:rPr/>
            </w:pPr>
            <w:r>
              <w:rPr/>
              <w:t> </w:t>
            </w:r>
          </w:p>
        </w:tc>
        <w:tc>
          <w:tcPr>
            <w:tcW w:w="8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200" w:type="dxa"/>
            <w:tcBorders/>
            <w:shd w:fill="FFFFFF" w:val="clear"/>
            <w:tcMar>
              <w:top w:w="0" w:type="dxa"/>
              <w:bottom w:w="0" w:type="dxa"/>
            </w:tcMar>
            <w:vAlign w:val="center"/>
          </w:tcPr>
          <w:p>
            <w:pPr>
              <w:pStyle w:val="TableContents"/>
              <w:bidi w:val="0"/>
              <w:spacing w:before="0" w:after="283"/>
              <w:jc w:val="left"/>
              <w:rPr/>
            </w:pPr>
            <w:r>
              <w:rPr/>
              <w:t> </w:t>
            </w:r>
          </w:p>
        </w:tc>
        <w:tc>
          <w:tcPr>
            <w:tcW w:w="954" w:type="dxa"/>
            <w:tcBorders/>
            <w:shd w:fill="FFFFFF" w:val="clear"/>
            <w:tcMar>
              <w:top w:w="0" w:type="dxa"/>
              <w:bottom w:w="0" w:type="dxa"/>
            </w:tcMar>
            <w:vAlign w:val="center"/>
          </w:tcPr>
          <w:p>
            <w:pPr>
              <w:pStyle w:val="TableContents"/>
              <w:bidi w:val="0"/>
              <w:spacing w:before="0" w:after="283"/>
              <w:jc w:val="right"/>
              <w:rPr/>
            </w:pPr>
            <w:r>
              <w:rPr/>
              <w:t> </w:t>
            </w:r>
          </w:p>
        </w:tc>
        <w:tc>
          <w:tcPr>
            <w:tcW w:w="100" w:type="dxa"/>
            <w:tcBorders/>
            <w:shd w:fill="FFFFFF" w:val="clear"/>
            <w:tcMar>
              <w:top w:w="0" w:type="dxa"/>
              <w:bottom w:w="0" w:type="dxa"/>
            </w:tcMar>
            <w:vAlign w:val="center"/>
          </w:tcPr>
          <w:p>
            <w:pPr>
              <w:pStyle w:val="TableContents"/>
              <w:bidi w:val="0"/>
              <w:spacing w:before="0" w:after="283"/>
              <w:jc w:val="left"/>
              <w:rPr/>
            </w:pPr>
            <w:r>
              <w:rPr/>
              <w:t> </w:t>
            </w:r>
          </w:p>
        </w:tc>
      </w:tr>
      <w:tr>
        <w:trPr/>
        <w:tc>
          <w:tcPr>
            <w:tcW w:w="2937" w:type="dxa"/>
            <w:tcBorders/>
            <w:shd w:fill="CCEEFF" w:val="clear"/>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shd w:fill="CCEEFF" w:val="clear"/>
            <w:tcMar>
              <w:top w:w="0" w:type="dxa"/>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00" w:type="dxa"/>
            <w:tcBorders/>
            <w:shd w:fill="CCEEFF" w:val="clear"/>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bottom w:val="single" w:sz="16" w:space="0" w:color="000000"/>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4"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95"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91"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54" w:type="dxa"/>
            <w:tcBorders>
              <w:bottom w:val="single" w:sz="16" w:space="0" w:color="000000"/>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w:t>
            </w:r>
          </w:p>
        </w:tc>
        <w:tc>
          <w:tcPr>
            <w:tcW w:w="100" w:type="dxa"/>
            <w:tcBorders>
              <w:bottom w:val="single" w:sz="16" w:space="0" w:color="000000"/>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6661"/>
        <w:gridCol w:w="60"/>
        <w:gridCol w:w="281"/>
        <w:gridCol w:w="1341"/>
        <w:gridCol w:w="80"/>
        <w:gridCol w:w="60"/>
        <w:gridCol w:w="260"/>
        <w:gridCol w:w="1365"/>
        <w:gridCol w:w="97"/>
      </w:tblGrid>
      <w:tr>
        <w:trPr/>
        <w:tc>
          <w:tcPr>
            <w:tcW w:w="6661"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97"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tc>
        <w:tc>
          <w:tcPr>
            <w:tcW w:w="8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gridSpan w:val="2"/>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w:t>
            </w:r>
          </w:p>
        </w:tc>
        <w:tc>
          <w:tcPr>
            <w:tcW w:w="9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5"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top w:w="0" w:type="dxa"/>
            </w:tcMar>
            <w:vAlign w:val="center"/>
          </w:tcPr>
          <w:p>
            <w:pPr>
              <w:pStyle w:val="TableContents"/>
              <w:bidi w:val="0"/>
              <w:spacing w:before="0" w:after="283"/>
              <w:jc w:val="left"/>
              <w:rPr/>
            </w:pPr>
            <w:r>
              <w:rPr/>
              <w:t> </w:t>
            </w:r>
          </w:p>
        </w:tc>
        <w:tc>
          <w:tcPr>
            <w:tcW w:w="281" w:type="dxa"/>
            <w:tcBorders/>
            <w:shd w:fill="CCEEFF" w:val="clear"/>
            <w:tcMar>
              <w:top w:w="0" w:type="dxa"/>
            </w:tcMar>
            <w:vAlign w:val="center"/>
          </w:tcPr>
          <w:p>
            <w:pPr>
              <w:pStyle w:val="TableContents"/>
              <w:bidi w:val="0"/>
              <w:spacing w:before="0" w:after="283"/>
              <w:jc w:val="left"/>
              <w:rPr/>
            </w:pPr>
            <w:r>
              <w:rPr/>
              <w:t> </w:t>
            </w:r>
          </w:p>
        </w:tc>
        <w:tc>
          <w:tcPr>
            <w:tcW w:w="13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260" w:type="dxa"/>
            <w:tcBorders/>
            <w:shd w:fill="CCEEFF" w:val="clear"/>
            <w:tcMar>
              <w:top w:w="0" w:type="dxa"/>
            </w:tcMar>
            <w:vAlign w:val="center"/>
          </w:tcPr>
          <w:p>
            <w:pPr>
              <w:pStyle w:val="TableContents"/>
              <w:bidi w:val="0"/>
              <w:spacing w:before="0" w:after="283"/>
              <w:jc w:val="left"/>
              <w:rPr/>
            </w:pPr>
            <w:r>
              <w:rPr/>
              <w:t> </w:t>
            </w:r>
          </w:p>
        </w:tc>
        <w:tc>
          <w:tcPr>
            <w:tcW w:w="1365" w:type="dxa"/>
            <w:tcBorders/>
            <w:shd w:fill="CCEEFF" w:val="clear"/>
            <w:tcMar>
              <w:top w:w="0" w:type="dxa"/>
            </w:tcMar>
            <w:vAlign w:val="center"/>
          </w:tcPr>
          <w:p>
            <w:pPr>
              <w:pStyle w:val="TableContents"/>
              <w:bidi w:val="0"/>
              <w:spacing w:before="0" w:after="283"/>
              <w:jc w:val="right"/>
              <w:rPr/>
            </w:pPr>
            <w:r>
              <w:rPr/>
              <w:t> </w:t>
            </w:r>
          </w:p>
        </w:tc>
        <w:tc>
          <w:tcPr>
            <w:tcW w:w="97" w:type="dxa"/>
            <w:tcBorders/>
            <w:shd w:fill="CCEEFF" w:val="clear"/>
            <w:tcMar>
              <w:top w:w="0" w:type="dxa"/>
            </w:tcMar>
            <w:vAlign w:val="center"/>
          </w:tcPr>
          <w:p>
            <w:pPr>
              <w:pStyle w:val="TableContents"/>
              <w:bidi w:val="0"/>
              <w:spacing w:before="0" w:after="283"/>
              <w:jc w:val="left"/>
              <w:rPr/>
            </w:pPr>
            <w:r>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tcMar>
              <w:top w:w="0" w:type="dxa"/>
            </w:tcMar>
            <w:vAlign w:val="center"/>
          </w:tcPr>
          <w:p>
            <w:pPr>
              <w:pStyle w:val="TableContents"/>
              <w:bidi w:val="0"/>
              <w:spacing w:before="0" w:after="283"/>
              <w:jc w:val="left"/>
              <w:rPr/>
            </w:pPr>
            <w:r>
              <w:rPr/>
              <w:t> </w:t>
            </w:r>
          </w:p>
        </w:tc>
        <w:tc>
          <w:tcPr>
            <w:tcW w:w="281" w:type="dxa"/>
            <w:tcBorders/>
            <w:shd w:fill="FFFFFF" w:val="clear"/>
            <w:tcMar>
              <w:top w:w="0" w:type="dxa"/>
            </w:tcMar>
            <w:vAlign w:val="center"/>
          </w:tcPr>
          <w:p>
            <w:pPr>
              <w:pStyle w:val="TableContents"/>
              <w:bidi w:val="0"/>
              <w:spacing w:before="0" w:after="283"/>
              <w:jc w:val="left"/>
              <w:rPr/>
            </w:pPr>
            <w:r>
              <w:rPr/>
              <w:t> </w:t>
            </w:r>
          </w:p>
        </w:tc>
        <w:tc>
          <w:tcPr>
            <w:tcW w:w="134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260" w:type="dxa"/>
            <w:tcBorders/>
            <w:shd w:fill="FFFFFF" w:val="clear"/>
            <w:tcMar>
              <w:top w:w="0" w:type="dxa"/>
            </w:tcMar>
            <w:vAlign w:val="center"/>
          </w:tcPr>
          <w:p>
            <w:pPr>
              <w:pStyle w:val="TableContents"/>
              <w:bidi w:val="0"/>
              <w:spacing w:before="0" w:after="283"/>
              <w:jc w:val="left"/>
              <w:rPr/>
            </w:pPr>
            <w:r>
              <w:rPr/>
              <w:t> </w:t>
            </w:r>
          </w:p>
        </w:tc>
        <w:tc>
          <w:tcPr>
            <w:tcW w:w="1365" w:type="dxa"/>
            <w:tcBorders/>
            <w:shd w:fill="FFFFFF" w:val="clear"/>
            <w:tcMar>
              <w:top w:w="0" w:type="dxa"/>
            </w:tcMar>
            <w:vAlign w:val="center"/>
          </w:tcPr>
          <w:p>
            <w:pPr>
              <w:pStyle w:val="TableContents"/>
              <w:bidi w:val="0"/>
              <w:spacing w:before="0" w:after="283"/>
              <w:jc w:val="right"/>
              <w:rPr/>
            </w:pPr>
            <w:r>
              <w:rPr/>
              <w:t> </w:t>
            </w:r>
          </w:p>
        </w:tc>
        <w:tc>
          <w:tcPr>
            <w:tcW w:w="97" w:type="dxa"/>
            <w:tcBorders/>
            <w:shd w:fill="FFFFFF" w:val="clear"/>
            <w:tcMar>
              <w:top w:w="0" w:type="dxa"/>
            </w:tcMar>
            <w:vAlign w:val="center"/>
          </w:tcPr>
          <w:p>
            <w:pPr>
              <w:pStyle w:val="TableContents"/>
              <w:bidi w:val="0"/>
              <w:spacing w:before="0" w:after="283"/>
              <w:jc w:val="left"/>
              <w:rPr/>
            </w:pPr>
            <w:r>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3,274</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6,920</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13,320</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12,542</w:t>
            </w:r>
          </w:p>
        </w:tc>
        <w:tc>
          <w:tcPr>
            <w:tcW w:w="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15,028</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13,924</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10,508</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6,238</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net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w:t>
            </w:r>
          </w:p>
        </w:tc>
        <w:tc>
          <w:tcPr>
            <w:tcW w:w="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43,342</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5"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46,172</w:t>
            </w:r>
          </w:p>
        </w:tc>
        <w:tc>
          <w:tcPr>
            <w:tcW w:w="97"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tcMar>
              <w:top w:w="0" w:type="dxa"/>
            </w:tcMar>
            <w:vAlign w:val="center"/>
          </w:tcPr>
          <w:p>
            <w:pPr>
              <w:pStyle w:val="TableContents"/>
              <w:bidi w:val="0"/>
              <w:spacing w:before="0" w:after="283"/>
              <w:jc w:val="left"/>
              <w:rPr/>
            </w:pPr>
            <w:r>
              <w:rPr/>
              <w:t> </w:t>
            </w:r>
          </w:p>
        </w:tc>
        <w:tc>
          <w:tcPr>
            <w:tcW w:w="281" w:type="dxa"/>
            <w:tcBorders/>
            <w:shd w:fill="FFFFFF" w:val="clear"/>
            <w:tcMar>
              <w:top w:w="0" w:type="dxa"/>
            </w:tcMar>
            <w:vAlign w:val="center"/>
          </w:tcPr>
          <w:p>
            <w:pPr>
              <w:pStyle w:val="TableContents"/>
              <w:bidi w:val="0"/>
              <w:spacing w:before="0" w:after="283"/>
              <w:jc w:val="left"/>
              <w:rPr/>
            </w:pPr>
            <w:r>
              <w:rPr/>
              <w:t> </w:t>
            </w:r>
          </w:p>
        </w:tc>
        <w:tc>
          <w:tcPr>
            <w:tcW w:w="134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260" w:type="dxa"/>
            <w:tcBorders/>
            <w:shd w:fill="FFFFFF" w:val="clear"/>
            <w:tcMar>
              <w:top w:w="0" w:type="dxa"/>
            </w:tcMar>
            <w:vAlign w:val="center"/>
          </w:tcPr>
          <w:p>
            <w:pPr>
              <w:pStyle w:val="TableContents"/>
              <w:bidi w:val="0"/>
              <w:spacing w:before="0" w:after="283"/>
              <w:jc w:val="left"/>
              <w:rPr/>
            </w:pPr>
            <w:r>
              <w:rPr/>
              <w:t> </w:t>
            </w:r>
          </w:p>
        </w:tc>
        <w:tc>
          <w:tcPr>
            <w:tcW w:w="1365" w:type="dxa"/>
            <w:tcBorders/>
            <w:shd w:fill="FFFFFF" w:val="clear"/>
            <w:tcMar>
              <w:top w:w="0" w:type="dxa"/>
            </w:tcMar>
            <w:vAlign w:val="center"/>
          </w:tcPr>
          <w:p>
            <w:pPr>
              <w:pStyle w:val="TableContents"/>
              <w:bidi w:val="0"/>
              <w:spacing w:before="0" w:after="283"/>
              <w:jc w:val="right"/>
              <w:rPr/>
            </w:pPr>
            <w:r>
              <w:rPr/>
              <w:t> </w:t>
            </w:r>
          </w:p>
        </w:tc>
        <w:tc>
          <w:tcPr>
            <w:tcW w:w="97" w:type="dxa"/>
            <w:tcBorders/>
            <w:shd w:fill="FFFFFF" w:val="clear"/>
            <w:tcMar>
              <w:top w:w="0" w:type="dxa"/>
            </w:tcMar>
            <w:vAlign w:val="center"/>
          </w:tcPr>
          <w:p>
            <w:pPr>
              <w:pStyle w:val="TableContents"/>
              <w:bidi w:val="0"/>
              <w:spacing w:before="0" w:after="283"/>
              <w:jc w:val="left"/>
              <w:rPr/>
            </w:pPr>
            <w:r>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281" w:type="dxa"/>
            <w:tcBorders/>
            <w:shd w:fill="CCEEFF" w:val="clear"/>
            <w:tcMar>
              <w:top w:w="0" w:type="dxa"/>
            </w:tcMar>
            <w:vAlign w:val="center"/>
          </w:tcPr>
          <w:p>
            <w:pPr>
              <w:pStyle w:val="TableContents"/>
              <w:bidi w:val="0"/>
              <w:spacing w:before="0" w:after="283"/>
              <w:jc w:val="left"/>
              <w:rPr/>
            </w:pPr>
            <w:r>
              <w:rPr/>
              <w:t> </w:t>
            </w:r>
          </w:p>
        </w:tc>
        <w:tc>
          <w:tcPr>
            <w:tcW w:w="13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260" w:type="dxa"/>
            <w:tcBorders/>
            <w:shd w:fill="CCEEFF" w:val="clear"/>
            <w:tcMar>
              <w:top w:w="0" w:type="dxa"/>
            </w:tcMar>
            <w:vAlign w:val="center"/>
          </w:tcPr>
          <w:p>
            <w:pPr>
              <w:pStyle w:val="TableContents"/>
              <w:bidi w:val="0"/>
              <w:spacing w:before="0" w:after="283"/>
              <w:jc w:val="left"/>
              <w:rPr/>
            </w:pPr>
            <w:r>
              <w:rPr/>
              <w:t> </w:t>
            </w:r>
          </w:p>
        </w:tc>
        <w:tc>
          <w:tcPr>
            <w:tcW w:w="1365" w:type="dxa"/>
            <w:tcBorders/>
            <w:shd w:fill="CCEEFF" w:val="clear"/>
            <w:tcMar>
              <w:top w:w="0" w:type="dxa"/>
            </w:tcMar>
            <w:vAlign w:val="center"/>
          </w:tcPr>
          <w:p>
            <w:pPr>
              <w:pStyle w:val="TableContents"/>
              <w:bidi w:val="0"/>
              <w:spacing w:before="0" w:after="283"/>
              <w:jc w:val="right"/>
              <w:rPr/>
            </w:pPr>
            <w:r>
              <w:rPr/>
              <w:t> </w:t>
            </w:r>
          </w:p>
        </w:tc>
        <w:tc>
          <w:tcPr>
            <w:tcW w:w="97" w:type="dxa"/>
            <w:tcBorders/>
            <w:shd w:fill="CCEEFF" w:val="clear"/>
            <w:tcMar>
              <w:top w:w="0" w:type="dxa"/>
            </w:tcMar>
            <w:vAlign w:val="center"/>
          </w:tcPr>
          <w:p>
            <w:pPr>
              <w:pStyle w:val="TableContents"/>
              <w:bidi w:val="0"/>
              <w:spacing w:before="0" w:after="283"/>
              <w:jc w:val="left"/>
              <w:rPr/>
            </w:pPr>
            <w:r>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2,077</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2,199</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2,574</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1,720</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w:t>
            </w:r>
          </w:p>
        </w:tc>
        <w:tc>
          <w:tcPr>
            <w:tcW w:w="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10,599</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9,631</w:t>
            </w:r>
          </w:p>
        </w:tc>
        <w:tc>
          <w:tcPr>
            <w:tcW w:w="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14,501</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 net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81" w:type="dxa"/>
            <w:tcBorders/>
            <w:shd w:fill="CCEEFF" w:val="clear"/>
            <w:tcMar>
              <w:top w:w="0" w:type="dxa"/>
            </w:tcMar>
            <w:vAlign w:val="center"/>
          </w:tcPr>
          <w:p>
            <w:pPr>
              <w:pStyle w:val="TableContents"/>
              <w:bidi w:val="0"/>
              <w:spacing w:before="0" w:after="283"/>
              <w:jc w:val="left"/>
              <w:rPr/>
            </w:pPr>
            <w:r>
              <w:rPr/>
              <w:t> </w:t>
            </w:r>
          </w:p>
        </w:tc>
        <w:tc>
          <w:tcPr>
            <w:tcW w:w="13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260" w:type="dxa"/>
            <w:tcBorders/>
            <w:shd w:fill="CCEEFF" w:val="clear"/>
            <w:tcMar>
              <w:top w:w="0" w:type="dxa"/>
            </w:tcMar>
            <w:vAlign w:val="center"/>
          </w:tcPr>
          <w:p>
            <w:pPr>
              <w:pStyle w:val="TableContents"/>
              <w:bidi w:val="0"/>
              <w:spacing w:before="0" w:after="283"/>
              <w:jc w:val="left"/>
              <w:rPr/>
            </w:pPr>
            <w:r>
              <w:rPr/>
              <w:t> </w:t>
            </w:r>
          </w:p>
        </w:tc>
        <w:tc>
          <w:tcPr>
            <w:tcW w:w="1365" w:type="dxa"/>
            <w:tcBorders/>
            <w:shd w:fill="CCEEFF" w:val="clear"/>
            <w:tcMar>
              <w:top w:w="0" w:type="dxa"/>
            </w:tcMar>
            <w:vAlign w:val="center"/>
          </w:tcPr>
          <w:p>
            <w:pPr>
              <w:pStyle w:val="TableContents"/>
              <w:bidi w:val="0"/>
              <w:spacing w:before="0" w:after="283"/>
              <w:jc w:val="right"/>
              <w:rPr/>
            </w:pPr>
            <w:r>
              <w:rPr/>
              <w:t> </w:t>
            </w:r>
          </w:p>
        </w:tc>
        <w:tc>
          <w:tcPr>
            <w:tcW w:w="97" w:type="dxa"/>
            <w:tcBorders/>
            <w:shd w:fill="CCEEFF" w:val="clear"/>
            <w:tcMar>
              <w:top w:w="0" w:type="dxa"/>
            </w:tcMar>
            <w:vAlign w:val="center"/>
          </w:tcPr>
          <w:p>
            <w:pPr>
              <w:pStyle w:val="TableContents"/>
              <w:bidi w:val="0"/>
              <w:spacing w:before="0" w:after="283"/>
              <w:jc w:val="left"/>
              <w:rPr/>
            </w:pPr>
            <w:r>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tcMar>
              <w:top w:w="0" w:type="dxa"/>
            </w:tcMar>
            <w:vAlign w:val="center"/>
          </w:tcPr>
          <w:p>
            <w:pPr>
              <w:pStyle w:val="TableContents"/>
              <w:bidi w:val="0"/>
              <w:spacing w:before="0" w:after="283"/>
              <w:jc w:val="left"/>
              <w:rPr/>
            </w:pPr>
            <w:r>
              <w:rPr/>
              <w:t> </w:t>
            </w:r>
          </w:p>
        </w:tc>
        <w:tc>
          <w:tcPr>
            <w:tcW w:w="281" w:type="dxa"/>
            <w:tcBorders/>
            <w:shd w:fill="FFFFFF" w:val="clear"/>
            <w:tcMar>
              <w:top w:w="0" w:type="dxa"/>
            </w:tcMar>
            <w:vAlign w:val="center"/>
          </w:tcPr>
          <w:p>
            <w:pPr>
              <w:pStyle w:val="TableContents"/>
              <w:bidi w:val="0"/>
              <w:spacing w:before="0" w:after="283"/>
              <w:jc w:val="left"/>
              <w:rPr/>
            </w:pPr>
            <w:r>
              <w:rPr/>
              <w:t> </w:t>
            </w:r>
          </w:p>
        </w:tc>
        <w:tc>
          <w:tcPr>
            <w:tcW w:w="134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260" w:type="dxa"/>
            <w:tcBorders/>
            <w:shd w:fill="FFFFFF" w:val="clear"/>
            <w:tcMar>
              <w:top w:w="0" w:type="dxa"/>
            </w:tcMar>
            <w:vAlign w:val="center"/>
          </w:tcPr>
          <w:p>
            <w:pPr>
              <w:pStyle w:val="TableContents"/>
              <w:bidi w:val="0"/>
              <w:spacing w:before="0" w:after="283"/>
              <w:jc w:val="left"/>
              <w:rPr/>
            </w:pPr>
            <w:r>
              <w:rPr/>
              <w:t> </w:t>
            </w:r>
          </w:p>
        </w:tc>
        <w:tc>
          <w:tcPr>
            <w:tcW w:w="1365" w:type="dxa"/>
            <w:tcBorders/>
            <w:shd w:fill="FFFFFF" w:val="clear"/>
            <w:tcMar>
              <w:top w:w="0" w:type="dxa"/>
            </w:tcMar>
            <w:vAlign w:val="center"/>
          </w:tcPr>
          <w:p>
            <w:pPr>
              <w:pStyle w:val="TableContents"/>
              <w:bidi w:val="0"/>
              <w:spacing w:before="0" w:after="283"/>
              <w:jc w:val="right"/>
              <w:rPr/>
            </w:pPr>
            <w:r>
              <w:rPr/>
              <w:t> </w:t>
            </w:r>
          </w:p>
        </w:tc>
        <w:tc>
          <w:tcPr>
            <w:tcW w:w="97" w:type="dxa"/>
            <w:tcBorders/>
            <w:shd w:fill="FFFFFF" w:val="clear"/>
            <w:tcMar>
              <w:top w:w="0" w:type="dxa"/>
            </w:tcMar>
            <w:vAlign w:val="center"/>
          </w:tcPr>
          <w:p>
            <w:pPr>
              <w:pStyle w:val="TableContents"/>
              <w:bidi w:val="0"/>
              <w:spacing w:before="0" w:after="283"/>
              <w:jc w:val="left"/>
              <w:rPr/>
            </w:pPr>
            <w:r>
              <w:rPr/>
              <w:t> </w:t>
            </w:r>
          </w:p>
        </w:tc>
      </w:tr>
      <w:tr>
        <w:trPr/>
        <w:tc>
          <w:tcPr>
            <w:tcW w:w="6661"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81" w:type="dxa"/>
            <w:tcBorders/>
            <w:shd w:fill="CCEEFF" w:val="clear"/>
            <w:tcMar>
              <w:top w:w="0" w:type="dxa"/>
            </w:tcMar>
            <w:vAlign w:val="center"/>
          </w:tcPr>
          <w:p>
            <w:pPr>
              <w:pStyle w:val="TableContents"/>
              <w:bidi w:val="0"/>
              <w:spacing w:before="0" w:after="283"/>
              <w:jc w:val="left"/>
              <w:rPr/>
            </w:pPr>
            <w:r>
              <w:rPr/>
              <w:t> </w:t>
            </w:r>
          </w:p>
        </w:tc>
        <w:tc>
          <w:tcPr>
            <w:tcW w:w="13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260" w:type="dxa"/>
            <w:tcBorders/>
            <w:shd w:fill="CCEEFF" w:val="clear"/>
            <w:tcMar>
              <w:top w:w="0" w:type="dxa"/>
            </w:tcMar>
            <w:vAlign w:val="center"/>
          </w:tcPr>
          <w:p>
            <w:pPr>
              <w:pStyle w:val="TableContents"/>
              <w:bidi w:val="0"/>
              <w:spacing w:before="0" w:after="283"/>
              <w:jc w:val="left"/>
              <w:rPr/>
            </w:pPr>
            <w:r>
              <w:rPr/>
              <w:t> </w:t>
            </w:r>
          </w:p>
        </w:tc>
        <w:tc>
          <w:tcPr>
            <w:tcW w:w="1365" w:type="dxa"/>
            <w:tcBorders/>
            <w:shd w:fill="CCEEFF" w:val="clear"/>
            <w:tcMar>
              <w:top w:w="0" w:type="dxa"/>
            </w:tcMar>
            <w:vAlign w:val="center"/>
          </w:tcPr>
          <w:p>
            <w:pPr>
              <w:pStyle w:val="TableContents"/>
              <w:bidi w:val="0"/>
              <w:spacing w:before="0" w:after="283"/>
              <w:jc w:val="right"/>
              <w:rPr/>
            </w:pPr>
            <w:r>
              <w:rPr/>
              <w:t> </w:t>
            </w:r>
          </w:p>
        </w:tc>
        <w:tc>
          <w:tcPr>
            <w:tcW w:w="97" w:type="dxa"/>
            <w:tcBorders/>
            <w:shd w:fill="CCEEFF" w:val="clear"/>
            <w:tcMar>
              <w:top w:w="0" w:type="dxa"/>
            </w:tcMar>
            <w:vAlign w:val="center"/>
          </w:tcPr>
          <w:p>
            <w:pPr>
              <w:pStyle w:val="TableContents"/>
              <w:bidi w:val="0"/>
              <w:spacing w:before="0" w:after="283"/>
              <w:jc w:val="left"/>
              <w:rPr/>
            </w:pPr>
            <w:r>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stockholders’ equity:</w:t>
            </w:r>
          </w:p>
        </w:tc>
        <w:tc>
          <w:tcPr>
            <w:tcW w:w="60" w:type="dxa"/>
            <w:tcBorders/>
            <w:shd w:fill="FFFFFF" w:val="clear"/>
            <w:tcMar>
              <w:top w:w="0" w:type="dxa"/>
            </w:tcMar>
            <w:vAlign w:val="center"/>
          </w:tcPr>
          <w:p>
            <w:pPr>
              <w:pStyle w:val="TableContents"/>
              <w:bidi w:val="0"/>
              <w:spacing w:before="0" w:after="283"/>
              <w:jc w:val="left"/>
              <w:rPr/>
            </w:pPr>
            <w:r>
              <w:rPr/>
              <w:t> </w:t>
            </w:r>
          </w:p>
        </w:tc>
        <w:tc>
          <w:tcPr>
            <w:tcW w:w="281" w:type="dxa"/>
            <w:tcBorders/>
            <w:shd w:fill="FFFFFF" w:val="clear"/>
            <w:tcMar>
              <w:top w:w="0" w:type="dxa"/>
            </w:tcMar>
            <w:vAlign w:val="center"/>
          </w:tcPr>
          <w:p>
            <w:pPr>
              <w:pStyle w:val="TableContents"/>
              <w:bidi w:val="0"/>
              <w:spacing w:before="0" w:after="283"/>
              <w:jc w:val="left"/>
              <w:rPr/>
            </w:pPr>
            <w:r>
              <w:rPr/>
              <w:t> </w:t>
            </w:r>
          </w:p>
        </w:tc>
        <w:tc>
          <w:tcPr>
            <w:tcW w:w="134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260" w:type="dxa"/>
            <w:tcBorders/>
            <w:shd w:fill="FFFFFF" w:val="clear"/>
            <w:tcMar>
              <w:top w:w="0" w:type="dxa"/>
            </w:tcMar>
            <w:vAlign w:val="center"/>
          </w:tcPr>
          <w:p>
            <w:pPr>
              <w:pStyle w:val="TableContents"/>
              <w:bidi w:val="0"/>
              <w:spacing w:before="0" w:after="283"/>
              <w:jc w:val="left"/>
              <w:rPr/>
            </w:pPr>
            <w:r>
              <w:rPr/>
              <w:t> </w:t>
            </w:r>
          </w:p>
        </w:tc>
        <w:tc>
          <w:tcPr>
            <w:tcW w:w="1365" w:type="dxa"/>
            <w:tcBorders/>
            <w:shd w:fill="FFFFFF" w:val="clear"/>
            <w:tcMar>
              <w:top w:w="0" w:type="dxa"/>
            </w:tcMar>
            <w:vAlign w:val="center"/>
          </w:tcPr>
          <w:p>
            <w:pPr>
              <w:pStyle w:val="TableContents"/>
              <w:bidi w:val="0"/>
              <w:spacing w:before="0" w:after="283"/>
              <w:jc w:val="right"/>
              <w:rPr/>
            </w:pPr>
            <w:r>
              <w:rPr/>
              <w:t> </w:t>
            </w:r>
          </w:p>
        </w:tc>
        <w:tc>
          <w:tcPr>
            <w:tcW w:w="97" w:type="dxa"/>
            <w:tcBorders/>
            <w:shd w:fill="FFFFFF" w:val="clear"/>
            <w:tcMar>
              <w:top w:w="0" w:type="dxa"/>
            </w:tcMar>
            <w:vAlign w:val="center"/>
          </w:tcPr>
          <w:p>
            <w:pPr>
              <w:pStyle w:val="TableContents"/>
              <w:bidi w:val="0"/>
              <w:spacing w:before="0" w:after="283"/>
              <w:jc w:val="left"/>
              <w:rPr/>
            </w:pPr>
            <w:r>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A Common Stock, par value $.001 per share; 55 shares authorized; </w:t>
              <w:br/>
              <w:t xml:space="preserve">32 (2025) and 41 (2024) shares issued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Class B Common Stock, par value $.001 per share; 5,500 (2025) and 5,000 (2024) </w:t>
              <w:br/>
              <w:t xml:space="preserve">shares authorized; 1,076 (2025) and 1,133 (2024) shares issued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13,386</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33,394</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at cost;  — (2025) and 503 (2024) shares of Class B Common Stock</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(22,958</w:t>
            </w:r>
          </w:p>
        </w:tc>
        <w:tc>
          <w:tcPr>
            <w:tcW w:w="97"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w:t>
            </w:r>
          </w:p>
        </w:tc>
        <w:tc>
          <w:tcPr>
            <w:tcW w:w="97"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Parent stockholders’ equity</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11,693</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16,320</w:t>
            </w:r>
          </w:p>
        </w:tc>
        <w:tc>
          <w:tcPr>
            <w:tcW w:w="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12,887</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16,782</w:t>
            </w:r>
          </w:p>
        </w:tc>
        <w:tc>
          <w:tcPr>
            <w:tcW w:w="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6661"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1"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1"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43,342</w:t>
            </w:r>
          </w:p>
        </w:tc>
        <w:tc>
          <w:tcPr>
            <w:tcW w:w="8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5"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46,172</w:t>
            </w:r>
          </w:p>
        </w:tc>
        <w:tc>
          <w:tcPr>
            <w:tcW w:w="97"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4153"/>
        <w:gridCol w:w="60"/>
        <w:gridCol w:w="397"/>
        <w:gridCol w:w="1741"/>
        <w:gridCol w:w="80"/>
        <w:gridCol w:w="60"/>
        <w:gridCol w:w="354"/>
        <w:gridCol w:w="1544"/>
        <w:gridCol w:w="80"/>
        <w:gridCol w:w="60"/>
        <w:gridCol w:w="254"/>
        <w:gridCol w:w="1324"/>
        <w:gridCol w:w="98"/>
      </w:tblGrid>
      <w:tr>
        <w:trPr/>
        <w:tc>
          <w:tcPr>
            <w:tcW w:w="4153"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138"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616" w:type="dxa"/>
            <w:gridSpan w:val="6"/>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98"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3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9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3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9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397" w:type="dxa"/>
            <w:tcBorders/>
            <w:shd w:fill="CCEEFF" w:val="clear"/>
            <w:tcMar>
              <w:top w:w="0" w:type="dxa"/>
            </w:tcMar>
            <w:vAlign w:val="center"/>
          </w:tcPr>
          <w:p>
            <w:pPr>
              <w:pStyle w:val="TableContents"/>
              <w:bidi w:val="0"/>
              <w:spacing w:before="0" w:after="283"/>
              <w:jc w:val="left"/>
              <w:rPr/>
            </w:pPr>
            <w:r>
              <w:rPr/>
              <w:t> </w:t>
            </w:r>
          </w:p>
        </w:tc>
        <w:tc>
          <w:tcPr>
            <w:tcW w:w="17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354" w:type="dxa"/>
            <w:tcBorders/>
            <w:shd w:fill="CCEEFF" w:val="clear"/>
            <w:tcMar>
              <w:top w:w="0" w:type="dxa"/>
            </w:tcMar>
            <w:vAlign w:val="center"/>
          </w:tcPr>
          <w:p>
            <w:pPr>
              <w:pStyle w:val="TableContents"/>
              <w:bidi w:val="0"/>
              <w:spacing w:before="0" w:after="283"/>
              <w:jc w:val="left"/>
              <w:rPr/>
            </w:pPr>
            <w:r>
              <w:rPr/>
              <w:t> </w:t>
            </w:r>
          </w:p>
        </w:tc>
        <w:tc>
          <w:tcPr>
            <w:tcW w:w="1544"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4" w:type="dxa"/>
            <w:tcBorders/>
            <w:shd w:fill="CCEEFF" w:val="clear"/>
            <w:tcMar>
              <w:top w:w="0" w:type="dxa"/>
            </w:tcMar>
            <w:vAlign w:val="center"/>
          </w:tcPr>
          <w:p>
            <w:pPr>
              <w:pStyle w:val="TableContents"/>
              <w:bidi w:val="0"/>
              <w:spacing w:before="0" w:after="283"/>
              <w:jc w:val="left"/>
              <w:rPr/>
            </w:pPr>
            <w:r>
              <w:rPr/>
              <w:t> </w:t>
            </w:r>
          </w:p>
        </w:tc>
        <w:tc>
          <w:tcPr>
            <w:tcW w:w="1324" w:type="dxa"/>
            <w:tcBorders/>
            <w:shd w:fill="CCEEFF" w:val="clear"/>
            <w:tcMar>
              <w:top w:w="0" w:type="dxa"/>
            </w:tcMar>
            <w:vAlign w:val="center"/>
          </w:tcPr>
          <w:p>
            <w:pPr>
              <w:pStyle w:val="TableContents"/>
              <w:bidi w:val="0"/>
              <w:spacing w:before="0" w:after="283"/>
              <w:jc w:val="right"/>
              <w:rPr/>
            </w:pPr>
            <w:r>
              <w:rPr/>
              <w:t> </w:t>
            </w:r>
          </w:p>
        </w:tc>
        <w:tc>
          <w:tcPr>
            <w:tcW w:w="98" w:type="dxa"/>
            <w:tcBorders/>
            <w:shd w:fill="CCEEFF" w:val="clear"/>
            <w:tcMar>
              <w:top w:w="0" w:type="dxa"/>
            </w:tcMar>
            <w:vAlign w:val="center"/>
          </w:tcPr>
          <w:p>
            <w:pPr>
              <w:pStyle w:val="TableContents"/>
              <w:bidi w:val="0"/>
              <w:spacing w:before="0" w:after="283"/>
              <w:jc w:val="left"/>
              <w:rPr/>
            </w:pPr>
            <w:r>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(Parent and noncontrolling interests)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(6,149</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earnings from discontinued operations, net of tax</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from continuing operations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(6,163</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Adjustments to reconcile net earnings (loss) from continuing operations to net cash </w:t>
              <w:br/>
              <w:t xml:space="preserve">flow provided by operating activities: </w:t>
            </w:r>
          </w:p>
        </w:tc>
        <w:tc>
          <w:tcPr>
            <w:tcW w:w="60" w:type="dxa"/>
            <w:tcBorders/>
            <w:shd w:fill="CCEEFF" w:val="clear"/>
            <w:tcMar>
              <w:top w:w="0" w:type="dxa"/>
            </w:tcMar>
            <w:vAlign w:val="center"/>
          </w:tcPr>
          <w:p>
            <w:pPr>
              <w:pStyle w:val="TableContents"/>
              <w:bidi w:val="0"/>
              <w:spacing w:before="0" w:after="283"/>
              <w:jc w:val="left"/>
              <w:rPr/>
            </w:pPr>
            <w:r>
              <w:rPr/>
              <w:t> </w:t>
            </w:r>
          </w:p>
        </w:tc>
        <w:tc>
          <w:tcPr>
            <w:tcW w:w="397" w:type="dxa"/>
            <w:tcBorders/>
            <w:shd w:fill="CCEEFF" w:val="clear"/>
            <w:tcMar>
              <w:top w:w="0" w:type="dxa"/>
            </w:tcMar>
            <w:vAlign w:val="center"/>
          </w:tcPr>
          <w:p>
            <w:pPr>
              <w:pStyle w:val="TableContents"/>
              <w:bidi w:val="0"/>
              <w:spacing w:before="0" w:after="283"/>
              <w:jc w:val="left"/>
              <w:rPr/>
            </w:pPr>
            <w:r>
              <w:rPr/>
              <w:t> </w:t>
            </w:r>
          </w:p>
        </w:tc>
        <w:tc>
          <w:tcPr>
            <w:tcW w:w="17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354" w:type="dxa"/>
            <w:tcBorders/>
            <w:shd w:fill="CCEEFF" w:val="clear"/>
            <w:tcMar>
              <w:top w:w="0" w:type="dxa"/>
            </w:tcMar>
            <w:vAlign w:val="center"/>
          </w:tcPr>
          <w:p>
            <w:pPr>
              <w:pStyle w:val="TableContents"/>
              <w:bidi w:val="0"/>
              <w:spacing w:before="0" w:after="283"/>
              <w:jc w:val="left"/>
              <w:rPr/>
            </w:pPr>
            <w:r>
              <w:rPr/>
              <w:t> </w:t>
            </w:r>
          </w:p>
        </w:tc>
        <w:tc>
          <w:tcPr>
            <w:tcW w:w="1544"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4" w:type="dxa"/>
            <w:tcBorders/>
            <w:shd w:fill="CCEEFF" w:val="clear"/>
            <w:tcMar>
              <w:top w:w="0" w:type="dxa"/>
            </w:tcMar>
            <w:vAlign w:val="center"/>
          </w:tcPr>
          <w:p>
            <w:pPr>
              <w:pStyle w:val="TableContents"/>
              <w:bidi w:val="0"/>
              <w:spacing w:before="0" w:after="283"/>
              <w:jc w:val="left"/>
              <w:rPr/>
            </w:pPr>
            <w:r>
              <w:rPr/>
              <w:t> </w:t>
            </w:r>
          </w:p>
        </w:tc>
        <w:tc>
          <w:tcPr>
            <w:tcW w:w="1324" w:type="dxa"/>
            <w:tcBorders/>
            <w:shd w:fill="CCEEFF" w:val="clear"/>
            <w:tcMar>
              <w:top w:w="0" w:type="dxa"/>
            </w:tcMar>
            <w:vAlign w:val="center"/>
          </w:tcPr>
          <w:p>
            <w:pPr>
              <w:pStyle w:val="TableContents"/>
              <w:bidi w:val="0"/>
              <w:spacing w:before="0" w:after="283"/>
              <w:jc w:val="right"/>
              <w:rPr/>
            </w:pPr>
            <w:r>
              <w:rPr/>
              <w:t> </w:t>
            </w:r>
          </w:p>
        </w:tc>
        <w:tc>
          <w:tcPr>
            <w:tcW w:w="98" w:type="dxa"/>
            <w:tcBorders/>
            <w:shd w:fill="CCEEFF" w:val="clear"/>
            <w:tcMar>
              <w:top w:w="0" w:type="dxa"/>
            </w:tcMar>
            <w:vAlign w:val="center"/>
          </w:tcPr>
          <w:p>
            <w:pPr>
              <w:pStyle w:val="TableContents"/>
              <w:bidi w:val="0"/>
              <w:spacing w:before="0" w:after="283"/>
              <w:jc w:val="left"/>
              <w:rPr/>
            </w:pPr>
            <w:r>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content costs and participation and residuals expense</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6,026</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13,888</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benefit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investments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 and distributions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assets and liabilities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397" w:type="dxa"/>
            <w:tcBorders/>
            <w:shd w:fill="CCEEFF" w:val="clear"/>
            <w:tcMar>
              <w:top w:w="0" w:type="dxa"/>
            </w:tcMar>
            <w:vAlign w:val="center"/>
          </w:tcPr>
          <w:p>
            <w:pPr>
              <w:pStyle w:val="TableContents"/>
              <w:bidi w:val="0"/>
              <w:spacing w:before="0" w:after="283"/>
              <w:jc w:val="left"/>
              <w:rPr/>
            </w:pPr>
            <w:r>
              <w:rPr/>
              <w:t> </w:t>
            </w:r>
          </w:p>
        </w:tc>
        <w:tc>
          <w:tcPr>
            <w:tcW w:w="17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354" w:type="dxa"/>
            <w:tcBorders/>
            <w:shd w:fill="CCEEFF" w:val="clear"/>
            <w:tcMar>
              <w:top w:w="0" w:type="dxa"/>
            </w:tcMar>
            <w:vAlign w:val="center"/>
          </w:tcPr>
          <w:p>
            <w:pPr>
              <w:pStyle w:val="TableContents"/>
              <w:bidi w:val="0"/>
              <w:spacing w:before="0" w:after="283"/>
              <w:jc w:val="left"/>
              <w:rPr/>
            </w:pPr>
            <w:r>
              <w:rPr/>
              <w:t> </w:t>
            </w:r>
          </w:p>
        </w:tc>
        <w:tc>
          <w:tcPr>
            <w:tcW w:w="1544"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4" w:type="dxa"/>
            <w:tcBorders/>
            <w:shd w:fill="CCEEFF" w:val="clear"/>
            <w:tcMar>
              <w:top w:w="0" w:type="dxa"/>
            </w:tcMar>
            <w:vAlign w:val="center"/>
          </w:tcPr>
          <w:p>
            <w:pPr>
              <w:pStyle w:val="TableContents"/>
              <w:bidi w:val="0"/>
              <w:spacing w:before="0" w:after="283"/>
              <w:jc w:val="left"/>
              <w:rPr/>
            </w:pPr>
            <w:r>
              <w:rPr/>
              <w:t> </w:t>
            </w:r>
          </w:p>
        </w:tc>
        <w:tc>
          <w:tcPr>
            <w:tcW w:w="1324" w:type="dxa"/>
            <w:tcBorders/>
            <w:shd w:fill="CCEEFF" w:val="clear"/>
            <w:tcMar>
              <w:top w:w="0" w:type="dxa"/>
            </w:tcMar>
            <w:vAlign w:val="center"/>
          </w:tcPr>
          <w:p>
            <w:pPr>
              <w:pStyle w:val="TableContents"/>
              <w:bidi w:val="0"/>
              <w:spacing w:before="0" w:after="283"/>
              <w:jc w:val="right"/>
              <w:rPr/>
            </w:pPr>
            <w:r>
              <w:rPr/>
              <w:t> </w:t>
            </w:r>
          </w:p>
        </w:tc>
        <w:tc>
          <w:tcPr>
            <w:tcW w:w="98" w:type="dxa"/>
            <w:tcBorders/>
            <w:shd w:fill="CCEEFF" w:val="clear"/>
            <w:tcMar>
              <w:top w:w="0" w:type="dxa"/>
            </w:tcMar>
            <w:vAlign w:val="center"/>
          </w:tcPr>
          <w:p>
            <w:pPr>
              <w:pStyle w:val="TableContents"/>
              <w:bidi w:val="0"/>
              <w:spacing w:before="0" w:after="283"/>
              <w:jc w:val="left"/>
              <w:rPr/>
            </w:pPr>
            <w:r>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receivables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inventory and related program, participation, and residuals liabilities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(9,094</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(15,812</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accounts payable and other liabilities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pension and postretirement benefit obligations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income taxes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provided by operating activities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tcMar>
              <w:top w:w="0" w:type="dxa"/>
            </w:tcMar>
            <w:vAlign w:val="center"/>
          </w:tcPr>
          <w:p>
            <w:pPr>
              <w:pStyle w:val="TableContents"/>
              <w:bidi w:val="0"/>
              <w:spacing w:before="0" w:after="283"/>
              <w:jc w:val="left"/>
              <w:rPr/>
            </w:pPr>
            <w:r>
              <w:rPr/>
              <w:t> </w:t>
            </w:r>
          </w:p>
        </w:tc>
        <w:tc>
          <w:tcPr>
            <w:tcW w:w="397" w:type="dxa"/>
            <w:tcBorders/>
            <w:shd w:fill="CCEEFF" w:val="clear"/>
            <w:tcMar>
              <w:top w:w="0" w:type="dxa"/>
            </w:tcMar>
            <w:vAlign w:val="center"/>
          </w:tcPr>
          <w:p>
            <w:pPr>
              <w:pStyle w:val="TableContents"/>
              <w:bidi w:val="0"/>
              <w:spacing w:before="0" w:after="283"/>
              <w:jc w:val="left"/>
              <w:rPr/>
            </w:pPr>
            <w:r>
              <w:rPr/>
              <w:t> </w:t>
            </w:r>
          </w:p>
        </w:tc>
        <w:tc>
          <w:tcPr>
            <w:tcW w:w="1741"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354" w:type="dxa"/>
            <w:tcBorders/>
            <w:shd w:fill="CCEEFF" w:val="clear"/>
            <w:tcMar>
              <w:top w:w="0" w:type="dxa"/>
            </w:tcMar>
            <w:vAlign w:val="center"/>
          </w:tcPr>
          <w:p>
            <w:pPr>
              <w:pStyle w:val="TableContents"/>
              <w:bidi w:val="0"/>
              <w:spacing w:before="0" w:after="283"/>
              <w:jc w:val="left"/>
              <w:rPr/>
            </w:pPr>
            <w:r>
              <w:rPr/>
              <w:t> </w:t>
            </w:r>
          </w:p>
        </w:tc>
        <w:tc>
          <w:tcPr>
            <w:tcW w:w="1544" w:type="dxa"/>
            <w:tcBorders/>
            <w:shd w:fill="CCEEFF" w:val="clear"/>
            <w:tcMar>
              <w:top w:w="0" w:type="dxa"/>
            </w:tcMar>
            <w:vAlign w:val="center"/>
          </w:tcPr>
          <w:p>
            <w:pPr>
              <w:pStyle w:val="TableContents"/>
              <w:bidi w:val="0"/>
              <w:spacing w:before="0" w:after="283"/>
              <w:jc w:val="right"/>
              <w:rPr/>
            </w:pPr>
            <w:r>
              <w:rPr/>
              <w:t> </w:t>
            </w:r>
          </w:p>
        </w:tc>
        <w:tc>
          <w:tcPr>
            <w:tcW w:w="80" w:type="dxa"/>
            <w:tcBorders/>
            <w:shd w:fill="CCEEFF" w:val="clear"/>
            <w:tcMar>
              <w:top w:w="0" w:type="dxa"/>
            </w:tcMar>
            <w:vAlign w:val="center"/>
          </w:tcPr>
          <w:p>
            <w:pPr>
              <w:pStyle w:val="TableContents"/>
              <w:bidi w:val="0"/>
              <w:spacing w:before="0" w:after="283"/>
              <w:jc w:val="left"/>
              <w:rPr/>
            </w:pPr>
            <w:r>
              <w:rPr/>
              <w:t> </w:t>
            </w:r>
          </w:p>
        </w:tc>
        <w:tc>
          <w:tcPr>
            <w:tcW w:w="60" w:type="dxa"/>
            <w:tcBorders/>
            <w:shd w:fill="CCEEFF" w:val="clear"/>
            <w:tcMar>
              <w:top w:w="0" w:type="dxa"/>
            </w:tcMar>
            <w:vAlign w:val="center"/>
          </w:tcPr>
          <w:p>
            <w:pPr>
              <w:pStyle w:val="TableContents"/>
              <w:bidi w:val="0"/>
              <w:spacing w:before="0" w:after="283"/>
              <w:jc w:val="left"/>
              <w:rPr/>
            </w:pPr>
            <w:r>
              <w:rPr/>
              <w:t> </w:t>
            </w:r>
          </w:p>
        </w:tc>
        <w:tc>
          <w:tcPr>
            <w:tcW w:w="254" w:type="dxa"/>
            <w:tcBorders/>
            <w:shd w:fill="CCEEFF" w:val="clear"/>
            <w:tcMar>
              <w:top w:w="0" w:type="dxa"/>
            </w:tcMar>
            <w:vAlign w:val="center"/>
          </w:tcPr>
          <w:p>
            <w:pPr>
              <w:pStyle w:val="TableContents"/>
              <w:bidi w:val="0"/>
              <w:spacing w:before="0" w:after="283"/>
              <w:jc w:val="left"/>
              <w:rPr/>
            </w:pPr>
            <w:r>
              <w:rPr/>
              <w:t> </w:t>
            </w:r>
          </w:p>
        </w:tc>
        <w:tc>
          <w:tcPr>
            <w:tcW w:w="1324" w:type="dxa"/>
            <w:tcBorders/>
            <w:shd w:fill="CCEEFF" w:val="clear"/>
            <w:tcMar>
              <w:top w:w="0" w:type="dxa"/>
            </w:tcMar>
            <w:vAlign w:val="center"/>
          </w:tcPr>
          <w:p>
            <w:pPr>
              <w:pStyle w:val="TableContents"/>
              <w:bidi w:val="0"/>
              <w:spacing w:before="0" w:after="283"/>
              <w:jc w:val="right"/>
              <w:rPr/>
            </w:pPr>
            <w:r>
              <w:rPr/>
              <w:t> </w:t>
            </w:r>
          </w:p>
        </w:tc>
        <w:tc>
          <w:tcPr>
            <w:tcW w:w="98" w:type="dxa"/>
            <w:tcBorders/>
            <w:shd w:fill="CCEEFF" w:val="clear"/>
            <w:tcMar>
              <w:top w:w="0" w:type="dxa"/>
            </w:tcMar>
            <w:vAlign w:val="center"/>
          </w:tcPr>
          <w:p>
            <w:pPr>
              <w:pStyle w:val="TableContents"/>
              <w:bidi w:val="0"/>
              <w:spacing w:before="0" w:after="283"/>
              <w:jc w:val="left"/>
              <w:rPr/>
            </w:pPr>
            <w:r>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net of cash acquired</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354" w:type="dxa"/>
            <w:tcBorders/>
            <w:shd w:fill="FFFFFF" w:val="clear"/>
            <w:tcMar>
              <w:top w:w="0" w:type="dxa"/>
            </w:tcMar>
            <w:vAlign w:val="center"/>
          </w:tcPr>
          <w:p>
            <w:pPr>
              <w:pStyle w:val="TableContents"/>
              <w:bidi w:val="0"/>
              <w:spacing w:before="0" w:after="283"/>
              <w:jc w:val="left"/>
              <w:rPr/>
            </w:pPr>
            <w:r>
              <w:rPr/>
              <w:t> </w:t>
            </w:r>
          </w:p>
        </w:tc>
        <w:tc>
          <w:tcPr>
            <w:tcW w:w="1544" w:type="dxa"/>
            <w:tcBorders/>
            <w:shd w:fill="FFFFFF" w:val="clear"/>
            <w:tcMar>
              <w:top w:w="0" w:type="dxa"/>
            </w:tcMar>
            <w:vAlign w:val="center"/>
          </w:tcPr>
          <w:p>
            <w:pPr>
              <w:pStyle w:val="TableContents"/>
              <w:bidi w:val="0"/>
              <w:spacing w:before="0" w:after="283"/>
              <w:jc w:val="right"/>
              <w:rPr/>
            </w:pPr>
            <w:r>
              <w:rPr/>
              <w:t>—</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4" w:type="dxa"/>
            <w:tcBorders/>
            <w:shd w:fill="FFFFFF" w:val="clear"/>
            <w:tcMar>
              <w:top w:w="0" w:type="dxa"/>
            </w:tcMar>
            <w:vAlign w:val="center"/>
          </w:tcPr>
          <w:p>
            <w:pPr>
              <w:pStyle w:val="TableContents"/>
              <w:bidi w:val="0"/>
              <w:spacing w:before="0" w:after="283"/>
              <w:jc w:val="left"/>
              <w:rPr/>
            </w:pPr>
            <w:r>
              <w:rPr/>
              <w:t> </w:t>
            </w:r>
          </w:p>
        </w:tc>
        <w:tc>
          <w:tcPr>
            <w:tcW w:w="1324" w:type="dxa"/>
            <w:tcBorders/>
            <w:shd w:fill="FFFFFF" w:val="clear"/>
            <w:tcMar>
              <w:top w:w="0" w:type="dxa"/>
            </w:tcMar>
            <w:vAlign w:val="center"/>
          </w:tcPr>
          <w:p>
            <w:pPr>
              <w:pStyle w:val="TableContents"/>
              <w:bidi w:val="0"/>
              <w:spacing w:before="0" w:after="283"/>
              <w:jc w:val="right"/>
              <w:rPr/>
            </w:pPr>
            <w:r>
              <w:rPr/>
              <w:t>—</w:t>
            </w:r>
          </w:p>
        </w:tc>
        <w:tc>
          <w:tcPr>
            <w:tcW w:w="98" w:type="dxa"/>
            <w:tcBorders/>
            <w:shd w:fill="FFFFFF" w:val="clear"/>
            <w:tcMar>
              <w:top w:w="0" w:type="dxa"/>
            </w:tcMar>
            <w:vAlign w:val="center"/>
          </w:tcPr>
          <w:p>
            <w:pPr>
              <w:pStyle w:val="TableContents"/>
              <w:bidi w:val="0"/>
              <w:spacing w:before="0" w:after="283"/>
              <w:jc w:val="left"/>
              <w:rPr/>
            </w:pPr>
            <w:r>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dispositions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investing activities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used for investing activities from continuing operations</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provided by investing activities from discontinued operations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(used for) provided by investing activities</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tcMar>
              <w:top w:w="0" w:type="dxa"/>
            </w:tcMar>
            <w:vAlign w:val="center"/>
          </w:tcPr>
          <w:p>
            <w:pPr>
              <w:pStyle w:val="TableContents"/>
              <w:bidi w:val="0"/>
              <w:spacing w:before="0" w:after="283"/>
              <w:jc w:val="left"/>
              <w:rPr/>
            </w:pPr>
            <w:r>
              <w:rPr/>
              <w:t> </w:t>
            </w:r>
          </w:p>
        </w:tc>
        <w:tc>
          <w:tcPr>
            <w:tcW w:w="397" w:type="dxa"/>
            <w:tcBorders/>
            <w:shd w:fill="FFFFFF" w:val="clear"/>
            <w:tcMar>
              <w:top w:w="0" w:type="dxa"/>
            </w:tcMar>
            <w:vAlign w:val="center"/>
          </w:tcPr>
          <w:p>
            <w:pPr>
              <w:pStyle w:val="TableContents"/>
              <w:bidi w:val="0"/>
              <w:spacing w:before="0" w:after="283"/>
              <w:jc w:val="left"/>
              <w:rPr/>
            </w:pPr>
            <w:r>
              <w:rPr/>
              <w:t> </w:t>
            </w:r>
          </w:p>
        </w:tc>
        <w:tc>
          <w:tcPr>
            <w:tcW w:w="174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pPr>
            <w:r>
              <w:rPr/>
              <w:t> </w:t>
            </w:r>
          </w:p>
        </w:tc>
        <w:tc>
          <w:tcPr>
            <w:tcW w:w="354" w:type="dxa"/>
            <w:tcBorders/>
            <w:shd w:fill="FFFFFF" w:val="clear"/>
            <w:tcMar>
              <w:top w:w="0" w:type="dxa"/>
            </w:tcMar>
            <w:vAlign w:val="center"/>
          </w:tcPr>
          <w:p>
            <w:pPr>
              <w:pStyle w:val="TableContents"/>
              <w:bidi w:val="0"/>
              <w:spacing w:before="0" w:after="283"/>
              <w:jc w:val="left"/>
              <w:rPr/>
            </w:pPr>
            <w:r>
              <w:rPr/>
              <w:t> </w:t>
            </w:r>
          </w:p>
        </w:tc>
        <w:tc>
          <w:tcPr>
            <w:tcW w:w="1544"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254" w:type="dxa"/>
            <w:tcBorders/>
            <w:shd w:fill="FFFFFF" w:val="clear"/>
            <w:tcMar>
              <w:top w:w="0" w:type="dxa"/>
            </w:tcMar>
            <w:vAlign w:val="center"/>
          </w:tcPr>
          <w:p>
            <w:pPr>
              <w:pStyle w:val="TableContents"/>
              <w:bidi w:val="0"/>
              <w:spacing w:before="0" w:after="283"/>
              <w:jc w:val="left"/>
              <w:rPr/>
            </w:pPr>
            <w:r>
              <w:rPr/>
              <w:t> </w:t>
            </w:r>
          </w:p>
        </w:tc>
        <w:tc>
          <w:tcPr>
            <w:tcW w:w="1324" w:type="dxa"/>
            <w:tcBorders/>
            <w:shd w:fill="FFFFFF" w:val="clear"/>
            <w:tcMar>
              <w:top w:w="0" w:type="dxa"/>
            </w:tcMar>
            <w:vAlign w:val="center"/>
          </w:tcPr>
          <w:p>
            <w:pPr>
              <w:pStyle w:val="TableContents"/>
              <w:bidi w:val="0"/>
              <w:spacing w:before="0" w:after="283"/>
              <w:jc w:val="right"/>
              <w:rPr/>
            </w:pPr>
            <w:r>
              <w:rPr/>
              <w:t> </w:t>
            </w:r>
          </w:p>
        </w:tc>
        <w:tc>
          <w:tcPr>
            <w:tcW w:w="98" w:type="dxa"/>
            <w:tcBorders/>
            <w:shd w:fill="FFFFFF" w:val="clear"/>
            <w:tcMar>
              <w:top w:w="0" w:type="dxa"/>
            </w:tcMar>
            <w:vAlign w:val="center"/>
          </w:tcPr>
          <w:p>
            <w:pPr>
              <w:pStyle w:val="TableContents"/>
              <w:bidi w:val="0"/>
              <w:spacing w:before="0" w:after="283"/>
              <w:jc w:val="left"/>
              <w:rPr/>
            </w:pPr>
            <w:r>
              <w:rPr/>
              <w:t> </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debt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debt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Skydance credit facility</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preferred stock</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on common stock</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payroll taxes in lieu of issuing shares for stock-based compensation</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to noncontrolling interests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financing activities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used for financing activities</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5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and cash equivalents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8" w:type="dxa"/>
            <w:tcBorders/>
            <w:shd w:fill="CCEEFF" w:val="clear"/>
            <w:tcMar>
              <w:top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5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3,851</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2,460</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153"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end of period</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3,274</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4"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2,460</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4"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w:t>
            </w:r>
          </w:p>
        </w:tc>
        <w:tc>
          <w:tcPr>
            <w:tcW w:w="98"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 before depreciation and amortization (“Adjusted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accounting principles generally accepted in the United States of America (“U.S. GAAP” or “GAAP”) (together, the “adjusted measures”), exclude certain items identified as affecting comparability that are not part of our normal operations, including impairment charges, restructuring charges, transaction-related items, other corporate matters, programming charges, gain on dispositions, loss from investment, and discrete tax items, each where applicable. Programming charges consist only of charges related to major strategic changes and do not include impairment charges that occur as part of our normal operations, which are recorded within “Operating expenses” on the Consolidated Statements of Operations, and are not excluded in our adjusted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000A3C"/>
        </w:rPr>
      </w:pPr>
      <w:r>
        <w:rPr>
          <w:caps w:val="false"/>
          <w:smallCaps w:val="false"/>
          <w:color w:val="000A3C"/>
        </w:rPr>
        <w:t> </w:t>
      </w:r>
    </w:p>
    <w:p>
      <w:pPr>
        <w:pStyle w:val="TextBody"/>
        <w:bidi w:val="0"/>
        <w:spacing w:before="0" w:after="0"/>
        <w:ind w:left="0" w:right="0" w:hanging="0"/>
        <w:jc w:val="center"/>
        <w:rPr>
          <w:caps w:val="false"/>
          <w:smallCaps w:val="false"/>
          <w:color w:val="000A3C"/>
        </w:rPr>
      </w:pPr>
      <w:r>
        <w:rPr>
          <w:caps w:val="false"/>
          <w:smallCaps w:val="false"/>
          <w:color w:val="000A3C"/>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except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8898" w:type="dxa"/>
        <w:jc w:val="center"/>
        <w:tblInd w:w="0" w:type="dxa"/>
        <w:tblLayout w:type="fixed"/>
        <w:tblCellMar>
          <w:top w:w="28" w:type="dxa"/>
          <w:left w:w="0" w:type="dxa"/>
          <w:bottom w:w="0" w:type="dxa"/>
          <w:right w:w="0" w:type="dxa"/>
        </w:tblCellMar>
      </w:tblPr>
      <w:tblGrid>
        <w:gridCol w:w="2645"/>
        <w:gridCol w:w="60"/>
        <w:gridCol w:w="717"/>
        <w:gridCol w:w="2272"/>
        <w:gridCol w:w="80"/>
        <w:gridCol w:w="60"/>
        <w:gridCol w:w="810"/>
        <w:gridCol w:w="2179"/>
        <w:gridCol w:w="75"/>
      </w:tblGrid>
      <w:tr>
        <w:trPr/>
        <w:tc>
          <w:tcPr>
            <w:tcW w:w="2645"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75"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75"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9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7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7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7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charges </w:t>
            </w:r>
            <w:r>
              <w:rPr>
                <w:rFonts w:ascii="Times New Roman;Times;Serif" w:hAnsi="Times New Roman;Times;Serif"/>
                <w:b w:val="false"/>
                <w:i w:val="false"/>
                <w:caps w:val="false"/>
                <w:smallCaps w:val="false"/>
                <w:position w:val="7"/>
                <w:sz w:val="16"/>
                <w:sz w:val="20"/>
              </w:rPr>
              <w:t xml:space="preserve">(a)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w:t>
            </w:r>
            <w:r>
              <w:rPr>
                <w:rFonts w:ascii="Times New Roman;Times;Serif" w:hAnsi="Times New Roman;Times;Serif"/>
                <w:b w:val="false"/>
                <w:i w:val="false"/>
                <w:caps w:val="false"/>
                <w:smallCaps w:val="false"/>
                <w:position w:val="7"/>
                <w:sz w:val="16"/>
                <w:sz w:val="20"/>
              </w:rPr>
              <w:t>(a)</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7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(a)</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corporate matters </w:t>
            </w:r>
            <w:r>
              <w:rPr>
                <w:rFonts w:ascii="Times New Roman;Times;Serif" w:hAnsi="Times New Roman;Times;Serif"/>
                <w:b w:val="false"/>
                <w:i w:val="false"/>
                <w:caps w:val="false"/>
                <w:smallCaps w:val="false"/>
                <w:position w:val="7"/>
                <w:sz w:val="16"/>
                <w:sz w:val="20"/>
              </w:rPr>
              <w:t>(a)</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272"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79"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45"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OIBDA (Non-GAAP)</w:t>
            </w:r>
          </w:p>
        </w:tc>
        <w:tc>
          <w:tcPr>
            <w:tcW w:w="6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17"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72"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8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810"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79"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75"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28" w:type="dxa"/>
          <w:left w:w="0" w:type="dxa"/>
          <w:bottom w:w="0" w:type="dxa"/>
          <w:right w:w="0" w:type="dxa"/>
        </w:tblCellMar>
      </w:tblPr>
      <w:tblGrid>
        <w:gridCol w:w="2454"/>
        <w:gridCol w:w="60"/>
        <w:gridCol w:w="569"/>
        <w:gridCol w:w="2220"/>
        <w:gridCol w:w="80"/>
        <w:gridCol w:w="60"/>
        <w:gridCol w:w="520"/>
        <w:gridCol w:w="2030"/>
        <w:gridCol w:w="80"/>
        <w:gridCol w:w="60"/>
        <w:gridCol w:w="367"/>
        <w:gridCol w:w="1607"/>
        <w:gridCol w:w="98"/>
      </w:tblGrid>
      <w:tr>
        <w:trPr/>
        <w:tc>
          <w:tcPr>
            <w:tcW w:w="2454"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789"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664" w:type="dxa"/>
            <w:gridSpan w:val="6"/>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98"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7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50"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78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550"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97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2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7"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5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charges </w:t>
            </w:r>
            <w:r>
              <w:rPr>
                <w:rFonts w:ascii="Times New Roman;Times;Serif" w:hAnsi="Times New Roman;Times;Serif"/>
                <w:b w:val="false"/>
                <w:i w:val="false"/>
                <w:caps w:val="false"/>
                <w:smallCaps w:val="false"/>
                <w:position w:val="7"/>
                <w:sz w:val="16"/>
                <w:sz w:val="20"/>
              </w:rPr>
              <w:t xml:space="preserve">(a)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w:t>
            </w:r>
            <w:r>
              <w:rPr>
                <w:rFonts w:ascii="Times New Roman;Times;Serif" w:hAnsi="Times New Roman;Times;Serif"/>
                <w:b w:val="false"/>
                <w:i w:val="false"/>
                <w:caps w:val="false"/>
                <w:smallCaps w:val="false"/>
                <w:position w:val="7"/>
                <w:sz w:val="16"/>
                <w:sz w:val="20"/>
              </w:rPr>
              <w:t>(a)</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(a)</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corporate matters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dispositions </w:t>
            </w:r>
            <w:r>
              <w:rPr>
                <w:rFonts w:ascii="Times New Roman;Times;Serif" w:hAnsi="Times New Roman;Times;Serif"/>
                <w:b w:val="false"/>
                <w:i w:val="false"/>
                <w:caps w:val="false"/>
                <w:smallCaps w:val="false"/>
                <w:position w:val="7"/>
                <w:sz w:val="16"/>
                <w:sz w:val="20"/>
              </w:rPr>
              <w:t>(a)</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220"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30"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7"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9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54"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OIBDA (Non-GAAP)</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9"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20"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30"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7"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w:t>
            </w:r>
          </w:p>
        </w:tc>
        <w:tc>
          <w:tcPr>
            <w:tcW w:w="98"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13"/>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See notes on the following tables for additional information on items affecting comparability.</w:t>
            </w:r>
          </w:p>
        </w:tc>
      </w:tr>
    </w:tbl>
    <w:p>
      <w:pPr>
        <w:pStyle w:val="TextBody"/>
        <w:bidi w:val="0"/>
        <w:spacing w:before="0" w:after="0"/>
        <w:ind w:left="144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our Adjusted OIBDA by reportable segment and a reconciliation of total Adjusted OIBDA to Operating Income (Loss), the most directly comparable financial measure in accordance with U.S. GAAP. We present Adjusted OIBDA as the primary measure of profit and loss for our operating segments in accordance with Financial Accounting Standards Board (FASB) guidance for segment reporting. Adjusted OIBDA is the primary method used by our management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28" w:type="dxa"/>
          <w:left w:w="0" w:type="dxa"/>
          <w:bottom w:w="0" w:type="dxa"/>
          <w:right w:w="0" w:type="dxa"/>
        </w:tblCellMar>
      </w:tblPr>
      <w:tblGrid>
        <w:gridCol w:w="4446"/>
        <w:gridCol w:w="77"/>
        <w:gridCol w:w="540"/>
        <w:gridCol w:w="2102"/>
        <w:gridCol w:w="103"/>
        <w:gridCol w:w="77"/>
        <w:gridCol w:w="657"/>
        <w:gridCol w:w="2079"/>
        <w:gridCol w:w="124"/>
      </w:tblGrid>
      <w:tr>
        <w:trPr/>
        <w:tc>
          <w:tcPr>
            <w:tcW w:w="4446" w:type="dxa"/>
            <w:tcBorders>
              <w:top w:val="single" w:sz="16" w:space="0" w:color="000000"/>
            </w:tcBorders>
            <w:vAlign w:val="center"/>
          </w:tcPr>
          <w:p>
            <w:pPr>
              <w:pStyle w:val="TableContents"/>
              <w:bidi w:val="0"/>
              <w:spacing w:before="0" w:after="283"/>
              <w:jc w:val="left"/>
              <w:rPr/>
            </w:pPr>
            <w:r>
              <w:rPr/>
              <w:t> </w:t>
            </w:r>
          </w:p>
        </w:tc>
        <w:tc>
          <w:tcPr>
            <w:tcW w:w="77"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642"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03"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736"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124"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tcMar>
              <w:top w:w="0" w:type="dxa"/>
            </w:tcMar>
            <w:vAlign w:val="center"/>
          </w:tcPr>
          <w:p>
            <w:pPr>
              <w:pStyle w:val="TableContents"/>
              <w:bidi w:val="0"/>
              <w:spacing w:before="0" w:after="283"/>
              <w:jc w:val="left"/>
              <w:rPr/>
            </w:pPr>
            <w:r>
              <w:rPr/>
              <w:t> </w:t>
            </w:r>
          </w:p>
        </w:tc>
        <w:tc>
          <w:tcPr>
            <w:tcW w:w="7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64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73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124"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64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73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24"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OIBDA:</w:t>
            </w:r>
          </w:p>
        </w:tc>
        <w:tc>
          <w:tcPr>
            <w:tcW w:w="77" w:type="dxa"/>
            <w:tcBorders/>
            <w:shd w:fill="CCEEFF" w:val="clear"/>
            <w:tcMar>
              <w:top w:w="0" w:type="dxa"/>
            </w:tcMar>
            <w:vAlign w:val="center"/>
          </w:tcPr>
          <w:p>
            <w:pPr>
              <w:pStyle w:val="TableContents"/>
              <w:bidi w:val="0"/>
              <w:spacing w:before="0" w:after="283"/>
              <w:jc w:val="left"/>
              <w:rPr/>
            </w:pPr>
            <w:r>
              <w:rPr/>
              <w:t> </w:t>
            </w:r>
          </w:p>
        </w:tc>
        <w:tc>
          <w:tcPr>
            <w:tcW w:w="540" w:type="dxa"/>
            <w:tcBorders/>
            <w:shd w:fill="CCEEFF" w:val="clear"/>
            <w:tcMar>
              <w:top w:w="0" w:type="dxa"/>
            </w:tcMar>
            <w:vAlign w:val="center"/>
          </w:tcPr>
          <w:p>
            <w:pPr>
              <w:pStyle w:val="TableContents"/>
              <w:bidi w:val="0"/>
              <w:spacing w:before="0" w:after="283"/>
              <w:jc w:val="left"/>
              <w:rPr/>
            </w:pPr>
            <w:r>
              <w:rPr/>
              <w:t> </w:t>
            </w:r>
          </w:p>
        </w:tc>
        <w:tc>
          <w:tcPr>
            <w:tcW w:w="2102" w:type="dxa"/>
            <w:tcBorders/>
            <w:shd w:fill="CCEEFF" w:val="clear"/>
            <w:tcMar>
              <w:top w:w="0" w:type="dxa"/>
            </w:tcMar>
            <w:vAlign w:val="center"/>
          </w:tcPr>
          <w:p>
            <w:pPr>
              <w:pStyle w:val="TableContents"/>
              <w:bidi w:val="0"/>
              <w:spacing w:before="0" w:after="283"/>
              <w:jc w:val="righ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657" w:type="dxa"/>
            <w:tcBorders/>
            <w:shd w:fill="CCEEFF" w:val="clear"/>
            <w:tcMar>
              <w:top w:w="0" w:type="dxa"/>
            </w:tcMar>
            <w:vAlign w:val="center"/>
          </w:tcPr>
          <w:p>
            <w:pPr>
              <w:pStyle w:val="TableContents"/>
              <w:bidi w:val="0"/>
              <w:spacing w:before="0" w:after="283"/>
              <w:jc w:val="left"/>
              <w:rPr/>
            </w:pPr>
            <w:r>
              <w:rPr/>
              <w:t> </w:t>
            </w:r>
          </w:p>
        </w:tc>
        <w:tc>
          <w:tcPr>
            <w:tcW w:w="2079" w:type="dxa"/>
            <w:tcBorders/>
            <w:shd w:fill="CCEEFF" w:val="clear"/>
            <w:tcMar>
              <w:top w:w="0" w:type="dxa"/>
            </w:tcMar>
            <w:vAlign w:val="center"/>
          </w:tcPr>
          <w:p>
            <w:pPr>
              <w:pStyle w:val="TableContents"/>
              <w:bidi w:val="0"/>
              <w:spacing w:before="0" w:after="283"/>
              <w:jc w:val="right"/>
              <w:rPr/>
            </w:pPr>
            <w:r>
              <w:rPr/>
              <w:t> </w:t>
            </w:r>
          </w:p>
        </w:tc>
        <w:tc>
          <w:tcPr>
            <w:tcW w:w="124" w:type="dxa"/>
            <w:tcBorders/>
            <w:shd w:fill="CCEEFF" w:val="clear"/>
            <w:tcMar>
              <w:top w:w="0" w:type="dxa"/>
            </w:tcMar>
            <w:vAlign w:val="center"/>
          </w:tcPr>
          <w:p>
            <w:pPr>
              <w:pStyle w:val="TableContents"/>
              <w:bidi w:val="0"/>
              <w:spacing w:before="0" w:after="283"/>
              <w:jc w:val="left"/>
              <w:rPr/>
            </w:pPr>
            <w:r>
              <w:rPr/>
              <w:t> </w:t>
            </w:r>
          </w:p>
        </w:tc>
      </w:tr>
      <w:tr>
        <w:trPr/>
        <w:tc>
          <w:tcPr>
            <w:tcW w:w="4446"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 Media</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0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w:t>
            </w:r>
          </w:p>
        </w:tc>
        <w:tc>
          <w:tcPr>
            <w:tcW w:w="10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12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Direct-to-Consumer</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12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Filmed Entertainment</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2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Corporate/Eliminations</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12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r>
              <w:rPr>
                <w:rFonts w:ascii="Times New Roman;Times;Serif" w:hAnsi="Times New Roman;Times;Serif"/>
                <w:b w:val="false"/>
                <w:i w:val="false"/>
                <w:caps w:val="false"/>
                <w:smallCaps w:val="false"/>
                <w:position w:val="7"/>
                <w:sz w:val="16"/>
                <w:sz w:val="20"/>
              </w:rPr>
              <w:t>(a)</w:t>
            </w:r>
          </w:p>
        </w:tc>
        <w:tc>
          <w:tcPr>
            <w:tcW w:w="7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0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24"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Adjusted OIBDA</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12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2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12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6"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2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bottom w:val="single" w:sz="8"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matters </w:t>
            </w:r>
            <w:r>
              <w:rPr>
                <w:rFonts w:ascii="Times New Roman;Times;Serif" w:hAnsi="Times New Roman;Times;Serif"/>
                <w:b w:val="false"/>
                <w:i w:val="false"/>
                <w:caps w:val="false"/>
                <w:smallCaps w:val="false"/>
                <w:position w:val="7"/>
                <w:sz w:val="16"/>
                <w:sz w:val="20"/>
              </w:rPr>
              <w:t>(a)</w:t>
            </w:r>
          </w:p>
        </w:tc>
        <w:tc>
          <w:tcPr>
            <w:tcW w:w="7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02"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103"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bottom w:val="single" w:sz="8"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9"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124"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6"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Income</w:t>
            </w:r>
          </w:p>
        </w:tc>
        <w:tc>
          <w:tcPr>
            <w:tcW w:w="77"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40"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02"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103"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bottom w:val="single" w:sz="16"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57"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79"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124" w:type="dxa"/>
            <w:tcBorders>
              <w:bottom w:val="single" w:sz="16" w:space="0" w:color="000000"/>
            </w:tcBorders>
            <w:shd w:fill="FFFFFF" w:val="clear"/>
            <w:tcMar>
              <w:top w:w="0" w:type="dxa"/>
              <w:bottom w:w="28" w:type="dxa"/>
            </w:tcM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10205" w:type="dxa"/>
            <w:gridSpan w:val="9"/>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Successor and Predecessor periods in 2025 and 2024, stock-based compensation expense of $39 million and $1 million, respectively, is included in “Restructuring, transaction-related items, and other corporate matters.”</w:t>
            </w:r>
          </w:p>
        </w:tc>
      </w:tr>
    </w:tbl>
    <w:p>
      <w:pPr>
        <w:pStyle w:val="TextBody"/>
        <w:bidi w:val="0"/>
        <w:spacing w:before="0" w:after="0"/>
        <w:ind w:left="1080" w:right="1080" w:hanging="27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except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70" w:right="27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2025 and 2024</w:t>
      </w:r>
    </w:p>
    <w:p>
      <w:pPr>
        <w:pStyle w:val="TextBody"/>
        <w:bidi w:val="0"/>
        <w:spacing w:before="0" w:after="0"/>
        <w:ind w:left="270" w:right="270" w:hanging="0"/>
        <w:jc w:val="left"/>
        <w:rPr>
          <w:caps w:val="false"/>
          <w:smallCaps w:val="false"/>
        </w:rPr>
      </w:pPr>
      <w:r>
        <w:rPr>
          <w:caps w:val="false"/>
          <w:smallCaps w:val="false"/>
        </w:rPr>
        <w:t> </w:t>
      </w:r>
    </w:p>
    <w:tbl>
      <w:tblPr>
        <w:tblW w:w="10205" w:type="dxa"/>
        <w:jc w:val="center"/>
        <w:tblInd w:w="0" w:type="dxa"/>
        <w:tblLayout w:type="fixed"/>
        <w:tblCellMar>
          <w:top w:w="28" w:type="dxa"/>
          <w:left w:w="0" w:type="dxa"/>
          <w:bottom w:w="0" w:type="dxa"/>
          <w:right w:w="0" w:type="dxa"/>
        </w:tblCellMar>
      </w:tblPr>
      <w:tblGrid>
        <w:gridCol w:w="3359"/>
        <w:gridCol w:w="77"/>
        <w:gridCol w:w="487"/>
        <w:gridCol w:w="1901"/>
        <w:gridCol w:w="103"/>
        <w:gridCol w:w="77"/>
        <w:gridCol w:w="423"/>
        <w:gridCol w:w="1653"/>
        <w:gridCol w:w="103"/>
        <w:gridCol w:w="77"/>
        <w:gridCol w:w="337"/>
        <w:gridCol w:w="1476"/>
        <w:gridCol w:w="132"/>
      </w:tblGrid>
      <w:tr>
        <w:trPr/>
        <w:tc>
          <w:tcPr>
            <w:tcW w:w="3359" w:type="dxa"/>
            <w:tcBorders>
              <w:top w:val="single" w:sz="16" w:space="0" w:color="000000"/>
            </w:tcBorders>
            <w:vAlign w:val="center"/>
          </w:tcPr>
          <w:p>
            <w:pPr>
              <w:pStyle w:val="TableContents"/>
              <w:bidi w:val="0"/>
              <w:spacing w:before="0" w:after="283"/>
              <w:jc w:val="left"/>
              <w:rPr/>
            </w:pPr>
            <w:r>
              <w:rPr/>
              <w:t> </w:t>
            </w:r>
          </w:p>
        </w:tc>
        <w:tc>
          <w:tcPr>
            <w:tcW w:w="77"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388"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03"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069" w:type="dxa"/>
            <w:gridSpan w:val="6"/>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132"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tcMar>
              <w:top w:w="0" w:type="dxa"/>
            </w:tcMar>
            <w:vAlign w:val="center"/>
          </w:tcPr>
          <w:p>
            <w:pPr>
              <w:pStyle w:val="TableContents"/>
              <w:bidi w:val="0"/>
              <w:spacing w:before="0" w:after="283"/>
              <w:jc w:val="left"/>
              <w:rPr/>
            </w:pPr>
            <w:r>
              <w:rPr/>
              <w:t> </w:t>
            </w:r>
          </w:p>
        </w:tc>
        <w:tc>
          <w:tcPr>
            <w:tcW w:w="77"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238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1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3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38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3"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1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3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OIBDA:</w:t>
            </w:r>
          </w:p>
        </w:tc>
        <w:tc>
          <w:tcPr>
            <w:tcW w:w="77" w:type="dxa"/>
            <w:tcBorders/>
            <w:shd w:fill="CCEEFF" w:val="clear"/>
            <w:tcMar>
              <w:top w:w="0" w:type="dxa"/>
            </w:tcMar>
            <w:vAlign w:val="center"/>
          </w:tcPr>
          <w:p>
            <w:pPr>
              <w:pStyle w:val="TableContents"/>
              <w:bidi w:val="0"/>
              <w:spacing w:before="0" w:after="283"/>
              <w:jc w:val="left"/>
              <w:rPr/>
            </w:pPr>
            <w:r>
              <w:rPr/>
              <w:t> </w:t>
            </w:r>
          </w:p>
        </w:tc>
        <w:tc>
          <w:tcPr>
            <w:tcW w:w="487" w:type="dxa"/>
            <w:tcBorders/>
            <w:shd w:fill="CCEEFF" w:val="clear"/>
            <w:tcMar>
              <w:top w:w="0" w:type="dxa"/>
            </w:tcMar>
            <w:vAlign w:val="center"/>
          </w:tcPr>
          <w:p>
            <w:pPr>
              <w:pStyle w:val="TableContents"/>
              <w:bidi w:val="0"/>
              <w:spacing w:before="0" w:after="283"/>
              <w:jc w:val="left"/>
              <w:rPr/>
            </w:pPr>
            <w:r>
              <w:rPr/>
              <w:t> </w:t>
            </w:r>
          </w:p>
        </w:tc>
        <w:tc>
          <w:tcPr>
            <w:tcW w:w="1901" w:type="dxa"/>
            <w:tcBorders/>
            <w:shd w:fill="CCEEFF" w:val="clear"/>
            <w:tcMar>
              <w:top w:w="0" w:type="dxa"/>
            </w:tcMar>
            <w:vAlign w:val="center"/>
          </w:tcPr>
          <w:p>
            <w:pPr>
              <w:pStyle w:val="TableContents"/>
              <w:bidi w:val="0"/>
              <w:spacing w:before="0" w:after="283"/>
              <w:jc w:val="righ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pPr>
            <w:r>
              <w:rPr/>
              <w:t> </w:t>
            </w:r>
          </w:p>
        </w:tc>
        <w:tc>
          <w:tcPr>
            <w:tcW w:w="423" w:type="dxa"/>
            <w:tcBorders/>
            <w:shd w:fill="CCEEFF" w:val="clear"/>
            <w:tcMar>
              <w:top w:w="0" w:type="dxa"/>
            </w:tcMar>
            <w:vAlign w:val="center"/>
          </w:tcPr>
          <w:p>
            <w:pPr>
              <w:pStyle w:val="TableContents"/>
              <w:bidi w:val="0"/>
              <w:spacing w:before="0" w:after="283"/>
              <w:jc w:val="left"/>
              <w:rPr/>
            </w:pPr>
            <w:r>
              <w:rPr/>
              <w:t> </w:t>
            </w:r>
          </w:p>
        </w:tc>
        <w:tc>
          <w:tcPr>
            <w:tcW w:w="1653" w:type="dxa"/>
            <w:tcBorders/>
            <w:shd w:fill="CCEEFF" w:val="clear"/>
            <w:tcMar>
              <w:top w:w="0" w:type="dxa"/>
            </w:tcMar>
            <w:vAlign w:val="center"/>
          </w:tcPr>
          <w:p>
            <w:pPr>
              <w:pStyle w:val="TableContents"/>
              <w:bidi w:val="0"/>
              <w:spacing w:before="0" w:after="283"/>
              <w:jc w:val="right"/>
              <w:rPr/>
            </w:pPr>
            <w:r>
              <w:rPr/>
              <w:t> </w:t>
            </w:r>
          </w:p>
        </w:tc>
        <w:tc>
          <w:tcPr>
            <w:tcW w:w="103" w:type="dxa"/>
            <w:tcBorders/>
            <w:shd w:fill="CCEEFF" w:val="clear"/>
            <w:tcMar>
              <w:top w:w="0" w:type="dxa"/>
            </w:tcMar>
            <w:vAlign w:val="center"/>
          </w:tcPr>
          <w:p>
            <w:pPr>
              <w:pStyle w:val="TableContents"/>
              <w:bidi w:val="0"/>
              <w:spacing w:before="0" w:after="283"/>
              <w:jc w:val="left"/>
              <w:rPr/>
            </w:pPr>
            <w:r>
              <w:rPr/>
              <w:t> </w:t>
            </w:r>
          </w:p>
        </w:tc>
        <w:tc>
          <w:tcPr>
            <w:tcW w:w="77" w:type="dxa"/>
            <w:tcBorders/>
            <w:shd w:fill="CCEEFF" w:val="clear"/>
            <w:tcMar>
              <w:top w:w="0" w:type="dxa"/>
            </w:tcMar>
            <w:vAlign w:val="center"/>
          </w:tcPr>
          <w:p>
            <w:pPr>
              <w:pStyle w:val="TableContents"/>
              <w:bidi w:val="0"/>
              <w:spacing w:before="0" w:after="283"/>
              <w:jc w:val="left"/>
              <w:rPr/>
            </w:pPr>
            <w:r>
              <w:rPr/>
              <w:t> </w:t>
            </w:r>
          </w:p>
        </w:tc>
        <w:tc>
          <w:tcPr>
            <w:tcW w:w="337" w:type="dxa"/>
            <w:tcBorders/>
            <w:shd w:fill="CCEEFF" w:val="clear"/>
            <w:tcMar>
              <w:top w:w="0" w:type="dxa"/>
            </w:tcMar>
            <w:vAlign w:val="center"/>
          </w:tcPr>
          <w:p>
            <w:pPr>
              <w:pStyle w:val="TableContents"/>
              <w:bidi w:val="0"/>
              <w:spacing w:before="0" w:after="283"/>
              <w:jc w:val="left"/>
              <w:rPr/>
            </w:pPr>
            <w:r>
              <w:rPr/>
              <w:t> </w:t>
            </w:r>
          </w:p>
        </w:tc>
        <w:tc>
          <w:tcPr>
            <w:tcW w:w="1476" w:type="dxa"/>
            <w:tcBorders/>
            <w:shd w:fill="CCEEFF" w:val="clear"/>
            <w:tcMar>
              <w:top w:w="0" w:type="dxa"/>
            </w:tcMar>
            <w:vAlign w:val="center"/>
          </w:tcPr>
          <w:p>
            <w:pPr>
              <w:pStyle w:val="TableContents"/>
              <w:bidi w:val="0"/>
              <w:spacing w:before="0" w:after="283"/>
              <w:jc w:val="right"/>
              <w:rPr/>
            </w:pPr>
            <w:r>
              <w:rPr/>
              <w:t> </w:t>
            </w:r>
          </w:p>
        </w:tc>
        <w:tc>
          <w:tcPr>
            <w:tcW w:w="132" w:type="dxa"/>
            <w:tcBorders/>
            <w:shd w:fill="CCEEFF" w:val="clear"/>
            <w:tcMar>
              <w:top w:w="0" w:type="dxa"/>
            </w:tcMar>
            <w:vAlign w:val="center"/>
          </w:tcPr>
          <w:p>
            <w:pPr>
              <w:pStyle w:val="TableContents"/>
              <w:bidi w:val="0"/>
              <w:spacing w:before="0" w:after="283"/>
              <w:jc w:val="left"/>
              <w:rPr/>
            </w:pPr>
            <w:r>
              <w:rPr/>
              <w:t> </w:t>
            </w:r>
          </w:p>
        </w:tc>
      </w:tr>
      <w:tr>
        <w:trPr/>
        <w:tc>
          <w:tcPr>
            <w:tcW w:w="335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 Media</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1,628</w:t>
            </w:r>
          </w:p>
        </w:tc>
        <w:tc>
          <w:tcPr>
            <w:tcW w:w="10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3"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w:t>
            </w:r>
          </w:p>
        </w:tc>
        <w:tc>
          <w:tcPr>
            <w:tcW w:w="10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4,348</w:t>
            </w:r>
          </w:p>
        </w:tc>
        <w:tc>
          <w:tcPr>
            <w:tcW w:w="13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Direct-to-Consumer</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13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Filmed Entertainment</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132"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Corporate/Eliminations</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13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r>
              <w:rPr>
                <w:rFonts w:ascii="Times New Roman;Times;Serif" w:hAnsi="Times New Roman;Times;Serif"/>
                <w:b w:val="false"/>
                <w:i w:val="false"/>
                <w:caps w:val="false"/>
                <w:smallCaps w:val="false"/>
                <w:position w:val="7"/>
                <w:sz w:val="16"/>
                <w:sz w:val="20"/>
              </w:rPr>
              <w:t>(a)</w:t>
            </w:r>
          </w:p>
        </w:tc>
        <w:tc>
          <w:tcPr>
            <w:tcW w:w="7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0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10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32"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CCEEFF" w:val="clear"/>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Adjusted OIBDA</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1,809</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3,118</w:t>
            </w:r>
          </w:p>
        </w:tc>
        <w:tc>
          <w:tcPr>
            <w:tcW w:w="13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132"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13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FFFF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tcBorders>
            <w:shd w:fill="FFFF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10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132"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corporate matters </w:t>
            </w:r>
            <w:r>
              <w:rPr>
                <w:rFonts w:ascii="Times New Roman;Times;Serif" w:hAnsi="Times New Roman;Times;Serif"/>
                <w:b w:val="false"/>
                <w:i w:val="false"/>
                <w:caps w:val="false"/>
                <w:smallCaps w:val="false"/>
                <w:position w:val="7"/>
                <w:sz w:val="16"/>
                <w:sz w:val="20"/>
              </w:rPr>
              <w:t>(a)</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10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w:t>
            </w:r>
          </w:p>
        </w:tc>
        <w:tc>
          <w:tcPr>
            <w:tcW w:w="13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59"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dispositions</w:t>
            </w:r>
          </w:p>
        </w:tc>
        <w:tc>
          <w:tcPr>
            <w:tcW w:w="7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901"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103"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3"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03"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132"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59"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Income (Loss)</w:t>
            </w:r>
          </w:p>
        </w:tc>
        <w:tc>
          <w:tcPr>
            <w:tcW w:w="77"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8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0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03"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3"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103"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6"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(5,269</w:t>
            </w:r>
          </w:p>
        </w:tc>
        <w:tc>
          <w:tcPr>
            <w:tcW w:w="132" w:type="dxa"/>
            <w:tcBorders>
              <w:bottom w:val="single" w:sz="16" w:space="0" w:color="000000"/>
            </w:tcBorders>
            <w:shd w:fill="CCEEFF" w:val="clear"/>
            <w:tcMar>
              <w:top w:w="0" w:type="dxa"/>
              <w:bottom w:w="28" w:type="dxa"/>
            </w:tcMar>
            <w:vAlign w:val="center"/>
          </w:tcPr>
          <w:p>
            <w:pPr>
              <w:pStyle w:val="TableContents"/>
              <w:bidi w:val="0"/>
              <w:spacing w:before="0" w:after="283"/>
              <w:ind w:left="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205" w:type="dxa"/>
            <w:gridSpan w:val="13"/>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Successor and Predecessor periods in 2025, stock-based compensation expense of $69 million and $14 million, respectively, is included in “Restructuring, transaction-related items, and other corporate matters.” For the Predecessor period in 2024, stock-based compensation expense of $35 million is included in “Restructuring, transaction-related items, and other corporate matters.”</w:t>
            </w:r>
          </w:p>
        </w:tc>
      </w:tr>
    </w:tbl>
    <w:p>
      <w:pPr>
        <w:pStyle w:val="TextBody"/>
        <w:bidi w:val="0"/>
        <w:spacing w:before="0" w:after="0"/>
        <w:ind w:left="1170" w:right="990" w:hanging="270"/>
        <w:jc w:val="left"/>
        <w:rPr>
          <w:caps w:val="false"/>
          <w:smallCaps w:val="false"/>
        </w:rPr>
      </w:pPr>
      <w:r>
        <w:rPr>
          <w:caps w:val="false"/>
          <w:smallCaps w:val="false"/>
        </w:rPr>
        <w:t> </w:t>
      </w:r>
    </w:p>
    <w:p>
      <w:pPr>
        <w:pStyle w:val="TextBody"/>
        <w:bidi w:val="0"/>
        <w:spacing w:before="0" w:after="0"/>
        <w:ind w:left="1170" w:right="990" w:hanging="27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49"/>
        <w:gridCol w:w="60"/>
        <w:gridCol w:w="539"/>
        <w:gridCol w:w="1715"/>
        <w:gridCol w:w="89"/>
        <w:gridCol w:w="66"/>
        <w:gridCol w:w="395"/>
        <w:gridCol w:w="1254"/>
        <w:gridCol w:w="89"/>
        <w:gridCol w:w="66"/>
        <w:gridCol w:w="519"/>
        <w:gridCol w:w="1648"/>
        <w:gridCol w:w="89"/>
        <w:gridCol w:w="66"/>
        <w:gridCol w:w="583"/>
        <w:gridCol w:w="1076"/>
        <w:gridCol w:w="102"/>
      </w:tblGrid>
      <w:tr>
        <w:trPr/>
        <w:tc>
          <w:tcPr>
            <w:tcW w:w="1849"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94" w:type="dxa"/>
            <w:gridSpan w:val="14"/>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02"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194" w:type="dxa"/>
            <w:gridSpan w:val="14"/>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 2025</w:t>
            </w:r>
          </w:p>
        </w:tc>
        <w:tc>
          <w:tcPr>
            <w:tcW w:w="10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25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from Continuing Operations Before Income Taxes</w:t>
            </w:r>
          </w:p>
        </w:tc>
        <w:tc>
          <w:tcPr>
            <w:tcW w:w="89"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from (Provision for) Income Taxes</w:t>
            </w:r>
          </w:p>
        </w:tc>
        <w:tc>
          <w:tcPr>
            <w:tcW w:w="89"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67"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Attributable to Parent</w:t>
            </w:r>
          </w:p>
        </w:tc>
        <w:tc>
          <w:tcPr>
            <w:tcW w:w="89"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9"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from Continuing Operations</w:t>
            </w:r>
          </w:p>
        </w:tc>
        <w:tc>
          <w:tcPr>
            <w:tcW w:w="10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8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8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1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8"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0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affecting comparability:</w:t>
            </w:r>
          </w:p>
        </w:tc>
        <w:tc>
          <w:tcPr>
            <w:tcW w:w="60" w:type="dxa"/>
            <w:tcBorders/>
            <w:shd w:fill="FFFFFF" w:val="clear"/>
            <w:tcMar>
              <w:top w:w="0" w:type="dxa"/>
            </w:tcMar>
            <w:vAlign w:val="center"/>
          </w:tcPr>
          <w:p>
            <w:pPr>
              <w:pStyle w:val="TableContents"/>
              <w:bidi w:val="0"/>
              <w:spacing w:before="0" w:after="283"/>
              <w:jc w:val="left"/>
              <w:rPr/>
            </w:pPr>
            <w:r>
              <w:rPr/>
              <w:t> </w:t>
            </w:r>
          </w:p>
        </w:tc>
        <w:tc>
          <w:tcPr>
            <w:tcW w:w="539" w:type="dxa"/>
            <w:tcBorders/>
            <w:shd w:fill="FFFFFF" w:val="clear"/>
            <w:tcMar>
              <w:top w:w="0" w:type="dxa"/>
            </w:tcMar>
            <w:vAlign w:val="center"/>
          </w:tcPr>
          <w:p>
            <w:pPr>
              <w:pStyle w:val="TableContents"/>
              <w:bidi w:val="0"/>
              <w:spacing w:before="0" w:after="283"/>
              <w:jc w:val="left"/>
              <w:rPr/>
            </w:pPr>
            <w:r>
              <w:rPr/>
              <w:t> </w:t>
            </w:r>
          </w:p>
        </w:tc>
        <w:tc>
          <w:tcPr>
            <w:tcW w:w="1715" w:type="dxa"/>
            <w:tcBorders/>
            <w:shd w:fill="FFFFFF" w:val="clear"/>
            <w:tcMar>
              <w:top w:w="0" w:type="dxa"/>
            </w:tcMar>
            <w:vAlign w:val="center"/>
          </w:tcPr>
          <w:p>
            <w:pPr>
              <w:pStyle w:val="TableContents"/>
              <w:bidi w:val="0"/>
              <w:spacing w:before="0" w:after="283"/>
              <w:jc w:val="right"/>
              <w:rPr/>
            </w:pPr>
            <w:r>
              <w:rPr/>
              <w:t> </w:t>
            </w:r>
          </w:p>
        </w:tc>
        <w:tc>
          <w:tcPr>
            <w:tcW w:w="89"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395" w:type="dxa"/>
            <w:tcBorders/>
            <w:shd w:fill="FFFFFF" w:val="clear"/>
            <w:tcMar>
              <w:top w:w="0" w:type="dxa"/>
            </w:tcMar>
            <w:vAlign w:val="center"/>
          </w:tcPr>
          <w:p>
            <w:pPr>
              <w:pStyle w:val="TableContents"/>
              <w:bidi w:val="0"/>
              <w:spacing w:before="0" w:after="283"/>
              <w:jc w:val="left"/>
              <w:rPr/>
            </w:pPr>
            <w:r>
              <w:rPr/>
              <w:t> </w:t>
            </w:r>
          </w:p>
        </w:tc>
        <w:tc>
          <w:tcPr>
            <w:tcW w:w="1254" w:type="dxa"/>
            <w:tcBorders/>
            <w:shd w:fill="FFFFFF" w:val="clear"/>
            <w:tcMar>
              <w:top w:w="0" w:type="dxa"/>
            </w:tcMar>
            <w:vAlign w:val="center"/>
          </w:tcPr>
          <w:p>
            <w:pPr>
              <w:pStyle w:val="TableContents"/>
              <w:bidi w:val="0"/>
              <w:spacing w:before="0" w:after="283"/>
              <w:jc w:val="right"/>
              <w:rPr/>
            </w:pPr>
            <w:r>
              <w:rPr/>
              <w:t> </w:t>
            </w:r>
          </w:p>
        </w:tc>
        <w:tc>
          <w:tcPr>
            <w:tcW w:w="89"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519" w:type="dxa"/>
            <w:tcBorders/>
            <w:shd w:fill="FFFFFF" w:val="clear"/>
            <w:tcMar>
              <w:top w:w="0" w:type="dxa"/>
            </w:tcMar>
            <w:vAlign w:val="center"/>
          </w:tcPr>
          <w:p>
            <w:pPr>
              <w:pStyle w:val="TableContents"/>
              <w:bidi w:val="0"/>
              <w:spacing w:before="0" w:after="283"/>
              <w:jc w:val="left"/>
              <w:rPr/>
            </w:pPr>
            <w:r>
              <w:rPr/>
              <w:t> </w:t>
            </w:r>
          </w:p>
        </w:tc>
        <w:tc>
          <w:tcPr>
            <w:tcW w:w="1648" w:type="dxa"/>
            <w:tcBorders/>
            <w:shd w:fill="FFFFFF" w:val="clear"/>
            <w:tcMar>
              <w:top w:w="0" w:type="dxa"/>
            </w:tcMar>
            <w:vAlign w:val="center"/>
          </w:tcPr>
          <w:p>
            <w:pPr>
              <w:pStyle w:val="TableContents"/>
              <w:bidi w:val="0"/>
              <w:spacing w:before="0" w:after="283"/>
              <w:jc w:val="right"/>
              <w:rPr/>
            </w:pPr>
            <w:r>
              <w:rPr/>
              <w:t> </w:t>
            </w:r>
          </w:p>
        </w:tc>
        <w:tc>
          <w:tcPr>
            <w:tcW w:w="89"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583" w:type="dxa"/>
            <w:tcBorders/>
            <w:shd w:fill="FFFFFF" w:val="clear"/>
            <w:tcMar>
              <w:top w:w="0" w:type="dxa"/>
            </w:tcMar>
            <w:vAlign w:val="center"/>
          </w:tcPr>
          <w:p>
            <w:pPr>
              <w:pStyle w:val="TableContents"/>
              <w:bidi w:val="0"/>
              <w:spacing w:before="0" w:after="283"/>
              <w:jc w:val="left"/>
              <w:rPr/>
            </w:pPr>
            <w:r>
              <w:rPr/>
              <w:t> </w:t>
            </w:r>
          </w:p>
        </w:tc>
        <w:tc>
          <w:tcPr>
            <w:tcW w:w="1076" w:type="dxa"/>
            <w:tcBorders/>
            <w:shd w:fill="FFFFFF" w:val="clear"/>
            <w:tcMar>
              <w:top w:w="0" w:type="dxa"/>
            </w:tcMar>
            <w:vAlign w:val="center"/>
          </w:tcPr>
          <w:p>
            <w:pPr>
              <w:pStyle w:val="TableContents"/>
              <w:bidi w:val="0"/>
              <w:spacing w:before="0" w:after="283"/>
              <w:jc w:val="right"/>
              <w:rPr/>
            </w:pPr>
            <w:r>
              <w:rPr/>
              <w:t> </w:t>
            </w:r>
          </w:p>
        </w:tc>
        <w:tc>
          <w:tcPr>
            <w:tcW w:w="102" w:type="dxa"/>
            <w:tcBorders/>
            <w:shd w:fill="FFFFFF" w:val="clear"/>
            <w:tcMar>
              <w:top w:w="0" w:type="dxa"/>
            </w:tcMar>
            <w:vAlign w:val="center"/>
          </w:tcPr>
          <w:p>
            <w:pPr>
              <w:pStyle w:val="TableContents"/>
              <w:bidi w:val="0"/>
              <w:spacing w:before="0" w:after="283"/>
              <w:jc w:val="left"/>
              <w:rPr/>
            </w:pPr>
            <w:r>
              <w:rPr/>
              <w:t> </w:t>
            </w:r>
          </w:p>
        </w:tc>
      </w:tr>
      <w:tr>
        <w:trPr/>
        <w:tc>
          <w:tcPr>
            <w:tcW w:w="184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pPr>
            <w:r>
              <w:rPr/>
              <w:t> </w:t>
            </w:r>
          </w:p>
        </w:tc>
        <w:tc>
          <w:tcPr>
            <w:tcW w:w="519" w:type="dxa"/>
            <w:tcBorders/>
            <w:shd w:fill="CCEEFF" w:val="clear"/>
            <w:tcMar>
              <w:top w:w="0" w:type="dxa"/>
            </w:tcMar>
            <w:vAlign w:val="center"/>
          </w:tcPr>
          <w:p>
            <w:pPr>
              <w:pStyle w:val="TableContents"/>
              <w:bidi w:val="0"/>
              <w:spacing w:before="0" w:after="283"/>
              <w:jc w:val="left"/>
              <w:rPr/>
            </w:pPr>
            <w:r>
              <w:rPr/>
              <w:t> </w:t>
            </w:r>
          </w:p>
        </w:tc>
        <w:tc>
          <w:tcPr>
            <w:tcW w:w="1648" w:type="dxa"/>
            <w:tcBorders/>
            <w:shd w:fill="CCEEFF" w:val="clear"/>
            <w:tcMar>
              <w:top w:w="0" w:type="dxa"/>
            </w:tcMar>
            <w:vAlign w:val="center"/>
          </w:tcPr>
          <w:p>
            <w:pPr>
              <w:pStyle w:val="TableContents"/>
              <w:bidi w:val="0"/>
              <w:spacing w:before="0" w:after="283"/>
              <w:jc w:val="right"/>
              <w:rPr>
                <w:sz w:val="20"/>
              </w:rPr>
            </w:pPr>
            <w:r>
              <w:rPr>
                <w:sz w:val="20"/>
              </w:rPr>
              <w:t>31</w:t>
            </w:r>
          </w:p>
        </w:tc>
        <w:tc>
          <w:tcPr>
            <w:tcW w:w="89" w:type="dxa"/>
            <w:tcBorders/>
            <w:shd w:fill="CCEEFF" w:val="clear"/>
            <w:tcMar>
              <w:top w:w="0" w:type="dxa"/>
            </w:tcMar>
            <w:vAlign w:val="center"/>
          </w:tcPr>
          <w:p>
            <w:pPr>
              <w:pStyle w:val="TableContents"/>
              <w:bidi w:val="0"/>
              <w:spacing w:before="0" w:after="283"/>
              <w:jc w:val="left"/>
              <w:rPr/>
            </w:pPr>
            <w:r>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(b)</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tcMar>
              <w:top w:w="0" w:type="dxa"/>
            </w:tcMar>
            <w:vAlign w:val="center"/>
          </w:tcPr>
          <w:p>
            <w:pPr>
              <w:pStyle w:val="TableContents"/>
              <w:bidi w:val="0"/>
              <w:spacing w:before="0" w:after="283"/>
              <w:jc w:val="left"/>
              <w:rPr/>
            </w:pPr>
            <w:r>
              <w:rPr/>
              <w:t> </w:t>
            </w:r>
          </w:p>
        </w:tc>
        <w:tc>
          <w:tcPr>
            <w:tcW w:w="519" w:type="dxa"/>
            <w:tcBorders/>
            <w:shd w:fill="FFFFFF" w:val="clear"/>
            <w:tcMar>
              <w:top w:w="0" w:type="dxa"/>
            </w:tcMar>
            <w:vAlign w:val="center"/>
          </w:tcPr>
          <w:p>
            <w:pPr>
              <w:pStyle w:val="TableContents"/>
              <w:bidi w:val="0"/>
              <w:spacing w:before="0" w:after="283"/>
              <w:jc w:val="left"/>
              <w:rPr/>
            </w:pPr>
            <w:r>
              <w:rPr/>
              <w:t> </w:t>
            </w:r>
          </w:p>
        </w:tc>
        <w:tc>
          <w:tcPr>
            <w:tcW w:w="1648" w:type="dxa"/>
            <w:tcBorders/>
            <w:shd w:fill="FFFFFF" w:val="clear"/>
            <w:tcMar>
              <w:top w:w="0" w:type="dxa"/>
            </w:tcMar>
            <w:vAlign w:val="center"/>
          </w:tcPr>
          <w:p>
            <w:pPr>
              <w:pStyle w:val="TableContents"/>
              <w:bidi w:val="0"/>
              <w:spacing w:before="0" w:after="283"/>
              <w:jc w:val="right"/>
              <w:rPr>
                <w:sz w:val="20"/>
              </w:rPr>
            </w:pPr>
            <w:r>
              <w:rPr>
                <w:sz w:val="20"/>
              </w:rPr>
              <w:t>348</w:t>
            </w:r>
          </w:p>
        </w:tc>
        <w:tc>
          <w:tcPr>
            <w:tcW w:w="89"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(c)</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8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pPr>
            <w:r>
              <w:rPr/>
              <w:t> </w:t>
            </w:r>
          </w:p>
        </w:tc>
        <w:tc>
          <w:tcPr>
            <w:tcW w:w="519" w:type="dxa"/>
            <w:tcBorders/>
            <w:shd w:fill="CCEEFF" w:val="clear"/>
            <w:tcMar>
              <w:top w:w="0" w:type="dxa"/>
            </w:tcMar>
            <w:vAlign w:val="center"/>
          </w:tcPr>
          <w:p>
            <w:pPr>
              <w:pStyle w:val="TableContents"/>
              <w:bidi w:val="0"/>
              <w:spacing w:before="0" w:after="283"/>
              <w:jc w:val="left"/>
              <w:rPr/>
            </w:pPr>
            <w:r>
              <w:rPr/>
              <w:t> </w:t>
            </w:r>
          </w:p>
        </w:tc>
        <w:tc>
          <w:tcPr>
            <w:tcW w:w="1648" w:type="dxa"/>
            <w:tcBorders/>
            <w:shd w:fill="CCEEFF" w:val="clear"/>
            <w:tcMar>
              <w:top w:w="0" w:type="dxa"/>
            </w:tcMar>
            <w:vAlign w:val="center"/>
          </w:tcPr>
          <w:p>
            <w:pPr>
              <w:pStyle w:val="TableContents"/>
              <w:bidi w:val="0"/>
              <w:spacing w:before="0" w:after="283"/>
              <w:jc w:val="right"/>
              <w:rPr>
                <w:sz w:val="20"/>
              </w:rPr>
            </w:pPr>
            <w:r>
              <w:rPr>
                <w:sz w:val="20"/>
              </w:rPr>
              <w:t>63</w:t>
            </w:r>
          </w:p>
        </w:tc>
        <w:tc>
          <w:tcPr>
            <w:tcW w:w="89" w:type="dxa"/>
            <w:tcBorders/>
            <w:shd w:fill="CCEEFF" w:val="clear"/>
            <w:tcMar>
              <w:top w:w="0" w:type="dxa"/>
            </w:tcMar>
            <w:vAlign w:val="center"/>
          </w:tcPr>
          <w:p>
            <w:pPr>
              <w:pStyle w:val="TableContents"/>
              <w:bidi w:val="0"/>
              <w:spacing w:before="0" w:after="283"/>
              <w:jc w:val="left"/>
              <w:rPr/>
            </w:pPr>
            <w:r>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1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investments</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9"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tcMar>
              <w:top w:w="0" w:type="dxa"/>
            </w:tcMar>
            <w:vAlign w:val="center"/>
          </w:tcPr>
          <w:p>
            <w:pPr>
              <w:pStyle w:val="TableContents"/>
              <w:bidi w:val="0"/>
              <w:spacing w:before="0" w:after="283"/>
              <w:jc w:val="left"/>
              <w:rPr/>
            </w:pPr>
            <w:r>
              <w:rPr/>
              <w:t> </w:t>
            </w:r>
          </w:p>
        </w:tc>
        <w:tc>
          <w:tcPr>
            <w:tcW w:w="519" w:type="dxa"/>
            <w:tcBorders/>
            <w:shd w:fill="FFFFFF" w:val="clear"/>
            <w:tcMar>
              <w:top w:w="0" w:type="dxa"/>
            </w:tcMar>
            <w:vAlign w:val="center"/>
          </w:tcPr>
          <w:p>
            <w:pPr>
              <w:pStyle w:val="TableContents"/>
              <w:bidi w:val="0"/>
              <w:spacing w:before="0" w:after="283"/>
              <w:jc w:val="left"/>
              <w:rPr/>
            </w:pPr>
            <w:r>
              <w:rPr/>
              <w:t> </w:t>
            </w:r>
          </w:p>
        </w:tc>
        <w:tc>
          <w:tcPr>
            <w:tcW w:w="1648" w:type="dxa"/>
            <w:tcBorders/>
            <w:shd w:fill="FFFFFF" w:val="clear"/>
            <w:tcMar>
              <w:top w:w="0" w:type="dxa"/>
            </w:tcMar>
            <w:vAlign w:val="center"/>
          </w:tcPr>
          <w:p>
            <w:pPr>
              <w:pStyle w:val="TableContents"/>
              <w:bidi w:val="0"/>
              <w:spacing w:before="0" w:after="283"/>
              <w:jc w:val="right"/>
              <w:rPr>
                <w:sz w:val="20"/>
              </w:rPr>
            </w:pPr>
            <w:r>
              <w:rPr>
                <w:sz w:val="20"/>
              </w:rPr>
              <w:t>30</w:t>
            </w:r>
          </w:p>
        </w:tc>
        <w:tc>
          <w:tcPr>
            <w:tcW w:w="89"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9"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Discrete tax items  </w:t>
            </w:r>
            <w:r>
              <w:rPr>
                <w:rFonts w:ascii="Times New Roman;Times;Serif" w:hAnsi="Times New Roman;Times;Serif"/>
                <w:b w:val="false"/>
                <w:i w:val="false"/>
                <w:caps w:val="false"/>
                <w:smallCaps w:val="false"/>
                <w:position w:val="7"/>
                <w:sz w:val="16"/>
                <w:sz w:val="20"/>
              </w:rPr>
              <w:t>(d)</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9"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4"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89"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519" w:type="dxa"/>
            <w:tcBorders>
              <w:bottom w:val="single" w:sz="8" w:space="0" w:color="000000"/>
            </w:tcBorders>
            <w:shd w:fill="CCEEFF" w:val="clear"/>
            <w:tcMar>
              <w:top w:w="0" w:type="dxa"/>
              <w:bottom w:w="28" w:type="dxa"/>
            </w:tcMar>
            <w:vAlign w:val="center"/>
          </w:tcPr>
          <w:p>
            <w:pPr>
              <w:pStyle w:val="TableContents"/>
              <w:bidi w:val="0"/>
              <w:spacing w:before="0" w:after="283"/>
              <w:jc w:val="left"/>
              <w:rPr/>
            </w:pPr>
            <w:r>
              <w:rPr/>
              <w:t> </w:t>
            </w:r>
          </w:p>
        </w:tc>
        <w:tc>
          <w:tcPr>
            <w:tcW w:w="1648" w:type="dxa"/>
            <w:tcBorders>
              <w:bottom w:val="single" w:sz="8" w:space="0" w:color="000000"/>
            </w:tcBorders>
            <w:shd w:fill="CCEEFF" w:val="clear"/>
            <w:tcMar>
              <w:top w:w="0" w:type="dxa"/>
              <w:bottom w:w="28" w:type="dxa"/>
            </w:tcMar>
            <w:vAlign w:val="center"/>
          </w:tcPr>
          <w:p>
            <w:pPr>
              <w:pStyle w:val="TableContents"/>
              <w:bidi w:val="0"/>
              <w:spacing w:before="0" w:after="283"/>
              <w:jc w:val="right"/>
              <w:rPr>
                <w:sz w:val="20"/>
              </w:rPr>
            </w:pPr>
            <w:r>
              <w:rPr>
                <w:sz w:val="20"/>
              </w:rPr>
              <w:t>(28</w:t>
            </w:r>
          </w:p>
        </w:tc>
        <w:tc>
          <w:tcPr>
            <w:tcW w:w="89" w:type="dxa"/>
            <w:tcBorders>
              <w:bottom w:val="single" w:sz="8" w:space="0" w:color="000000"/>
            </w:tcBorders>
            <w:shd w:fill="CCEEFF" w:val="clear"/>
            <w:tcMar>
              <w:top w:w="0" w:type="dxa"/>
              <w:bottom w:w="28" w:type="dxa"/>
            </w:tcMar>
            <w:vAlign w:val="center"/>
          </w:tcPr>
          <w:p>
            <w:pPr>
              <w:pStyle w:val="TableContents"/>
              <w:bidi w:val="0"/>
              <w:spacing w:before="0" w:after="283"/>
              <w:jc w:val="left"/>
              <w:rPr>
                <w:sz w:val="20"/>
              </w:rPr>
            </w:pPr>
            <w:r>
              <w:rPr>
                <w:sz w:val="20"/>
              </w:rPr>
              <w:t>)</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2"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w:t>
            </w:r>
          </w:p>
        </w:tc>
        <w:tc>
          <w:tcPr>
            <w:tcW w:w="6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3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15"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89"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4"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1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8"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83"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2"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Restructuring charges were comprised of severance costs, principally associated with transformation initiatives and aligning the business around our strategic priorities following the Transactions.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Reflects legal and other professional fees associated with the Warner Bros. Discovery, Inc. offer.</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Primarily reflects tax benefits realized in connection with the filing of our tax returns.</w:t>
      </w:r>
    </w:p>
    <w:p>
      <w:pPr>
        <w:pStyle w:val="TextBody"/>
        <w:bidi w:val="0"/>
        <w:spacing w:before="0" w:after="0"/>
        <w:ind w:left="720" w:right="360" w:hanging="27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except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December 31, 2024</w:t>
      </w:r>
    </w:p>
    <w:p>
      <w:pPr>
        <w:pStyle w:val="TextBody"/>
        <w:bidi w:val="0"/>
        <w:spacing w:before="0" w:after="0"/>
        <w:ind w:left="180" w:right="18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73"/>
        <w:gridCol w:w="60"/>
        <w:gridCol w:w="570"/>
        <w:gridCol w:w="1812"/>
        <w:gridCol w:w="91"/>
        <w:gridCol w:w="68"/>
        <w:gridCol w:w="393"/>
        <w:gridCol w:w="915"/>
        <w:gridCol w:w="91"/>
        <w:gridCol w:w="68"/>
        <w:gridCol w:w="545"/>
        <w:gridCol w:w="1731"/>
        <w:gridCol w:w="91"/>
        <w:gridCol w:w="68"/>
        <w:gridCol w:w="607"/>
        <w:gridCol w:w="1121"/>
        <w:gridCol w:w="101"/>
      </w:tblGrid>
      <w:tr>
        <w:trPr/>
        <w:tc>
          <w:tcPr>
            <w:tcW w:w="1873"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171" w:type="dxa"/>
            <w:gridSpan w:val="14"/>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101"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171" w:type="dxa"/>
            <w:gridSpan w:val="14"/>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 2024</w:t>
            </w:r>
          </w:p>
        </w:tc>
        <w:tc>
          <w:tcPr>
            <w:tcW w:w="101"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38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from Continuing Operations Before Income Taxes</w:t>
            </w:r>
          </w:p>
        </w:tc>
        <w:tc>
          <w:tcPr>
            <w:tcW w:w="91"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tc>
        <w:tc>
          <w:tcPr>
            <w:tcW w:w="91"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27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from Continuing Operations Attributable to Parent</w:t>
            </w:r>
          </w:p>
        </w:tc>
        <w:tc>
          <w:tcPr>
            <w:tcW w:w="91"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2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from Continuing Operations</w:t>
            </w:r>
          </w:p>
        </w:tc>
        <w:tc>
          <w:tcPr>
            <w:tcW w:w="101"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0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7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affecting comparability:</w:t>
            </w:r>
          </w:p>
        </w:tc>
        <w:tc>
          <w:tcPr>
            <w:tcW w:w="60" w:type="dxa"/>
            <w:tcBorders/>
            <w:shd w:fill="FFFFFF" w:val="clear"/>
            <w:tcMar>
              <w:top w:w="0" w:type="dxa"/>
            </w:tcMar>
            <w:vAlign w:val="center"/>
          </w:tcPr>
          <w:p>
            <w:pPr>
              <w:pStyle w:val="TableContents"/>
              <w:bidi w:val="0"/>
              <w:spacing w:before="0" w:after="283"/>
              <w:jc w:val="left"/>
              <w:rPr/>
            </w:pPr>
            <w:r>
              <w:rPr/>
              <w:t> </w:t>
            </w:r>
          </w:p>
        </w:tc>
        <w:tc>
          <w:tcPr>
            <w:tcW w:w="570" w:type="dxa"/>
            <w:tcBorders/>
            <w:shd w:fill="FFFFFF" w:val="clear"/>
            <w:tcMar>
              <w:top w:w="0" w:type="dxa"/>
            </w:tcMar>
            <w:vAlign w:val="center"/>
          </w:tcPr>
          <w:p>
            <w:pPr>
              <w:pStyle w:val="TableContents"/>
              <w:bidi w:val="0"/>
              <w:spacing w:before="0" w:after="283"/>
              <w:jc w:val="left"/>
              <w:rPr/>
            </w:pPr>
            <w:r>
              <w:rPr/>
              <w:t> </w:t>
            </w:r>
          </w:p>
        </w:tc>
        <w:tc>
          <w:tcPr>
            <w:tcW w:w="1812" w:type="dxa"/>
            <w:tcBorders/>
            <w:shd w:fill="FFFFFF" w:val="clear"/>
            <w:tcMar>
              <w:top w:w="0" w:type="dxa"/>
            </w:tcMar>
            <w:vAlign w:val="center"/>
          </w:tcPr>
          <w:p>
            <w:pPr>
              <w:pStyle w:val="TableContents"/>
              <w:bidi w:val="0"/>
              <w:spacing w:before="0" w:after="283"/>
              <w:jc w:val="right"/>
              <w:rPr/>
            </w:pPr>
            <w:r>
              <w:rPr/>
              <w:t> </w:t>
            </w:r>
          </w:p>
        </w:tc>
        <w:tc>
          <w:tcPr>
            <w:tcW w:w="91" w:type="dxa"/>
            <w:tcBorders/>
            <w:shd w:fill="FFFFFF" w:val="clear"/>
            <w:tcMar>
              <w:top w:w="0" w:type="dxa"/>
            </w:tcMar>
            <w:vAlign w:val="center"/>
          </w:tcPr>
          <w:p>
            <w:pPr>
              <w:pStyle w:val="TableContents"/>
              <w:bidi w:val="0"/>
              <w:spacing w:before="0" w:after="283"/>
              <w:jc w:val="left"/>
              <w:rPr/>
            </w:pPr>
            <w:r>
              <w:rPr/>
              <w:t> </w:t>
            </w:r>
          </w:p>
        </w:tc>
        <w:tc>
          <w:tcPr>
            <w:tcW w:w="68" w:type="dxa"/>
            <w:tcBorders/>
            <w:shd w:fill="FFFFFF" w:val="clear"/>
            <w:tcMar>
              <w:top w:w="0" w:type="dxa"/>
            </w:tcMar>
            <w:vAlign w:val="center"/>
          </w:tcPr>
          <w:p>
            <w:pPr>
              <w:pStyle w:val="TableContents"/>
              <w:bidi w:val="0"/>
              <w:spacing w:before="0" w:after="283"/>
              <w:jc w:val="left"/>
              <w:rPr/>
            </w:pPr>
            <w:r>
              <w:rPr/>
              <w:t> </w:t>
            </w:r>
          </w:p>
        </w:tc>
        <w:tc>
          <w:tcPr>
            <w:tcW w:w="393" w:type="dxa"/>
            <w:tcBorders/>
            <w:shd w:fill="FFFFFF" w:val="clear"/>
            <w:tcMar>
              <w:top w:w="0" w:type="dxa"/>
            </w:tcMar>
            <w:vAlign w:val="center"/>
          </w:tcPr>
          <w:p>
            <w:pPr>
              <w:pStyle w:val="TableContents"/>
              <w:bidi w:val="0"/>
              <w:spacing w:before="0" w:after="283"/>
              <w:jc w:val="left"/>
              <w:rPr/>
            </w:pPr>
            <w:r>
              <w:rPr/>
              <w:t> </w:t>
            </w:r>
          </w:p>
        </w:tc>
        <w:tc>
          <w:tcPr>
            <w:tcW w:w="915" w:type="dxa"/>
            <w:tcBorders/>
            <w:shd w:fill="FFFFFF" w:val="clear"/>
            <w:tcMar>
              <w:top w:w="0" w:type="dxa"/>
            </w:tcMar>
            <w:vAlign w:val="center"/>
          </w:tcPr>
          <w:p>
            <w:pPr>
              <w:pStyle w:val="TableContents"/>
              <w:bidi w:val="0"/>
              <w:spacing w:before="0" w:after="283"/>
              <w:jc w:val="right"/>
              <w:rPr/>
            </w:pPr>
            <w:r>
              <w:rPr/>
              <w:t> </w:t>
            </w:r>
          </w:p>
        </w:tc>
        <w:tc>
          <w:tcPr>
            <w:tcW w:w="91" w:type="dxa"/>
            <w:tcBorders/>
            <w:shd w:fill="FFFFFF" w:val="clear"/>
            <w:tcMar>
              <w:top w:w="0" w:type="dxa"/>
            </w:tcMar>
            <w:vAlign w:val="center"/>
          </w:tcPr>
          <w:p>
            <w:pPr>
              <w:pStyle w:val="TableContents"/>
              <w:bidi w:val="0"/>
              <w:spacing w:before="0" w:after="283"/>
              <w:jc w:val="left"/>
              <w:rPr/>
            </w:pPr>
            <w:r>
              <w:rPr/>
              <w:t> </w:t>
            </w:r>
          </w:p>
        </w:tc>
        <w:tc>
          <w:tcPr>
            <w:tcW w:w="68" w:type="dxa"/>
            <w:tcBorders/>
            <w:shd w:fill="FFFFFF" w:val="clear"/>
            <w:tcMar>
              <w:top w:w="0" w:type="dxa"/>
            </w:tcMar>
            <w:vAlign w:val="center"/>
          </w:tcPr>
          <w:p>
            <w:pPr>
              <w:pStyle w:val="TableContents"/>
              <w:bidi w:val="0"/>
              <w:spacing w:before="0" w:after="283"/>
              <w:jc w:val="left"/>
              <w:rPr/>
            </w:pPr>
            <w:r>
              <w:rPr/>
              <w:t> </w:t>
            </w:r>
          </w:p>
        </w:tc>
        <w:tc>
          <w:tcPr>
            <w:tcW w:w="545" w:type="dxa"/>
            <w:tcBorders/>
            <w:shd w:fill="FFFFFF" w:val="clear"/>
            <w:tcMar>
              <w:top w:w="0" w:type="dxa"/>
            </w:tcMar>
            <w:vAlign w:val="center"/>
          </w:tcPr>
          <w:p>
            <w:pPr>
              <w:pStyle w:val="TableContents"/>
              <w:bidi w:val="0"/>
              <w:spacing w:before="0" w:after="283"/>
              <w:jc w:val="left"/>
              <w:rPr/>
            </w:pPr>
            <w:r>
              <w:rPr/>
              <w:t> </w:t>
            </w:r>
          </w:p>
        </w:tc>
        <w:tc>
          <w:tcPr>
            <w:tcW w:w="1731" w:type="dxa"/>
            <w:tcBorders/>
            <w:shd w:fill="FFFFFF" w:val="clear"/>
            <w:tcMar>
              <w:top w:w="0" w:type="dxa"/>
            </w:tcMar>
            <w:vAlign w:val="center"/>
          </w:tcPr>
          <w:p>
            <w:pPr>
              <w:pStyle w:val="TableContents"/>
              <w:bidi w:val="0"/>
              <w:spacing w:before="0" w:after="283"/>
              <w:jc w:val="right"/>
              <w:rPr/>
            </w:pPr>
            <w:r>
              <w:rPr/>
              <w:t> </w:t>
            </w:r>
          </w:p>
        </w:tc>
        <w:tc>
          <w:tcPr>
            <w:tcW w:w="91" w:type="dxa"/>
            <w:tcBorders/>
            <w:shd w:fill="FFFFFF" w:val="clear"/>
            <w:tcMar>
              <w:top w:w="0" w:type="dxa"/>
            </w:tcMar>
            <w:vAlign w:val="center"/>
          </w:tcPr>
          <w:p>
            <w:pPr>
              <w:pStyle w:val="TableContents"/>
              <w:bidi w:val="0"/>
              <w:spacing w:before="0" w:after="283"/>
              <w:jc w:val="left"/>
              <w:rPr/>
            </w:pPr>
            <w:r>
              <w:rPr/>
              <w:t> </w:t>
            </w:r>
          </w:p>
        </w:tc>
        <w:tc>
          <w:tcPr>
            <w:tcW w:w="68" w:type="dxa"/>
            <w:tcBorders/>
            <w:shd w:fill="FFFFFF" w:val="clear"/>
            <w:tcMar>
              <w:top w:w="0" w:type="dxa"/>
            </w:tcMar>
            <w:vAlign w:val="center"/>
          </w:tcPr>
          <w:p>
            <w:pPr>
              <w:pStyle w:val="TableContents"/>
              <w:bidi w:val="0"/>
              <w:spacing w:before="0" w:after="283"/>
              <w:jc w:val="left"/>
              <w:rPr/>
            </w:pPr>
            <w:r>
              <w:rPr/>
              <w:t> </w:t>
            </w:r>
          </w:p>
        </w:tc>
        <w:tc>
          <w:tcPr>
            <w:tcW w:w="607" w:type="dxa"/>
            <w:tcBorders/>
            <w:shd w:fill="FFFFFF" w:val="clear"/>
            <w:tcMar>
              <w:top w:w="0" w:type="dxa"/>
            </w:tcMar>
            <w:vAlign w:val="center"/>
          </w:tcPr>
          <w:p>
            <w:pPr>
              <w:pStyle w:val="TableContents"/>
              <w:bidi w:val="0"/>
              <w:spacing w:before="0" w:after="283"/>
              <w:jc w:val="left"/>
              <w:rPr/>
            </w:pPr>
            <w:r>
              <w:rPr/>
              <w:t> </w:t>
            </w:r>
          </w:p>
        </w:tc>
        <w:tc>
          <w:tcPr>
            <w:tcW w:w="1121" w:type="dxa"/>
            <w:tcBorders/>
            <w:shd w:fill="FFFFFF" w:val="clear"/>
            <w:tcMar>
              <w:top w:w="0" w:type="dxa"/>
            </w:tcMar>
            <w:vAlign w:val="center"/>
          </w:tcPr>
          <w:p>
            <w:pPr>
              <w:pStyle w:val="TableContents"/>
              <w:bidi w:val="0"/>
              <w:spacing w:before="0" w:after="283"/>
              <w:jc w:val="right"/>
              <w:rPr/>
            </w:pPr>
            <w:r>
              <w:rPr/>
              <w:t> </w:t>
            </w:r>
          </w:p>
        </w:tc>
        <w:tc>
          <w:tcPr>
            <w:tcW w:w="101" w:type="dxa"/>
            <w:tcBorders/>
            <w:shd w:fill="FFFFFF" w:val="clear"/>
            <w:tcMar>
              <w:top w:w="0" w:type="dxa"/>
            </w:tcMar>
            <w:vAlign w:val="center"/>
          </w:tcPr>
          <w:p>
            <w:pPr>
              <w:pStyle w:val="TableContents"/>
              <w:bidi w:val="0"/>
              <w:spacing w:before="0" w:after="283"/>
              <w:jc w:val="left"/>
              <w:rPr/>
            </w:pPr>
            <w:r>
              <w:rPr/>
              <w:t> </w:t>
            </w:r>
          </w:p>
        </w:tc>
      </w:tr>
      <w:tr>
        <w:trPr/>
        <w:tc>
          <w:tcPr>
            <w:tcW w:w="187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0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(b)</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costs </w:t>
            </w:r>
            <w:r>
              <w:rPr>
                <w:rFonts w:ascii="Times New Roman;Times;Serif" w:hAnsi="Times New Roman;Times;Serif"/>
                <w:b w:val="false"/>
                <w:i w:val="false"/>
                <w:caps w:val="false"/>
                <w:smallCaps w:val="false"/>
                <w:position w:val="7"/>
                <w:sz w:val="16"/>
                <w:sz w:val="20"/>
              </w:rPr>
              <w:t>(c)</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corporate matters </w:t>
            </w:r>
            <w:r>
              <w:rPr>
                <w:rFonts w:ascii="Times New Roman;Times;Serif" w:hAnsi="Times New Roman;Times;Serif"/>
                <w:b w:val="false"/>
                <w:i w:val="false"/>
                <w:caps w:val="false"/>
                <w:smallCaps w:val="false"/>
                <w:position w:val="7"/>
                <w:sz w:val="16"/>
                <w:sz w:val="20"/>
              </w:rPr>
              <w:t>(d)</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0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from investment </w:t>
            </w:r>
            <w:r>
              <w:rPr>
                <w:rFonts w:ascii="Times New Roman;Times;Serif" w:hAnsi="Times New Roman;Times;Serif"/>
                <w:b w:val="false"/>
                <w:i w:val="false"/>
                <w:caps w:val="false"/>
                <w:smallCaps w:val="false"/>
                <w:position w:val="7"/>
                <w:sz w:val="16"/>
                <w:sz w:val="20"/>
              </w:rPr>
              <w:t>(e)</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73"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Discrete tax items </w:t>
            </w:r>
            <w:r>
              <w:rPr>
                <w:rFonts w:ascii="Times New Roman;Times;Serif" w:hAnsi="Times New Roman;Times;Serif"/>
                <w:b w:val="false"/>
                <w:i w:val="false"/>
                <w:caps w:val="false"/>
                <w:smallCaps w:val="false"/>
                <w:position w:val="7"/>
                <w:sz w:val="16"/>
                <w:sz w:val="20"/>
              </w:rPr>
              <w:t>(f)</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12"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9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15"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3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0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73"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2"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1"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3"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5"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Reflects charges to reduce the carrying values of FCC licenses in certain markets and our Australian broadcast licenses to their estimated fair values.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Reflects severance charges associated with strategic changes in our global workforce.</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Reflects legal and advisory fees relating to the Transactions.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Reflects charges of $74 million associated with the abandonment of developed technology and $57 million to increase our accrual for asbestos matters.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Reflects a loss on the sale of Paramount Global’s investment in Viacom18.</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Primarily attributable to amounts realized in connection with the filing of our tax returns in certain international jurisdictions, partially offset by taxes recognized upon the vesting of stock-based compensation.</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except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35"/>
        <w:gridCol w:w="60"/>
        <w:gridCol w:w="520"/>
        <w:gridCol w:w="1655"/>
        <w:gridCol w:w="90"/>
        <w:gridCol w:w="67"/>
        <w:gridCol w:w="384"/>
        <w:gridCol w:w="1219"/>
        <w:gridCol w:w="90"/>
        <w:gridCol w:w="67"/>
        <w:gridCol w:w="562"/>
        <w:gridCol w:w="1781"/>
        <w:gridCol w:w="90"/>
        <w:gridCol w:w="67"/>
        <w:gridCol w:w="568"/>
        <w:gridCol w:w="1048"/>
        <w:gridCol w:w="102"/>
      </w:tblGrid>
      <w:tr>
        <w:trPr/>
        <w:tc>
          <w:tcPr>
            <w:tcW w:w="1835"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8" w:type="dxa"/>
            <w:gridSpan w:val="14"/>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02"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208" w:type="dxa"/>
            <w:gridSpan w:val="14"/>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 2025</w:t>
            </w:r>
          </w:p>
        </w:tc>
        <w:tc>
          <w:tcPr>
            <w:tcW w:w="10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75"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from Continuing Operations Before Income Taxes</w:t>
            </w:r>
          </w:p>
        </w:tc>
        <w:tc>
          <w:tcPr>
            <w:tcW w:w="9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from (Provision for) Income Taxes</w:t>
            </w:r>
          </w:p>
        </w:tc>
        <w:tc>
          <w:tcPr>
            <w:tcW w:w="9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34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(Loss) from Continuing Operations Attributable to Parent</w:t>
            </w:r>
          </w:p>
        </w:tc>
        <w:tc>
          <w:tcPr>
            <w:tcW w:w="9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1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from Continuing Operations</w:t>
            </w:r>
          </w:p>
        </w:tc>
        <w:tc>
          <w:tcPr>
            <w:tcW w:w="102"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9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9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0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3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affecting comparability:</w:t>
            </w:r>
          </w:p>
        </w:tc>
        <w:tc>
          <w:tcPr>
            <w:tcW w:w="60" w:type="dxa"/>
            <w:tcBorders/>
            <w:shd w:fill="FFFFFF" w:val="clear"/>
            <w:tcMar>
              <w:top w:w="0" w:type="dxa"/>
            </w:tcMar>
            <w:vAlign w:val="center"/>
          </w:tcPr>
          <w:p>
            <w:pPr>
              <w:pStyle w:val="TableContents"/>
              <w:bidi w:val="0"/>
              <w:spacing w:before="0" w:after="283"/>
              <w:jc w:val="left"/>
              <w:rPr/>
            </w:pPr>
            <w:r>
              <w:rPr/>
              <w:t> </w:t>
            </w:r>
          </w:p>
        </w:tc>
        <w:tc>
          <w:tcPr>
            <w:tcW w:w="520" w:type="dxa"/>
            <w:tcBorders/>
            <w:shd w:fill="FFFFFF" w:val="clear"/>
            <w:tcMar>
              <w:top w:w="0" w:type="dxa"/>
            </w:tcMar>
            <w:vAlign w:val="center"/>
          </w:tcPr>
          <w:p>
            <w:pPr>
              <w:pStyle w:val="TableContents"/>
              <w:bidi w:val="0"/>
              <w:spacing w:before="0" w:after="283"/>
              <w:jc w:val="left"/>
              <w:rPr/>
            </w:pPr>
            <w:r>
              <w:rPr/>
              <w:t> </w:t>
            </w:r>
          </w:p>
        </w:tc>
        <w:tc>
          <w:tcPr>
            <w:tcW w:w="1655" w:type="dxa"/>
            <w:tcBorders/>
            <w:shd w:fill="FFFFFF" w:val="clear"/>
            <w:tcMar>
              <w:top w:w="0" w:type="dxa"/>
            </w:tcMar>
            <w:vAlign w:val="center"/>
          </w:tcPr>
          <w:p>
            <w:pPr>
              <w:pStyle w:val="TableContents"/>
              <w:bidi w:val="0"/>
              <w:spacing w:before="0" w:after="283"/>
              <w:jc w:val="right"/>
              <w:rPr/>
            </w:pPr>
            <w:r>
              <w:rPr/>
              <w:t> </w:t>
            </w:r>
          </w:p>
        </w:tc>
        <w:tc>
          <w:tcPr>
            <w:tcW w:w="90" w:type="dxa"/>
            <w:tcBorders/>
            <w:shd w:fill="FFFFFF" w:val="clear"/>
            <w:tcMar>
              <w:top w:w="0" w:type="dxa"/>
            </w:tcMar>
            <w:vAlign w:val="center"/>
          </w:tcPr>
          <w:p>
            <w:pPr>
              <w:pStyle w:val="TableContents"/>
              <w:bidi w:val="0"/>
              <w:spacing w:before="0" w:after="283"/>
              <w:jc w:val="left"/>
              <w:rPr/>
            </w:pPr>
            <w:r>
              <w:rPr/>
              <w:t> </w:t>
            </w:r>
          </w:p>
        </w:tc>
        <w:tc>
          <w:tcPr>
            <w:tcW w:w="67" w:type="dxa"/>
            <w:tcBorders/>
            <w:shd w:fill="FFFFFF" w:val="clear"/>
            <w:tcMar>
              <w:top w:w="0" w:type="dxa"/>
            </w:tcMar>
            <w:vAlign w:val="center"/>
          </w:tcPr>
          <w:p>
            <w:pPr>
              <w:pStyle w:val="TableContents"/>
              <w:bidi w:val="0"/>
              <w:spacing w:before="0" w:after="283"/>
              <w:jc w:val="left"/>
              <w:rPr/>
            </w:pPr>
            <w:r>
              <w:rPr/>
              <w:t> </w:t>
            </w:r>
          </w:p>
        </w:tc>
        <w:tc>
          <w:tcPr>
            <w:tcW w:w="384" w:type="dxa"/>
            <w:tcBorders/>
            <w:shd w:fill="FFFFFF" w:val="clear"/>
            <w:tcMar>
              <w:top w:w="0" w:type="dxa"/>
            </w:tcMar>
            <w:vAlign w:val="center"/>
          </w:tcPr>
          <w:p>
            <w:pPr>
              <w:pStyle w:val="TableContents"/>
              <w:bidi w:val="0"/>
              <w:spacing w:before="0" w:after="283"/>
              <w:jc w:val="left"/>
              <w:rPr/>
            </w:pPr>
            <w:r>
              <w:rPr/>
              <w:t> </w:t>
            </w:r>
          </w:p>
        </w:tc>
        <w:tc>
          <w:tcPr>
            <w:tcW w:w="1219" w:type="dxa"/>
            <w:tcBorders/>
            <w:shd w:fill="FFFFFF" w:val="clear"/>
            <w:tcMar>
              <w:top w:w="0" w:type="dxa"/>
            </w:tcMar>
            <w:vAlign w:val="center"/>
          </w:tcPr>
          <w:p>
            <w:pPr>
              <w:pStyle w:val="TableContents"/>
              <w:bidi w:val="0"/>
              <w:spacing w:before="0" w:after="283"/>
              <w:jc w:val="right"/>
              <w:rPr/>
            </w:pPr>
            <w:r>
              <w:rPr/>
              <w:t> </w:t>
            </w:r>
          </w:p>
        </w:tc>
        <w:tc>
          <w:tcPr>
            <w:tcW w:w="90" w:type="dxa"/>
            <w:tcBorders/>
            <w:shd w:fill="FFFFFF" w:val="clear"/>
            <w:tcMar>
              <w:top w:w="0" w:type="dxa"/>
            </w:tcMar>
            <w:vAlign w:val="center"/>
          </w:tcPr>
          <w:p>
            <w:pPr>
              <w:pStyle w:val="TableContents"/>
              <w:bidi w:val="0"/>
              <w:spacing w:before="0" w:after="283"/>
              <w:jc w:val="left"/>
              <w:rPr/>
            </w:pPr>
            <w:r>
              <w:rPr/>
              <w:t> </w:t>
            </w:r>
          </w:p>
        </w:tc>
        <w:tc>
          <w:tcPr>
            <w:tcW w:w="67" w:type="dxa"/>
            <w:tcBorders/>
            <w:shd w:fill="FFFFFF" w:val="clear"/>
            <w:tcMar>
              <w:top w:w="0" w:type="dxa"/>
            </w:tcMar>
            <w:vAlign w:val="center"/>
          </w:tcPr>
          <w:p>
            <w:pPr>
              <w:pStyle w:val="TableContents"/>
              <w:bidi w:val="0"/>
              <w:spacing w:before="0" w:after="283"/>
              <w:jc w:val="left"/>
              <w:rPr/>
            </w:pPr>
            <w:r>
              <w:rPr/>
              <w:t> </w:t>
            </w:r>
          </w:p>
        </w:tc>
        <w:tc>
          <w:tcPr>
            <w:tcW w:w="562" w:type="dxa"/>
            <w:tcBorders/>
            <w:shd w:fill="FFFFFF" w:val="clear"/>
            <w:tcMar>
              <w:top w:w="0" w:type="dxa"/>
            </w:tcMar>
            <w:vAlign w:val="center"/>
          </w:tcPr>
          <w:p>
            <w:pPr>
              <w:pStyle w:val="TableContents"/>
              <w:bidi w:val="0"/>
              <w:spacing w:before="0" w:after="283"/>
              <w:jc w:val="left"/>
              <w:rPr/>
            </w:pPr>
            <w:r>
              <w:rPr/>
              <w:t> </w:t>
            </w:r>
          </w:p>
        </w:tc>
        <w:tc>
          <w:tcPr>
            <w:tcW w:w="1781" w:type="dxa"/>
            <w:tcBorders/>
            <w:shd w:fill="FFFFFF" w:val="clear"/>
            <w:tcMar>
              <w:top w:w="0" w:type="dxa"/>
            </w:tcMar>
            <w:vAlign w:val="center"/>
          </w:tcPr>
          <w:p>
            <w:pPr>
              <w:pStyle w:val="TableContents"/>
              <w:bidi w:val="0"/>
              <w:spacing w:before="0" w:after="283"/>
              <w:jc w:val="right"/>
              <w:rPr/>
            </w:pPr>
            <w:r>
              <w:rPr/>
              <w:t> </w:t>
            </w:r>
          </w:p>
        </w:tc>
        <w:tc>
          <w:tcPr>
            <w:tcW w:w="90" w:type="dxa"/>
            <w:tcBorders/>
            <w:shd w:fill="FFFFFF" w:val="clear"/>
            <w:tcMar>
              <w:top w:w="0" w:type="dxa"/>
            </w:tcMar>
            <w:vAlign w:val="center"/>
          </w:tcPr>
          <w:p>
            <w:pPr>
              <w:pStyle w:val="TableContents"/>
              <w:bidi w:val="0"/>
              <w:spacing w:before="0" w:after="283"/>
              <w:jc w:val="left"/>
              <w:rPr/>
            </w:pPr>
            <w:r>
              <w:rPr/>
              <w:t> </w:t>
            </w:r>
          </w:p>
        </w:tc>
        <w:tc>
          <w:tcPr>
            <w:tcW w:w="67" w:type="dxa"/>
            <w:tcBorders/>
            <w:shd w:fill="FFFFFF" w:val="clear"/>
            <w:tcMar>
              <w:top w:w="0" w:type="dxa"/>
            </w:tcMar>
            <w:vAlign w:val="center"/>
          </w:tcPr>
          <w:p>
            <w:pPr>
              <w:pStyle w:val="TableContents"/>
              <w:bidi w:val="0"/>
              <w:spacing w:before="0" w:after="283"/>
              <w:jc w:val="left"/>
              <w:rPr/>
            </w:pPr>
            <w:r>
              <w:rPr/>
              <w:t> </w:t>
            </w:r>
          </w:p>
        </w:tc>
        <w:tc>
          <w:tcPr>
            <w:tcW w:w="568" w:type="dxa"/>
            <w:tcBorders/>
            <w:shd w:fill="FFFFFF" w:val="clear"/>
            <w:tcMar>
              <w:top w:w="0" w:type="dxa"/>
            </w:tcMar>
            <w:vAlign w:val="center"/>
          </w:tcPr>
          <w:p>
            <w:pPr>
              <w:pStyle w:val="TableContents"/>
              <w:bidi w:val="0"/>
              <w:spacing w:before="0" w:after="283"/>
              <w:jc w:val="left"/>
              <w:rPr/>
            </w:pPr>
            <w:r>
              <w:rPr/>
              <w:t> </w:t>
            </w:r>
          </w:p>
        </w:tc>
        <w:tc>
          <w:tcPr>
            <w:tcW w:w="1048" w:type="dxa"/>
            <w:tcBorders/>
            <w:shd w:fill="FFFFFF" w:val="clear"/>
            <w:tcMar>
              <w:top w:w="0" w:type="dxa"/>
            </w:tcMar>
            <w:vAlign w:val="center"/>
          </w:tcPr>
          <w:p>
            <w:pPr>
              <w:pStyle w:val="TableContents"/>
              <w:bidi w:val="0"/>
              <w:spacing w:before="0" w:after="283"/>
              <w:jc w:val="right"/>
              <w:rPr/>
            </w:pPr>
            <w:r>
              <w:rPr/>
              <w:t> </w:t>
            </w:r>
          </w:p>
        </w:tc>
        <w:tc>
          <w:tcPr>
            <w:tcW w:w="102" w:type="dxa"/>
            <w:tcBorders/>
            <w:shd w:fill="FFFFFF" w:val="clear"/>
            <w:tcMar>
              <w:top w:w="0" w:type="dxa"/>
            </w:tcMar>
            <w:vAlign w:val="center"/>
          </w:tcPr>
          <w:p>
            <w:pPr>
              <w:pStyle w:val="TableContents"/>
              <w:bidi w:val="0"/>
              <w:spacing w:before="0" w:after="283"/>
              <w:jc w:val="left"/>
              <w:rPr/>
            </w:pPr>
            <w:r>
              <w:rPr/>
              <w:t> </w:t>
            </w:r>
          </w:p>
        </w:tc>
      </w:tr>
      <w:tr>
        <w:trPr/>
        <w:tc>
          <w:tcPr>
            <w:tcW w:w="183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8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(b)</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9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8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9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1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(c)</w:t>
            </w:r>
          </w:p>
        </w:tc>
        <w:tc>
          <w:tcPr>
            <w:tcW w:w="60" w:type="dxa"/>
            <w:tcBorders/>
            <w:shd w:fill="CCEEFF" w:val="clear"/>
            <w:tcMar>
              <w:top w:w="0" w:type="dxa"/>
            </w:tcMar>
            <w:vAlign w:val="center"/>
          </w:tcPr>
          <w:p>
            <w:pPr>
              <w:pStyle w:val="TableContents"/>
              <w:bidi w:val="0"/>
              <w:spacing w:before="0" w:after="283"/>
              <w:jc w:val="left"/>
              <w:rPr/>
            </w:pPr>
            <w:r>
              <w:rPr/>
              <w:t> </w:t>
            </w:r>
          </w:p>
        </w:tc>
        <w:tc>
          <w:tcPr>
            <w:tcW w:w="520" w:type="dxa"/>
            <w:tcBorders/>
            <w:shd w:fill="CCEEFF" w:val="clear"/>
            <w:tcMar>
              <w:top w:w="0" w:type="dxa"/>
            </w:tcMar>
            <w:vAlign w:val="center"/>
          </w:tcPr>
          <w:p>
            <w:pPr>
              <w:pStyle w:val="TableContents"/>
              <w:bidi w:val="0"/>
              <w:spacing w:before="0" w:after="283"/>
              <w:jc w:val="left"/>
              <w:rPr/>
            </w:pPr>
            <w:r>
              <w:rPr/>
              <w:t> </w:t>
            </w:r>
          </w:p>
        </w:tc>
        <w:tc>
          <w:tcPr>
            <w:tcW w:w="1655" w:type="dxa"/>
            <w:tcBorders/>
            <w:shd w:fill="CCEEFF" w:val="clear"/>
            <w:tcMar>
              <w:top w:w="0" w:type="dxa"/>
            </w:tcMar>
            <w:vAlign w:val="center"/>
          </w:tcPr>
          <w:p>
            <w:pPr>
              <w:pStyle w:val="TableContents"/>
              <w:bidi w:val="0"/>
              <w:spacing w:before="0" w:after="283"/>
              <w:jc w:val="right"/>
              <w:rPr>
                <w:sz w:val="20"/>
              </w:rPr>
            </w:pPr>
            <w:r>
              <w:rPr>
                <w:sz w:val="20"/>
              </w:rPr>
              <w:t>81</w:t>
            </w:r>
          </w:p>
        </w:tc>
        <w:tc>
          <w:tcPr>
            <w:tcW w:w="90" w:type="dxa"/>
            <w:tcBorders/>
            <w:shd w:fill="CCEEFF" w:val="clear"/>
            <w:tcMar>
              <w:top w:w="0" w:type="dxa"/>
            </w:tcMar>
            <w:vAlign w:val="center"/>
          </w:tcPr>
          <w:p>
            <w:pPr>
              <w:pStyle w:val="TableContents"/>
              <w:bidi w:val="0"/>
              <w:spacing w:before="0" w:after="283"/>
              <w:jc w:val="left"/>
              <w:rPr/>
            </w:pPr>
            <w:r>
              <w:rPr/>
              <w:t> </w:t>
            </w:r>
          </w:p>
        </w:tc>
        <w:tc>
          <w:tcPr>
            <w:tcW w:w="67" w:type="dxa"/>
            <w:tcBorders/>
            <w:shd w:fill="CCEEFF" w:val="clear"/>
            <w:tcMar>
              <w:top w:w="0" w:type="dxa"/>
            </w:tcMar>
            <w:vAlign w:val="center"/>
          </w:tcPr>
          <w:p>
            <w:pPr>
              <w:pStyle w:val="TableContents"/>
              <w:bidi w:val="0"/>
              <w:spacing w:before="0" w:after="283"/>
              <w:jc w:val="left"/>
              <w:rPr/>
            </w:pPr>
            <w:r>
              <w:rPr/>
              <w:t> </w:t>
            </w:r>
          </w:p>
        </w:tc>
        <w:tc>
          <w:tcPr>
            <w:tcW w:w="384" w:type="dxa"/>
            <w:tcBorders/>
            <w:shd w:fill="CCEEFF" w:val="clear"/>
            <w:tcMar>
              <w:top w:w="0" w:type="dxa"/>
            </w:tcMar>
            <w:vAlign w:val="center"/>
          </w:tcPr>
          <w:p>
            <w:pPr>
              <w:pStyle w:val="TableContents"/>
              <w:bidi w:val="0"/>
              <w:spacing w:before="0" w:after="283"/>
              <w:jc w:val="left"/>
              <w:rPr/>
            </w:pPr>
            <w:r>
              <w:rPr/>
              <w:t> </w:t>
            </w:r>
          </w:p>
        </w:tc>
        <w:tc>
          <w:tcPr>
            <w:tcW w:w="1219" w:type="dxa"/>
            <w:tcBorders/>
            <w:shd w:fill="CCEEFF" w:val="clear"/>
            <w:tcMar>
              <w:top w:w="0" w:type="dxa"/>
            </w:tcMar>
            <w:vAlign w:val="center"/>
          </w:tcPr>
          <w:p>
            <w:pPr>
              <w:pStyle w:val="TableContents"/>
              <w:bidi w:val="0"/>
              <w:spacing w:before="0" w:after="283"/>
              <w:jc w:val="right"/>
              <w:rPr>
                <w:sz w:val="20"/>
              </w:rPr>
            </w:pPr>
            <w:r>
              <w:rPr>
                <w:sz w:val="20"/>
              </w:rPr>
              <w:t>(18</w:t>
            </w:r>
          </w:p>
        </w:tc>
        <w:tc>
          <w:tcPr>
            <w:tcW w:w="90" w:type="dxa"/>
            <w:tcBorders/>
            <w:shd w:fill="CCEEFF" w:val="clear"/>
            <w:tcMar>
              <w:top w:w="0" w:type="dxa"/>
            </w:tcMar>
            <w:vAlign w:val="center"/>
          </w:tcPr>
          <w:p>
            <w:pPr>
              <w:pStyle w:val="TableContents"/>
              <w:bidi w:val="0"/>
              <w:spacing w:before="0" w:after="283"/>
              <w:jc w:val="left"/>
              <w:rPr>
                <w:sz w:val="20"/>
              </w:rPr>
            </w:pPr>
            <w:r>
              <w:rPr>
                <w:sz w:val="20"/>
              </w:rPr>
              <w:t>)</w:t>
            </w:r>
          </w:p>
        </w:tc>
        <w:tc>
          <w:tcPr>
            <w:tcW w:w="67" w:type="dxa"/>
            <w:tcBorders/>
            <w:shd w:fill="CCEEFF" w:val="clear"/>
            <w:tcMar>
              <w:top w:w="0" w:type="dxa"/>
            </w:tcMar>
            <w:vAlign w:val="center"/>
          </w:tcPr>
          <w:p>
            <w:pPr>
              <w:pStyle w:val="TableContents"/>
              <w:bidi w:val="0"/>
              <w:spacing w:before="0" w:after="283"/>
              <w:jc w:val="left"/>
              <w:rPr/>
            </w:pPr>
            <w:r>
              <w:rPr/>
              <w:t> </w:t>
            </w:r>
          </w:p>
        </w:tc>
        <w:tc>
          <w:tcPr>
            <w:tcW w:w="562" w:type="dxa"/>
            <w:tcBorders/>
            <w:shd w:fill="CCEEFF" w:val="clear"/>
            <w:tcMar>
              <w:top w:w="0" w:type="dxa"/>
            </w:tcMar>
            <w:vAlign w:val="center"/>
          </w:tcPr>
          <w:p>
            <w:pPr>
              <w:pStyle w:val="TableContents"/>
              <w:bidi w:val="0"/>
              <w:spacing w:before="0" w:after="283"/>
              <w:jc w:val="left"/>
              <w:rPr/>
            </w:pPr>
            <w:r>
              <w:rPr/>
              <w:t> </w:t>
            </w:r>
          </w:p>
        </w:tc>
        <w:tc>
          <w:tcPr>
            <w:tcW w:w="1781" w:type="dxa"/>
            <w:tcBorders/>
            <w:shd w:fill="CCEEFF" w:val="clear"/>
            <w:tcMar>
              <w:top w:w="0" w:type="dxa"/>
            </w:tcMar>
            <w:vAlign w:val="center"/>
          </w:tcPr>
          <w:p>
            <w:pPr>
              <w:pStyle w:val="TableContents"/>
              <w:bidi w:val="0"/>
              <w:spacing w:before="0" w:after="283"/>
              <w:jc w:val="right"/>
              <w:rPr>
                <w:sz w:val="20"/>
              </w:rPr>
            </w:pPr>
            <w:r>
              <w:rPr>
                <w:sz w:val="20"/>
              </w:rPr>
              <w:t>63</w:t>
            </w:r>
          </w:p>
        </w:tc>
        <w:tc>
          <w:tcPr>
            <w:tcW w:w="90" w:type="dxa"/>
            <w:tcBorders/>
            <w:shd w:fill="CCEEFF" w:val="clear"/>
            <w:tcMar>
              <w:top w:w="0" w:type="dxa"/>
            </w:tcMar>
            <w:vAlign w:val="center"/>
          </w:tcPr>
          <w:p>
            <w:pPr>
              <w:pStyle w:val="TableContents"/>
              <w:bidi w:val="0"/>
              <w:spacing w:before="0" w:after="283"/>
              <w:jc w:val="left"/>
              <w:rPr/>
            </w:pPr>
            <w:r>
              <w:rPr/>
              <w:t> </w:t>
            </w:r>
          </w:p>
        </w:tc>
        <w:tc>
          <w:tcPr>
            <w:tcW w:w="67" w:type="dxa"/>
            <w:tcBorders/>
            <w:shd w:fill="CCEEFF" w:val="clear"/>
            <w:tcMar>
              <w:top w:w="0" w:type="dxa"/>
            </w:tcMar>
            <w:vAlign w:val="center"/>
          </w:tcPr>
          <w:p>
            <w:pPr>
              <w:pStyle w:val="TableContents"/>
              <w:bidi w:val="0"/>
              <w:spacing w:before="0" w:after="283"/>
              <w:jc w:val="left"/>
              <w:rPr/>
            </w:pPr>
            <w:r>
              <w:rPr/>
              <w:t> </w:t>
            </w:r>
          </w:p>
        </w:tc>
        <w:tc>
          <w:tcPr>
            <w:tcW w:w="568" w:type="dxa"/>
            <w:tcBorders/>
            <w:shd w:fill="CCEEFF" w:val="clear"/>
            <w:tcMar>
              <w:top w:w="0" w:type="dxa"/>
            </w:tcMar>
            <w:vAlign w:val="center"/>
          </w:tcPr>
          <w:p>
            <w:pPr>
              <w:pStyle w:val="TableContents"/>
              <w:bidi w:val="0"/>
              <w:spacing w:before="0" w:after="283"/>
              <w:jc w:val="left"/>
              <w:rPr/>
            </w:pPr>
            <w:r>
              <w:rPr/>
              <w:t> </w:t>
            </w:r>
          </w:p>
        </w:tc>
        <w:tc>
          <w:tcPr>
            <w:tcW w:w="1048" w:type="dxa"/>
            <w:tcBorders/>
            <w:shd w:fill="CCEEFF" w:val="clear"/>
            <w:tcMar>
              <w:top w:w="0" w:type="dxa"/>
            </w:tcMar>
            <w:vAlign w:val="center"/>
          </w:tcPr>
          <w:p>
            <w:pPr>
              <w:pStyle w:val="TableContents"/>
              <w:bidi w:val="0"/>
              <w:spacing w:before="0" w:after="283"/>
              <w:jc w:val="right"/>
              <w:rPr>
                <w:sz w:val="20"/>
              </w:rPr>
            </w:pPr>
            <w:r>
              <w:rPr>
                <w:sz w:val="20"/>
              </w:rPr>
              <w:t>.06</w:t>
            </w:r>
          </w:p>
        </w:tc>
        <w:tc>
          <w:tcPr>
            <w:tcW w:w="102" w:type="dxa"/>
            <w:tcBorders/>
            <w:shd w:fill="CCEEFF" w:val="clear"/>
            <w:tcMar>
              <w:top w:w="0" w:type="dxa"/>
            </w:tcMar>
            <w:vAlign w:val="center"/>
          </w:tcPr>
          <w:p>
            <w:pPr>
              <w:pStyle w:val="TableContents"/>
              <w:bidi w:val="0"/>
              <w:spacing w:before="0" w:after="283"/>
              <w:jc w:val="left"/>
              <w:rPr/>
            </w:pPr>
            <w:r>
              <w:rPr/>
              <w:t> </w:t>
            </w:r>
          </w:p>
        </w:tc>
      </w:tr>
      <w:tr>
        <w:trPr/>
        <w:tc>
          <w:tcPr>
            <w:tcW w:w="1835"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investments</w:t>
            </w:r>
          </w:p>
        </w:tc>
        <w:tc>
          <w:tcPr>
            <w:tcW w:w="60" w:type="dxa"/>
            <w:tcBorders/>
            <w:shd w:fill="FFFFFF" w:val="clear"/>
            <w:tcMar>
              <w:top w:w="0" w:type="dxa"/>
            </w:tcMar>
            <w:vAlign w:val="center"/>
          </w:tcPr>
          <w:p>
            <w:pPr>
              <w:pStyle w:val="TableContents"/>
              <w:bidi w:val="0"/>
              <w:spacing w:before="0" w:after="283"/>
              <w:jc w:val="left"/>
              <w:rPr/>
            </w:pPr>
            <w:r>
              <w:rPr/>
              <w:t> </w:t>
            </w:r>
          </w:p>
        </w:tc>
        <w:tc>
          <w:tcPr>
            <w:tcW w:w="520" w:type="dxa"/>
            <w:tcBorders/>
            <w:shd w:fill="FFFFFF" w:val="clear"/>
            <w:tcMar>
              <w:top w:w="0" w:type="dxa"/>
            </w:tcMar>
            <w:vAlign w:val="center"/>
          </w:tcPr>
          <w:p>
            <w:pPr>
              <w:pStyle w:val="TableContents"/>
              <w:bidi w:val="0"/>
              <w:spacing w:before="0" w:after="283"/>
              <w:jc w:val="left"/>
              <w:rPr/>
            </w:pPr>
            <w:r>
              <w:rPr/>
              <w:t> </w:t>
            </w:r>
          </w:p>
        </w:tc>
        <w:tc>
          <w:tcPr>
            <w:tcW w:w="1655" w:type="dxa"/>
            <w:tcBorders/>
            <w:shd w:fill="FFFFFF" w:val="clear"/>
            <w:tcMar>
              <w:top w:w="0" w:type="dxa"/>
            </w:tcMar>
            <w:vAlign w:val="center"/>
          </w:tcPr>
          <w:p>
            <w:pPr>
              <w:pStyle w:val="TableContents"/>
              <w:bidi w:val="0"/>
              <w:spacing w:before="0" w:after="283"/>
              <w:jc w:val="right"/>
              <w:rPr>
                <w:sz w:val="20"/>
              </w:rPr>
            </w:pPr>
            <w:r>
              <w:rPr>
                <w:sz w:val="20"/>
              </w:rPr>
              <w:t>40</w:t>
            </w:r>
          </w:p>
        </w:tc>
        <w:tc>
          <w:tcPr>
            <w:tcW w:w="90" w:type="dxa"/>
            <w:tcBorders/>
            <w:shd w:fill="FFFFFF" w:val="clear"/>
            <w:tcMar>
              <w:top w:w="0" w:type="dxa"/>
            </w:tcMar>
            <w:vAlign w:val="center"/>
          </w:tcPr>
          <w:p>
            <w:pPr>
              <w:pStyle w:val="TableContents"/>
              <w:bidi w:val="0"/>
              <w:spacing w:before="0" w:after="283"/>
              <w:jc w:val="left"/>
              <w:rPr/>
            </w:pPr>
            <w:r>
              <w:rPr/>
              <w:t> </w:t>
            </w:r>
          </w:p>
        </w:tc>
        <w:tc>
          <w:tcPr>
            <w:tcW w:w="67" w:type="dxa"/>
            <w:tcBorders/>
            <w:shd w:fill="FFFFFF" w:val="clear"/>
            <w:tcMar>
              <w:top w:w="0" w:type="dxa"/>
            </w:tcMar>
            <w:vAlign w:val="center"/>
          </w:tcPr>
          <w:p>
            <w:pPr>
              <w:pStyle w:val="TableContents"/>
              <w:bidi w:val="0"/>
              <w:spacing w:before="0" w:after="283"/>
              <w:jc w:val="left"/>
              <w:rPr/>
            </w:pPr>
            <w:r>
              <w:rPr/>
              <w:t> </w:t>
            </w:r>
          </w:p>
        </w:tc>
        <w:tc>
          <w:tcPr>
            <w:tcW w:w="384" w:type="dxa"/>
            <w:tcBorders/>
            <w:shd w:fill="FFFFFF" w:val="clear"/>
            <w:tcMar>
              <w:top w:w="0" w:type="dxa"/>
            </w:tcMar>
            <w:vAlign w:val="center"/>
          </w:tcPr>
          <w:p>
            <w:pPr>
              <w:pStyle w:val="TableContents"/>
              <w:bidi w:val="0"/>
              <w:spacing w:before="0" w:after="283"/>
              <w:jc w:val="left"/>
              <w:rPr/>
            </w:pPr>
            <w:r>
              <w:rPr/>
              <w:t> </w:t>
            </w:r>
          </w:p>
        </w:tc>
        <w:tc>
          <w:tcPr>
            <w:tcW w:w="1219" w:type="dxa"/>
            <w:tcBorders/>
            <w:shd w:fill="FFFFFF" w:val="clear"/>
            <w:tcMar>
              <w:top w:w="0" w:type="dxa"/>
            </w:tcMar>
            <w:vAlign w:val="center"/>
          </w:tcPr>
          <w:p>
            <w:pPr>
              <w:pStyle w:val="TableContents"/>
              <w:bidi w:val="0"/>
              <w:spacing w:before="0" w:after="283"/>
              <w:jc w:val="right"/>
              <w:rPr>
                <w:sz w:val="20"/>
              </w:rPr>
            </w:pPr>
            <w:r>
              <w:rPr>
                <w:sz w:val="20"/>
              </w:rPr>
              <w:t>(10</w:t>
            </w:r>
          </w:p>
        </w:tc>
        <w:tc>
          <w:tcPr>
            <w:tcW w:w="90" w:type="dxa"/>
            <w:tcBorders/>
            <w:shd w:fill="FFFFFF" w:val="clear"/>
            <w:tcMar>
              <w:top w:w="0" w:type="dxa"/>
            </w:tcMar>
            <w:vAlign w:val="center"/>
          </w:tcPr>
          <w:p>
            <w:pPr>
              <w:pStyle w:val="TableContents"/>
              <w:bidi w:val="0"/>
              <w:spacing w:before="0" w:after="283"/>
              <w:jc w:val="left"/>
              <w:rPr>
                <w:sz w:val="20"/>
              </w:rPr>
            </w:pPr>
            <w:r>
              <w:rPr>
                <w:sz w:val="20"/>
              </w:rPr>
              <w:t>)</w:t>
            </w:r>
          </w:p>
        </w:tc>
        <w:tc>
          <w:tcPr>
            <w:tcW w:w="67" w:type="dxa"/>
            <w:tcBorders/>
            <w:shd w:fill="FFFFFF" w:val="clear"/>
            <w:tcMar>
              <w:top w:w="0" w:type="dxa"/>
            </w:tcMar>
            <w:vAlign w:val="center"/>
          </w:tcPr>
          <w:p>
            <w:pPr>
              <w:pStyle w:val="TableContents"/>
              <w:bidi w:val="0"/>
              <w:spacing w:before="0" w:after="283"/>
              <w:jc w:val="left"/>
              <w:rPr/>
            </w:pPr>
            <w:r>
              <w:rPr/>
              <w:t> </w:t>
            </w:r>
          </w:p>
        </w:tc>
        <w:tc>
          <w:tcPr>
            <w:tcW w:w="562" w:type="dxa"/>
            <w:tcBorders/>
            <w:shd w:fill="FFFFFF" w:val="clear"/>
            <w:tcMar>
              <w:top w:w="0" w:type="dxa"/>
            </w:tcMar>
            <w:vAlign w:val="center"/>
          </w:tcPr>
          <w:p>
            <w:pPr>
              <w:pStyle w:val="TableContents"/>
              <w:bidi w:val="0"/>
              <w:spacing w:before="0" w:after="283"/>
              <w:jc w:val="left"/>
              <w:rPr/>
            </w:pPr>
            <w:r>
              <w:rPr/>
              <w:t> </w:t>
            </w:r>
          </w:p>
        </w:tc>
        <w:tc>
          <w:tcPr>
            <w:tcW w:w="1781" w:type="dxa"/>
            <w:tcBorders/>
            <w:shd w:fill="FFFFFF" w:val="clear"/>
            <w:tcMar>
              <w:top w:w="0" w:type="dxa"/>
            </w:tcMar>
            <w:vAlign w:val="center"/>
          </w:tcPr>
          <w:p>
            <w:pPr>
              <w:pStyle w:val="TableContents"/>
              <w:bidi w:val="0"/>
              <w:spacing w:before="0" w:after="283"/>
              <w:jc w:val="right"/>
              <w:rPr>
                <w:sz w:val="20"/>
              </w:rPr>
            </w:pPr>
            <w:r>
              <w:rPr>
                <w:sz w:val="20"/>
              </w:rPr>
              <w:t>30</w:t>
            </w:r>
          </w:p>
        </w:tc>
        <w:tc>
          <w:tcPr>
            <w:tcW w:w="90" w:type="dxa"/>
            <w:tcBorders/>
            <w:shd w:fill="FFFFFF" w:val="clear"/>
            <w:tcMar>
              <w:top w:w="0" w:type="dxa"/>
            </w:tcMar>
            <w:vAlign w:val="center"/>
          </w:tcPr>
          <w:p>
            <w:pPr>
              <w:pStyle w:val="TableContents"/>
              <w:bidi w:val="0"/>
              <w:spacing w:before="0" w:after="283"/>
              <w:jc w:val="left"/>
              <w:rPr/>
            </w:pPr>
            <w:r>
              <w:rPr/>
              <w:t> </w:t>
            </w:r>
          </w:p>
        </w:tc>
        <w:tc>
          <w:tcPr>
            <w:tcW w:w="67" w:type="dxa"/>
            <w:tcBorders/>
            <w:shd w:fill="FFFFFF" w:val="clear"/>
            <w:tcMar>
              <w:top w:w="0" w:type="dxa"/>
            </w:tcMar>
            <w:vAlign w:val="center"/>
          </w:tcPr>
          <w:p>
            <w:pPr>
              <w:pStyle w:val="TableContents"/>
              <w:bidi w:val="0"/>
              <w:spacing w:before="0" w:after="283"/>
              <w:jc w:val="left"/>
              <w:rPr/>
            </w:pPr>
            <w:r>
              <w:rPr/>
              <w:t> </w:t>
            </w:r>
          </w:p>
        </w:tc>
        <w:tc>
          <w:tcPr>
            <w:tcW w:w="568" w:type="dxa"/>
            <w:tcBorders/>
            <w:shd w:fill="FFFFFF" w:val="clear"/>
            <w:tcMar>
              <w:top w:w="0" w:type="dxa"/>
            </w:tcMar>
            <w:vAlign w:val="center"/>
          </w:tcPr>
          <w:p>
            <w:pPr>
              <w:pStyle w:val="TableContents"/>
              <w:bidi w:val="0"/>
              <w:spacing w:before="0" w:after="283"/>
              <w:jc w:val="left"/>
              <w:rPr/>
            </w:pPr>
            <w:r>
              <w:rPr/>
              <w:t> </w:t>
            </w:r>
          </w:p>
        </w:tc>
        <w:tc>
          <w:tcPr>
            <w:tcW w:w="1048" w:type="dxa"/>
            <w:tcBorders/>
            <w:shd w:fill="FFFFFF" w:val="clear"/>
            <w:tcMar>
              <w:top w:w="0" w:type="dxa"/>
            </w:tcMar>
            <w:vAlign w:val="center"/>
          </w:tcPr>
          <w:p>
            <w:pPr>
              <w:pStyle w:val="TableContents"/>
              <w:bidi w:val="0"/>
              <w:spacing w:before="0" w:after="283"/>
              <w:jc w:val="right"/>
              <w:rPr>
                <w:sz w:val="20"/>
              </w:rPr>
            </w:pPr>
            <w:r>
              <w:rPr>
                <w:sz w:val="20"/>
              </w:rPr>
              <w:t>.03</w:t>
            </w:r>
          </w:p>
        </w:tc>
        <w:tc>
          <w:tcPr>
            <w:tcW w:w="102" w:type="dxa"/>
            <w:tcBorders/>
            <w:shd w:fill="FFFFFF" w:val="clear"/>
            <w:tcMar>
              <w:top w:w="0" w:type="dxa"/>
            </w:tcMar>
            <w:vAlign w:val="center"/>
          </w:tcPr>
          <w:p>
            <w:pPr>
              <w:pStyle w:val="TableContents"/>
              <w:bidi w:val="0"/>
              <w:spacing w:before="0" w:after="283"/>
              <w:jc w:val="left"/>
              <w:rPr/>
            </w:pPr>
            <w:r>
              <w:rPr/>
              <w:t> </w:t>
            </w:r>
          </w:p>
        </w:tc>
      </w:tr>
      <w:tr>
        <w:trPr/>
        <w:tc>
          <w:tcPr>
            <w:tcW w:w="1835"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Discrete tax items </w:t>
            </w:r>
            <w:r>
              <w:rPr>
                <w:rFonts w:ascii="Times New Roman;Times;Serif" w:hAnsi="Times New Roman;Times;Serif"/>
                <w:b w:val="false"/>
                <w:i w:val="false"/>
                <w:caps w:val="false"/>
                <w:smallCaps w:val="false"/>
                <w:position w:val="7"/>
                <w:sz w:val="16"/>
                <w:sz w:val="20"/>
              </w:rPr>
              <w:t>(d)</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9"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2"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81"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0"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2"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35"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w:t>
            </w:r>
          </w:p>
        </w:tc>
        <w:tc>
          <w:tcPr>
            <w:tcW w:w="6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20"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5"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9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84"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9"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0"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2"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81"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68"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2"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44"/>
        <w:gridCol w:w="60"/>
        <w:gridCol w:w="423"/>
        <w:gridCol w:w="1651"/>
        <w:gridCol w:w="88"/>
        <w:gridCol w:w="66"/>
        <w:gridCol w:w="391"/>
        <w:gridCol w:w="1240"/>
        <w:gridCol w:w="88"/>
        <w:gridCol w:w="66"/>
        <w:gridCol w:w="649"/>
        <w:gridCol w:w="1745"/>
        <w:gridCol w:w="88"/>
        <w:gridCol w:w="66"/>
        <w:gridCol w:w="577"/>
        <w:gridCol w:w="1065"/>
        <w:gridCol w:w="98"/>
      </w:tblGrid>
      <w:tr>
        <w:trPr/>
        <w:tc>
          <w:tcPr>
            <w:tcW w:w="1844"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203" w:type="dxa"/>
            <w:gridSpan w:val="14"/>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98"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203" w:type="dxa"/>
            <w:gridSpan w:val="14"/>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 2025</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from Continuing Operations Before Income Taxes</w:t>
            </w:r>
          </w:p>
        </w:tc>
        <w:tc>
          <w:tcPr>
            <w:tcW w:w="8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31"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from (Provision for) Income Taxes</w:t>
            </w:r>
          </w:p>
        </w:tc>
        <w:tc>
          <w:tcPr>
            <w:tcW w:w="8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39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(Loss) from Continuing Operations Attributable to Parent</w:t>
            </w:r>
          </w:p>
        </w:tc>
        <w:tc>
          <w:tcPr>
            <w:tcW w:w="8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from Continuing Operations</w:t>
            </w:r>
          </w:p>
        </w:tc>
        <w:tc>
          <w:tcPr>
            <w:tcW w:w="98"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affecting comparability:</w:t>
            </w:r>
          </w:p>
        </w:tc>
        <w:tc>
          <w:tcPr>
            <w:tcW w:w="60" w:type="dxa"/>
            <w:tcBorders/>
            <w:shd w:fill="FFFFFF" w:val="clear"/>
            <w:tcMar>
              <w:top w:w="0" w:type="dxa"/>
            </w:tcMar>
            <w:vAlign w:val="center"/>
          </w:tcPr>
          <w:p>
            <w:pPr>
              <w:pStyle w:val="TableContents"/>
              <w:bidi w:val="0"/>
              <w:spacing w:before="0" w:after="283"/>
              <w:jc w:val="left"/>
              <w:rPr/>
            </w:pPr>
            <w:r>
              <w:rPr/>
              <w:t> </w:t>
            </w:r>
          </w:p>
        </w:tc>
        <w:tc>
          <w:tcPr>
            <w:tcW w:w="423" w:type="dxa"/>
            <w:tcBorders/>
            <w:shd w:fill="FFFFFF" w:val="clear"/>
            <w:tcMar>
              <w:top w:w="0" w:type="dxa"/>
            </w:tcMar>
            <w:vAlign w:val="center"/>
          </w:tcPr>
          <w:p>
            <w:pPr>
              <w:pStyle w:val="TableContents"/>
              <w:bidi w:val="0"/>
              <w:spacing w:before="0" w:after="283"/>
              <w:jc w:val="left"/>
              <w:rPr/>
            </w:pPr>
            <w:r>
              <w:rPr/>
              <w:t> </w:t>
            </w:r>
          </w:p>
        </w:tc>
        <w:tc>
          <w:tcPr>
            <w:tcW w:w="1651" w:type="dxa"/>
            <w:tcBorders/>
            <w:shd w:fill="FFFFFF" w:val="clear"/>
            <w:tcMar>
              <w:top w:w="0" w:type="dxa"/>
            </w:tcMar>
            <w:vAlign w:val="center"/>
          </w:tcPr>
          <w:p>
            <w:pPr>
              <w:pStyle w:val="TableContents"/>
              <w:bidi w:val="0"/>
              <w:spacing w:before="0" w:after="283"/>
              <w:jc w:val="right"/>
              <w:rPr/>
            </w:pPr>
            <w:r>
              <w:rPr/>
              <w:t> </w:t>
            </w:r>
          </w:p>
        </w:tc>
        <w:tc>
          <w:tcPr>
            <w:tcW w:w="88"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391" w:type="dxa"/>
            <w:tcBorders/>
            <w:shd w:fill="FFFFFF" w:val="clear"/>
            <w:tcMar>
              <w:top w:w="0" w:type="dxa"/>
            </w:tcMar>
            <w:vAlign w:val="center"/>
          </w:tcPr>
          <w:p>
            <w:pPr>
              <w:pStyle w:val="TableContents"/>
              <w:bidi w:val="0"/>
              <w:spacing w:before="0" w:after="283"/>
              <w:jc w:val="left"/>
              <w:rPr/>
            </w:pPr>
            <w:r>
              <w:rPr/>
              <w:t> </w:t>
            </w:r>
          </w:p>
        </w:tc>
        <w:tc>
          <w:tcPr>
            <w:tcW w:w="1240" w:type="dxa"/>
            <w:tcBorders/>
            <w:shd w:fill="FFFFFF" w:val="clear"/>
            <w:tcMar>
              <w:top w:w="0" w:type="dxa"/>
            </w:tcMar>
            <w:vAlign w:val="center"/>
          </w:tcPr>
          <w:p>
            <w:pPr>
              <w:pStyle w:val="TableContents"/>
              <w:bidi w:val="0"/>
              <w:spacing w:before="0" w:after="283"/>
              <w:jc w:val="right"/>
              <w:rPr/>
            </w:pPr>
            <w:r>
              <w:rPr/>
              <w:t> </w:t>
            </w:r>
          </w:p>
        </w:tc>
        <w:tc>
          <w:tcPr>
            <w:tcW w:w="88"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649" w:type="dxa"/>
            <w:tcBorders/>
            <w:shd w:fill="FFFFFF" w:val="clear"/>
            <w:tcMar>
              <w:top w:w="0" w:type="dxa"/>
            </w:tcMar>
            <w:vAlign w:val="center"/>
          </w:tcPr>
          <w:p>
            <w:pPr>
              <w:pStyle w:val="TableContents"/>
              <w:bidi w:val="0"/>
              <w:spacing w:before="0" w:after="283"/>
              <w:jc w:val="left"/>
              <w:rPr/>
            </w:pPr>
            <w:r>
              <w:rPr/>
              <w:t> </w:t>
            </w:r>
          </w:p>
        </w:tc>
        <w:tc>
          <w:tcPr>
            <w:tcW w:w="1745" w:type="dxa"/>
            <w:tcBorders/>
            <w:shd w:fill="FFFFFF" w:val="clear"/>
            <w:tcMar>
              <w:top w:w="0" w:type="dxa"/>
            </w:tcMar>
            <w:vAlign w:val="center"/>
          </w:tcPr>
          <w:p>
            <w:pPr>
              <w:pStyle w:val="TableContents"/>
              <w:bidi w:val="0"/>
              <w:spacing w:before="0" w:after="283"/>
              <w:jc w:val="right"/>
              <w:rPr/>
            </w:pPr>
            <w:r>
              <w:rPr/>
              <w:t> </w:t>
            </w:r>
          </w:p>
        </w:tc>
        <w:tc>
          <w:tcPr>
            <w:tcW w:w="88" w:type="dxa"/>
            <w:tcBorders/>
            <w:shd w:fill="FFFFFF" w:val="clear"/>
            <w:tcMar>
              <w:top w:w="0" w:type="dxa"/>
            </w:tcMar>
            <w:vAlign w:val="center"/>
          </w:tcPr>
          <w:p>
            <w:pPr>
              <w:pStyle w:val="TableContents"/>
              <w:bidi w:val="0"/>
              <w:spacing w:before="0" w:after="283"/>
              <w:jc w:val="left"/>
              <w:rPr/>
            </w:pPr>
            <w:r>
              <w:rPr/>
              <w:t> </w:t>
            </w:r>
          </w:p>
        </w:tc>
        <w:tc>
          <w:tcPr>
            <w:tcW w:w="66" w:type="dxa"/>
            <w:tcBorders/>
            <w:shd w:fill="FFFFFF" w:val="clear"/>
            <w:tcMar>
              <w:top w:w="0" w:type="dxa"/>
            </w:tcMar>
            <w:vAlign w:val="center"/>
          </w:tcPr>
          <w:p>
            <w:pPr>
              <w:pStyle w:val="TableContents"/>
              <w:bidi w:val="0"/>
              <w:spacing w:before="0" w:after="283"/>
              <w:jc w:val="left"/>
              <w:rPr/>
            </w:pPr>
            <w:r>
              <w:rPr/>
              <w:t> </w:t>
            </w:r>
          </w:p>
        </w:tc>
        <w:tc>
          <w:tcPr>
            <w:tcW w:w="577" w:type="dxa"/>
            <w:tcBorders/>
            <w:shd w:fill="FFFFFF" w:val="clear"/>
            <w:tcMar>
              <w:top w:w="0" w:type="dxa"/>
            </w:tcMar>
            <w:vAlign w:val="center"/>
          </w:tcPr>
          <w:p>
            <w:pPr>
              <w:pStyle w:val="TableContents"/>
              <w:bidi w:val="0"/>
              <w:spacing w:before="0" w:after="283"/>
              <w:jc w:val="left"/>
              <w:rPr/>
            </w:pPr>
            <w:r>
              <w:rPr/>
              <w:t> </w:t>
            </w:r>
          </w:p>
        </w:tc>
        <w:tc>
          <w:tcPr>
            <w:tcW w:w="1065" w:type="dxa"/>
            <w:tcBorders/>
            <w:shd w:fill="FFFFFF" w:val="clear"/>
            <w:tcMar>
              <w:top w:w="0" w:type="dxa"/>
            </w:tcMar>
            <w:vAlign w:val="center"/>
          </w:tcPr>
          <w:p>
            <w:pPr>
              <w:pStyle w:val="TableContents"/>
              <w:bidi w:val="0"/>
              <w:spacing w:before="0" w:after="283"/>
              <w:jc w:val="right"/>
              <w:rPr/>
            </w:pPr>
            <w:r>
              <w:rPr/>
              <w:t> </w:t>
            </w:r>
          </w:p>
        </w:tc>
        <w:tc>
          <w:tcPr>
            <w:tcW w:w="98" w:type="dxa"/>
            <w:tcBorders/>
            <w:shd w:fill="FFFFFF" w:val="clear"/>
            <w:tcMar>
              <w:top w:w="0" w:type="dxa"/>
            </w:tcMar>
            <w:vAlign w:val="center"/>
          </w:tcPr>
          <w:p>
            <w:pPr>
              <w:pStyle w:val="TableContents"/>
              <w:bidi w:val="0"/>
              <w:spacing w:before="0" w:after="283"/>
              <w:jc w:val="left"/>
              <w:rPr/>
            </w:pPr>
            <w:r>
              <w:rPr/>
              <w:t> </w:t>
            </w:r>
          </w:p>
        </w:tc>
      </w:tr>
      <w:tr>
        <w:trPr/>
        <w:tc>
          <w:tcPr>
            <w:tcW w:w="184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w:t>
            </w:r>
            <w:r>
              <w:rPr>
                <w:rFonts w:ascii="Times New Roman;Times;Serif" w:hAnsi="Times New Roman;Times;Serif"/>
                <w:b w:val="false"/>
                <w:i w:val="false"/>
                <w:caps w:val="false"/>
                <w:smallCaps w:val="false"/>
                <w:position w:val="7"/>
                <w:sz w:val="16"/>
                <w:sz w:val="20"/>
              </w:rPr>
              <w:t>(e)</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(b)</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8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8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(c)</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8"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44"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Gain on dispositions </w:t>
            </w:r>
            <w:r>
              <w:rPr>
                <w:rFonts w:ascii="Times New Roman;Times;Serif" w:hAnsi="Times New Roman;Times;Serif"/>
                <w:b w:val="false"/>
                <w:i w:val="false"/>
                <w:caps w:val="false"/>
                <w:smallCaps w:val="false"/>
                <w:position w:val="7"/>
                <w:sz w:val="16"/>
                <w:sz w:val="20"/>
              </w:rPr>
              <w:t>(f)</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98"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4"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Discrete tax items </w:t>
            </w:r>
            <w:r>
              <w:rPr>
                <w:rFonts w:ascii="Times New Roman;Times;Serif" w:hAnsi="Times New Roman;Times;Serif"/>
                <w:b w:val="false"/>
                <w:i w:val="false"/>
                <w:caps w:val="false"/>
                <w:smallCaps w:val="false"/>
                <w:position w:val="7"/>
                <w:sz w:val="16"/>
                <w:sz w:val="20"/>
              </w:rPr>
              <w:t>(d)</w:t>
            </w:r>
          </w:p>
        </w:tc>
        <w:tc>
          <w:tcPr>
            <w:tcW w:w="60"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51" w:type="dxa"/>
            <w:tcBorders>
              <w:bottom w:val="single" w:sz="8" w:space="0" w:color="000000"/>
            </w:tcBorders>
            <w:shd w:fill="CCEE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0"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8"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4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8"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8"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5" w:type="dxa"/>
            <w:tcBorders>
              <w:bottom w:val="single" w:sz="8"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 w:type="dxa"/>
            <w:tcBorders>
              <w:bottom w:val="single" w:sz="8"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44"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w:t>
            </w:r>
          </w:p>
        </w:tc>
        <w:tc>
          <w:tcPr>
            <w:tcW w:w="60"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23"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51"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w:t>
            </w:r>
          </w:p>
        </w:tc>
        <w:tc>
          <w:tcPr>
            <w:tcW w:w="88"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1"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0"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8"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45"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88"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577" w:type="dxa"/>
            <w:tcBorders>
              <w:bottom w:val="single" w:sz="16"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5" w:type="dxa"/>
            <w:tcBorders>
              <w:bottom w:val="single" w:sz="16"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 w:type="dxa"/>
            <w:tcBorders>
              <w:bottom w:val="single" w:sz="16"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Both periods reflect severance charges and also included in the period from January 1 - August 6, 2025 are charges for the impairment of lease assets.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Successor period principally reflects legal and other professional fees associated with the Warner Bros. offer and during the Predecessor period reflects banking, legal, advisory, and other professional fees relating to the Transactions, and transaction awards that became payable to eligible employees upon closing of the Transactions.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Successor period primarily reflects tax benefits realized in connection with the filing of our tax returns and the Predecessor period primarily reflects the reversal of valuation allowances on deferred tax assets related to interest deduction limitations as a result of recent U.S. tax legislation.</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Reflects a charge to reduce the carrying values of FCC licenses in certain markets to their estimated fair values.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Principally reflects a gain associated with the disposition of a noncore business.</w:t>
      </w:r>
    </w:p>
    <w:p>
      <w:pPr>
        <w:pStyle w:val="TextBody"/>
        <w:bidi w:val="0"/>
        <w:spacing w:before="0" w:after="0"/>
        <w:ind w:left="720" w:right="360" w:hanging="27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25</w:t>
            </w:r>
          </w:p>
        </w:tc>
      </w:tr>
    </w:tbl>
    <w:p>
      <w:pPr>
        <w:pStyle w:val="TextBody"/>
        <w:bidi w:val="0"/>
        <w:spacing w:before="0" w:after="0"/>
        <w:ind w:left="0" w:right="0" w:hanging="0"/>
        <w:jc w:val="left"/>
        <w:rPr/>
      </w:pPr>
      <w:r>
        <w:rPr/>
        <w:t> </w:t>
      </w:r>
    </w:p>
    <w:p>
      <w:pPr>
        <w:pStyle w:val="TextBody"/>
        <w:bidi w:val="0"/>
        <w:spacing w:before="0" w:after="0"/>
        <w:ind w:left="270" w:right="180" w:hanging="270"/>
        <w:jc w:val="center"/>
        <w:rPr>
          <w:caps w:val="false"/>
          <w:smallCaps w:val="false"/>
        </w:rPr>
      </w:pPr>
      <w:r>
        <w:rPr>
          <w:caps w:val="false"/>
          <w:smallCaps w:val="false"/>
        </w:rPr>
        <w:t> </w:t>
      </w:r>
    </w:p>
    <w:p>
      <w:pPr>
        <w:pStyle w:val="TextBody"/>
        <w:bidi w:val="0"/>
        <w:spacing w:before="0" w:after="0"/>
        <w:ind w:left="270" w:right="180" w:hanging="27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 (Continued)</w:t>
      </w:r>
    </w:p>
    <w:p>
      <w:pPr>
        <w:pStyle w:val="TextBody"/>
        <w:bidi w:val="0"/>
        <w:spacing w:before="0" w:after="0"/>
        <w:ind w:left="270" w:right="180" w:hanging="27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except per share amounts) </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Year Ended December 31, 2024</w:t>
      </w:r>
    </w:p>
    <w:p>
      <w:pPr>
        <w:pStyle w:val="TextBody"/>
        <w:bidi w:val="0"/>
        <w:spacing w:before="0" w:after="0"/>
        <w:ind w:left="180" w:right="180" w:hanging="27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831"/>
        <w:gridCol w:w="60"/>
        <w:gridCol w:w="402"/>
        <w:gridCol w:w="1754"/>
        <w:gridCol w:w="80"/>
        <w:gridCol w:w="60"/>
        <w:gridCol w:w="381"/>
        <w:gridCol w:w="1210"/>
        <w:gridCol w:w="80"/>
        <w:gridCol w:w="60"/>
        <w:gridCol w:w="431"/>
        <w:gridCol w:w="1891"/>
        <w:gridCol w:w="80"/>
        <w:gridCol w:w="60"/>
        <w:gridCol w:w="354"/>
        <w:gridCol w:w="1251"/>
        <w:gridCol w:w="220"/>
      </w:tblGrid>
      <w:tr>
        <w:trPr/>
        <w:tc>
          <w:tcPr>
            <w:tcW w:w="1831"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8094" w:type="dxa"/>
            <w:gridSpan w:val="14"/>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22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8094" w:type="dxa"/>
            <w:gridSpan w:val="14"/>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tc>
        <w:tc>
          <w:tcPr>
            <w:tcW w:w="22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156"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(Loss) from Continuing Operations Before Income Taxes</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91"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Benefit from (Provision for) Income Taxes</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322"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 (Loss) from Continuing Operations Attributable to Parent</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5"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EPS from Continuing Operations</w:t>
            </w:r>
          </w:p>
        </w:tc>
        <w:tc>
          <w:tcPr>
            <w:tcW w:w="22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Reported (GAAP)</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(6,177</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9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(6,204</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22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(h)</w:t>
            </w:r>
          </w:p>
        </w:tc>
      </w:tr>
      <w:tr>
        <w:trPr/>
        <w:tc>
          <w:tcPr>
            <w:tcW w:w="183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affecting comparability:</w:t>
            </w:r>
          </w:p>
        </w:tc>
        <w:tc>
          <w:tcPr>
            <w:tcW w:w="60" w:type="dxa"/>
            <w:tcBorders/>
            <w:shd w:fill="FFFFFF" w:val="clear"/>
            <w:tcMar>
              <w:top w:w="0" w:type="dxa"/>
            </w:tcMar>
            <w:vAlign w:val="center"/>
          </w:tcPr>
          <w:p>
            <w:pPr>
              <w:pStyle w:val="TableContents"/>
              <w:bidi w:val="0"/>
              <w:spacing w:before="0" w:after="283"/>
              <w:jc w:val="left"/>
              <w:rPr/>
            </w:pPr>
            <w:r>
              <w:rPr/>
              <w:t> </w:t>
            </w:r>
          </w:p>
        </w:tc>
        <w:tc>
          <w:tcPr>
            <w:tcW w:w="402" w:type="dxa"/>
            <w:tcBorders/>
            <w:shd w:fill="FFFFFF" w:val="clear"/>
            <w:tcMar>
              <w:top w:w="0" w:type="dxa"/>
            </w:tcMar>
            <w:vAlign w:val="center"/>
          </w:tcPr>
          <w:p>
            <w:pPr>
              <w:pStyle w:val="TableContents"/>
              <w:bidi w:val="0"/>
              <w:spacing w:before="0" w:after="283"/>
              <w:jc w:val="left"/>
              <w:rPr/>
            </w:pPr>
            <w:r>
              <w:rPr/>
              <w:t> </w:t>
            </w:r>
          </w:p>
        </w:tc>
        <w:tc>
          <w:tcPr>
            <w:tcW w:w="1754"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381" w:type="dxa"/>
            <w:tcBorders/>
            <w:shd w:fill="FFFFFF" w:val="clear"/>
            <w:tcMar>
              <w:top w:w="0" w:type="dxa"/>
            </w:tcMar>
            <w:vAlign w:val="center"/>
          </w:tcPr>
          <w:p>
            <w:pPr>
              <w:pStyle w:val="TableContents"/>
              <w:bidi w:val="0"/>
              <w:spacing w:before="0" w:after="283"/>
              <w:jc w:val="left"/>
              <w:rPr/>
            </w:pPr>
            <w:r>
              <w:rPr/>
              <w:t> </w:t>
            </w:r>
          </w:p>
        </w:tc>
        <w:tc>
          <w:tcPr>
            <w:tcW w:w="1210"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431" w:type="dxa"/>
            <w:tcBorders/>
            <w:shd w:fill="FFFFFF" w:val="clear"/>
            <w:tcMar>
              <w:top w:w="0" w:type="dxa"/>
            </w:tcMar>
            <w:vAlign w:val="center"/>
          </w:tcPr>
          <w:p>
            <w:pPr>
              <w:pStyle w:val="TableContents"/>
              <w:bidi w:val="0"/>
              <w:spacing w:before="0" w:after="283"/>
              <w:jc w:val="left"/>
              <w:rPr/>
            </w:pPr>
            <w:r>
              <w:rPr/>
              <w:t> </w:t>
            </w:r>
          </w:p>
        </w:tc>
        <w:tc>
          <w:tcPr>
            <w:tcW w:w="1891" w:type="dxa"/>
            <w:tcBorders/>
            <w:shd w:fill="FFFFFF" w:val="clear"/>
            <w:tcMar>
              <w:top w:w="0" w:type="dxa"/>
            </w:tcMar>
            <w:vAlign w:val="center"/>
          </w:tcPr>
          <w:p>
            <w:pPr>
              <w:pStyle w:val="TableContents"/>
              <w:bidi w:val="0"/>
              <w:spacing w:before="0" w:after="283"/>
              <w:jc w:val="right"/>
              <w:rPr/>
            </w:pPr>
            <w:r>
              <w:rPr/>
              <w:t> </w:t>
            </w:r>
          </w:p>
        </w:tc>
        <w:tc>
          <w:tcPr>
            <w:tcW w:w="80" w:type="dxa"/>
            <w:tcBorders/>
            <w:shd w:fill="FFFFFF" w:val="clear"/>
            <w:tcMar>
              <w:top w:w="0" w:type="dxa"/>
            </w:tcMar>
            <w:vAlign w:val="center"/>
          </w:tcPr>
          <w:p>
            <w:pPr>
              <w:pStyle w:val="TableContents"/>
              <w:bidi w:val="0"/>
              <w:spacing w:before="0" w:after="283"/>
              <w:jc w:val="left"/>
              <w:rPr/>
            </w:pPr>
            <w:r>
              <w:rPr/>
              <w:t> </w:t>
            </w:r>
          </w:p>
        </w:tc>
        <w:tc>
          <w:tcPr>
            <w:tcW w:w="60" w:type="dxa"/>
            <w:tcBorders/>
            <w:shd w:fill="FFFFFF" w:val="clear"/>
            <w:tcMar>
              <w:top w:w="0" w:type="dxa"/>
            </w:tcMar>
            <w:vAlign w:val="center"/>
          </w:tcPr>
          <w:p>
            <w:pPr>
              <w:pStyle w:val="TableContents"/>
              <w:bidi w:val="0"/>
              <w:spacing w:before="0" w:after="283"/>
              <w:jc w:val="left"/>
              <w:rPr/>
            </w:pPr>
            <w:r>
              <w:rPr/>
              <w:t> </w:t>
            </w:r>
          </w:p>
        </w:tc>
        <w:tc>
          <w:tcPr>
            <w:tcW w:w="354" w:type="dxa"/>
            <w:tcBorders/>
            <w:shd w:fill="FFFFFF" w:val="clear"/>
            <w:tcMar>
              <w:top w:w="0" w:type="dxa"/>
            </w:tcMar>
            <w:vAlign w:val="center"/>
          </w:tcPr>
          <w:p>
            <w:pPr>
              <w:pStyle w:val="TableContents"/>
              <w:bidi w:val="0"/>
              <w:spacing w:before="0" w:after="283"/>
              <w:jc w:val="left"/>
              <w:rPr/>
            </w:pPr>
            <w:r>
              <w:rPr/>
              <w:t> </w:t>
            </w:r>
          </w:p>
        </w:tc>
        <w:tc>
          <w:tcPr>
            <w:tcW w:w="1251" w:type="dxa"/>
            <w:tcBorders/>
            <w:shd w:fill="FFFFFF" w:val="clear"/>
            <w:tcMar>
              <w:top w:w="0" w:type="dxa"/>
            </w:tcMar>
            <w:vAlign w:val="center"/>
          </w:tcPr>
          <w:p>
            <w:pPr>
              <w:pStyle w:val="TableContents"/>
              <w:bidi w:val="0"/>
              <w:spacing w:before="0" w:after="283"/>
              <w:jc w:val="right"/>
              <w:rPr/>
            </w:pPr>
            <w:r>
              <w:rPr/>
              <w:t> </w:t>
            </w:r>
          </w:p>
        </w:tc>
        <w:tc>
          <w:tcPr>
            <w:tcW w:w="220" w:type="dxa"/>
            <w:tcBorders/>
            <w:shd w:fill="FFFFFF" w:val="clear"/>
            <w:tcMar>
              <w:top w:w="0" w:type="dxa"/>
            </w:tcMar>
            <w:vAlign w:val="center"/>
          </w:tcPr>
          <w:p>
            <w:pPr>
              <w:pStyle w:val="TableContents"/>
              <w:bidi w:val="0"/>
              <w:spacing w:before="0" w:after="283"/>
              <w:jc w:val="left"/>
              <w:rPr/>
            </w:pPr>
            <w:r>
              <w:rPr/>
              <w:t> </w:t>
            </w:r>
          </w:p>
        </w:tc>
      </w:tr>
      <w:tr>
        <w:trPr/>
        <w:tc>
          <w:tcPr>
            <w:tcW w:w="18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Programming charges </w:t>
            </w:r>
            <w:r>
              <w:rPr>
                <w:rFonts w:ascii="Times New Roman;Times;Serif" w:hAnsi="Times New Roman;Times;Serif"/>
                <w:b w:val="false"/>
                <w:i w:val="false"/>
                <w:caps w:val="false"/>
                <w:smallCaps w:val="false"/>
                <w:position w:val="7"/>
                <w:sz w:val="16"/>
                <w:sz w:val="20"/>
              </w:rPr>
              <w:t>(a)</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2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Impairment charges </w:t>
            </w:r>
            <w:r>
              <w:rPr>
                <w:rFonts w:ascii="Times New Roman;Times;Serif" w:hAnsi="Times New Roman;Times;Serif"/>
                <w:b w:val="false"/>
                <w:i w:val="false"/>
                <w:caps w:val="false"/>
                <w:smallCaps w:val="false"/>
                <w:position w:val="7"/>
                <w:sz w:val="16"/>
                <w:sz w:val="20"/>
              </w:rPr>
              <w:t>(b)</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2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charges </w:t>
            </w:r>
            <w:r>
              <w:rPr>
                <w:rFonts w:ascii="Times New Roman;Times;Serif" w:hAnsi="Times New Roman;Times;Serif"/>
                <w:b w:val="false"/>
                <w:i w:val="false"/>
                <w:caps w:val="false"/>
                <w:smallCaps w:val="false"/>
                <w:position w:val="7"/>
                <w:sz w:val="16"/>
                <w:sz w:val="20"/>
              </w:rPr>
              <w:t>(c)</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Transaction-related items </w:t>
            </w:r>
            <w:r>
              <w:rPr>
                <w:rFonts w:ascii="Times New Roman;Times;Serif" w:hAnsi="Times New Roman;Times;Serif"/>
                <w:b w:val="false"/>
                <w:i w:val="false"/>
                <w:caps w:val="false"/>
                <w:smallCaps w:val="false"/>
                <w:position w:val="7"/>
                <w:sz w:val="16"/>
                <w:sz w:val="20"/>
              </w:rPr>
              <w:t>(d)</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corporate matters </w:t>
            </w:r>
            <w:r>
              <w:rPr>
                <w:rFonts w:ascii="Times New Roman;Times;Serif" w:hAnsi="Times New Roman;Times;Serif"/>
                <w:b w:val="false"/>
                <w:i w:val="false"/>
                <w:caps w:val="false"/>
                <w:smallCaps w:val="false"/>
                <w:position w:val="7"/>
                <w:sz w:val="16"/>
                <w:sz w:val="20"/>
              </w:rPr>
              <w:t>(e)</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FFFF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from investments </w:t>
            </w:r>
            <w:r>
              <w:rPr>
                <w:rFonts w:ascii="Times New Roman;Times;Serif" w:hAnsi="Times New Roman;Times;Serif"/>
                <w:b w:val="false"/>
                <w:i w:val="false"/>
                <w:caps w:val="false"/>
                <w:smallCaps w:val="false"/>
                <w:position w:val="7"/>
                <w:sz w:val="16"/>
                <w:sz w:val="20"/>
              </w:rPr>
              <w:t>(f)</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20" w:type="dxa"/>
            <w:tcBorders/>
            <w:shd w:fill="FFFF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Discrete tax items </w:t>
            </w:r>
            <w:r>
              <w:rPr>
                <w:rFonts w:ascii="Times New Roman;Times;Serif" w:hAnsi="Times New Roman;Times;Serif"/>
                <w:b w:val="false"/>
                <w:i w:val="false"/>
                <w:caps w:val="false"/>
                <w:smallCaps w:val="false"/>
                <w:position w:val="7"/>
                <w:sz w:val="16"/>
                <w:sz w:val="20"/>
              </w:rPr>
              <w:t>(g)</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shd w:fill="CCEEFF" w:val="clear"/>
            <w:tcMar>
              <w:top w:w="0"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22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antidilution</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4"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0"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891" w:type="dxa"/>
            <w:tcBorders>
              <w:bottom w:val="single" w:sz="8" w:space="0" w:color="000000"/>
            </w:tcBorders>
            <w:shd w:fill="FFFFFF" w:val="clear"/>
            <w:tcMar>
              <w:top w:w="0" w:type="dxa"/>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22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3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(Non-GAAP)</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02"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54"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8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0"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3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9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1"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22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(h)</w:t>
            </w:r>
          </w:p>
        </w:tc>
      </w:tr>
    </w:tbl>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Reflects programming charges associated with major changes in content strategy that resulted in the removal of significant levels of content from our platforms, abandonment of development projects and termination of certain programming agreements.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Reflects a goodwill impairment charge for our Cable Networks reporting unit of $5.98 billion, as well as charges totaling $149 million to reduce the carrying values of FCC licenses in certain markets and our Australian broadcast licenses to their estimated fair values.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Consists of severance costs associated with strategic changes in our global workforce and the exit of Paramount Global’s former CEO, and the impairment of lease assets.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Reflects legal and advisory fees relating to the Transactions.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Reflects charges of $74 million associated with the abandonment of developed technology and $57 million to increase our accrual for asbestos matters.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Principally reflects a loss on the sale of Paramount Global’s investment in Viacom18 of $13 million.</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pStyle w:val="TextBody"/>
        <w:bidi w:val="0"/>
        <w:spacing w:before="0" w:after="0"/>
        <w:ind w:left="720" w:right="360" w:hanging="270"/>
        <w:jc w:val="left"/>
        <w:rPr>
          <w:caps w:val="false"/>
          <w:smallCaps w:val="false"/>
        </w:rPr>
      </w:pPr>
      <w:r>
        <w:rPr>
          <w:caps w:val="false"/>
          <w:smallCaps w:val="false"/>
        </w:rPr>
        <w:t> </w:t>
      </w:r>
    </w:p>
    <w:p>
      <w:pPr>
        <w:pStyle w:val="TextBody"/>
        <w:bidi w:val="0"/>
        <w:spacing w:before="0" w:after="0"/>
        <w:ind w:left="720" w:right="360" w:hanging="27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the year ended December 31, 2024, the weighted average number of common shares outstanding used in the calculation of reported diluted EPS from continuing operations is 664 million and in the calculation of adjusted diluted EPS from continuing operations is 667 million. The dilutive impact was excluded in the calculation of reported diluted EPS from continuing operations because it would have been antidilutive since we reported a net loss from continuing operations.</w:t>
      </w:r>
    </w:p>
    <w:p>
      <w:pPr>
        <w:pStyle w:val="TextBody"/>
        <w:bidi w:val="0"/>
        <w:spacing w:before="0" w:after="0"/>
        <w:ind w:left="720" w:right="360" w:hanging="27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26</w:t>
            </w:r>
          </w:p>
        </w:tc>
      </w:tr>
    </w:tbl>
    <w:p>
      <w:pPr>
        <w:pStyle w:val="TextBody"/>
        <w:bidi w:val="0"/>
        <w:spacing w:before="0" w:after="0"/>
        <w:ind w:left="0" w:right="0" w:hanging="0"/>
        <w:jc w:val="left"/>
        <w:rPr/>
      </w:pPr>
      <w:r>
        <w:rPr/>
        <w:t> </w:t>
      </w:r>
    </w:p>
    <w:p>
      <w:pPr>
        <w:pStyle w:val="TextBody"/>
        <w:bidi w:val="0"/>
        <w:spacing w:before="0" w:after="0"/>
        <w:ind w:left="270" w:right="180" w:hanging="270"/>
        <w:jc w:val="center"/>
        <w:rPr>
          <w:caps w:val="false"/>
          <w:smallCaps w:val="false"/>
        </w:rPr>
      </w:pPr>
      <w:r>
        <w:rPr>
          <w:caps w:val="false"/>
          <w:smallCaps w:val="false"/>
        </w:rPr>
        <w:t> </w:t>
      </w:r>
    </w:p>
    <w:p>
      <w:pPr>
        <w:pStyle w:val="TextBody"/>
        <w:bidi w:val="0"/>
        <w:spacing w:before="0" w:after="0"/>
        <w:ind w:left="270" w:right="180" w:hanging="27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REGARDING NON-GAAP FINANCIAL MEASURES</w:t>
      </w:r>
    </w:p>
    <w:p>
      <w:pPr>
        <w:pStyle w:val="TextBody"/>
        <w:bidi w:val="0"/>
        <w:spacing w:before="0" w:after="0"/>
        <w:ind w:left="270" w:right="180" w:hanging="27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 millions)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0" w:right="18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w:t>
      </w:r>
    </w:p>
    <w:p>
      <w:pPr>
        <w:pStyle w:val="TextBody"/>
        <w:bidi w:val="0"/>
        <w:spacing w:before="0" w:after="0"/>
        <w:ind w:left="180" w:right="180" w:hanging="0"/>
        <w:jc w:val="both"/>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is a non-GAAP financial measure. Free cash flow reflects our net cash flow provided by operating activities less capital expenditures. We deduct capital expenditures when we calculate free cash flow because investment in capital expenditures is a use of cash that is directly related to our operations. Our net cash flow provided by operating activities is the most directly comparable U.S. GAAP financial measure. </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free cash flow provides investors with an important perspective on the cash available to us to service debt, pay dividends, make strategic acquisitions and investments, maintain our capital assets, satisfy our tax obligations, and fund ongoing operations and working capital needs. We believe the presentation of free cash flow is relevant and useful for investors because it allows investors to evaluate the cash generated from our underlying operations in a manner similar to the method used by management. Free cash flow is one of the quantitative performance metrics used in determining our annual incentive compensation awards. In addition, free cash flow is a primary measure used externally by our investors, analysts and industry peers for purposes of valuation and comparison of our operating performance to other companies in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free cash flow is not a measure calculated in accordance with U.S. GAAP, free cash flow should not be considered in isolation of, or as a substitute for, either net cash flow provided by operating activities as a measure of liquidity or net earnings (loss) as a measure of operating performance. Free cash flow, as we calculate it, may not be comparable to similarly titled measures employed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our net cash flow provided by operating activities to free cash flow.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922"/>
        <w:gridCol w:w="60"/>
        <w:gridCol w:w="367"/>
        <w:gridCol w:w="1163"/>
        <w:gridCol w:w="80"/>
        <w:gridCol w:w="60"/>
        <w:gridCol w:w="395"/>
        <w:gridCol w:w="1249"/>
        <w:gridCol w:w="80"/>
        <w:gridCol w:w="60"/>
        <w:gridCol w:w="400"/>
        <w:gridCol w:w="1268"/>
        <w:gridCol w:w="80"/>
        <w:gridCol w:w="60"/>
        <w:gridCol w:w="341"/>
        <w:gridCol w:w="1087"/>
        <w:gridCol w:w="80"/>
        <w:gridCol w:w="60"/>
        <w:gridCol w:w="310"/>
        <w:gridCol w:w="983"/>
        <w:gridCol w:w="100"/>
      </w:tblGrid>
      <w:tr>
        <w:trPr/>
        <w:tc>
          <w:tcPr>
            <w:tcW w:w="1922" w:type="dxa"/>
            <w:tcBorders>
              <w:top w:val="single" w:sz="16" w:space="0" w:color="000000"/>
            </w:tcBorders>
            <w:vAlign w:val="center"/>
          </w:tcPr>
          <w:p>
            <w:pPr>
              <w:pStyle w:val="TableContents"/>
              <w:bidi w:val="0"/>
              <w:spacing w:before="0" w:after="283"/>
              <w:jc w:val="left"/>
              <w:rPr/>
            </w:pPr>
            <w:r>
              <w:rPr/>
              <w:t> </w:t>
            </w:r>
          </w:p>
        </w:tc>
        <w:tc>
          <w:tcPr>
            <w:tcW w:w="60" w:type="dxa"/>
            <w:tcBorders>
              <w:top w:val="single" w:sz="16"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530"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4"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8" w:type="dxa"/>
            <w:gridSpan w:val="2"/>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8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op w:val="single" w:sz="16" w:space="0" w:color="000000"/>
              <w:left w:val="single" w:sz="16" w:space="0" w:color="000000"/>
              <w:bottom w:val="single" w:sz="8" w:space="0" w:color="000000"/>
            </w:tcBorders>
            <w:tcMar>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2861" w:type="dxa"/>
            <w:gridSpan w:val="6"/>
            <w:tcBorders>
              <w:top w:val="single" w:sz="16" w:space="0" w:color="000000"/>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tc>
        <w:tc>
          <w:tcPr>
            <w:tcW w:w="100" w:type="dxa"/>
            <w:tcBorders>
              <w:top w:val="single" w:sz="16" w:space="0" w:color="000000"/>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2"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0"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August 7 - December 31,</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 January 1 - August 6,</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10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2"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0"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44"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66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8" w:space="0" w:color="000000"/>
            </w:tcBorders>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8"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93" w:type="dxa"/>
            <w:gridSpan w:val="2"/>
            <w:tcBorders>
              <w:bottom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0" w:type="dxa"/>
            <w:tcBorders>
              <w:bottom w:val="single" w:sz="8" w:space="0" w:color="000000"/>
            </w:tcBorders>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2"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 provided by operating activities</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9"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tcBorders>
            <w:shd w:fill="CCEEFF" w:val="clear"/>
            <w:tcMar>
              <w:top w:w="0" w:type="dxa"/>
              <w:left w:w="28" w:type="dxa"/>
            </w:tcM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8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shd w:fill="CCEEFF"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shd w:fill="CCEEFF" w:val="clear"/>
            <w:tcMar>
              <w:top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w:t>
            </w:r>
          </w:p>
        </w:tc>
        <w:tc>
          <w:tcPr>
            <w:tcW w:w="100" w:type="dxa"/>
            <w:tcBorders/>
            <w:shd w:fill="CCEEFF"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22"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9"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0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268"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16" w:space="0" w:color="000000"/>
              <w:bottom w:val="single" w:sz="8" w:space="0" w:color="000000"/>
            </w:tcBorders>
            <w:shd w:fill="FFFF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7"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8" w:space="0" w:color="000000"/>
            </w:tcBorders>
            <w:shd w:fill="FFFF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983" w:type="dxa"/>
            <w:tcBorders>
              <w:bottom w:val="single" w:sz="8" w:space="0" w:color="000000"/>
            </w:tcBorders>
            <w:shd w:fill="FFFF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100" w:type="dxa"/>
            <w:tcBorders>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22"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(Non-GAAP)</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67"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9"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40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8"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16" w:space="0" w:color="000000"/>
              <w:bottom w:val="single" w:sz="16" w:space="0" w:color="000000"/>
            </w:tcBorders>
            <w:shd w:fill="CCEEFF" w:val="clear"/>
            <w:tcMar>
              <w:top w:w="0" w:type="dxa"/>
              <w:left w:w="28"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7"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c>
          <w:tcPr>
            <w:tcW w:w="310" w:type="dxa"/>
            <w:tcBorders>
              <w:bottom w:val="single" w:sz="1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 w:type="dxa"/>
            <w:tcBorders>
              <w:bottom w:val="single" w:sz="16" w:space="0" w:color="000000"/>
            </w:tcBorders>
            <w:shd w:fill="CCEEFF" w:val="clear"/>
            <w:tcMar>
              <w:top w:w="0" w:type="dxa"/>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100" w:type="dxa"/>
            <w:tcBorders>
              <w:bottom w:val="single" w:sz="16" w:space="0" w:color="000000"/>
            </w:tcBorders>
            <w:shd w:fill="CCEEFF" w:val="clear"/>
            <w:tcMar>
              <w:top w:w="0" w:type="dxa"/>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27</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11204</Words>
  <Characters>60572</Characters>
  <CharactersWithSpaces>73041</CharactersWithSpaces>
  <Paragraphs>4913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