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248920</wp:posOffset>
            </wp:positionH>
            <wp:positionV relativeFrom="page">
              <wp:posOffset>661035</wp:posOffset>
            </wp:positionV>
            <wp:extent cx="70592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9295" cy="17145"/>
                    </a:xfrm>
                    <a:prstGeom prst="rect">
                      <a:avLst/>
                    </a:prstGeom>
                    <a:noFill/>
                  </pic:spPr>
                </pic:pic>
              </a:graphicData>
            </a:graphic>
          </wp:anchor>
        </w:drawing>
        <w:t>UNITED STATES</w:t>
      </w:r>
    </w:p>
    <w:p>
      <w:pPr>
        <w:spacing w:after="0" w:line="5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3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7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Pursuant to Section 13 or 15(d) of</w:t>
      </w:r>
    </w:p>
    <w:p>
      <w:pPr>
        <w:spacing w:after="0" w:line="3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the Securities Exchange Act of 1934</w:t>
      </w:r>
    </w:p>
    <w:p>
      <w:pPr>
        <w:spacing w:after="0" w:line="24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 xml:space="preserve">Date of Report (Date of earliest event reported): </w:t>
      </w:r>
      <w:r>
        <w:rPr>
          <w:rFonts w:ascii="Times New Roman" w:cs="Times New Roman" w:eastAsia="Times New Roman" w:hAnsi="Times New Roman"/>
          <w:sz w:val="21"/>
          <w:szCs w:val="21"/>
          <w:b w:val="1"/>
          <w:bCs w:val="1"/>
          <w:color w:val="auto"/>
        </w:rPr>
        <w:t>May 13, 2026</w:t>
      </w:r>
    </w:p>
    <w:p>
      <w:pPr>
        <w:spacing w:after="0" w:line="27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42"/>
          <w:szCs w:val="42"/>
          <w:b w:val="1"/>
          <w:bCs w:val="1"/>
          <w:color w:val="00093C"/>
        </w:rPr>
        <w:t>Paramount Skydance Corporation</w:t>
      </w:r>
    </w:p>
    <w:p>
      <w:pPr>
        <w:spacing w:after="0" w:line="5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133" w:lineRule="exact"/>
        <w:rPr>
          <w:sz w:val="24"/>
          <w:szCs w:val="24"/>
          <w:color w:val="auto"/>
        </w:rPr>
      </w:pPr>
    </w:p>
    <w:tbl>
      <w:tblPr>
        <w:tblLayout w:type="fixed"/>
        <w:tblInd w:w="860" w:type="dxa"/>
        <w:tblCellMar>
          <w:top w:w="0" w:type="dxa"/>
          <w:left w:w="0" w:type="dxa"/>
          <w:bottom w:w="0" w:type="dxa"/>
          <w:right w:w="0" w:type="dxa"/>
        </w:tblCellMar>
      </w:tblPr>
      <w:tr>
        <w:trPr>
          <w:trHeight w:val="227"/>
        </w:trPr>
        <w:tc>
          <w:tcPr>
            <w:tcW w:w="32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1152"/>
              <w:spacing w:after="0"/>
              <w:rPr>
                <w:sz w:val="20"/>
                <w:szCs w:val="20"/>
                <w:color w:val="auto"/>
              </w:rPr>
            </w:pPr>
            <w:r>
              <w:rPr>
                <w:rFonts w:ascii="Times New Roman" w:cs="Times New Roman" w:eastAsia="Times New Roman" w:hAnsi="Times New Roman"/>
                <w:sz w:val="18"/>
                <w:szCs w:val="18"/>
                <w:b w:val="1"/>
                <w:bCs w:val="1"/>
                <w:color w:val="auto"/>
              </w:rPr>
              <w:t>001-42791</w:t>
            </w:r>
          </w:p>
        </w:tc>
        <w:tc>
          <w:tcPr>
            <w:tcW w:w="27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99-3917985</w:t>
            </w:r>
          </w:p>
        </w:tc>
      </w:tr>
      <w:tr>
        <w:trPr>
          <w:trHeight w:val="185"/>
        </w:trPr>
        <w:tc>
          <w:tcPr>
            <w:tcW w:w="3240" w:type="dxa"/>
            <w:vAlign w:val="bottom"/>
          </w:tcPr>
          <w:p>
            <w:pPr>
              <w:jc w:val="center"/>
              <w:ind w:right="392"/>
              <w:spacing w:after="0" w:line="186" w:lineRule="exact"/>
              <w:rPr>
                <w:sz w:val="20"/>
                <w:szCs w:val="20"/>
                <w:color w:val="auto"/>
              </w:rPr>
            </w:pPr>
            <w:r>
              <w:rPr>
                <w:rFonts w:ascii="Times New Roman" w:cs="Times New Roman" w:eastAsia="Times New Roman" w:hAnsi="Times New Roman"/>
                <w:sz w:val="18"/>
                <w:szCs w:val="18"/>
                <w:color w:val="auto"/>
                <w:w w:val="97"/>
              </w:rPr>
              <w:t>(State or other jurisdiction of</w:t>
            </w:r>
          </w:p>
        </w:tc>
        <w:tc>
          <w:tcPr>
            <w:tcW w:w="3060" w:type="dxa"/>
            <w:vAlign w:val="bottom"/>
          </w:tcPr>
          <w:p>
            <w:pPr>
              <w:jc w:val="center"/>
              <w:ind w:right="92"/>
              <w:spacing w:after="0" w:line="186" w:lineRule="exact"/>
              <w:rPr>
                <w:sz w:val="20"/>
                <w:szCs w:val="20"/>
                <w:color w:val="auto"/>
              </w:rPr>
            </w:pPr>
            <w:r>
              <w:rPr>
                <w:rFonts w:ascii="Times New Roman" w:cs="Times New Roman" w:eastAsia="Times New Roman" w:hAnsi="Times New Roman"/>
                <w:sz w:val="18"/>
                <w:szCs w:val="18"/>
                <w:color w:val="auto"/>
                <w:w w:val="98"/>
              </w:rPr>
              <w:t>(Commission File Number)</w:t>
            </w:r>
          </w:p>
        </w:tc>
        <w:tc>
          <w:tcPr>
            <w:tcW w:w="2720" w:type="dxa"/>
            <w:vAlign w:val="bottom"/>
          </w:tcPr>
          <w:p>
            <w:pPr>
              <w:jc w:val="center"/>
              <w:ind w:left="552"/>
              <w:spacing w:after="0" w:line="186" w:lineRule="exact"/>
              <w:rPr>
                <w:sz w:val="20"/>
                <w:szCs w:val="20"/>
                <w:color w:val="auto"/>
              </w:rPr>
            </w:pPr>
            <w:r>
              <w:rPr>
                <w:rFonts w:ascii="Times New Roman" w:cs="Times New Roman" w:eastAsia="Times New Roman" w:hAnsi="Times New Roman"/>
                <w:sz w:val="18"/>
                <w:szCs w:val="18"/>
                <w:color w:val="auto"/>
                <w:w w:val="98"/>
              </w:rPr>
              <w:t>(IRS Employer Identification</w:t>
            </w:r>
          </w:p>
        </w:tc>
      </w:tr>
      <w:tr>
        <w:trPr>
          <w:trHeight w:val="231"/>
        </w:trPr>
        <w:tc>
          <w:tcPr>
            <w:tcW w:w="32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incorporation)</w:t>
            </w:r>
          </w:p>
        </w:tc>
        <w:tc>
          <w:tcPr>
            <w:tcW w:w="3060" w:type="dxa"/>
            <w:vAlign w:val="bottom"/>
          </w:tcPr>
          <w:p>
            <w:pPr>
              <w:spacing w:after="0"/>
              <w:rPr>
                <w:sz w:val="20"/>
                <w:szCs w:val="20"/>
                <w:color w:val="auto"/>
              </w:rPr>
            </w:pPr>
          </w:p>
        </w:tc>
        <w:tc>
          <w:tcPr>
            <w:tcW w:w="272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482"/>
        </w:trPr>
        <w:tc>
          <w:tcPr>
            <w:tcW w:w="324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8"/>
              </w:rPr>
              <w:t>1515 Broadway</w:t>
            </w:r>
          </w:p>
        </w:tc>
        <w:tc>
          <w:tcPr>
            <w:tcW w:w="3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27"/>
        </w:trPr>
        <w:tc>
          <w:tcPr>
            <w:tcW w:w="3240" w:type="dxa"/>
            <w:vAlign w:val="bottom"/>
          </w:tcPr>
          <w:p>
            <w:pPr>
              <w:jc w:val="center"/>
              <w:ind w:right="412"/>
              <w:spacing w:after="0"/>
              <w:rPr>
                <w:sz w:val="20"/>
                <w:szCs w:val="20"/>
                <w:color w:val="auto"/>
              </w:rPr>
            </w:pPr>
            <w:r>
              <w:rPr>
                <w:rFonts w:ascii="Times New Roman" w:cs="Times New Roman" w:eastAsia="Times New Roman" w:hAnsi="Times New Roman"/>
                <w:sz w:val="18"/>
                <w:szCs w:val="18"/>
                <w:b w:val="1"/>
                <w:bCs w:val="1"/>
                <w:color w:val="auto"/>
                <w:w w:val="95"/>
              </w:rPr>
              <w:t>New York, New York</w:t>
            </w:r>
          </w:p>
        </w:tc>
        <w:tc>
          <w:tcPr>
            <w:tcW w:w="3060" w:type="dxa"/>
            <w:vAlign w:val="bottom"/>
          </w:tcPr>
          <w:p>
            <w:pPr>
              <w:spacing w:after="0"/>
              <w:rPr>
                <w:sz w:val="19"/>
                <w:szCs w:val="19"/>
                <w:color w:val="auto"/>
              </w:rPr>
            </w:pPr>
          </w:p>
        </w:tc>
        <w:tc>
          <w:tcPr>
            <w:tcW w:w="272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1"/>
        </w:trPr>
        <w:tc>
          <w:tcPr>
            <w:tcW w:w="324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3060" w:type="dxa"/>
            <w:vAlign w:val="bottom"/>
          </w:tcPr>
          <w:p>
            <w:pPr>
              <w:spacing w:after="0"/>
              <w:rPr>
                <w:sz w:val="20"/>
                <w:szCs w:val="20"/>
                <w:color w:val="auto"/>
              </w:rPr>
            </w:pPr>
          </w:p>
        </w:tc>
        <w:tc>
          <w:tcPr>
            <w:tcW w:w="27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5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(212) 258-6000</w:t>
      </w:r>
    </w:p>
    <w:p>
      <w:pPr>
        <w:spacing w:after="0" w:line="16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3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(Former name or former address, if changed since last report)</w:t>
      </w:r>
    </w:p>
    <w:p>
      <w:pPr>
        <w:spacing w:after="0" w:line="144" w:lineRule="exact"/>
        <w:rPr>
          <w:sz w:val="24"/>
          <w:szCs w:val="24"/>
          <w:color w:val="auto"/>
        </w:rPr>
      </w:pPr>
    </w:p>
    <w:p>
      <w:pPr>
        <w:ind w:right="40"/>
        <w:spacing w:after="0" w:line="285"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69" w:lineRule="exact"/>
        <w:rPr>
          <w:sz w:val="24"/>
          <w:szCs w:val="24"/>
          <w:color w:val="auto"/>
        </w:rPr>
      </w:pPr>
    </w:p>
    <w:p>
      <w:pPr>
        <w:ind w:left="380" w:hanging="193"/>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380" w:hanging="193"/>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 w:lineRule="exact"/>
        <w:rPr>
          <w:rFonts w:ascii="MS PGothic" w:cs="MS PGothic" w:eastAsia="MS PGothic" w:hAnsi="MS PGothic"/>
          <w:sz w:val="18"/>
          <w:szCs w:val="18"/>
          <w:color w:val="auto"/>
        </w:rPr>
      </w:pPr>
    </w:p>
    <w:p>
      <w:pPr>
        <w:ind w:left="380" w:hanging="193"/>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 w:lineRule="exact"/>
        <w:rPr>
          <w:rFonts w:ascii="MS PGothic" w:cs="MS PGothic" w:eastAsia="MS PGothic" w:hAnsi="MS PGothic"/>
          <w:sz w:val="18"/>
          <w:szCs w:val="18"/>
          <w:color w:val="auto"/>
        </w:rPr>
      </w:pPr>
    </w:p>
    <w:p>
      <w:pPr>
        <w:ind w:left="380" w:hanging="193"/>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Securities registered pursuant to Section 12(b) of the Act:</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212"/>
        </w:trPr>
        <w:tc>
          <w:tcPr>
            <w:tcW w:w="4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03"/>
        </w:trPr>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Class B Common Stock, $0.001 par value</w:t>
            </w:r>
          </w:p>
        </w:tc>
        <w:tc>
          <w:tcPr>
            <w:tcW w:w="100" w:type="dxa"/>
            <w:vAlign w:val="bottom"/>
          </w:tcPr>
          <w:p>
            <w:pPr>
              <w:spacing w:after="0"/>
              <w:rPr>
                <w:sz w:val="17"/>
                <w:szCs w:val="17"/>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PSKY</w:t>
            </w:r>
          </w:p>
        </w:tc>
        <w:tc>
          <w:tcPr>
            <w:tcW w:w="100" w:type="dxa"/>
            <w:vAlign w:val="bottom"/>
          </w:tcPr>
          <w:p>
            <w:pPr>
              <w:spacing w:after="0"/>
              <w:rPr>
                <w:sz w:val="17"/>
                <w:szCs w:val="17"/>
                <w:color w:val="auto"/>
              </w:rPr>
            </w:pPr>
          </w:p>
        </w:tc>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32" w:lineRule="exact"/>
        <w:rPr>
          <w:sz w:val="24"/>
          <w:szCs w:val="24"/>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2"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-59055</wp:posOffset>
            </wp:positionH>
            <wp:positionV relativeFrom="paragraph">
              <wp:posOffset>828675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117475</wp:posOffset>
            </wp:positionV>
            <wp:extent cx="700849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8495" cy="16510"/>
                    </a:xfrm>
                    <a:prstGeom prst="rect">
                      <a:avLst/>
                    </a:prstGeom>
                    <a:noFill/>
                  </pic:spPr>
                </pic:pic>
              </a:graphicData>
            </a:graphic>
          </wp:anchor>
        </w:drawing>
      </w:r>
    </w:p>
    <w:p>
      <w:pPr>
        <w:sectPr>
          <w:pgSz w:w="11900" w:h="16838" w:orient="portrait"/>
          <w:cols w:equalWidth="0" w:num="1">
            <w:col w:w="11140"/>
          </w:cols>
          <w:pgMar w:left="400" w:top="1258" w:right="359" w:bottom="1440" w:gutter="0" w:footer="0" w:header="0"/>
        </w:sectPr>
      </w:pPr>
    </w:p>
    <w:bookmarkStart w:id="1" w:name="page2"/>
    <w:bookmarkEnd w:id="1"/>
    <w:p>
      <w:pPr>
        <w:ind w:left="20"/>
        <w:spacing w:after="0"/>
        <w:tabs>
          <w:tab w:leader="none" w:pos="1700" w:val="left"/>
        </w:tabs>
        <w:rPr>
          <w:sz w:val="20"/>
          <w:szCs w:val="20"/>
          <w:color w:val="auto"/>
        </w:rPr>
      </w:pPr>
      <w:r>
        <w:rPr>
          <w:rFonts w:ascii="Times New Roman" w:cs="Times New Roman" w:eastAsia="Times New Roman" w:hAnsi="Times New Roman"/>
          <w:sz w:val="19"/>
          <w:szCs w:val="19"/>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3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Paramount Skydance Corporation (the “Company”) is filing this Current Report on Form 8-K to recast historical segment information for the period from August 7, 2025-December 31, 2025 as set forth in the Company's Annual Report on Form 10-K for the year ended December 31, 2025, as filed with the Securities and Exchange Commission (“SEC”) on February 25, 2026.</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As previously disclosed and as reflected in our Quarterly Report on Form 10-Q for the quarterly period ended March 31, 2026, beginning in 2026, we transitioned our reporting structure into three new segments: </w:t>
      </w:r>
      <w:r>
        <w:rPr>
          <w:rFonts w:ascii="Times New Roman" w:cs="Times New Roman" w:eastAsia="Times New Roman" w:hAnsi="Times New Roman"/>
          <w:sz w:val="19"/>
          <w:szCs w:val="19"/>
          <w:i w:val="1"/>
          <w:iCs w:val="1"/>
          <w:color w:val="auto"/>
        </w:rPr>
        <w:t>Studios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Under the new segment structure, our </w:t>
      </w:r>
      <w:r>
        <w:rPr>
          <w:rFonts w:ascii="Times New Roman" w:cs="Times New Roman" w:eastAsia="Times New Roman" w:hAnsi="Times New Roman"/>
          <w:sz w:val="19"/>
          <w:szCs w:val="19"/>
          <w:i w:val="1"/>
          <w:iCs w:val="1"/>
          <w:color w:val="auto"/>
        </w:rPr>
        <w:t>Studios</w:t>
      </w:r>
      <w:r>
        <w:rPr>
          <w:rFonts w:ascii="Times New Roman" w:cs="Times New Roman" w:eastAsia="Times New Roman" w:hAnsi="Times New Roman"/>
          <w:sz w:val="19"/>
          <w:szCs w:val="19"/>
          <w:color w:val="auto"/>
        </w:rPr>
        <w:t xml:space="preserve"> segment reflects the combination of the historical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with the historical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studio operations, consolidating our content creation activities. Additionally, our premium cable channel, Paramount+ with Showtime, which was previously under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is now managed under the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Concurrent with the change to our segments, we updated our segment expense allocations to better reflect how we operate and make cost decisions across the business. Certain centralized costs that were previously allocated at the segment level are now reported within corporate expenses.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As a result of the new accounting basis established in connection with the Transactions and the NAI Transaction (as defined in our Annual Report on Form 10-K for the year ended December 31, 2025, which was filed with the U.S. Securities and Exchange Commission on February 25, 2026), our results of operations for the Successor period, which began on August 7, 2025, are not comparable to those of the Predecessor periods. Accordingly, we are required to present Predecessor segment information using our historical segments—</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i w:val="1"/>
          <w:iCs w:val="1"/>
          <w:color w:val="auto"/>
        </w:rPr>
        <w:t xml:space="preserve"> TV Media</w:t>
      </w:r>
      <w:r>
        <w:rPr>
          <w:rFonts w:ascii="Times New Roman" w:cs="Times New Roman" w:eastAsia="Times New Roman" w:hAnsi="Times New Roman"/>
          <w:sz w:val="19"/>
          <w:szCs w:val="19"/>
          <w:color w:val="auto"/>
        </w:rPr>
        <w:t>—while Successor segment results reflect the new segment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Exhibit 99.1 provides recast segment information within the following items to reflect the changes made to its segment reporting:</w:t>
      </w:r>
    </w:p>
    <w:p>
      <w:pPr>
        <w:spacing w:after="0" w:line="245" w:lineRule="exact"/>
        <w:rPr>
          <w:sz w:val="20"/>
          <w:szCs w:val="20"/>
          <w:color w:val="auto"/>
        </w:rPr>
      </w:pPr>
    </w:p>
    <w:p>
      <w:pPr>
        <w:ind w:left="640" w:hanging="316"/>
        <w:spacing w:after="0"/>
        <w:tabs>
          <w:tab w:leader="none" w:pos="64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 I Item 1. Business</w:t>
      </w:r>
    </w:p>
    <w:p>
      <w:pPr>
        <w:spacing w:after="0" w:line="34" w:lineRule="exact"/>
        <w:rPr>
          <w:rFonts w:ascii="Times New Roman" w:cs="Times New Roman" w:eastAsia="Times New Roman" w:hAnsi="Times New Roman"/>
          <w:sz w:val="19"/>
          <w:szCs w:val="19"/>
          <w:color w:val="auto"/>
        </w:rPr>
      </w:pPr>
    </w:p>
    <w:p>
      <w:pPr>
        <w:ind w:left="640" w:hanging="316"/>
        <w:spacing w:after="0" w:line="254" w:lineRule="auto"/>
        <w:tabs>
          <w:tab w:leader="none" w:pos="628"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 II Item 7. Management’s Discussion and Analysis of Financial Condition and Results of Operations – solely to reflect changes in “Segment Results of Operations”</w:t>
      </w:r>
    </w:p>
    <w:p>
      <w:pPr>
        <w:spacing w:after="0" w:line="1" w:lineRule="exact"/>
        <w:rPr>
          <w:rFonts w:ascii="Times New Roman" w:cs="Times New Roman" w:eastAsia="Times New Roman" w:hAnsi="Times New Roman"/>
          <w:sz w:val="19"/>
          <w:szCs w:val="19"/>
          <w:color w:val="auto"/>
        </w:rPr>
      </w:pPr>
    </w:p>
    <w:p>
      <w:pPr>
        <w:jc w:val="both"/>
        <w:ind w:left="640" w:hanging="316"/>
        <w:spacing w:after="0" w:line="264" w:lineRule="auto"/>
        <w:tabs>
          <w:tab w:leader="none" w:pos="628"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 II Item 8. Financial Statements and Supplementary Data – solely to reflect changes relating to the segment recast in the “Notes to Consolidated Financial Statements,” specifically “Note 1 – Description of Business, Basis of Presentation and Summary of Significant Accounting Policies,” “Note 5 – Goodwill and Other Intangible Assets,” “Note 6 – “Restructuring, Transaction-related Items, and Other Corporate Matters,” and “Note 17 – Segment Information”</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Exhibit 99.1 to this Form 8-K does not reflect changes or events occurring subsequent to the original filing of the 2025 Form 10-K and does not modify or update the disclosures in any way (including as it relates to the merger agreement announced on February 27, 2026 under which Paramount will acquire Warner Bros. Discovery), other than as required to retrospectively recast the change in segment reporting for the period from August 7, 2025-December 31, 2025. Therefore, this Exhibit 99.1 should be read in conjunction with the Company’s 2025 Form 10-K as filed, Quarterly Report on Form 10-Q for the quarterly period ended March 31, 2026, and current reports on Form 8-K.</w:t>
      </w:r>
    </w:p>
    <w:p>
      <w:pPr>
        <w:spacing w:after="0" w:line="238" w:lineRule="exact"/>
        <w:rPr>
          <w:sz w:val="20"/>
          <w:szCs w:val="20"/>
          <w:color w:val="auto"/>
        </w:rPr>
      </w:pPr>
    </w:p>
    <w:p>
      <w:pPr>
        <w:ind w:left="20"/>
        <w:spacing w:after="0"/>
        <w:tabs>
          <w:tab w:leader="none" w:pos="1700" w:val="left"/>
        </w:tabs>
        <w:rPr>
          <w:sz w:val="20"/>
          <w:szCs w:val="20"/>
          <w:color w:val="auto"/>
        </w:rPr>
      </w:pPr>
      <w:r>
        <w:rPr>
          <w:rFonts w:ascii="Times New Roman" w:cs="Times New Roman" w:eastAsia="Times New Roman" w:hAnsi="Times New Roman"/>
          <w:sz w:val="19"/>
          <w:szCs w:val="19"/>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36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color w:val="auto"/>
        </w:rPr>
        <w:t>(d)</w:t>
        <w:tab/>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636905</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8"/>
        </w:trPr>
        <w:tc>
          <w:tcPr>
            <w:tcW w:w="132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Exhibit</w:t>
            </w:r>
          </w:p>
        </w:tc>
        <w:tc>
          <w:tcPr>
            <w:tcW w:w="9680" w:type="dxa"/>
            <w:vAlign w:val="bottom"/>
            <w:gridSpan w:val="7"/>
            <w:vMerge w:val="restart"/>
          </w:tcPr>
          <w:p>
            <w:pPr>
              <w:spacing w:after="0"/>
              <w:rPr>
                <w:sz w:val="20"/>
                <w:szCs w:val="20"/>
                <w:color w:val="auto"/>
              </w:rPr>
            </w:pPr>
            <w:r>
              <w:rPr>
                <w:rFonts w:ascii="Times New Roman" w:cs="Times New Roman" w:eastAsia="Times New Roman" w:hAnsi="Times New Roman"/>
                <w:sz w:val="19"/>
                <w:szCs w:val="19"/>
                <w:b w:val="1"/>
                <w:bCs w:val="1"/>
                <w:color w:val="auto"/>
              </w:rPr>
              <w:t>Description of Exhibit</w:t>
            </w:r>
          </w:p>
        </w:tc>
        <w:tc>
          <w:tcPr>
            <w:tcW w:w="0" w:type="dxa"/>
            <w:vAlign w:val="bottom"/>
          </w:tcPr>
          <w:p>
            <w:pPr>
              <w:spacing w:after="0"/>
              <w:rPr>
                <w:sz w:val="1"/>
                <w:szCs w:val="1"/>
                <w:color w:val="auto"/>
              </w:rPr>
            </w:pPr>
          </w:p>
        </w:tc>
      </w:tr>
      <w:tr>
        <w:trPr>
          <w:trHeight w:val="165"/>
        </w:trPr>
        <w:tc>
          <w:tcPr>
            <w:tcW w:w="620" w:type="dxa"/>
            <w:vAlign w:val="bottom"/>
            <w:tcBorders>
              <w:top w:val="single" w:sz="8" w:color="auto"/>
            </w:tcBorders>
          </w:tcPr>
          <w:p>
            <w:pPr>
              <w:spacing w:after="0" w:line="152" w:lineRule="exact"/>
              <w:rPr>
                <w:sz w:val="20"/>
                <w:szCs w:val="20"/>
                <w:color w:val="auto"/>
              </w:rPr>
            </w:pPr>
            <w:r>
              <w:rPr>
                <w:rFonts w:ascii="Times New Roman" w:cs="Times New Roman" w:eastAsia="Times New Roman" w:hAnsi="Times New Roman"/>
                <w:sz w:val="17"/>
                <w:szCs w:val="17"/>
                <w:b w:val="1"/>
                <w:bCs w:val="1"/>
                <w:color w:val="auto"/>
                <w:w w:val="99"/>
              </w:rPr>
              <w:t>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03"/>
        </w:trPr>
        <w:tc>
          <w:tcPr>
            <w:tcW w:w="620" w:type="dxa"/>
            <w:vAlign w:val="bottom"/>
          </w:tcPr>
          <w:p>
            <w:pPr>
              <w:spacing w:after="0"/>
              <w:rPr>
                <w:sz w:val="20"/>
                <w:szCs w:val="20"/>
                <w:color w:val="auto"/>
              </w:rPr>
            </w:pPr>
            <w:r>
              <w:rPr>
                <w:rFonts w:ascii="Times New Roman" w:cs="Times New Roman" w:eastAsia="Times New Roman" w:hAnsi="Times New Roman"/>
                <w:sz w:val="19"/>
                <w:szCs w:val="19"/>
                <w:color w:val="auto"/>
              </w:rPr>
              <w:t>23.1</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9"/>
                <w:szCs w:val="19"/>
                <w:color w:val="0000FF"/>
              </w:rPr>
              <w:t>Consents of PricewaterhouseCoopers LLP</w:t>
            </w:r>
          </w:p>
        </w:tc>
        <w:tc>
          <w:tcPr>
            <w:tcW w:w="63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20" w:type="dxa"/>
            <w:vAlign w:val="bottom"/>
          </w:tcPr>
          <w:p>
            <w:pPr>
              <w:spacing w:after="0"/>
              <w:rPr>
                <w:sz w:val="20"/>
                <w:szCs w:val="20"/>
                <w:color w:val="auto"/>
              </w:rPr>
            </w:pPr>
            <w:r>
              <w:rPr>
                <w:rFonts w:ascii="Times New Roman" w:cs="Times New Roman" w:eastAsia="Times New Roman" w:hAnsi="Times New Roman"/>
                <w:sz w:val="19"/>
                <w:szCs w:val="19"/>
                <w:color w:val="auto"/>
              </w:rPr>
              <w:t>99.1</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80" w:type="dxa"/>
            <w:vAlign w:val="bottom"/>
            <w:gridSpan w:val="7"/>
          </w:tcPr>
          <w:p>
            <w:pPr>
              <w:spacing w:after="0"/>
              <w:rPr>
                <w:sz w:val="20"/>
                <w:szCs w:val="20"/>
                <w:color w:val="auto"/>
              </w:rPr>
            </w:pPr>
            <w:r>
              <w:rPr>
                <w:rFonts w:ascii="Times New Roman" w:cs="Times New Roman" w:eastAsia="Times New Roman" w:hAnsi="Times New Roman"/>
                <w:sz w:val="19"/>
                <w:szCs w:val="19"/>
                <w:color w:val="0000FF"/>
              </w:rPr>
              <w:t>Items from the Company’s Annual Report on Form 10-K for the year ended December 31, 2025 updated to reflect the recast</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20" w:type="dxa"/>
            <w:vAlign w:val="bottom"/>
            <w:tcBorders>
              <w:top w:val="single" w:sz="8" w:color="0000FF"/>
              <w:bottom w:val="single" w:sz="8" w:color="0000FF"/>
            </w:tcBorders>
            <w:gridSpan w:val="4"/>
          </w:tcPr>
          <w:p>
            <w:pPr>
              <w:spacing w:after="0" w:line="192" w:lineRule="exact"/>
              <w:rPr>
                <w:sz w:val="20"/>
                <w:szCs w:val="20"/>
                <w:color w:val="auto"/>
              </w:rPr>
            </w:pPr>
            <w:r>
              <w:rPr>
                <w:rFonts w:ascii="Times New Roman" w:cs="Times New Roman" w:eastAsia="Times New Roman" w:hAnsi="Times New Roman"/>
                <w:sz w:val="19"/>
                <w:szCs w:val="19"/>
                <w:color w:val="0000FF"/>
              </w:rPr>
              <w:t>segment presentation for the period from August 7, 2025 to December 31, 2025 within Item 1. Business, Item 7.</w:t>
            </w:r>
          </w:p>
        </w:tc>
        <w:tc>
          <w:tcPr>
            <w:tcW w:w="940" w:type="dxa"/>
            <w:vAlign w:val="bottom"/>
            <w:tcBorders>
              <w:top w:val="single" w:sz="8" w:color="0000FF"/>
            </w:tcBorders>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7"/>
          </w:tcPr>
          <w:p>
            <w:pPr>
              <w:spacing w:after="0" w:line="205" w:lineRule="exact"/>
              <w:rPr>
                <w:sz w:val="20"/>
                <w:szCs w:val="20"/>
                <w:color w:val="auto"/>
              </w:rPr>
            </w:pPr>
            <w:r>
              <w:rPr>
                <w:rFonts w:ascii="Times New Roman" w:cs="Times New Roman" w:eastAsia="Times New Roman" w:hAnsi="Times New Roman"/>
                <w:sz w:val="19"/>
                <w:szCs w:val="19"/>
                <w:color w:val="0000FF"/>
              </w:rPr>
              <w:t>Management’s Discussion and Analysis of Financial Condition and Results of Operations, and Item 8. Financial Statements</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20" w:type="dxa"/>
            <w:vAlign w:val="bottom"/>
            <w:tcBorders>
              <w:top w:val="single" w:sz="8" w:color="0000FF"/>
              <w:bottom w:val="single" w:sz="8" w:color="0000FF"/>
            </w:tcBorders>
            <w:gridSpan w:val="2"/>
          </w:tcPr>
          <w:p>
            <w:pPr>
              <w:spacing w:after="0" w:line="192" w:lineRule="exact"/>
              <w:rPr>
                <w:sz w:val="20"/>
                <w:szCs w:val="20"/>
                <w:color w:val="auto"/>
              </w:rPr>
            </w:pPr>
            <w:r>
              <w:rPr>
                <w:rFonts w:ascii="Times New Roman" w:cs="Times New Roman" w:eastAsia="Times New Roman" w:hAnsi="Times New Roman"/>
                <w:sz w:val="19"/>
                <w:szCs w:val="19"/>
                <w:color w:val="0000FF"/>
              </w:rPr>
              <w:t>and Supplementary Data</w:t>
            </w:r>
          </w:p>
        </w:tc>
        <w:tc>
          <w:tcPr>
            <w:tcW w:w="7700" w:type="dxa"/>
            <w:vAlign w:val="bottom"/>
            <w:tcBorders>
              <w:top w:val="single" w:sz="8" w:color="0000FF"/>
            </w:tcBorders>
            <w:gridSpan w:val="3"/>
          </w:tcPr>
          <w:p>
            <w:pPr>
              <w:spacing w:after="0"/>
              <w:rPr>
                <w:sz w:val="16"/>
                <w:szCs w:val="16"/>
                <w:color w:val="auto"/>
              </w:rPr>
            </w:pP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320" w:hanging="1316"/>
        <w:spacing w:after="0"/>
        <w:tabs>
          <w:tab w:leader="none" w:pos="13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Interactive Data File</w:t>
      </w:r>
    </w:p>
    <w:p>
      <w:pPr>
        <w:spacing w:after="0" w:line="50" w:lineRule="exact"/>
        <w:rPr>
          <w:rFonts w:ascii="Times New Roman" w:cs="Times New Roman" w:eastAsia="Times New Roman" w:hAnsi="Times New Roman"/>
          <w:sz w:val="19"/>
          <w:szCs w:val="19"/>
          <w:color w:val="auto"/>
        </w:rPr>
      </w:pPr>
    </w:p>
    <w:p>
      <w:pPr>
        <w:ind w:left="1700" w:right="1900" w:hanging="385"/>
        <w:spacing w:after="0" w:line="269" w:lineRule="auto"/>
        <w:tabs>
          <w:tab w:leader="none" w:pos="1700"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 XBRL Instance Document - the instance document does not appear in the Interactive Data File because its XBRL tags are embedded within the Inline XBRL document.</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9"/>
          <w:szCs w:val="19"/>
          <w:color w:val="auto"/>
        </w:rPr>
        <w:t>101. SCH Inline XBRL Taxonomy Extension Schema.</w:t>
      </w:r>
    </w:p>
    <w:p>
      <w:pPr>
        <w:spacing w:after="0" w:line="47" w:lineRule="exact"/>
        <w:rPr>
          <w:sz w:val="20"/>
          <w:szCs w:val="20"/>
          <w:color w:val="auto"/>
        </w:rPr>
      </w:pPr>
    </w:p>
    <w:p>
      <w:pPr>
        <w:ind w:left="1700" w:hanging="385"/>
        <w:spacing w:after="0"/>
        <w:tabs>
          <w:tab w:leader="none" w:pos="1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CAL Inline XBRL Taxonomy Extension Calculation Linkbase.</w:t>
      </w:r>
    </w:p>
    <w:p>
      <w:pPr>
        <w:spacing w:after="0" w:line="46" w:lineRule="exact"/>
        <w:rPr>
          <w:rFonts w:ascii="Times New Roman" w:cs="Times New Roman" w:eastAsia="Times New Roman" w:hAnsi="Times New Roman"/>
          <w:sz w:val="19"/>
          <w:szCs w:val="19"/>
          <w:color w:val="auto"/>
        </w:rPr>
      </w:pPr>
    </w:p>
    <w:p>
      <w:pPr>
        <w:ind w:left="1700" w:hanging="385"/>
        <w:spacing w:after="0"/>
        <w:tabs>
          <w:tab w:leader="none" w:pos="1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 Inline XBRL Taxonomy Extension Definition Linkbase.</w:t>
      </w:r>
    </w:p>
    <w:p>
      <w:pPr>
        <w:spacing w:after="0" w:line="46" w:lineRule="exact"/>
        <w:rPr>
          <w:rFonts w:ascii="Times New Roman" w:cs="Times New Roman" w:eastAsia="Times New Roman" w:hAnsi="Times New Roman"/>
          <w:sz w:val="19"/>
          <w:szCs w:val="19"/>
          <w:color w:val="auto"/>
        </w:rPr>
      </w:pPr>
    </w:p>
    <w:p>
      <w:pPr>
        <w:ind w:left="1700" w:hanging="385"/>
        <w:spacing w:after="0"/>
        <w:tabs>
          <w:tab w:leader="none" w:pos="1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LAB Inline XBRL Taxonomy Extension Label Linkbase.</w:t>
      </w:r>
    </w:p>
    <w:p>
      <w:pPr>
        <w:spacing w:after="0" w:line="46" w:lineRule="exact"/>
        <w:rPr>
          <w:rFonts w:ascii="Times New Roman" w:cs="Times New Roman" w:eastAsia="Times New Roman" w:hAnsi="Times New Roman"/>
          <w:sz w:val="19"/>
          <w:szCs w:val="19"/>
          <w:color w:val="auto"/>
        </w:rPr>
      </w:pPr>
    </w:p>
    <w:p>
      <w:pPr>
        <w:ind w:left="1700" w:hanging="385"/>
        <w:spacing w:after="0"/>
        <w:tabs>
          <w:tab w:leader="none" w:pos="1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 Inline XBRL Taxonomy Extension Presentation Linkbase.</w:t>
      </w:r>
    </w:p>
    <w:p>
      <w:pPr>
        <w:spacing w:after="0" w:line="43" w:lineRule="exact"/>
        <w:rPr>
          <w:sz w:val="20"/>
          <w:szCs w:val="20"/>
          <w:color w:val="auto"/>
        </w:rPr>
      </w:pPr>
    </w:p>
    <w:p>
      <w:pPr>
        <w:ind w:left="1320" w:hanging="1316"/>
        <w:spacing w:after="0"/>
        <w:tabs>
          <w:tab w:leader="none" w:pos="13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Cover Page Interactive Data File </w:t>
      </w:r>
      <w:r>
        <w:rPr>
          <w:rFonts w:ascii="Times New Roman" w:cs="Times New Roman" w:eastAsia="Times New Roman" w:hAnsi="Times New Roman"/>
          <w:sz w:val="19"/>
          <w:szCs w:val="19"/>
          <w:color w:val="auto"/>
        </w:rPr>
        <w:t>(formatted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547370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80"/>
          </w:cols>
          <w:pgMar w:left="340" w:top="782" w:right="57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9"/>
          <w:szCs w:val="19"/>
          <w:b w:val="1"/>
          <w:bCs w:val="1"/>
          <w:color w:val="auto"/>
        </w:rPr>
        <w:t>SIGNATURE</w:t>
      </w:r>
    </w:p>
    <w:p>
      <w:pPr>
        <w:spacing w:after="0" w:line="23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6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9"/>
          <w:szCs w:val="19"/>
          <w:color w:val="auto"/>
        </w:rPr>
        <w:t>PARAMOUNT SKYDANCE CORPORATION</w:t>
      </w:r>
    </w:p>
    <w:p>
      <w:pPr>
        <w:spacing w:after="0" w:line="298" w:lineRule="exact"/>
        <w:rPr>
          <w:sz w:val="20"/>
          <w:szCs w:val="20"/>
          <w:color w:val="auto"/>
        </w:rPr>
      </w:pPr>
    </w:p>
    <w:p>
      <w:pPr>
        <w:ind w:left="6080"/>
        <w:spacing w:after="0"/>
        <w:tabs>
          <w:tab w:leader="none" w:pos="6520" w:val="left"/>
        </w:tabs>
        <w:rPr>
          <w:sz w:val="20"/>
          <w:szCs w:val="20"/>
          <w:color w:val="auto"/>
        </w:rPr>
      </w:pPr>
      <w:r>
        <w:rPr>
          <w:rFonts w:ascii="Times New Roman" w:cs="Times New Roman" w:eastAsia="Times New Roman" w:hAnsi="Times New Roman"/>
          <w:sz w:val="19"/>
          <w:szCs w:val="19"/>
          <w:color w:val="auto"/>
        </w:rPr>
        <w:t>By:</w:t>
        <w:tab/>
        <w:t>/s/ Makan Delrahim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27305</wp:posOffset>
            </wp:positionV>
            <wp:extent cx="2995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5295" cy="8255"/>
                    </a:xfrm>
                    <a:prstGeom prst="rect">
                      <a:avLst/>
                    </a:prstGeom>
                    <a:noFill/>
                  </pic:spPr>
                </pic:pic>
              </a:graphicData>
            </a:graphic>
          </wp:anchor>
        </w:drawing>
      </w:r>
    </w:p>
    <w:p>
      <w:pPr>
        <w:spacing w:after="0" w:line="27" w:lineRule="exact"/>
        <w:rPr>
          <w:sz w:val="20"/>
          <w:szCs w:val="20"/>
          <w:color w:val="auto"/>
        </w:rPr>
      </w:pPr>
    </w:p>
    <w:p>
      <w:pPr>
        <w:ind w:left="6540"/>
        <w:spacing w:after="0"/>
        <w:tabs>
          <w:tab w:leader="none" w:pos="738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Makan Delrahim</w:t>
      </w:r>
    </w:p>
    <w:p>
      <w:pPr>
        <w:spacing w:after="0" w:line="35" w:lineRule="exact"/>
        <w:rPr>
          <w:sz w:val="20"/>
          <w:szCs w:val="20"/>
          <w:color w:val="auto"/>
        </w:rPr>
      </w:pPr>
    </w:p>
    <w:p>
      <w:pPr>
        <w:ind w:left="6540"/>
        <w:spacing w:after="0"/>
        <w:tabs>
          <w:tab w:leader="none" w:pos="73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Chief Legal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May 13, 2026</w:t>
      </w:r>
    </w:p>
    <w:p>
      <w:pPr>
        <w:sectPr>
          <w:pgSz w:w="11900" w:h="16838" w:orient="portrait"/>
          <w:cols w:equalWidth="0" w:num="1">
            <w:col w:w="11040"/>
          </w:cols>
          <w:pgMar w:left="320" w:top="749" w:right="5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CONSENT OF INDEPENDENT REGISTERED PUBLIC ACCOUNTING FIRM</w:t>
      </w:r>
    </w:p>
    <w:p>
      <w:pPr>
        <w:spacing w:after="0" w:line="200" w:lineRule="exact"/>
        <w:rPr>
          <w:sz w:val="20"/>
          <w:szCs w:val="20"/>
          <w:color w:val="auto"/>
        </w:rPr>
      </w:pPr>
    </w:p>
    <w:p>
      <w:pPr>
        <w:spacing w:after="0" w:line="27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1"/>
          <w:szCs w:val="21"/>
          <w:color w:val="auto"/>
        </w:rPr>
        <w:t>We hereby consent to the incorporation by reference in the Registration Statement on Form S-8 (No. 333-289341) of Paramount Skydance Corporation of our report dated February 25, 2026, except with respect to our opinion on the consolidated financial statements insofar as it relates to the change in composition of reportable segments discussed in Note 1, as to which the date is May 13, 2026, relating to the financial statements, financial statement schedule, and the effectiveness of internal control over financial reporting of Paramount Skydance Corporation, which appears in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 York, New York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May 13, 2026</w:t>
      </w:r>
    </w:p>
    <w:p>
      <w:pPr>
        <w:sectPr>
          <w:pgSz w:w="11900" w:h="16838" w:orient="portrait"/>
          <w:cols w:equalWidth="0" w:num="1">
            <w:col w:w="11240"/>
          </w:cols>
          <w:pgMar w:left="320" w:top="114" w:right="33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21"/>
          <w:szCs w:val="21"/>
          <w:b w:val="1"/>
          <w:bCs w:val="1"/>
          <w:u w:val="single" w:color="auto"/>
          <w:color w:val="auto"/>
        </w:rPr>
        <w:t>CONSENT OF INDEPENDENT REGISTERED PUBLIC ACCOUNTING FIRM</w:t>
      </w:r>
    </w:p>
    <w:p>
      <w:pPr>
        <w:spacing w:after="0" w:line="200" w:lineRule="exact"/>
        <w:rPr>
          <w:sz w:val="20"/>
          <w:szCs w:val="20"/>
          <w:color w:val="auto"/>
        </w:rPr>
      </w:pPr>
    </w:p>
    <w:p>
      <w:pPr>
        <w:spacing w:after="0" w:line="2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1"/>
          <w:szCs w:val="21"/>
          <w:color w:val="auto"/>
        </w:rPr>
        <w:t>We hereby consent to the incorporation by reference in the Registration Statement on Form S-8 (No. 333-289341) of Paramount Skydance Corporation of our report dated February 25, 2026 relating to the financial statements and financial statement schedule of Paramount Global, which appears in this Current Report on Form 8-K.</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PricewaterhouseCoopers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 York, New York</w:t>
      </w:r>
    </w:p>
    <w:p>
      <w:pPr>
        <w:spacing w:after="0"/>
        <w:rPr>
          <w:sz w:val="20"/>
          <w:szCs w:val="20"/>
          <w:color w:val="auto"/>
        </w:rPr>
      </w:pPr>
      <w:r>
        <w:rPr>
          <w:rFonts w:ascii="Times New Roman" w:cs="Times New Roman" w:eastAsia="Times New Roman" w:hAnsi="Times New Roman"/>
          <w:sz w:val="21"/>
          <w:szCs w:val="21"/>
          <w:color w:val="auto"/>
        </w:rPr>
        <w:t>May 13, 2026</w:t>
      </w:r>
    </w:p>
    <w:p>
      <w:pPr>
        <w:sectPr>
          <w:pgSz w:w="11900" w:h="16838" w:orient="portrait"/>
          <w:cols w:equalWidth="0" w:num="1">
            <w:col w:w="11180"/>
          </w:cols>
          <w:pgMar w:left="320" w:top="1380"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Explanatory Note</w:t>
      </w:r>
    </w:p>
    <w:p>
      <w:pPr>
        <w:spacing w:after="0" w:line="2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Paramount Skydance Corporation is filing this Exhibit 99.1 to recast historical segment information for the period from August 7, 2025-December 31, 2025 as set forth in the Company’s Annual Report on Form 10-K for the year ended December 31, 2025, as filed with the Securities and Exchange Commission (“SEC”) on February 25, 2026 (“2025 Form 10-K”). References to “Paramount,” the “Company,” “we,” “us” and “our” refer to Paramount Skydance Corporation and its consolidated subsidiaries, unless the context otherwise requires.</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As previously disclosed and as reflected in our Quarterly Report on Form 10-Q for the quarterly period ended March 31, 2026, beginning in 2026, we transitioned our reporting structure into three new segments: </w:t>
      </w:r>
      <w:r>
        <w:rPr>
          <w:rFonts w:ascii="Times New Roman" w:cs="Times New Roman" w:eastAsia="Times New Roman" w:hAnsi="Times New Roman"/>
          <w:sz w:val="19"/>
          <w:szCs w:val="19"/>
          <w:i w:val="1"/>
          <w:iCs w:val="1"/>
          <w:color w:val="auto"/>
        </w:rPr>
        <w:t>Studios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Under the new segment structure, our </w:t>
      </w:r>
      <w:r>
        <w:rPr>
          <w:rFonts w:ascii="Times New Roman" w:cs="Times New Roman" w:eastAsia="Times New Roman" w:hAnsi="Times New Roman"/>
          <w:sz w:val="19"/>
          <w:szCs w:val="19"/>
          <w:i w:val="1"/>
          <w:iCs w:val="1"/>
          <w:color w:val="auto"/>
        </w:rPr>
        <w:t>Studios</w:t>
      </w:r>
      <w:r>
        <w:rPr>
          <w:rFonts w:ascii="Times New Roman" w:cs="Times New Roman" w:eastAsia="Times New Roman" w:hAnsi="Times New Roman"/>
          <w:sz w:val="19"/>
          <w:szCs w:val="19"/>
          <w:color w:val="auto"/>
        </w:rPr>
        <w:t xml:space="preserve"> segment reflects the combination of the historical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with the historical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studio operations, consolidating our content creation activities. Additionally, our premium cable channel, Paramount+ with Showtime, which was previously under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is now managed under the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Concurrent with the change to our segments, we updated our segment expense allocations to better reflect how we operate and make cost decisions across the business. Certain centralized costs that were previously allocated at the segment level are now reported within corporate expenses.</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As a result of the new accounting basis established in connection with the Transactions and the NAI Transaction (as defined in our 2025 Form 10-K), our results of operations for the Successor period, which began on August 7, 2025, are not comparable to those of the Predecessor periods. Accordingly, we are required to present Predecessor segment information using our historical segments—</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i w:val="1"/>
          <w:iCs w:val="1"/>
          <w:color w:val="auto"/>
        </w:rPr>
        <w:t xml:space="preserve"> TV Media</w:t>
      </w:r>
      <w:r>
        <w:rPr>
          <w:rFonts w:ascii="Times New Roman" w:cs="Times New Roman" w:eastAsia="Times New Roman" w:hAnsi="Times New Roman"/>
          <w:sz w:val="19"/>
          <w:szCs w:val="19"/>
          <w:color w:val="auto"/>
        </w:rPr>
        <w:t>—while Successor segment results reflect the new segment presentation.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Exhibit 99.1 provides recast segment information within the following items to reflect the changes made to its segment reporting:</w:t>
      </w:r>
    </w:p>
    <w:p>
      <w:pPr>
        <w:spacing w:after="0" w:line="245"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 I Item 1. Business</w:t>
      </w:r>
    </w:p>
    <w:p>
      <w:pPr>
        <w:spacing w:after="0" w:line="34" w:lineRule="exact"/>
        <w:rPr>
          <w:rFonts w:ascii="Times New Roman" w:cs="Times New Roman" w:eastAsia="Times New Roman" w:hAnsi="Times New Roman"/>
          <w:sz w:val="19"/>
          <w:szCs w:val="19"/>
          <w:color w:val="auto"/>
        </w:rPr>
      </w:pPr>
    </w:p>
    <w:p>
      <w:pPr>
        <w:ind w:left="640" w:hanging="316"/>
        <w:spacing w:after="0" w:line="254" w:lineRule="auto"/>
        <w:tabs>
          <w:tab w:leader="none" w:pos="62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 II Item 7. Management’s Discussion and Analysis of Financial Condition and Results of Operations – solely to reflect changes in “Segment Results of Operations”</w:t>
      </w:r>
    </w:p>
    <w:p>
      <w:pPr>
        <w:spacing w:after="0" w:line="1" w:lineRule="exact"/>
        <w:rPr>
          <w:rFonts w:ascii="Times New Roman" w:cs="Times New Roman" w:eastAsia="Times New Roman" w:hAnsi="Times New Roman"/>
          <w:sz w:val="19"/>
          <w:szCs w:val="19"/>
          <w:color w:val="auto"/>
        </w:rPr>
      </w:pPr>
    </w:p>
    <w:p>
      <w:pPr>
        <w:jc w:val="both"/>
        <w:ind w:left="640" w:hanging="316"/>
        <w:spacing w:after="0" w:line="264" w:lineRule="auto"/>
        <w:tabs>
          <w:tab w:leader="none" w:pos="628" w:val="left"/>
        </w:tabs>
        <w:numPr>
          <w:ilvl w:val="0"/>
          <w:numId w:val="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Part II Item 8. Financial Statements and Supplementary Data – solely to reflect changes relating to the segment recast in the “Notes to Consolidated Financial Statements,” specifically “Note 1 – Description of Business, Basis of Presentation and Summary of Significant Accounting Policies,” “Note 5 – Goodwill and Other Intangible Assets,” “Note 6 – “Restructuring, Transaction-related Items, and Other Corporate Matters,” and “Note 17 – Segment Information”</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This Exhibit 99.1 does not reflect changes or events occurring subsequent to the original filing of the 2025 Form 10-K and does not modify or update the disclosures in any way (including as it relates to the merger agreement announced on February 27, 2026 under which Paramount will acquire Warner Bros. Discovery), other than as required to retrospectively recast the change in segment reporting for the period from August 7, 2025-December 31, 2025. Therefore, this Exhibit 99.1 should be read in conjunction with the Company’s 2025 Form 10-K as filed, Quarterly Report on Form 10-Q for the quarterly period ended March 31, 2026,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9"/>
          <w:szCs w:val="19"/>
          <w:b w:val="1"/>
          <w:bCs w:val="1"/>
          <w:color w:val="auto"/>
        </w:rPr>
        <w:t>CAUTIONARY NOTE CONCERNING FORWARD-LOOKING STATEMENTS</w:t>
      </w:r>
    </w:p>
    <w:p>
      <w:pPr>
        <w:spacing w:after="0" w:line="2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This document contains both historical and forward-looking statements, including statements related to our future financial results and performance, potential achievements and transactions (including in connection with the Company’s pending merger with Warner Bros. Discovery, Inc.) and their expected benefits, and industry trends and developments.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can generally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are discussed in “Item 1A. Risk Factors” in our Annual Report on Form 10-K filed on February 25, 2026. Other risks, uncertainties or other factors, or updates to those discussed herein, may be described in our other filings with the SEC, including our reports on Form 10-Q and Form 8-K, press releases, public conference calls, webcasts, our social media and blog posts and on our website at paramount.com (under Investors). Information included on or accessible through our website is not intended to be incorporated into this document. There may be additional risks, uncertainties and other factors that we do not currently view as material or that are not known. We do not undertake any obligation to publicly update any forward-looking statements to reflect subsequent events or circumstances.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60"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19"/>
          <w:szCs w:val="19"/>
          <w:b w:val="1"/>
          <w:bCs w:val="1"/>
          <w:i w:val="1"/>
          <w:iCs w:val="1"/>
          <w:color w:val="auto"/>
        </w:rPr>
        <w:t>Business.</w:t>
      </w:r>
    </w:p>
    <w:p>
      <w:pPr>
        <w:spacing w:after="0" w:line="200" w:lineRule="exact"/>
        <w:rPr>
          <w:sz w:val="20"/>
          <w:szCs w:val="20"/>
          <w:color w:val="auto"/>
        </w:rPr>
      </w:pPr>
    </w:p>
    <w:p>
      <w:pPr>
        <w:spacing w:after="0" w:line="28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References to “Paramount,” the “Company,” “we,” “us” and “our” refer to Paramount Skydance Corporation and its consolidated subsidiaries, unless the context otherwise requires.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7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are a global media and entertainment company with a portfolio that includes Paramount Pictures, Paramount Television, CBS, CBS News, CBS Sports, Nickelodeon, MTV, BET, Comedy Central, SHOWTIME, Paramount+, Pluto TV, Skydance Animation, Film, Television and Interactive/Games, and Paramount Sports Entertainment.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Warner Bros. Offer</w:t>
      </w:r>
    </w:p>
    <w:p>
      <w:pPr>
        <w:spacing w:after="0" w:line="18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On December 8, 2025, we announced a cash tender offer for all of the outstanding shares of Series A Common Stock, par value $0.01 per share (the “Warner Bros. Shares”), of Warner Bros. Discovery, Inc., a Delaware corporation (“Warner Bros.”), at $30.00 per Warner Bros. Share (the “Offer”).</w:t>
      </w:r>
    </w:p>
    <w:p>
      <w:pPr>
        <w:spacing w:after="0" w:line="1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Offer is subject to several conditions and is scheduled to expire on March 2, 2026, unless further extended. On December 22, 2025, we amended the Offer to include an irrevocable personal guarantee from Lawrence Ellison of the equity financing for the Offer and any damages payable by us. On February 10, 2026, we further amended the Offer to provide for a $0.25 per Warner Bros. Share in cash ticking fee for every quarter the transaction does not close beyond December 31, 2026, and a prepayment of the $2.8 billion termination fee payable by Warner Bros. to Netflix, Inc., a Delaware corporation (“Netflix”), upon termination of the merger agreement between Warner Bros. and Netflix. On January 22, 2026, we filed preliminary proxy materials with the SEC to solicit Warner Bros. stockholders to vote against the Netflix transaction and related proposals at the special meeting of Warner Bros. stockholders, and on February 17, 2026, we filed definitive proxy materials related thereto.</w:t>
      </w:r>
    </w:p>
    <w:p>
      <w:pPr>
        <w:spacing w:after="0" w:line="3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On February 24, 2026, we submitted a revised proposal to the Warner Bros. Board that included an increased purchase price of $31.00 per Warner Bros. Share, accelerated the timing of the daily ticking fee of $0.25 per Warner Bros. Share per quarter to commence after September 30, 2026, and increased the regulatory termination fee payable by us to $7.0 billion if the transaction does not close due to regulatory matters. On the same date, the Warner Bros. Board determined that our revised proposal could reasonably be expected to lead to a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8" w:name="page9"/>
    <w:bookmarkEnd w:id="8"/>
    <w:p>
      <w:pPr>
        <w:jc w:val="both"/>
        <w:spacing w:after="0" w:line="300" w:lineRule="auto"/>
        <w:rPr>
          <w:sz w:val="20"/>
          <w:szCs w:val="20"/>
          <w:color w:val="auto"/>
        </w:rPr>
      </w:pPr>
      <w:r>
        <w:rPr>
          <w:rFonts w:ascii="Times New Roman" w:cs="Times New Roman" w:eastAsia="Times New Roman" w:hAnsi="Times New Roman"/>
          <w:sz w:val="19"/>
          <w:szCs w:val="19"/>
          <w:color w:val="auto"/>
        </w:rPr>
        <w:t>Superior Proposal” as defined in the Netflix merger agreement, although no final determination has been made as to whether our proposal is superior to the Netflix merger.</w:t>
      </w:r>
    </w:p>
    <w:p>
      <w:pPr>
        <w:spacing w:after="0" w:line="7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We have secured commitments for debt financing of up to $57.5 billion and equity commitments from entities controlled by Lawrence Ellison and David Ellison (the “Ellison Family”), and affiliates of RedBird Capital Partners, of $46.6 billion.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Skydance Transactions</w:t>
      </w:r>
    </w:p>
    <w:p>
      <w:pPr>
        <w:spacing w:after="0" w:line="18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On August 7, 2025 (the “Closing Date”), pursuant to a purchase and sale agreement, dated July 7, 2024, certain affiliates of investors of Skydance, comprised of entities controlled by the Ellison Family, and affiliates of RedBird Capital Partners (collectively, the “NAI Equity Investors”), purchased all of the outstanding equity interests of Paramount Global’s controlling stockholder, National Amusements, Inc. (“NAI”).</w:t>
      </w:r>
    </w:p>
    <w:p>
      <w:pPr>
        <w:spacing w:after="0" w:line="3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Also on the Closing Date, following the NAI transaction and pursuant to a transaction agreement, dated July 7, 2024 (the “Transaction Agreement”), Paramount Global and Skydance became wholly-owned subsidiaries of Paramount Skydance Corporation (the transactions contemplated by the Transaction Agreement, the “Transactions”). Paramount Skydance Corporation, formerly known as New Pluto Global, Inc., was formed on June 3, 2024, to consummate the Transactions and was a wholly-owned direct subsidiary of Paramount Global until, through a series of mergers, it became the holding company of Paramount Global and Skydance as part of the Transactions.</w:t>
      </w:r>
    </w:p>
    <w:p>
      <w:pPr>
        <w:spacing w:after="0" w:line="16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Following the closing of the Transactions and the NAI transaction, NAI, which was renamed Harbor Lights Entertainment, Inc. (“Harbor Lights”), holds 100% of Paramount Skydance Corporation’s Class A common stock. Entities controlled by the Ellison Family indirectly hold approximately 77.5% of our Class A common stock through their ownership interest in Harbor Lights.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“Item 7. Management’s Discussion and Analysis of Results of Operations and Financial Condition” for additional information.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Corporate Information</w:t>
      </w:r>
    </w:p>
    <w:p>
      <w:pPr>
        <w:spacing w:after="0" w:line="223" w:lineRule="exact"/>
        <w:rPr>
          <w:sz w:val="20"/>
          <w:szCs w:val="20"/>
          <w:color w:val="auto"/>
        </w:rPr>
      </w:pPr>
    </w:p>
    <w:p>
      <w:pPr>
        <w:jc w:val="both"/>
        <w:spacing w:after="0" w:line="249" w:lineRule="exact"/>
        <w:rPr>
          <w:sz w:val="20"/>
          <w:szCs w:val="20"/>
          <w:color w:val="auto"/>
        </w:rPr>
      </w:pPr>
      <w:r>
        <w:rPr>
          <w:rFonts w:ascii="Times New Roman" w:cs="Times New Roman" w:eastAsia="Times New Roman" w:hAnsi="Times New Roman"/>
          <w:sz w:val="19"/>
          <w:szCs w:val="19"/>
          <w:color w:val="auto"/>
        </w:rPr>
        <w:t xml:space="preserve">Our principal offices are located at 1515 Broadway, New York, New York 10036. Our telephone number is (212) 258-6000 and our website is </w:t>
      </w:r>
      <w:r>
        <w:rPr>
          <w:rFonts w:ascii="Times New Roman" w:cs="Times New Roman" w:eastAsia="Times New Roman" w:hAnsi="Times New Roman"/>
          <w:sz w:val="19"/>
          <w:szCs w:val="19"/>
          <w:i w:val="1"/>
          <w:iCs w:val="1"/>
          <w:color w:val="auto"/>
        </w:rPr>
        <w:t>paramount.com</w:t>
      </w:r>
      <w:r>
        <w:rPr>
          <w:rFonts w:ascii="Times New Roman" w:cs="Times New Roman" w:eastAsia="Times New Roman" w:hAnsi="Times New Roman"/>
          <w:sz w:val="19"/>
          <w:szCs w:val="19"/>
          <w:color w:val="auto"/>
        </w:rPr>
        <w:t>. Information included on or accessible through our website is not intended to be incorporated into this Annual Report on Form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have two classes of common stock, Class A common stock (our “Class A Common Stock”) and Class B common stock (our “Class B Common Stock” and together, our “Common Stock”). Shares of our Class B Common Stock trade on The Nasdaq Stock Market LLC (“Nasdaq”) under the ticker symbol “PSKY.” Holders of Class B Common Stock have no voting rights, except as required by applicable law. Holders of Class A Common Stock are entitled to one vote per share with respect to all matters on which holders of our common stock are entitled to vote. Harbor Lights holds 100%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9"/>
          <w:szCs w:val="19"/>
          <w:b w:val="1"/>
          <w:bCs w:val="1"/>
          <w:color w:val="auto"/>
        </w:rPr>
        <w:t>Our Segments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Overview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operate through the following segments:</w:t>
      </w:r>
    </w:p>
    <w:p>
      <w:pPr>
        <w:spacing w:after="0" w:line="228" w:lineRule="exact"/>
        <w:rPr>
          <w:sz w:val="20"/>
          <w:szCs w:val="20"/>
          <w:color w:val="auto"/>
        </w:rPr>
      </w:pPr>
    </w:p>
    <w:p>
      <w:pPr>
        <w:jc w:val="both"/>
        <w:ind w:left="640" w:hanging="316"/>
        <w:spacing w:after="0" w:line="275" w:lineRule="auto"/>
        <w:tabs>
          <w:tab w:leader="none" w:pos="628"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TV Media. </w:t>
      </w:r>
      <w:r>
        <w:rPr>
          <w:rFonts w:ascii="Times New Roman" w:cs="Times New Roman" w:eastAsia="Times New Roman" w:hAnsi="Times New Roman"/>
          <w:sz w:val="19"/>
          <w:szCs w:val="19"/>
          <w:color w:val="auto"/>
        </w:rPr>
        <w:t>Our (1) domestic and international broadcast networks and owned television stations; (2) domestic cable networks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international extensions of certain of our domestic cable network brands; and (3) the production and distribution of first-run syndicated programming.</w:t>
      </w:r>
    </w:p>
    <w:p>
      <w:pPr>
        <w:spacing w:after="0" w:line="163" w:lineRule="exact"/>
        <w:rPr>
          <w:rFonts w:ascii="Times New Roman" w:cs="Times New Roman" w:eastAsia="Times New Roman" w:hAnsi="Times New Roman"/>
          <w:sz w:val="19"/>
          <w:szCs w:val="19"/>
          <w:color w:val="auto"/>
        </w:rPr>
      </w:pPr>
    </w:p>
    <w:p>
      <w:pPr>
        <w:ind w:left="640" w:hanging="316"/>
        <w:spacing w:after="0" w:line="289" w:lineRule="auto"/>
        <w:tabs>
          <w:tab w:leader="none" w:pos="628"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Direct-to-Consumer. </w:t>
      </w:r>
      <w:r>
        <w:rPr>
          <w:rFonts w:ascii="Times New Roman" w:cs="Times New Roman" w:eastAsia="Times New Roman" w:hAnsi="Times New Roman"/>
          <w:sz w:val="19"/>
          <w:szCs w:val="19"/>
          <w:color w:val="auto"/>
        </w:rPr>
        <w:t>Our portfolio of domestic and international pay and free streaming services and our premium cable network,</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Paramount+ with SHOWTIME.</w:t>
      </w:r>
    </w:p>
    <w:p>
      <w:pPr>
        <w:spacing w:after="0" w:line="149" w:lineRule="exact"/>
        <w:rPr>
          <w:rFonts w:ascii="Times New Roman" w:cs="Times New Roman" w:eastAsia="Times New Roman" w:hAnsi="Times New Roman"/>
          <w:sz w:val="19"/>
          <w:szCs w:val="19"/>
          <w:color w:val="auto"/>
        </w:rPr>
      </w:pPr>
    </w:p>
    <w:p>
      <w:pPr>
        <w:jc w:val="both"/>
        <w:ind w:left="640" w:hanging="316"/>
        <w:spacing w:after="0" w:line="275" w:lineRule="auto"/>
        <w:tabs>
          <w:tab w:leader="none" w:pos="628" w:val="left"/>
        </w:tabs>
        <w:numPr>
          <w:ilvl w:val="0"/>
          <w:numId w:val="10"/>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 xml:space="preserve">Studios. </w:t>
      </w:r>
      <w:r>
        <w:rPr>
          <w:rFonts w:ascii="Times New Roman" w:cs="Times New Roman" w:eastAsia="Times New Roman" w:hAnsi="Times New Roman"/>
          <w:sz w:val="19"/>
          <w:szCs w:val="19"/>
          <w:color w:val="auto"/>
        </w:rPr>
        <w:t>Our film and television studio operations, including production and acquisition of films, series and short-form content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release and licensing around the world, including in theaters, on streaming services, on television, and through digital and physical home entertainment.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TV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3735705" cy="883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3570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Our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consists of our (1) broadcast operations—the CBS Television Network, our domestic broadcast television network; CBS Stations, our owned television stations; and our international free-to-air networks; (2) domestic cable networks, including Nickelodeon, MTV, CMT, Comedy Central, and BET, and international extensions of certain of these brands; and (3) CBS Media Ventures, which produces and distributes first-run syndicated programming.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also includes a number of digital properties such as CBS News 24/7 for 24-hour news and CBS Sports HQ for sports news and analysis.</w:t>
      </w:r>
    </w:p>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TV Media’s </w:t>
      </w:r>
      <w:r>
        <w:rPr>
          <w:rFonts w:ascii="Times New Roman" w:cs="Times New Roman" w:eastAsia="Times New Roman" w:hAnsi="Times New Roman"/>
          <w:sz w:val="19"/>
          <w:szCs w:val="19"/>
          <w:color w:val="auto"/>
        </w:rPr>
        <w:t>revenues are generated primarily from (1) advertising; (2) affiliate and subscription revenues, principally comprised of (i) fees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received from distributors for carriage of our cable networks (known as cable affiliate fees) and our owned television stations (known as retransmission fees) and (ii) fees received from television stations owned by third parties for their affiliation with the CBS Television Network; and (3) the licensing and distribution of our content and other rights.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Broadcast</w:t>
      </w:r>
    </w:p>
    <w:p>
      <w:pPr>
        <w:spacing w:after="0" w:line="2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CBS Television Network. </w:t>
      </w:r>
      <w:r>
        <w:rPr>
          <w:rFonts w:ascii="Times New Roman" w:cs="Times New Roman" w:eastAsia="Times New Roman" w:hAnsi="Times New Roman"/>
          <w:sz w:val="19"/>
          <w:szCs w:val="19"/>
          <w:color w:val="auto"/>
        </w:rPr>
        <w:t>The CBS Television Network (the “CBS Network”), through CBS Entertainment, CBS News and CBS Sports,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distributes entertainment, news and public affairs, and sports programming to both owned and affiliated broadcast television stations. CBS Network content is also available on (1) the internet, including through CBS.com, CBSNews.com, CBSSports.com and related apps; (2) our streaming services, such as Paramount+ and Pluto TV; and (3) multichannel video programming distributors (“MVPDs”) and video streaming services. CBS Entertainment acquires or develops and schedules entertainment programming on the CBS Network, which includes primetime comedies and dramas, reality, specials, kids’ programs, daytime dramas, game shows and late-night programming. CBS News operates a worldwide news organization providing the CBS Network, CBS News Radio and digital platforms with regularly scheduled news and public affairs programs. CBS Sports broadcasts include certain regular-season and playoff NFL games, including wild card playoff games and American Football Conference divisional playoff and championship games and, on a rotating basis with other networks, the Super Bowl; certain regular-season and tournament college basketball games, including the National Collegiate Athletic Association’s (the “NCAA”) Division I Men’s Basketball Tournament; regular-season college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10" w:name="page11"/>
    <w:bookmarkEnd w:id="10"/>
    <w:p>
      <w:pPr>
        <w:jc w:val="both"/>
        <w:spacing w:after="0" w:line="300" w:lineRule="auto"/>
        <w:rPr>
          <w:sz w:val="20"/>
          <w:szCs w:val="20"/>
          <w:color w:val="auto"/>
        </w:rPr>
      </w:pPr>
      <w:r>
        <w:rPr>
          <w:rFonts w:ascii="Times New Roman" w:cs="Times New Roman" w:eastAsia="Times New Roman" w:hAnsi="Times New Roman"/>
          <w:sz w:val="19"/>
          <w:szCs w:val="19"/>
          <w:color w:val="auto"/>
        </w:rPr>
        <w:t>football games, including the Big Ten Conference and the Army-Navy Game; the PGA Tour, the PGA Championship and the Masters; certain UEFA Champions League games; and certain Ultimate Fighting Championship (“UFC”) events.</w:t>
      </w:r>
    </w:p>
    <w:p>
      <w:pPr>
        <w:spacing w:after="0" w:line="1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CBS Stations. </w:t>
      </w:r>
      <w:r>
        <w:rPr>
          <w:rFonts w:ascii="Times New Roman" w:cs="Times New Roman" w:eastAsia="Times New Roman" w:hAnsi="Times New Roman"/>
          <w:sz w:val="19"/>
          <w:szCs w:val="19"/>
          <w:color w:val="auto"/>
        </w:rPr>
        <w:t>CBS Stations consists of our 29 owned broadcast television stations, all operating under licenses granted by the Federal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Communications Commission (the “FCC”) pursuant to the Communications Act of 1934, as amended (the “Communications Act”). Our stations are located in the five largest, and 15 of the top 20, television markets in the United States (the “U.S.”). We own multiple stations within the same local market area in 10 major markets, including New York, Los Angeles and Dallas. The stations broadcast news, public affairs, sports and other programming to serve their local markets. Local versions of CBS News 24/7 offer local news from certain of our owned stations.</w:t>
      </w:r>
    </w:p>
    <w:p>
      <w:pPr>
        <w:spacing w:after="0" w:line="200" w:lineRule="exact"/>
        <w:rPr>
          <w:sz w:val="20"/>
          <w:szCs w:val="20"/>
          <w:color w:val="auto"/>
        </w:rPr>
      </w:pPr>
    </w:p>
    <w:p>
      <w:pPr>
        <w:spacing w:after="0" w:line="2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International Free-to-Air Networks. </w:t>
      </w:r>
      <w:r>
        <w:rPr>
          <w:rFonts w:ascii="Times New Roman" w:cs="Times New Roman" w:eastAsia="Times New Roman" w:hAnsi="Times New Roman"/>
          <w:sz w:val="19"/>
          <w:szCs w:val="19"/>
          <w:color w:val="auto"/>
        </w:rPr>
        <w:t>We operate a number of free-to-air networks around the world: Network 10 in Australia whose brands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include 10, 10 Drama and 10 Comedy, and Channel 5, a public service broadcaster in the United Kingdom (the “U.K.”) whose brands include 5, 5 Action, 5 Select, 5Star, 5USA and Milkshake. On October 23, 2025, we completed the sale of Telefe in Argentina, and on January 12, 2026, we completed the sale of Chilevisión in Chile.</w:t>
      </w:r>
    </w:p>
    <w:p>
      <w:pPr>
        <w:spacing w:after="0" w:line="1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CBS Media Ventures. </w:t>
      </w:r>
      <w:r>
        <w:rPr>
          <w:rFonts w:ascii="Times New Roman" w:cs="Times New Roman" w:eastAsia="Times New Roman" w:hAnsi="Times New Roman"/>
          <w:sz w:val="19"/>
          <w:szCs w:val="19"/>
          <w:color w:val="auto"/>
        </w:rPr>
        <w:t>CBS Media Ventures (“CMV”) produces and distributes original series programming across various dayparts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genres, including talk shows, court shows, game shows and newsmagazines, which are licensed on a market-by-market basis to television stations for local broadcast television and streaming. CMV also engages in national advertising and integrated marketing sales for the programming it distributes and serves as the national advertising sales agent for other major syndicators.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Cable</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Paramount Media Networks. </w:t>
      </w:r>
      <w:r>
        <w:rPr>
          <w:rFonts w:ascii="Times New Roman" w:cs="Times New Roman" w:eastAsia="Times New Roman" w:hAnsi="Times New Roman"/>
          <w:sz w:val="19"/>
          <w:szCs w:val="19"/>
          <w:color w:val="auto"/>
        </w:rPr>
        <w:t>Paramount Media Networks connects with global audiences through its iconic brands―CMT, a country music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and lifestyle channel; Comedy Central, a comedy brand with a focus on adult animation and late-night programming; Logo, a network dedicated to lifestyle and entertainment programming for LGBTQ+ audiences; MTV, a storied youth entertainment brand home to notable franchises and live events such as the </w:t>
      </w:r>
      <w:r>
        <w:rPr>
          <w:rFonts w:ascii="Times New Roman" w:cs="Times New Roman" w:eastAsia="Times New Roman" w:hAnsi="Times New Roman"/>
          <w:sz w:val="19"/>
          <w:szCs w:val="19"/>
          <w:i w:val="1"/>
          <w:iCs w:val="1"/>
          <w:color w:val="auto"/>
        </w:rPr>
        <w:t>MTV Video Music Awards</w:t>
      </w:r>
      <w:r>
        <w:rPr>
          <w:rFonts w:ascii="Times New Roman" w:cs="Times New Roman" w:eastAsia="Times New Roman" w:hAnsi="Times New Roman"/>
          <w:sz w:val="19"/>
          <w:szCs w:val="19"/>
          <w:color w:val="auto"/>
        </w:rPr>
        <w:t>; Nickelodeon, an entertainment brand for kids and families; Paramount Network, a premier entertainment destination; Pop TV, a pop culture-focused channel; Smithsonian Channel, home of popular genres such as air and space, travel, history, science, nature and culture; and TV Land, a destination for viewers in their 30s and 40s.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BET Media Group. </w:t>
      </w:r>
      <w:r>
        <w:rPr>
          <w:rFonts w:ascii="Times New Roman" w:cs="Times New Roman" w:eastAsia="Times New Roman" w:hAnsi="Times New Roman"/>
          <w:sz w:val="19"/>
          <w:szCs w:val="19"/>
          <w:color w:val="auto"/>
        </w:rPr>
        <w:t>BET Media Group provides premium entertainment, music, news, digital and public affairs content for Black audiences.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BET Media Group serves as a destination for Black expression as well as a gathering place for Black creators, talent and communities. BET Media Group’s multiplatform extensions include BET’s events and experiences business (including the </w:t>
      </w:r>
      <w:r>
        <w:rPr>
          <w:rFonts w:ascii="Times New Roman" w:cs="Times New Roman" w:eastAsia="Times New Roman" w:hAnsi="Times New Roman"/>
          <w:sz w:val="19"/>
          <w:szCs w:val="19"/>
          <w:i w:val="1"/>
          <w:iCs w:val="1"/>
          <w:color w:val="auto"/>
        </w:rPr>
        <w:t>BET Awards</w:t>
      </w:r>
      <w:r>
        <w:rPr>
          <w:rFonts w:ascii="Times New Roman" w:cs="Times New Roman" w:eastAsia="Times New Roman" w:hAnsi="Times New Roman"/>
          <w:sz w:val="19"/>
          <w:szCs w:val="19"/>
          <w:color w:val="auto"/>
        </w:rPr>
        <w:t>) and VH1, a multicultural pop culture destination.</w:t>
      </w:r>
    </w:p>
    <w:p>
      <w:pPr>
        <w:spacing w:after="0" w:line="17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CBS Sports Network. </w:t>
      </w:r>
      <w:r>
        <w:rPr>
          <w:rFonts w:ascii="Times New Roman" w:cs="Times New Roman" w:eastAsia="Times New Roman" w:hAnsi="Times New Roman"/>
          <w:sz w:val="19"/>
          <w:szCs w:val="19"/>
          <w:color w:val="auto"/>
        </w:rPr>
        <w:t>The CBS Sports Network is CBS Sports’ 24-hour cable channel that provides a diverse slate of sports and related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content. The network televises live professional, amateur and college events, including Division I college football, basketball, hockey and lacrosse, and certain domestic and international soccer games. The network also showcases a variety of additional programming, including studio shows, features and documentaries. CBS Sports Network also provides ancillary coverage for CBS Sports relating to major events, such as the NCAA Division I Men’s Basketball Tournament, the Masters and the PGA Championship</w:t>
      </w:r>
      <w:r>
        <w:rPr>
          <w:rFonts w:ascii="Times New Roman" w:cs="Times New Roman" w:eastAsia="Times New Roman" w:hAnsi="Times New Roman"/>
          <w:sz w:val="19"/>
          <w:szCs w:val="19"/>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9"/>
          <w:szCs w:val="19"/>
          <w:b w:val="1"/>
          <w:bCs w:val="1"/>
          <w:i w:val="1"/>
          <w:iCs w:val="1"/>
          <w:color w:val="auto"/>
        </w:rPr>
        <w:t>Direct-to-Consumer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4686300" cy="883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8630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 xml:space="preserve">Our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consists of our portfolio of domestic and international pay and free streaming services, including Paramount+, Pluto TV and BET+, as well as our premium cable channel, Paramount+ with SHOWTIME. </w:t>
      </w:r>
      <w:r>
        <w:rPr>
          <w:rFonts w:ascii="Times New Roman" w:cs="Times New Roman" w:eastAsia="Times New Roman" w:hAnsi="Times New Roman"/>
          <w:sz w:val="19"/>
          <w:szCs w:val="19"/>
          <w:i w:val="1"/>
          <w:iCs w:val="1"/>
          <w:color w:val="auto"/>
        </w:rPr>
        <w:t>Direct-to-Consumer’s</w:t>
      </w:r>
      <w:r>
        <w:rPr>
          <w:rFonts w:ascii="Times New Roman" w:cs="Times New Roman" w:eastAsia="Times New Roman" w:hAnsi="Times New Roman"/>
          <w:sz w:val="19"/>
          <w:szCs w:val="19"/>
          <w:color w:val="auto"/>
        </w:rPr>
        <w:t xml:space="preserve"> revenues are principally comprised of advertising and subscription revenues generated by our streaming services, as well as affiliate revenues generated by Paramount+ with SHOWTIME.</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Paramount+. </w:t>
      </w:r>
      <w:r>
        <w:rPr>
          <w:rFonts w:ascii="Times New Roman" w:cs="Times New Roman" w:eastAsia="Times New Roman" w:hAnsi="Times New Roman"/>
          <w:sz w:val="19"/>
          <w:szCs w:val="19"/>
          <w:color w:val="auto"/>
        </w:rPr>
        <w:t>Paramount+, our global on-demand and live subscription streaming service, combines live sports, news and entertainment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content. Paramount+ features an expansive catalog of original series, shows and popular movies across every genre from our brands and production studios and from third parties. Domestically, Paramount+ is home to livestreamed CBS Sports programming. Paramount+ also features select live and on-demand matches from a number of domestic and international soccer leagues, including UEFA Champions League, Italy’s Serie A and the National Women’s Soccer League; and UFC and Zuffa Boxing events. Paramount+ enables subscribers to stream local CBS Stations live across the U.S., in addition to CBS News 24/7 and CBS Sports HQ and CBS Sports Golazo Network. Paramount+ is available in two tiers in the U.S.: Paramount+ Premium, our advertising-free (except during livestreamed and other limited content) offering for a subscription fee; and Paramount+ Essential, our advertising-supported offering available for a lower fee that includes the NFL but not livestreamed local CBS Stations.</w:t>
      </w:r>
    </w:p>
    <w:p>
      <w:pPr>
        <w:spacing w:after="0" w:line="200" w:lineRule="exact"/>
        <w:rPr>
          <w:sz w:val="20"/>
          <w:szCs w:val="20"/>
          <w:color w:val="auto"/>
        </w:rPr>
      </w:pP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Pluto TV. </w:t>
      </w:r>
      <w:r>
        <w:rPr>
          <w:rFonts w:ascii="Times New Roman" w:cs="Times New Roman" w:eastAsia="Times New Roman" w:hAnsi="Times New Roman"/>
          <w:sz w:val="19"/>
          <w:szCs w:val="19"/>
          <w:color w:val="auto"/>
        </w:rPr>
        <w:t>Pluto TV, our global free advertising-supported streaming television (FAST) service, features a broad range of curated live linear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channels and on-demand content. Categories span a wide array of genres, including movies, television series, classic television, sports, news and opinion, drama, reality, competition reality, true crime, game shows, comedy, daytime TV, home and food, lifestyle, anime, animals and nature, music, kids and local news.</w:t>
      </w:r>
    </w:p>
    <w:p>
      <w:pPr>
        <w:spacing w:after="0" w:line="15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BET+. </w:t>
      </w:r>
      <w:r>
        <w:rPr>
          <w:rFonts w:ascii="Times New Roman" w:cs="Times New Roman" w:eastAsia="Times New Roman" w:hAnsi="Times New Roman"/>
          <w:sz w:val="19"/>
          <w:szCs w:val="19"/>
          <w:color w:val="auto"/>
        </w:rPr>
        <w:t>BET+ is a subscription streaming service in the U.S. focused on Black audiences, featuring movies, television, stand-up comedy, award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shows and specials. BET+ is home to exclusive original content from leading Black creators. BET+ is available in advertising-free (except during livestreamed and other limited content) and advertising-supported tiers.</w:t>
      </w:r>
    </w:p>
    <w:p>
      <w:pPr>
        <w:spacing w:after="0" w:line="141"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color w:val="auto"/>
        </w:rPr>
        <w:t xml:space="preserve">Paramount+ with SHOWTIME. </w:t>
      </w:r>
      <w:r>
        <w:rPr>
          <w:rFonts w:ascii="Times New Roman" w:cs="Times New Roman" w:eastAsia="Times New Roman" w:hAnsi="Times New Roman"/>
          <w:sz w:val="19"/>
          <w:szCs w:val="19"/>
          <w:color w:val="auto"/>
        </w:rPr>
        <w:t>Paramount+ with SHOWTIME, our premium cable channel, offers original scripted and unscripted series,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movies, documentaries and docuseries and comedy.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Studios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4686300" cy="883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8630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Our </w:t>
      </w:r>
      <w:r>
        <w:rPr>
          <w:rFonts w:ascii="Times New Roman" w:cs="Times New Roman" w:eastAsia="Times New Roman" w:hAnsi="Times New Roman"/>
          <w:sz w:val="19"/>
          <w:szCs w:val="19"/>
          <w:i w:val="1"/>
          <w:iCs w:val="1"/>
          <w:color w:val="auto"/>
        </w:rPr>
        <w:t>Studios</w:t>
      </w:r>
      <w:r>
        <w:rPr>
          <w:rFonts w:ascii="Times New Roman" w:cs="Times New Roman" w:eastAsia="Times New Roman" w:hAnsi="Times New Roman"/>
          <w:sz w:val="19"/>
          <w:szCs w:val="19"/>
          <w:color w:val="auto"/>
        </w:rPr>
        <w:t xml:space="preserve"> segment consists of our television and film studio operations, including CBS Studios, Paramount Television Studios, Nickelodeon Animation, Paramount Pictures, Paramount Animation, and Miramax, as well as Skydance Animation, Film, Television, and Interactive/Games, and Paramount Sports Entertainment. </w:t>
      </w:r>
      <w:r>
        <w:rPr>
          <w:rFonts w:ascii="Times New Roman" w:cs="Times New Roman" w:eastAsia="Times New Roman" w:hAnsi="Times New Roman"/>
          <w:sz w:val="19"/>
          <w:szCs w:val="19"/>
          <w:i w:val="1"/>
          <w:iCs w:val="1"/>
          <w:color w:val="auto"/>
        </w:rPr>
        <w:t>Studios</w:t>
      </w:r>
      <w:r>
        <w:rPr>
          <w:rFonts w:ascii="Times New Roman" w:cs="Times New Roman" w:eastAsia="Times New Roman" w:hAnsi="Times New Roman"/>
          <w:sz w:val="19"/>
          <w:szCs w:val="19"/>
          <w:color w:val="auto"/>
        </w:rPr>
        <w:t xml:space="preserve"> produces and acquires films, series and short-form content for release and licensing around the world, including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12" w:name="page13"/>
    <w:bookmarkEnd w:id="12"/>
    <w:p>
      <w:pPr>
        <w:jc w:val="both"/>
        <w:spacing w:after="0" w:line="302" w:lineRule="auto"/>
        <w:rPr>
          <w:sz w:val="20"/>
          <w:szCs w:val="20"/>
          <w:color w:val="auto"/>
        </w:rPr>
      </w:pPr>
      <w:r>
        <w:rPr>
          <w:rFonts w:ascii="Times New Roman" w:cs="Times New Roman" w:eastAsia="Times New Roman" w:hAnsi="Times New Roman"/>
          <w:sz w:val="19"/>
          <w:szCs w:val="19"/>
          <w:color w:val="auto"/>
        </w:rPr>
        <w:t xml:space="preserve">theaters, on streaming services, on television, and through digital and physical home entertainment. </w:t>
      </w:r>
      <w:r>
        <w:rPr>
          <w:rFonts w:ascii="Times New Roman" w:cs="Times New Roman" w:eastAsia="Times New Roman" w:hAnsi="Times New Roman"/>
          <w:sz w:val="19"/>
          <w:szCs w:val="19"/>
          <w:i w:val="1"/>
          <w:iCs w:val="1"/>
          <w:color w:val="auto"/>
        </w:rPr>
        <w:t>Studios’</w:t>
      </w:r>
      <w:r>
        <w:rPr>
          <w:rFonts w:ascii="Times New Roman" w:cs="Times New Roman" w:eastAsia="Times New Roman" w:hAnsi="Times New Roman"/>
          <w:sz w:val="19"/>
          <w:szCs w:val="19"/>
          <w:color w:val="auto"/>
        </w:rPr>
        <w:t xml:space="preserve"> revenues are generated primarily from the licensing of television and film content and the release or distribution of films theatrically.</w:t>
      </w:r>
    </w:p>
    <w:p>
      <w:pPr>
        <w:spacing w:after="0" w:line="1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b w:val="1"/>
          <w:bCs w:val="1"/>
          <w:color w:val="auto"/>
        </w:rPr>
        <w:t xml:space="preserve">Paramount Pictures. </w:t>
      </w:r>
      <w:r>
        <w:rPr>
          <w:rFonts w:ascii="Times New Roman" w:cs="Times New Roman" w:eastAsia="Times New Roman" w:hAnsi="Times New Roman"/>
          <w:sz w:val="19"/>
          <w:szCs w:val="19"/>
          <w:color w:val="auto"/>
        </w:rPr>
        <w:t>A global producer and distributor of filmed entertainment since 1912, Paramount Pictures is an iconic brand with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extensive library of films, including classics such as </w:t>
      </w:r>
      <w:r>
        <w:rPr>
          <w:rFonts w:ascii="Times New Roman" w:cs="Times New Roman" w:eastAsia="Times New Roman" w:hAnsi="Times New Roman"/>
          <w:sz w:val="19"/>
          <w:szCs w:val="19"/>
          <w:i w:val="1"/>
          <w:iCs w:val="1"/>
          <w:color w:val="auto"/>
        </w:rPr>
        <w:t>Titanic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Forrest Gump</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The Godfather</w:t>
      </w:r>
      <w:r>
        <w:rPr>
          <w:rFonts w:ascii="Times New Roman" w:cs="Times New Roman" w:eastAsia="Times New Roman" w:hAnsi="Times New Roman"/>
          <w:sz w:val="19"/>
          <w:szCs w:val="19"/>
          <w:color w:val="auto"/>
        </w:rPr>
        <w:t xml:space="preserve">, and well-known franchises such as </w:t>
      </w:r>
      <w:r>
        <w:rPr>
          <w:rFonts w:ascii="Times New Roman" w:cs="Times New Roman" w:eastAsia="Times New Roman" w:hAnsi="Times New Roman"/>
          <w:sz w:val="19"/>
          <w:szCs w:val="19"/>
          <w:i w:val="1"/>
          <w:iCs w:val="1"/>
          <w:color w:val="auto"/>
        </w:rPr>
        <w:t>Mission: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Impossible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Transformers</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color w:val="auto"/>
        </w:rPr>
        <w:t xml:space="preserve">Nickelodeon Animation. </w:t>
      </w:r>
      <w:r>
        <w:rPr>
          <w:rFonts w:ascii="Times New Roman" w:cs="Times New Roman" w:eastAsia="Times New Roman" w:hAnsi="Times New Roman"/>
          <w:sz w:val="19"/>
          <w:szCs w:val="19"/>
          <w:color w:val="auto"/>
        </w:rPr>
        <w:t>Nickelodeon Animation develops and produces animated series, films and short-form content for kids and families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across multiple platforms worldwide.</w:t>
      </w:r>
    </w:p>
    <w:p>
      <w:pPr>
        <w:spacing w:after="0" w:line="12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color w:val="auto"/>
        </w:rPr>
        <w:t xml:space="preserve">Paramount Animation. </w:t>
      </w:r>
      <w:r>
        <w:rPr>
          <w:rFonts w:ascii="Times New Roman" w:cs="Times New Roman" w:eastAsia="Times New Roman" w:hAnsi="Times New Roman"/>
          <w:sz w:val="19"/>
          <w:szCs w:val="19"/>
          <w:color w:val="auto"/>
        </w:rPr>
        <w:t>Paramount Animation develops and produces franchise and original animated films, including drawing from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Paramount Pictures and Nickelodeon libraries.</w:t>
      </w:r>
    </w:p>
    <w:p>
      <w:pPr>
        <w:spacing w:after="0" w:line="12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Miramax. </w:t>
      </w:r>
      <w:r>
        <w:rPr>
          <w:rFonts w:ascii="Times New Roman" w:cs="Times New Roman" w:eastAsia="Times New Roman" w:hAnsi="Times New Roman"/>
          <w:sz w:val="19"/>
          <w:szCs w:val="19"/>
          <w:color w:val="auto"/>
        </w:rPr>
        <w:t>Miramax, a joint venture with beIN Media Group, is a global film and television studio with an extensive content library. We hold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exclusive, long-term rights to distribute Miramax’s library, as well as certain rights to co-produce, co-finance and/or distribute new film and television projects.</w:t>
      </w:r>
    </w:p>
    <w:p>
      <w:pPr>
        <w:spacing w:after="0" w:line="141" w:lineRule="exact"/>
        <w:rPr>
          <w:sz w:val="20"/>
          <w:szCs w:val="20"/>
          <w:color w:val="auto"/>
        </w:rPr>
      </w:pPr>
    </w:p>
    <w:p>
      <w:pPr>
        <w:jc w:val="both"/>
        <w:ind w:right="20"/>
        <w:spacing w:after="0" w:line="304" w:lineRule="auto"/>
        <w:rPr>
          <w:sz w:val="20"/>
          <w:szCs w:val="20"/>
          <w:color w:val="auto"/>
        </w:rPr>
      </w:pPr>
      <w:r>
        <w:rPr>
          <w:rFonts w:ascii="Times New Roman" w:cs="Times New Roman" w:eastAsia="Times New Roman" w:hAnsi="Times New Roman"/>
          <w:sz w:val="19"/>
          <w:szCs w:val="19"/>
          <w:b w:val="1"/>
          <w:bCs w:val="1"/>
          <w:color w:val="auto"/>
        </w:rPr>
        <w:t xml:space="preserve">Skydance. </w:t>
      </w:r>
      <w:r>
        <w:rPr>
          <w:rFonts w:ascii="Times New Roman" w:cs="Times New Roman" w:eastAsia="Times New Roman" w:hAnsi="Times New Roman"/>
          <w:sz w:val="19"/>
          <w:szCs w:val="19"/>
          <w:color w:val="auto"/>
        </w:rPr>
        <w:t>Skydance creates high-quality, event-level entertainment for global audiences through its animation, film, television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interactive/games divisions.</w:t>
      </w:r>
    </w:p>
    <w:p>
      <w:pPr>
        <w:spacing w:after="0" w:line="12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b w:val="1"/>
          <w:bCs w:val="1"/>
          <w:color w:val="auto"/>
        </w:rPr>
        <w:t xml:space="preserve">Paramount Sports Entertainment. </w:t>
      </w:r>
      <w:r>
        <w:rPr>
          <w:rFonts w:ascii="Times New Roman" w:cs="Times New Roman" w:eastAsia="Times New Roman" w:hAnsi="Times New Roman"/>
          <w:sz w:val="19"/>
          <w:szCs w:val="19"/>
          <w:color w:val="auto"/>
        </w:rPr>
        <w:t>Paramount Sports Entertainment develops and produces scripted and unscripted sports programming for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variety of platforms.</w:t>
      </w:r>
    </w:p>
    <w:p>
      <w:pPr>
        <w:spacing w:after="0" w:line="13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b w:val="1"/>
          <w:bCs w:val="1"/>
          <w:color w:val="auto"/>
        </w:rPr>
        <w:t xml:space="preserve">CBS Studios. </w:t>
      </w:r>
      <w:r>
        <w:rPr>
          <w:rFonts w:ascii="Times New Roman" w:cs="Times New Roman" w:eastAsia="Times New Roman" w:hAnsi="Times New Roman"/>
          <w:sz w:val="19"/>
          <w:szCs w:val="19"/>
          <w:color w:val="auto"/>
        </w:rPr>
        <w:t>CBS Studios develops and produces content for broadcast, cable and streaming and maintains an extensive library of intellectual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property, including global franchises.</w:t>
      </w:r>
    </w:p>
    <w:p>
      <w:pPr>
        <w:spacing w:after="0" w:line="15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9"/>
          <w:szCs w:val="19"/>
          <w:b w:val="1"/>
          <w:bCs w:val="1"/>
          <w:color w:val="auto"/>
        </w:rPr>
        <w:t xml:space="preserve">Paramount Television Studios. </w:t>
      </w:r>
      <w:r>
        <w:rPr>
          <w:rFonts w:ascii="Times New Roman" w:cs="Times New Roman" w:eastAsia="Times New Roman" w:hAnsi="Times New Roman"/>
          <w:sz w:val="19"/>
          <w:szCs w:val="19"/>
          <w:color w:val="auto"/>
        </w:rPr>
        <w:t>Paramount Television Studios develops and produces content primarily for streaming platforms and also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maintains an extensive library of intellectual property, including global franchises.</w:t>
      </w:r>
    </w:p>
    <w:p>
      <w:pPr>
        <w:spacing w:after="0" w:line="15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produce and release a variety of films theatrically and also acquire films for distribution from third parties. In some cases, we co-finance and/or co-distribute films with third parties, including other studios, who participate in the financing of the costs of a film or group of films in exchange for an economic participation and a partial copyright interest.</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distribute films in various media worldwide or in select territories and in some cases engage third-party distributors for certain films in certain territories. Domestically, we generally market and distribute our theatrical and home entertainment releases. Internationally, we distribute theatrical releases through our international affiliates or, in certain territories, through United International Pictures, our joint venture with Universal Studios, or various third-party distributors. Home entertainment releases on DVD and Blu-ray discs are distributed worldwide by licensees. We also license films and television shows to a variety of television, streaming and other platforms around the world.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Human Capital Management</w:t>
      </w:r>
    </w:p>
    <w:p>
      <w:pPr>
        <w:spacing w:after="0" w:line="22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We work to create a culture that is welcoming and a workplace where our employees and talent feel supported and have the opportunity to thrive. Our human capital management strategy is intended to address the areas described below.</w:t>
      </w:r>
    </w:p>
    <w:p>
      <w:pPr>
        <w:spacing w:after="0" w:line="13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As of December 31, 2025, we employed approximately 17,600 full- and part-time employees in 30 countries worldwide and had approximately 3,600 project-based staff on our payroll. We also use temporary employees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9"/>
          <w:szCs w:val="19"/>
          <w:i w:val="1"/>
          <w:iCs w:val="1"/>
          <w:color w:val="auto"/>
        </w:rPr>
        <w:t>Preventing Harassment and Discrimination</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are committed to building a work environment free of harassment and discrimination. We make annual anti-discrimination and anti-harassment training available to all employees. We require employees to report any incidents of harassment or discrimination, and our Employee Relations team oversees all investigations of such complaints.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Employee Attraction, Retention and Training</w:t>
      </w:r>
    </w:p>
    <w:p>
      <w:pPr>
        <w:spacing w:after="0" w:line="23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Through our comprehensive compensation and benefits programs and our range of employee learning opportunities and tuition support and mentoring programs, we strive to recruit and retain top talent and create a high-performance culture.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Health, Safety and Security</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physical and mental well-being of all our workers, including across our productions worldwide, is a top priority. We strive to take a proactive and targeted approach to identifying and mitigating health, safety and security risks. We require risk-appropriate health and safety education throughout the organization, including daily safety meetings for production team members and job- and event-specific safety training for employees where appropriate. We strive to track, report and, as necessary, address safety, health and security incidents across the Company. Beyond the health and safety programs required by law, we offer a variety of mental health resources to support our employees and their families.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23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We operate in highly competitive industries and markets and compete for creative talent and intellectual property, as well as for audiences, advertisers and distribution of our content.</w:t>
      </w:r>
    </w:p>
    <w:p>
      <w:pPr>
        <w:spacing w:after="0" w:line="1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compete with a wide range of media, technology and entertainment companies with substantial resources to produce, acquire and distribute content globally, including broadcast and cable networks, streaming services, film and television studios, production companies, independent producers and syndicators, television stations and television station groups. We compete with other content creators for creative talent, including producers, directors, actors and writers, as well as for rights to new content ideas and intellectual property and the acquisition of popular programming.</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compete for audiences with releases from other film studios, television producers and streaming services, as well as with other forms of entertainment and consumer spending outlets. We compete for audiences and advertising revenues primarily with other television networks; streaming services; social media; websites, apps and other online experiences; radio programming; and print media. Our businesses also face competition from many other entertainment options, including video games, sports and other live entertainment, travel and outdoor recreation.</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 xml:space="preserve">We compete for distribution of our content. Our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businesses compete for distribution of our program services and streaming services (and receipt of related fees) with other television networks, programmers and streaming services. We also compete with other broadcast networks to secure affiliations with independently-owned television stations to ensure the effective distribution of network programming in the U.S. We compete with studios and other producers of entertainment content for distribution on third-party platforms.</w:t>
      </w:r>
    </w:p>
    <w:p>
      <w:pPr>
        <w:spacing w:after="0" w:line="1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For additional information regarding competition, see “Item 1A. Risk Factors—Risks Relating to Our Business and Industry” in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9"/>
          <w:szCs w:val="19"/>
          <w:b w:val="1"/>
          <w:bCs w:val="1"/>
          <w:color w:val="auto"/>
        </w:rPr>
        <w:t>Regulation</w:t>
      </w:r>
    </w:p>
    <w:p>
      <w:pPr>
        <w:spacing w:after="0" w:line="2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businesses are subject to and affected by laws and regulations of U.S. federal, state and local governmental authorities, as well as laws and regulations of countries other than the U.S. and pan-national bodies such as the European Union (the “E.U.”). These laws and regulations are constantly subject to change, as are the protections they afford. The discussion below describes certain, but not all, laws and regulations affecting our business. See “Item 1A. Risk Factors—Risks Relating to Legal and Regulatory Matters—</w:t>
      </w:r>
      <w:r>
        <w:rPr>
          <w:rFonts w:ascii="Times New Roman" w:cs="Times New Roman" w:eastAsia="Times New Roman" w:hAnsi="Times New Roman"/>
          <w:sz w:val="19"/>
          <w:szCs w:val="19"/>
          <w:i w:val="1"/>
          <w:iCs w:val="1"/>
          <w:color w:val="auto"/>
        </w:rPr>
        <w:t>Failures to comply with or changes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U.S. or foreign laws or regulations could have an adverse effect on our business, financial condition or results of operations</w:t>
      </w:r>
      <w:r>
        <w:rPr>
          <w:rFonts w:ascii="Times New Roman" w:cs="Times New Roman" w:eastAsia="Times New Roman" w:hAnsi="Times New Roman"/>
          <w:sz w:val="19"/>
          <w:szCs w:val="19"/>
          <w:color w:val="auto"/>
        </w:rPr>
        <w:t>” in our Annual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Report on Form 10-K for the year ended December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FCC and Similar Regulation</w:t>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FCC regulates broadcast television, some aspects of cable network programming, and certain programming delivered by internet protocol in the U.S., pursuant to U.S. federal law, including the Communications Act. Violations of FCC rules may result in substantial monetary fines, the imposition of reporting obligations, limited renewals of broadcast station licenses and, in egregious cases, denial of license renewal or revocation of a license. Our international free-to-air networks are subject to the local rules and regulations of foreign regulators, including the Australian Communications and Media Authority (ACMA) in Australia; and the Office of Communications (Ofcom) in the U.K.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License Renewals, Assignments and Transfers</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Each of our owned television stations in the U.S. must be licensed by the FCC. Television broadcast licenses are typically granted for eight-year terms, and we must obtain renewals as they expire to continue operating our stations. The Communications Act requires the FCC to renew a broadcast license if the FCC finds that (1) the station has served the public interest, convenience and necessity; (2) with respect to the station, there have been no serious violations by the licensee of either the Communications Act or FCC rules; and (3) there have been no other violations by the licensee of the Communications Act or FCC rules that, taken together, constitute a pattern of abuse. In addition, the Communications Act requires prior FCC approval for the assignment of a license or transfer of control of an FCC licensee.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Broadcast Ownership Regulation</w:t>
      </w:r>
    </w:p>
    <w:p>
      <w:pPr>
        <w:spacing w:after="0" w:line="22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The Communications Act and FCC rules impose local and national ownership limits on broadcast television stations, as well as ownership limits on certain broadcast networks, in the U.S. For purposes of these rules, “ownership” is defined pursuant to the FCC’s attribution rules. The broadcast ownership rules discussed below are the most relevant to our U.S.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Local Television Ownership</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FCC’s local television ownership rule generally prohibits common ownership of more than two full-power stations in a market.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Dual Network Rule</w:t>
      </w:r>
    </w:p>
    <w:p>
      <w:pPr>
        <w:spacing w:after="0" w:line="23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dual network rule prohibits any of the four major U.S. broadcast networks—ABC, CBS, FOX and NBC—from combining or being under common control.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Television National Audience Reach Limitation</w:t>
      </w:r>
    </w:p>
    <w:p>
      <w:pPr>
        <w:spacing w:after="0" w:line="23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Under the national television ownership rule, one party may not own television stations that reach more than 39% of all U.S. television households. For purposes of this rule, an ultra high frequency (UHF) station is afforded a “discount” and is therefore attributed with reaching only 50% of the television households in its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9"/>
          <w:szCs w:val="19"/>
          <w:color w:val="auto"/>
        </w:rPr>
        <w:t>Foreign Ownership</w:t>
      </w:r>
    </w:p>
    <w:p>
      <w:pPr>
        <w:spacing w:after="0" w:line="23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Communications Act generally restricts foreign individuals or entities from collectively owning more than 25% of our voting power or equity. FCC approval is required to exceed the 25% threshold. The FCC has approved foreign ownership levels of up to 100% in certain instances, following its review and approval of specific, named foreign individuals.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Broadcast Affiliation</w:t>
      </w:r>
    </w:p>
    <w:p>
      <w:pPr>
        <w:spacing w:after="0" w:line="2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FCC regulations govern various aspects of the agreements between networks and affiliated broadcast stations, including a requirement that television broadcast station licensees retain the right to reject or refuse network programming the licensee reasonably believes is unsatisfactory, unsuitable, or contrary to the public interest or to substitute programming that the licensee reasonably believes to be of greater local or national importance.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Cable and Satellite Carriage of Television Broadcast Stations</w:t>
      </w:r>
    </w:p>
    <w:p>
      <w:pPr>
        <w:spacing w:after="0" w:line="2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Communications Act and FCC rules govern the retransmission of broadcast television stations by cable system operators, direct broadcast satellite operators, and other MVPDs in the U.S. Pursuant to these regulations, we have elected to negotiate with MVPDs for the right to carry our broadcast television stations via retransmission consent agreements. The Communications Act and FCC rules require that broadcasters and some categories of MVPDs negotiate in good faith for retransmission consent.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Program Regulation</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FCC also regulates the content of broadcast, cable network, and other video programming. The FCC prohibits broadcasters from airing obscene material at any time and indecent or profane material between 6:00 a.m. and 10:00 p.m. Broadcasters must also comply with FCC rules requiring the identification of program sponsors. The FCC’s “news distortion” policy prohibits broadcasters from rigging, staging or distorting the news in a manner deliberately intended to slant or mislead audiences as shown by extrinsic evidence. In addition, the FCC monitors compliance with requirements that apply to broadcasters and cable networks relating to political advertising, and the use and integrity of the Emergency Alert System. FCC rules require closed captioning of nearly all broadcast and/or cable programming, as well as certain programming in the U.S. delivered by internet protocol. Broadcast television stations in certain markets that are affiliated with one of the four major U.S. broadcast networks must also provide a certain amount of programming every quarter that includes audio-narrated description of a program’s key visual elements that make the program accessible to blind and low-vision viewers.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Children’s Programming</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business is subject to various regulations in the U.S. and abroad applicable to children’s programming. U.S. federal law and FCC rules limit the amount and content of commercial matter that may be shown on broadcast television stations and cable networks during programming designed for children 12 years of age and younger. The FCC also limits the display of certain commercial website addresses during children’s programming. Moreover, each of our broadcast television stations in the U.S. is required to air, in general, three hours per week of programming specifically designed to meet the educational and informational programming needs of children 16 years of age and younger.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Broadcast Transmission Standard</w:t>
      </w:r>
    </w:p>
    <w:p>
      <w:pPr>
        <w:spacing w:after="0" w:line="2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FCC rules permit television broadcasters to voluntarily broadcast using the “Next Generation” broadcast television transmission standard developed by the Advanced Television Systems Committee, Inc., also called “ATSC 3.0.” Full-service television stations using the standard are subject to certain requirements, including the obligation to continue broadcasting a generally identical program stream in the current ATSC 1.0 broadcast standard. The ATSC 3.0 standard can be used to offer better picture quality, improved mobile broadcast viewing, and content protection through Digital Rights Management (DRM) encryption. Consumers may be required to obtain new television 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6" w:name="page17"/>
    <w:bookmarkEnd w:id="16"/>
    <w:p>
      <w:pPr>
        <w:jc w:val="both"/>
        <w:spacing w:after="0" w:line="300" w:lineRule="auto"/>
        <w:rPr>
          <w:sz w:val="20"/>
          <w:szCs w:val="20"/>
          <w:color w:val="auto"/>
        </w:rPr>
      </w:pPr>
      <w:r>
        <w:rPr>
          <w:rFonts w:ascii="Times New Roman" w:cs="Times New Roman" w:eastAsia="Times New Roman" w:hAnsi="Times New Roman"/>
          <w:sz w:val="19"/>
          <w:szCs w:val="19"/>
          <w:color w:val="auto"/>
        </w:rPr>
        <w:t>or other equipment capable of receiving ATSC 3.0 broadcasts. We are participating in ATSC 3.0 partnerships with other broadcasters and may enter into additional partnerships in the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Global Data Protection Laws and Privacy Laws</w:t>
      </w:r>
    </w:p>
    <w:p>
      <w:pPr>
        <w:spacing w:after="0" w:line="2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are subject to a number of data protection and privacy laws in many of the jurisdictions in which we operate, including laws in a number of different U.S. states, the U.K. and the E.U. These laws impact, or may impact, how we collect, use, process, transfer, store and secure personal data. We are also subject to laws and regulations in many jurisdictions specifically intended to protect the interests of children, including the privacy and safety of minors online. See “Item 1A. Risk Factors—Risks Relating to Legal and Regulatory Matters—</w:t>
      </w:r>
      <w:r>
        <w:rPr>
          <w:rFonts w:ascii="Times New Roman" w:cs="Times New Roman" w:eastAsia="Times New Roman" w:hAnsi="Times New Roman"/>
          <w:sz w:val="19"/>
          <w:szCs w:val="19"/>
          <w:i w:val="1"/>
          <w:iCs w:val="1"/>
          <w:color w:val="auto"/>
        </w:rPr>
        <w:t>We are subject to complex,</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often inconsistent and potentially costly laws, regulations, industry standards and contractual obligations relating to privacy and data protection</w:t>
      </w:r>
      <w:r>
        <w:rPr>
          <w:rFonts w:ascii="Times New Roman" w:cs="Times New Roman" w:eastAsia="Times New Roman" w:hAnsi="Times New Roman"/>
          <w:sz w:val="19"/>
          <w:szCs w:val="19"/>
          <w:color w:val="auto"/>
        </w:rPr>
        <w:t>” in our Annual Report on Form 10-K for the year ended December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2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are fundamentally a content company, and the trademark, copyright, patent and other intellectual property laws that protect our brands, content and related intellectual property are extremely important to us. It is our practice to protect our brands, content and related intellectual property. Notwithstanding these efforts and the legal protections available to combat piracy, infringement of our intellectual property rights presents a significant challenge to our industry. See “Item 1A. Risk Factors—Risks Relating to Intellectual Property—</w:t>
      </w:r>
      <w:r>
        <w:rPr>
          <w:rFonts w:ascii="Times New Roman" w:cs="Times New Roman" w:eastAsia="Times New Roman" w:hAnsi="Times New Roman"/>
          <w:sz w:val="19"/>
          <w:szCs w:val="19"/>
          <w:i w:val="1"/>
          <w:iCs w:val="1"/>
          <w:color w:val="auto"/>
        </w:rPr>
        <w:t>Challenges in protecting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and maintaining our intellectual property rights could have an adverse effect on our business, financial condition or results of operations</w:t>
      </w:r>
      <w:r>
        <w:rPr>
          <w:rFonts w:ascii="Times New Roman" w:cs="Times New Roman" w:eastAsia="Times New Roman" w:hAnsi="Times New Roman"/>
          <w:sz w:val="19"/>
          <w:szCs w:val="19"/>
          <w:color w:val="auto"/>
        </w:rPr>
        <w:t>”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our Annual Report on Form 10-K for the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Available Information</w:t>
      </w:r>
    </w:p>
    <w:p>
      <w:pPr>
        <w:spacing w:after="0" w:line="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We file annual, quarterly and current reports and other information with the SEC. Our annual reports on Form 10-K, quarterly reports on Form 10-Q, current reports on Form 8-K and any amendments to such reports filed with or furnished to the SEC pursuant to the Exchange Act are available free of charge on our website at </w:t>
      </w:r>
      <w:r>
        <w:rPr>
          <w:rFonts w:ascii="Times New Roman" w:cs="Times New Roman" w:eastAsia="Times New Roman" w:hAnsi="Times New Roman"/>
          <w:sz w:val="19"/>
          <w:szCs w:val="19"/>
          <w:i w:val="1"/>
          <w:iCs w:val="1"/>
          <w:color w:val="auto"/>
        </w:rPr>
        <w:t>paramount.com</w:t>
      </w:r>
      <w:r>
        <w:rPr>
          <w:rFonts w:ascii="Times New Roman" w:cs="Times New Roman" w:eastAsia="Times New Roman" w:hAnsi="Times New Roman"/>
          <w:sz w:val="19"/>
          <w:szCs w:val="19"/>
          <w:color w:val="auto"/>
        </w:rPr>
        <w:t xml:space="preserve"> (under </w:t>
      </w:r>
      <w:r>
        <w:rPr>
          <w:rFonts w:ascii="Times New Roman" w:cs="Times New Roman" w:eastAsia="Times New Roman" w:hAnsi="Times New Roman"/>
          <w:sz w:val="19"/>
          <w:szCs w:val="19"/>
          <w:i w:val="1"/>
          <w:iCs w:val="1"/>
          <w:color w:val="auto"/>
        </w:rPr>
        <w:t>Investors</w:t>
      </w:r>
      <w:r>
        <w:rPr>
          <w:rFonts w:ascii="Times New Roman" w:cs="Times New Roman" w:eastAsia="Times New Roman" w:hAnsi="Times New Roman"/>
          <w:sz w:val="19"/>
          <w:szCs w:val="19"/>
          <w:color w:val="auto"/>
        </w:rPr>
        <w:t xml:space="preserve">) as soon as reasonably practicable after such reports are filed with the SEC. These documents are also available on the SEC’s website at </w:t>
      </w:r>
      <w:r>
        <w:rPr>
          <w:rFonts w:ascii="Times New Roman" w:cs="Times New Roman" w:eastAsia="Times New Roman" w:hAnsi="Times New Roman"/>
          <w:sz w:val="19"/>
          <w:szCs w:val="19"/>
          <w:i w:val="1"/>
          <w:iCs w:val="1"/>
          <w:color w:val="auto"/>
        </w:rPr>
        <w:t>sec.gov.</w:t>
      </w:r>
    </w:p>
    <w:p>
      <w:pPr>
        <w:spacing w:after="0" w:line="1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We announce material financial information through SEC filings, press releases, public conference calls and webcasts on our website at </w:t>
      </w:r>
      <w:r>
        <w:rPr>
          <w:rFonts w:ascii="Times New Roman" w:cs="Times New Roman" w:eastAsia="Times New Roman" w:hAnsi="Times New Roman"/>
          <w:sz w:val="19"/>
          <w:szCs w:val="19"/>
          <w:i w:val="1"/>
          <w:iCs w:val="1"/>
          <w:color w:val="auto"/>
        </w:rPr>
        <w:t xml:space="preserve">paramount.com </w:t>
      </w:r>
      <w:r>
        <w:rPr>
          <w:rFonts w:ascii="Times New Roman" w:cs="Times New Roman" w:eastAsia="Times New Roman" w:hAnsi="Times New Roman"/>
          <w:sz w:val="19"/>
          <w:szCs w:val="19"/>
          <w:color w:val="auto"/>
        </w:rPr>
        <w:t>(under</w:t>
      </w:r>
      <w:r>
        <w:rPr>
          <w:rFonts w:ascii="Times New Roman" w:cs="Times New Roman" w:eastAsia="Times New Roman" w:hAnsi="Times New Roman"/>
          <w:sz w:val="19"/>
          <w:szCs w:val="19"/>
          <w:i w:val="1"/>
          <w:iCs w:val="1"/>
          <w:color w:val="auto"/>
        </w:rPr>
        <w:t xml:space="preserve"> Investors</w:t>
      </w:r>
      <w:r>
        <w:rPr>
          <w:rFonts w:ascii="Times New Roman" w:cs="Times New Roman" w:eastAsia="Times New Roman" w:hAnsi="Times New Roman"/>
          <w:sz w:val="19"/>
          <w:szCs w:val="19"/>
          <w:color w:val="auto"/>
        </w:rPr>
        <w:t>). We may use any of these channels as well as social media and blogs to communicate with investors about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 Information we post on our website, social media and blogs may be deemed material. Accordingly, we encourage investors, the media, and others interested in our Company to review the information posted on our website, including the social media channels and blogs listed there.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06" w:lineRule="exact"/>
        <w:rPr>
          <w:sz w:val="20"/>
          <w:szCs w:val="20"/>
          <w:color w:val="auto"/>
        </w:rPr>
      </w:pPr>
    </w:p>
    <w:p>
      <w:pPr>
        <w:ind w:left="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Results of Operations and Financial Condition.</w:t>
      </w:r>
    </w:p>
    <w:p>
      <w:pPr>
        <w:spacing w:after="0" w:line="7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Management’s discussion and analysis of the results of operations and financial condition of Paramount Skydance Corporation should be read in conjunction with our consolidated financial statements and related notes. References to “Paramount,” the “Company,” “we,” “us” and “our” refer to Paramount Skydance Corporation and its consolidated subsidiaries, unless the context otherwise requires.</w:t>
      </w:r>
    </w:p>
    <w:p>
      <w:pPr>
        <w:spacing w:after="0" w:line="1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The NAI Transaction</w:t>
      </w:r>
      <w:r>
        <w:rPr>
          <w:rFonts w:ascii="Times New Roman" w:cs="Times New Roman" w:eastAsia="Times New Roman" w:hAnsi="Times New Roman"/>
          <w:sz w:val="19"/>
          <w:szCs w:val="19"/>
          <w:color w:val="auto"/>
        </w:rPr>
        <w:t>—On August 7, 2025 (the “Closing Date”), pursuant to a purchase and sale agreement dated July 7, 2024, certain affiliates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investors in Skydance Media, LLC (“Skydance”), comprised of entities controlled by the Ellison Family (as defined below), and affiliates of RedBird Capital Partners (collectively the “NAI Equity Investors”), purchased all of the outstanding equity interests of Paramount Global’s controlling stockholder, National Amusements, Inc. (“NAI”) from the shareholders of NAI (the “NAI Transaction”).</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i w:val="1"/>
          <w:iCs w:val="1"/>
          <w:color w:val="auto"/>
        </w:rPr>
        <w:t>The Transactions</w:t>
      </w:r>
      <w:r>
        <w:rPr>
          <w:rFonts w:ascii="Times New Roman" w:cs="Times New Roman" w:eastAsia="Times New Roman" w:hAnsi="Times New Roman"/>
          <w:sz w:val="19"/>
          <w:szCs w:val="19"/>
          <w:color w:val="auto"/>
        </w:rPr>
        <w:t>—Also on the Closing Date, following the completion of the NAI Transaction and pursuant to the Transaction Agreement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dated as of July 7, 2024, Paramount Global and Skydance became wholly-owned subsidiaries of Paramount Skydance Corporation (the transactions contemplated by the Transaction Agreement, the “Transactions”). Paramount Skydance Corporation, formerly known as New Pluto Global, Inc., was formed on June 3, 2024, to consummate the Transactions and was a wholly-owned direct subsidiary of Paramount Global until, through a series of mergers, it became the holding company of Paramount Global and Skydance as part of the Transactions.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Concurrent with the NAI Transaction, the NAI Equity Investors and certain other affiliates of investors in Skydance made an investment of $6.0 billion into Paramount Skydance Corporation (the “PIPE Transaction”) in exchange for 400 million newly issued shares of Class B common stock of Paramount Skydance Corporation (“Paramount Skydance Corporation Class B Common Stock”) for a purchase price of $15.00 per share, and the NAI Equity Investors also received warrants to purchase 200 million shares of Paramount Skydance Corporation Class B Common Stock at an initial exercise price of $30.50 per share (subject to customary anti-dilution adjustments), which expire five years after issuance. $4.45 billion of the PIPE Transaction investment was used to fund the cash-stock election discussed below and $1.52 billion of cash was provided to the Company.</w:t>
      </w:r>
    </w:p>
    <w:p>
      <w:pPr>
        <w:spacing w:after="0" w:line="200" w:lineRule="exact"/>
        <w:rPr>
          <w:sz w:val="20"/>
          <w:szCs w:val="20"/>
          <w:color w:val="auto"/>
        </w:rPr>
      </w:pP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Transactions also included: (1) a transaction pursuant to which each outstanding Skydance membership unit held by Skydance investors and each Skydance Phantom Unit was converted into the right to receive the applicable portion of 316.7 million shares of Paramount Skydance Corporation Class B Common Stock (313.8 million shares after reduction in connection with certain tax withholding requirements), and (2) a cash-stock election offered to holders of Paramount Global common stock pursuant to which (a) shares of Paramount Global Class A Common Stock held by stockholders other than NAI or its subsidiaries were converted, at the stockholders’ election, into the right to receive either $23.00 in cash (“Class A Cash Consideration”) or 1.5333 shares of Paramount Skydance Corporation Class B Common Stock (“Class A Stock Consideration”), and (b) shares of Paramount Global Class B Common Stock held by stockholders other than NAI or its subsidiaries, the NAI Equity Investors and certain other affiliates of investors in Skydance referred to above were converted, at the stockholders’ election, into the right to receive either $15.00 in cash (“Class B Cash Consideration”), subject to proration, or one share of Paramount Skydance Corporation Class B Common Stock (“Class B Stock Consideration”). The shares of Paramount Class A Common Stock held by NAI and its subsidiaries converted into shares of Class A common stock, par value $0.001 per share. Shares of Paramount Global Class A Common Stock for which elections to receive Class A Cash Consideration or Class A Stock Consideration were not made or were validly revoked were automatically converted into Class A Stock Consideration. Shares of Paramount Global Class B Common Stock for which elections to receive Class B Cash Consideration were not made or were validly revoked were converted automatically into one share of Paramount Skydance Corporation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Shares of Paramount Skydance Corporation Class B Common Stock now trade on the Nasdaq Stock Market LLC (“Nasdaq”) under the ticker symbol “PSKY.” All shares of Paramount Global Class A Common Stock and Class B Common Stock have been delisted from Nasdaq and have been cancelled and cease to exist.</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Holders of shares of Class A common stock of Paramount Skydance Corporation (“Paramount Skydance Corporation Class A Common Stock”) are entitled to one vote per share with respect to all matters on which the holders of Paramount Skydance Corporation common stock are entitled to vote. Holders of Paramount Skydance Corporation Class B Common Stock do not have voting rights. Following the closing of the Transactions and the NAI Transaction, NAI, which was renamed Harbor Lights Entertainment, Inc., and its subsidiaries held 100.0% of the Paramount Skydance Corporation Class A Common Stock. Accordingly, entities controlled by the Ellison Family (as defined below) indirectly hold approximately 77.5% of the Paramount Skydance Corporation Class A Common Stock through their collective approximate 77.5% ownership interest in Harbor Lights Entertainment, Inc., and as a result the Ellison Family is the controlling stockholder of Paramount. For the purpose of determining the controlling ownership of Paramount, the Ellison family is comprised of Lawrence Ellison and David Ellison (the “Ellison Family”). David Ellison is the son of Lawrence Ellison, and Lawrence Ellison and David Ellison are accordingly considered immediate family members. The Ellison Family either individually or through ownership of various entities are collectively the ultimate parent of Paramount (“Ultimate Parent”).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Pushdown of Ultimate Parent’s Basis</w:t>
      </w:r>
      <w:r>
        <w:rPr>
          <w:rFonts w:ascii="Times New Roman" w:cs="Times New Roman" w:eastAsia="Times New Roman" w:hAnsi="Times New Roman"/>
          <w:sz w:val="19"/>
          <w:szCs w:val="19"/>
          <w:color w:val="auto"/>
        </w:rPr>
        <w:t>— At the time Paramount Global and Skydance became subsidiaries of Paramount Skydance Corporation,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Ellison Family controlled both Paramount Global and Skydance, and as a result, this transaction has been accounted for as a transaction between entities under common control. As a transaction between entities under common control, the net assets were combined at the Ultimate Parent’s basis, which for Paramount Global was deemed to be the estimated fair value as of August 7, 2025, the date of the closing of the NAI Transaction, which was the point at which the Ellison Family obtained control of Paramount Global. As a result, the net assets of Paramount Global were recorded at their fair value as of this date. Since the net assets of Skydance were already at the Ultimate Parent’s basis, no adjustment to the fair value of net assets was necessary, and Skydance was combined with Paramount Global’s net assets at the Ultimate Parent’s basis as of this date.</w:t>
      </w:r>
    </w:p>
    <w:p>
      <w:pPr>
        <w:spacing w:after="0" w:line="200" w:lineRule="exact"/>
        <w:rPr>
          <w:sz w:val="20"/>
          <w:szCs w:val="20"/>
          <w:color w:val="auto"/>
        </w:rPr>
      </w:pP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Our consolidated financial statements and footnote disclosures are presented in distinct periods to indicate the pushdown of the Ultimate Parent’s basis, which resulted in a new basis of accounting. The periods prior to the closing of the Transactions include only Paramount Global and are identified as “Predecessor,” and the periods beginning on August 7, 2025 reflect Paramount Skydance Corporation and are identified as “Successor.” Due to the application of pushdown accounting, the results of operations, financial position and cash flows are not comparable between the Successor and Predecessor periods. Paramount Global has been identified as the predecessor entity to Paramount Skydance Corporation based on the relative size and fair value of Paramount Global and Skydance, and the fact that Paramount Global was an existing publicly traded company prior to the completion of the Transactions. No single factor was the sole determinant in the overall conclusion that Paramount Global is the predecessor; rather all factors were considered in arriving at such conclusion.</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have certain contracts that require us to obtain consents from other parties in connection with the Transactions. If these consents cannot be obtained, the counterparties to these contracts (and, as a result, other third parties with which we have contractual agreements) may have the right to terminate, reduce the scope of or otherwise alter their relationships with us following the Transactions. Accordingly, the failure to obtain such consents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i w:val="1"/>
          <w:iCs w:val="1"/>
          <w:color w:val="auto"/>
        </w:rPr>
        <w:t>Warner Bros. Offer</w:t>
      </w:r>
      <w:r>
        <w:rPr>
          <w:rFonts w:ascii="Times New Roman" w:cs="Times New Roman" w:eastAsia="Times New Roman" w:hAnsi="Times New Roman"/>
          <w:sz w:val="19"/>
          <w:szCs w:val="19"/>
          <w:color w:val="auto"/>
        </w:rPr>
        <w:t>—On December 8, 2025, we announced a cash tender offer for all of the outstanding shares of Series A Common Stock, par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value $0.01 per share (the “Warner Bros. Shares”), of Warner Bros. Discovery, Inc., a Delaware corporation (“Warner Bros.”), at $30.00 per Warner Bros. Share (the “Offer”).</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Offer is subject to several conditions and is scheduled to expire on March 2, 2026, unless further extended. On December 22, 2025, we amended the Offer to include an irrevocable personal guarantee from Lawrence Ellison of the equity financing for the Offer and any damages payable by us. On February 10, 2026, we further amended the Offer to provide for a $0.25 per Warner Bros. Share in cash ticking fee for every quarter the transaction does not close beyond December 31, 2026, and a prepayment of the $2.8 billion termination fee payable by Warner Bros. to Netflix, Inc., a Delaware corporation (“Netflix”), upon termination of the merger agreement between Warner Bros. and Netflix. On January 22, 2026, we filed preliminary proxy materials with the U.S. Securities and Exchange Commission (“SEC”) to solicit Warner Bros. stockholders to vote against the Netflix transaction and related proposals at the special meeting of Warner Bros. stockholders, and on February 17, 2026, we filed definitive proxy materials related thereto.</w:t>
      </w:r>
    </w:p>
    <w:p>
      <w:pPr>
        <w:spacing w:after="0" w:line="2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On February 24, 2026, we submitted a revised proposal to the Warner Bros. Board that included an increased purchase price of $31.00 per Warner Bros. Share, accelerated the timing of the daily ticking fee of $0.25 per Warner Bros. Share per quarter to commence after September 30, 2026, and increased the regulatory termination fee payable by us to $7.0 billion if the transaction does not close due to regulatory matters. On the same date, the Warner Bros. Board determined that our revised proposal could reasonably be expected to lead to a “Company Superior Proposal” as defined in the Netflix merger agreement, although no final determination has been made as to whether our proposal is superior to the Netflix merger.</w:t>
      </w:r>
    </w:p>
    <w:p>
      <w:pPr>
        <w:spacing w:after="0" w:line="34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We have secured commitments for debt financing of up to $57.5 billion and equity commitments from entities controlled by the Ellison Family and affiliates of RedBird Capital Partners of $46.6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components of management’s discussion and analysis of results of operations and financial condition include:</w:t>
      </w:r>
    </w:p>
    <w:p>
      <w:pPr>
        <w:spacing w:after="0" w:line="35" w:lineRule="exact"/>
        <w:rPr>
          <w:sz w:val="20"/>
          <w:szCs w:val="20"/>
          <w:color w:val="auto"/>
        </w:rPr>
      </w:pPr>
    </w:p>
    <w:p>
      <w:pPr>
        <w:ind w:left="640" w:hanging="157"/>
        <w:spacing w:after="0"/>
        <w:tabs>
          <w:tab w:leader="none" w:pos="64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Overview</w:t>
      </w:r>
      <w:r>
        <w:rPr>
          <w:rFonts w:ascii="Times New Roman" w:cs="Times New Roman" w:eastAsia="Times New Roman" w:hAnsi="Times New Roman"/>
          <w:sz w:val="19"/>
          <w:szCs w:val="19"/>
          <w:color w:val="auto"/>
        </w:rPr>
        <w:t>—Summary of our business and operational highlights.</w:t>
      </w:r>
    </w:p>
    <w:p>
      <w:pPr>
        <w:spacing w:after="0" w:line="96" w:lineRule="exact"/>
        <w:rPr>
          <w:rFonts w:ascii="Times New Roman" w:cs="Times New Roman" w:eastAsia="Times New Roman" w:hAnsi="Times New Roman"/>
          <w:sz w:val="19"/>
          <w:szCs w:val="19"/>
          <w:color w:val="auto"/>
        </w:rPr>
      </w:pPr>
    </w:p>
    <w:p>
      <w:pPr>
        <w:ind w:left="640" w:hanging="157"/>
        <w:spacing w:after="0" w:line="302" w:lineRule="auto"/>
        <w:tabs>
          <w:tab w:leader="none" w:pos="628"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Consolidated Results of Operations</w:t>
      </w:r>
      <w:r>
        <w:rPr>
          <w:rFonts w:ascii="Times New Roman" w:cs="Times New Roman" w:eastAsia="Times New Roman" w:hAnsi="Times New Roman"/>
          <w:sz w:val="19"/>
          <w:szCs w:val="19"/>
          <w:color w:val="auto"/>
        </w:rPr>
        <w:t>—Analysis of our results on a consolidated basis for the period from August 7 - December 31, 2025</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(Successor) and for the period from January 1 - August 6, 2025, and the year ended December 31, 2024 (Predecessor).</w:t>
      </w:r>
    </w:p>
    <w:p>
      <w:pPr>
        <w:spacing w:after="0" w:line="19" w:lineRule="exact"/>
        <w:rPr>
          <w:rFonts w:ascii="Times New Roman" w:cs="Times New Roman" w:eastAsia="Times New Roman" w:hAnsi="Times New Roman"/>
          <w:sz w:val="19"/>
          <w:szCs w:val="19"/>
          <w:color w:val="auto"/>
        </w:rPr>
      </w:pPr>
    </w:p>
    <w:p>
      <w:pPr>
        <w:ind w:left="640" w:hanging="157"/>
        <w:spacing w:after="0" w:line="302" w:lineRule="auto"/>
        <w:tabs>
          <w:tab w:leader="none" w:pos="628"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Segment Results of Operations</w:t>
      </w:r>
      <w:r>
        <w:rPr>
          <w:rFonts w:ascii="Times New Roman" w:cs="Times New Roman" w:eastAsia="Times New Roman" w:hAnsi="Times New Roman"/>
          <w:sz w:val="19"/>
          <w:szCs w:val="19"/>
          <w:color w:val="auto"/>
        </w:rPr>
        <w:t>—Analysis of our results on a reportable segment basis for the period from August 7 - December 31,</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2025 (Successor) and for the period from January 1 - August 6, 2025, and the year ended December 31, 2024 (Predecessor).</w:t>
      </w:r>
    </w:p>
    <w:p>
      <w:pPr>
        <w:spacing w:after="0" w:line="33" w:lineRule="exact"/>
        <w:rPr>
          <w:rFonts w:ascii="Times New Roman" w:cs="Times New Roman" w:eastAsia="Times New Roman" w:hAnsi="Times New Roman"/>
          <w:sz w:val="19"/>
          <w:szCs w:val="19"/>
          <w:color w:val="auto"/>
        </w:rPr>
      </w:pPr>
    </w:p>
    <w:p>
      <w:pPr>
        <w:jc w:val="both"/>
        <w:ind w:left="640" w:hanging="157"/>
        <w:spacing w:after="0" w:line="268" w:lineRule="auto"/>
        <w:tabs>
          <w:tab w:leader="none" w:pos="628"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Liquidity and Capital Resources</w:t>
      </w:r>
      <w:r>
        <w:rPr>
          <w:rFonts w:ascii="Times New Roman" w:cs="Times New Roman" w:eastAsia="Times New Roman" w:hAnsi="Times New Roman"/>
          <w:sz w:val="19"/>
          <w:szCs w:val="19"/>
          <w:color w:val="auto"/>
        </w:rPr>
        <w:t>—Discussion of our cash flows, including sources and uses of cash, for the period from August 7 -</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December 31, 2025 (Successor) and for the period from January 1 - August 6, 2025, and the year ended December 31, 2024 (Predecessor), and of our outstanding debt as of December 31, 2025 (Successor), including </w:t>
      </w:r>
      <w:r>
        <w:rPr>
          <w:rFonts w:ascii="Times New Roman" w:cs="Times New Roman" w:eastAsia="Times New Roman" w:hAnsi="Times New Roman"/>
          <w:sz w:val="19"/>
          <w:szCs w:val="19"/>
          <w:i w:val="1"/>
          <w:iCs w:val="1"/>
          <w:color w:val="auto"/>
        </w:rPr>
        <w:t>Supplemental Guarantor Financial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Information</w:t>
      </w:r>
      <w:r>
        <w:rPr>
          <w:rFonts w:ascii="Times New Roman" w:cs="Times New Roman" w:eastAsia="Times New Roman" w:hAnsi="Times New Roman"/>
          <w:sz w:val="19"/>
          <w:szCs w:val="19"/>
          <w:color w:val="auto"/>
        </w:rPr>
        <w:t>.</w:t>
      </w:r>
    </w:p>
    <w:p>
      <w:pPr>
        <w:spacing w:after="0" w:line="301" w:lineRule="exact"/>
        <w:rPr>
          <w:rFonts w:ascii="Times New Roman" w:cs="Times New Roman" w:eastAsia="Times New Roman" w:hAnsi="Times New Roman"/>
          <w:sz w:val="19"/>
          <w:szCs w:val="19"/>
          <w:color w:val="auto"/>
        </w:rPr>
      </w:pPr>
    </w:p>
    <w:p>
      <w:pPr>
        <w:ind w:left="640" w:hanging="157"/>
        <w:spacing w:after="0" w:line="302" w:lineRule="auto"/>
        <w:tabs>
          <w:tab w:leader="none" w:pos="628"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Critical Accounting Estimates</w:t>
      </w:r>
      <w:r>
        <w:rPr>
          <w:rFonts w:ascii="Times New Roman" w:cs="Times New Roman" w:eastAsia="Times New Roman" w:hAnsi="Times New Roman"/>
          <w:sz w:val="19"/>
          <w:szCs w:val="19"/>
          <w:color w:val="auto"/>
        </w:rPr>
        <w:t>—Detail with respect to accounting policies that are considered by management to require significant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judgment and use of estimates and that could have a material impact on our financial statements.</w:t>
      </w:r>
    </w:p>
    <w:p>
      <w:pPr>
        <w:spacing w:after="0" w:line="19" w:lineRule="exact"/>
        <w:rPr>
          <w:rFonts w:ascii="Times New Roman" w:cs="Times New Roman" w:eastAsia="Times New Roman" w:hAnsi="Times New Roman"/>
          <w:sz w:val="19"/>
          <w:szCs w:val="19"/>
          <w:color w:val="auto"/>
        </w:rPr>
      </w:pPr>
    </w:p>
    <w:p>
      <w:pPr>
        <w:ind w:left="640" w:hanging="157"/>
        <w:spacing w:after="0"/>
        <w:tabs>
          <w:tab w:leader="none" w:pos="64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—Discussion of legal matters to which we are involved.</w:t>
      </w:r>
    </w:p>
    <w:p>
      <w:pPr>
        <w:spacing w:after="0" w:line="126" w:lineRule="exact"/>
        <w:rPr>
          <w:rFonts w:ascii="Times New Roman" w:cs="Times New Roman" w:eastAsia="Times New Roman" w:hAnsi="Times New Roman"/>
          <w:sz w:val="19"/>
          <w:szCs w:val="19"/>
          <w:color w:val="auto"/>
        </w:rPr>
      </w:pPr>
    </w:p>
    <w:p>
      <w:pPr>
        <w:ind w:left="640" w:hanging="157"/>
        <w:spacing w:after="0"/>
        <w:tabs>
          <w:tab w:leader="none" w:pos="64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Market Risk</w:t>
      </w:r>
      <w:r>
        <w:rPr>
          <w:rFonts w:ascii="Times New Roman" w:cs="Times New Roman" w:eastAsia="Times New Roman" w:hAnsi="Times New Roman"/>
          <w:sz w:val="19"/>
          <w:szCs w:val="19"/>
          <w:color w:val="auto"/>
        </w:rPr>
        <w:t>—Discussion of how we manage exposure to market and interest rate risks.</w:t>
      </w:r>
    </w:p>
    <w:p>
      <w:pPr>
        <w:spacing w:after="0" w:line="24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An analysis of the results of our Predecessor, Paramount Global, for the year ended December 31, 2023, including comparisons of 2024 to 2023 and a discussion of our cash flows for the year ended December 31, 2023, is included in “Item 7 - Management's Discussion and Analysis of Financial Condition and Results of Operations” of Paramount Global’s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Operational Highlights - Years Ended December 31, 2025 and 2024</w:t>
      </w:r>
    </w:p>
    <w:p>
      <w:pPr>
        <w:spacing w:after="0" w:line="197" w:lineRule="exact"/>
        <w:rPr>
          <w:sz w:val="20"/>
          <w:szCs w:val="20"/>
          <w:color w:val="auto"/>
        </w:rPr>
      </w:pPr>
    </w:p>
    <w:tbl>
      <w:tblPr>
        <w:tblLayout w:type="fixed"/>
        <w:tblInd w:w="940" w:type="dxa"/>
        <w:tblCellMar>
          <w:top w:w="0" w:type="dxa"/>
          <w:left w:w="0" w:type="dxa"/>
          <w:bottom w:w="0" w:type="dxa"/>
          <w:right w:w="0" w:type="dxa"/>
        </w:tblCellMar>
      </w:tblPr>
      <w:tr>
        <w:trPr>
          <w:trHeight w:val="258"/>
        </w:trPr>
        <w:tc>
          <w:tcPr>
            <w:tcW w:w="468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14"/>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80" w:type="dxa"/>
            <w:vAlign w:val="bottom"/>
            <w:tcBorders>
              <w:top w:val="single" w:sz="8" w:color="auto"/>
              <w:bottom w:val="single" w:sz="8" w:color="auto"/>
            </w:tcBorders>
          </w:tcPr>
          <w:p>
            <w:pPr>
              <w:spacing w:after="0"/>
              <w:rPr>
                <w:sz w:val="22"/>
                <w:szCs w:val="22"/>
                <w:color w:val="auto"/>
              </w:rPr>
            </w:pPr>
          </w:p>
        </w:tc>
        <w:tc>
          <w:tcPr>
            <w:tcW w:w="2720" w:type="dxa"/>
            <w:vAlign w:val="bottom"/>
            <w:tcBorders>
              <w:top w:val="single" w:sz="8" w:color="auto"/>
              <w:bottom w:val="single" w:sz="8" w:color="auto"/>
            </w:tcBorders>
            <w:gridSpan w:val="3"/>
          </w:tcPr>
          <w:p>
            <w:pPr>
              <w:jc w:val="right"/>
              <w:ind w:right="1074"/>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480" w:type="dxa"/>
            <w:vAlign w:val="bottom"/>
            <w:tcBorders>
              <w:right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660" w:type="dxa"/>
            <w:vAlign w:val="bottom"/>
            <w:gridSpan w:val="2"/>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Borders>
              <w:right w:val="single" w:sz="8" w:color="auto"/>
            </w:tcBorders>
          </w:tcPr>
          <w:p>
            <w:pPr>
              <w:jc w:val="center"/>
              <w:ind w:right="314"/>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 August</w:t>
            </w:r>
          </w:p>
        </w:tc>
        <w:tc>
          <w:tcPr>
            <w:tcW w:w="320" w:type="dxa"/>
            <w:vAlign w:val="bottom"/>
          </w:tcPr>
          <w:p>
            <w:pPr>
              <w:spacing w:after="0"/>
              <w:rPr>
                <w:sz w:val="16"/>
                <w:szCs w:val="16"/>
                <w:color w:val="auto"/>
              </w:rPr>
            </w:pPr>
          </w:p>
        </w:tc>
        <w:tc>
          <w:tcPr>
            <w:tcW w:w="1220" w:type="dxa"/>
            <w:vAlign w:val="bottom"/>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1480" w:type="dxa"/>
            <w:vAlign w:val="bottom"/>
            <w:tcBorders>
              <w:right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80" w:type="dxa"/>
            <w:vAlign w:val="bottom"/>
          </w:tcPr>
          <w:p>
            <w:pPr>
              <w:spacing w:after="0"/>
              <w:rPr>
                <w:sz w:val="18"/>
                <w:szCs w:val="18"/>
                <w:color w:val="auto"/>
              </w:rPr>
            </w:pPr>
          </w:p>
        </w:tc>
        <w:tc>
          <w:tcPr>
            <w:tcW w:w="1180" w:type="dxa"/>
            <w:vAlign w:val="bottom"/>
          </w:tcPr>
          <w:p>
            <w:pPr>
              <w:jc w:val="center"/>
              <w:ind w:right="494"/>
              <w:spacing w:after="0"/>
              <w:rPr>
                <w:sz w:val="20"/>
                <w:szCs w:val="20"/>
                <w:color w:val="auto"/>
              </w:rPr>
            </w:pPr>
            <w:r>
              <w:rPr>
                <w:rFonts w:ascii="Times New Roman" w:cs="Times New Roman" w:eastAsia="Times New Roman" w:hAnsi="Times New Roman"/>
                <w:sz w:val="16"/>
                <w:szCs w:val="16"/>
                <w:b w:val="1"/>
                <w:bCs w:val="1"/>
                <w:color w:val="auto"/>
                <w:w w:val="99"/>
              </w:rPr>
              <w:t>6,</w:t>
            </w:r>
          </w:p>
        </w:tc>
        <w:tc>
          <w:tcPr>
            <w:tcW w:w="320" w:type="dxa"/>
            <w:vAlign w:val="bottom"/>
          </w:tcPr>
          <w:p>
            <w:pPr>
              <w:spacing w:after="0"/>
              <w:rPr>
                <w:sz w:val="18"/>
                <w:szCs w:val="18"/>
                <w:color w:val="auto"/>
              </w:rPr>
            </w:pPr>
          </w:p>
        </w:tc>
        <w:tc>
          <w:tcPr>
            <w:tcW w:w="1220" w:type="dxa"/>
            <w:vAlign w:val="bottom"/>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32"/>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6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33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3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4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GAAP:</w:t>
            </w:r>
          </w:p>
        </w:tc>
        <w:tc>
          <w:tcPr>
            <w:tcW w:w="30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12,269</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16,622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29,213</w:t>
            </w:r>
          </w:p>
        </w:tc>
        <w:tc>
          <w:tcPr>
            <w:tcW w:w="0" w:type="dxa"/>
            <w:vAlign w:val="bottom"/>
          </w:tcPr>
          <w:p>
            <w:pPr>
              <w:spacing w:after="0"/>
              <w:rPr>
                <w:sz w:val="1"/>
                <w:szCs w:val="1"/>
                <w:color w:val="auto"/>
              </w:rPr>
            </w:pPr>
          </w:p>
        </w:tc>
      </w:tr>
      <w:tr>
        <w:trPr>
          <w:trHeight w:val="265"/>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(95)</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1,029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(5,269)</w:t>
            </w:r>
          </w:p>
        </w:tc>
        <w:tc>
          <w:tcPr>
            <w:tcW w:w="0" w:type="dxa"/>
            <w:vAlign w:val="bottom"/>
          </w:tcPr>
          <w:p>
            <w:pPr>
              <w:spacing w:after="0"/>
              <w:rPr>
                <w:sz w:val="1"/>
                <w:szCs w:val="1"/>
                <w:color w:val="auto"/>
              </w:rPr>
            </w:pPr>
          </w:p>
        </w:tc>
      </w:tr>
      <w:tr>
        <w:trPr>
          <w:trHeight w:val="246"/>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0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attributable to Parent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(586)</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(6,204)</w:t>
            </w:r>
          </w:p>
        </w:tc>
        <w:tc>
          <w:tcPr>
            <w:tcW w:w="0" w:type="dxa"/>
            <w:vAlign w:val="bottom"/>
          </w:tcPr>
          <w:p>
            <w:pPr>
              <w:spacing w:after="0"/>
              <w:rPr>
                <w:sz w:val="1"/>
                <w:szCs w:val="1"/>
                <w:color w:val="auto"/>
              </w:rPr>
            </w:pPr>
          </w:p>
        </w:tc>
      </w:tr>
      <w:tr>
        <w:trPr>
          <w:trHeight w:val="265"/>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 EPS from continuing operations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(.53)</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511"/>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Non-GAAP: </w:t>
            </w:r>
            <w:r>
              <w:rPr>
                <w:rFonts w:ascii="Times New Roman" w:cs="Times New Roman" w:eastAsia="Times New Roman" w:hAnsi="Times New Roman"/>
                <w:sz w:val="22"/>
                <w:szCs w:val="22"/>
                <w:color w:val="auto"/>
                <w:vertAlign w:val="superscript"/>
              </w:rPr>
              <w:t>(a)</w:t>
            </w:r>
          </w:p>
        </w:tc>
        <w:tc>
          <w:tcPr>
            <w:tcW w:w="3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Adjusted OIBDA</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1,267</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1,809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3,118</w:t>
            </w:r>
          </w:p>
        </w:tc>
        <w:tc>
          <w:tcPr>
            <w:tcW w:w="0" w:type="dxa"/>
            <w:vAlign w:val="bottom"/>
          </w:tcPr>
          <w:p>
            <w:pPr>
              <w:spacing w:after="0"/>
              <w:rPr>
                <w:sz w:val="1"/>
                <w:szCs w:val="1"/>
                <w:color w:val="auto"/>
              </w:rPr>
            </w:pPr>
          </w:p>
        </w:tc>
      </w:tr>
      <w:tr>
        <w:trPr>
          <w:trHeight w:val="246"/>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net earnings from continuing operations</w:t>
            </w:r>
          </w:p>
        </w:tc>
        <w:tc>
          <w:tcPr>
            <w:tcW w:w="30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attributable to Parent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348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65"/>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diluted EPS from continuing operations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32"/>
        </w:trPr>
        <w:tc>
          <w:tcPr>
            <w:tcW w:w="4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120" w:right="800" w:hanging="319"/>
        <w:spacing w:after="0" w:line="267" w:lineRule="auto"/>
        <w:tabs>
          <w:tab w:leader="none" w:pos="101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Reconciliation of Non-GAAP Measures</w:t>
      </w:r>
      <w:r>
        <w:rPr>
          <w:rFonts w:ascii="Times New Roman" w:cs="Times New Roman" w:eastAsia="Times New Roman" w:hAnsi="Times New Roman"/>
          <w:sz w:val="16"/>
          <w:szCs w:val="16"/>
          <w:color w:val="auto"/>
        </w:rPr>
        <w:t>” for reconciliations of these non-GAAP measures to the most directly comparable financial measures in accordance with accounting principles generally accepted in the United States (“U.S. GAAP” or “GAAP”). These non-GAAP measures exclude certain items identified as affecting comparability that are not part of our normal operations.</w:t>
      </w:r>
    </w:p>
    <w:p>
      <w:pPr>
        <w:spacing w:after="0" w:line="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Revenues during the Successor period include Skydance revenues. Revenues during the Predecessor period in 2024 benefited from advertising revenues associated with the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on CBS and Paramount+ in the first quarter of 2024 and political revenues associated with the 2024 U.S. Presidential election. We have the rights to broadcast the Super Bowl on a rotational basis with other networks, and therefore did not have a comparable broadcast in 2025.</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As a result of the pushdown of the Ultimate Parent’s basis, operating income, net loss from continuing operations attributable to Parent, and diluted EPS in the Successor period include amortization associated with the establishment of intangible assets and also reflect the net decrease in programming assets. Net loss from continuing operations and diluted EPS also include interest expense associated with the adjustment of our debt to its fair value. In addition, the Successor period includes the results of Skydance. In the 2024 Predecessor period, our results were also impacted by goodwill and FCC license impairment charges totaling $6.13 billion and programming charges of $1.12 billion. These items, as well as other items identified as affecting comparability that are not part of our normal operations have been excluded in our adjusted measures in each period. See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are exposed to political risks inherent in conducting a global business such as retaliatory actions by governments reacting to changes in the U.S. and other countries, including in connection with the imposition of tariffs and other changes in trade policies. Growing macroeconomic uncertainty relating to the imposition of tariffs and other changes in trade policies may negatively affect our results, in particular from potential impacts on the advertising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Reconciliation of Non-GAAP Measures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Adjusted operating income before depreciation and amortization (“Adjusted OIBDA”), adjusted earnings from continuing operations before income taxes, adjusted provision for income taxes, adjusted net earnings from continuing operations attributable to Parent, adjusted diluted EPS from continuing operations, and adjusted effective income tax rate, which are measures of performance not calculated in accordance with U.S. GAAP (together, the “adjusted measures”), exclude certain items identified as affecting comparability that are not part of our normal operations, including programming charges, impairment charges, restructuring charges, transaction-related items, other corporate matters, gain on dispositions, loss from investments, and discrete tax items, each where applicable. Programming charges consist only of charges related to major strategic changes, which are further described under </w:t>
      </w:r>
      <w:r>
        <w:rPr>
          <w:rFonts w:ascii="Times New Roman" w:cs="Times New Roman" w:eastAsia="Times New Roman" w:hAnsi="Times New Roman"/>
          <w:sz w:val="19"/>
          <w:szCs w:val="19"/>
          <w:i w:val="1"/>
          <w:iCs w:val="1"/>
          <w:color w:val="auto"/>
        </w:rPr>
        <w:t>Programming Charges</w:t>
      </w:r>
      <w:r>
        <w:rPr>
          <w:rFonts w:ascii="Times New Roman" w:cs="Times New Roman" w:eastAsia="Times New Roman" w:hAnsi="Times New Roman"/>
          <w:sz w:val="19"/>
          <w:szCs w:val="19"/>
          <w:color w:val="auto"/>
        </w:rPr>
        <w:t>, and do not include impairment charges that occur as part of our normal operations, which are recorded within “Operating expenses” on the Consolidated Statements of Operations, and are not excluded in our adjusted measures.</w:t>
      </w:r>
    </w:p>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use these measures to, among other things, evaluate our operating performance. These measures are among the primary measures used by management for planning and forecasting of future periods, and they are important indicators of our operational strength and business performance. In addition, we use Adjusted OIBDA to, among other things, value prospective acquisitions. We believe these measures are relevant and useful for investors because they allow investors to view performance in a manner similar to the method used by our management; and because they exclude items that are not representative of our normal, recurring operations, they provide a clearer perspective on our underlying performance; and make it easier for investors, analysts and peers to compare our operating performance to other companies in our industry and to compare our year-over-year results.</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Because the adjusted measures are measures of performance not calculated in accordance with U.S. GAAP, they should not be considered in isolation of, or as a substitute for, operating income (loss), earnings (loss) from continuing operations before income taxes, (provision for) benefit from income taxes, net earnings (loss) from continuing operations attributable to Parent, diluted EPS from continuing operations, and effective income tax rate, as applicable, as indicators of operating performance. These measures, as we calculate them,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following tables reconcile the adjusted measures to their most directly comparable financial measures in accordance with U.S. GAAP. The tax impacts on the items identified as affecting comparability in the tables below have been calculated using the tax rate applicable to each item.</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Years Ended December 31, 2025 and 2024</w:t>
      </w:r>
    </w:p>
    <w:p>
      <w:pPr>
        <w:spacing w:after="0" w:line="184" w:lineRule="exact"/>
        <w:rPr>
          <w:sz w:val="20"/>
          <w:szCs w:val="20"/>
          <w:color w:val="auto"/>
        </w:rPr>
      </w:pPr>
    </w:p>
    <w:tbl>
      <w:tblPr>
        <w:tblLayout w:type="fixed"/>
        <w:tblInd w:w="1540" w:type="dxa"/>
        <w:tblCellMar>
          <w:top w:w="0" w:type="dxa"/>
          <w:left w:w="0" w:type="dxa"/>
          <w:bottom w:w="0" w:type="dxa"/>
          <w:right w:w="0" w:type="dxa"/>
        </w:tblCellMar>
      </w:tblPr>
      <w:tr>
        <w:trPr>
          <w:trHeight w:val="258"/>
        </w:trPr>
        <w:tc>
          <w:tcPr>
            <w:tcW w:w="346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right w:val="single" w:sz="8" w:color="auto"/>
            </w:tcBorders>
          </w:tcPr>
          <w:p>
            <w:pPr>
              <w:jc w:val="center"/>
              <w:ind w:right="373"/>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50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140" w:type="dxa"/>
            <w:vAlign w:val="bottom"/>
            <w:tcBorders>
              <w:top w:val="single" w:sz="8" w:color="auto"/>
              <w:bottom w:val="single" w:sz="8" w:color="auto"/>
            </w:tcBorders>
          </w:tcPr>
          <w:p>
            <w:pPr>
              <w:spacing w:after="0"/>
              <w:rPr>
                <w:sz w:val="22"/>
                <w:szCs w:val="22"/>
                <w:color w:val="auto"/>
              </w:rPr>
            </w:pPr>
          </w:p>
        </w:tc>
      </w:tr>
      <w:tr>
        <w:trPr>
          <w:trHeight w:val="196"/>
        </w:trPr>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700" w:type="dxa"/>
            <w:vAlign w:val="bottom"/>
            <w:gridSpan w:val="2"/>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5"/>
        </w:trPr>
        <w:tc>
          <w:tcPr>
            <w:tcW w:w="3460" w:type="dxa"/>
            <w:vAlign w:val="bottom"/>
          </w:tcPr>
          <w:p>
            <w:pPr>
              <w:spacing w:after="0"/>
              <w:rPr>
                <w:sz w:val="16"/>
                <w:szCs w:val="16"/>
                <w:color w:val="auto"/>
              </w:rPr>
            </w:pPr>
          </w:p>
        </w:tc>
        <w:tc>
          <w:tcPr>
            <w:tcW w:w="1540" w:type="dxa"/>
            <w:vAlign w:val="bottom"/>
            <w:tcBorders>
              <w:right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8"/>
              </w:rPr>
              <w:t>Period From August</w:t>
            </w:r>
          </w:p>
        </w:tc>
        <w:tc>
          <w:tcPr>
            <w:tcW w:w="1700" w:type="dxa"/>
            <w:vAlign w:val="bottom"/>
            <w:gridSpan w:val="2"/>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340" w:type="dxa"/>
            <w:vAlign w:val="bottom"/>
          </w:tcPr>
          <w:p>
            <w:pPr>
              <w:spacing w:after="0"/>
              <w:rPr>
                <w:sz w:val="16"/>
                <w:szCs w:val="16"/>
                <w:color w:val="auto"/>
              </w:rPr>
            </w:pPr>
          </w:p>
        </w:tc>
        <w:tc>
          <w:tcPr>
            <w:tcW w:w="1140" w:type="dxa"/>
            <w:vAlign w:val="bottom"/>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w w:val="97"/>
              </w:rPr>
              <w:t>Year Ended</w:t>
            </w:r>
          </w:p>
        </w:tc>
      </w:tr>
      <w:tr>
        <w:trPr>
          <w:trHeight w:val="234"/>
        </w:trPr>
        <w:tc>
          <w:tcPr>
            <w:tcW w:w="3460" w:type="dxa"/>
            <w:vAlign w:val="bottom"/>
          </w:tcPr>
          <w:p>
            <w:pPr>
              <w:spacing w:after="0"/>
              <w:rPr>
                <w:sz w:val="20"/>
                <w:szCs w:val="20"/>
                <w:color w:val="auto"/>
              </w:rPr>
            </w:pPr>
          </w:p>
        </w:tc>
        <w:tc>
          <w:tcPr>
            <w:tcW w:w="1540" w:type="dxa"/>
            <w:vAlign w:val="bottom"/>
            <w:tcBorders>
              <w:bottom w:val="single" w:sz="8" w:color="auto"/>
              <w:right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7 - December 31,</w:t>
            </w: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6"/>
                <w:szCs w:val="16"/>
                <w:b w:val="1"/>
                <w:bCs w:val="1"/>
                <w:color w:val="auto"/>
              </w:rPr>
              <w:t>6,</w:t>
            </w: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32"/>
        </w:trPr>
        <w:tc>
          <w:tcPr>
            <w:tcW w:w="3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ind w:right="373"/>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3"/>
              </w:rPr>
              <w:t>2024</w:t>
            </w:r>
          </w:p>
        </w:tc>
      </w:tr>
      <w:tr>
        <w:trPr>
          <w:trHeight w:val="23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 (GAAP)</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(95)</w:t>
            </w:r>
          </w:p>
        </w:tc>
        <w:tc>
          <w:tcPr>
            <w:tcW w:w="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1,029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(5,269)</w:t>
            </w:r>
          </w:p>
        </w:tc>
      </w:tr>
      <w:tr>
        <w:trPr>
          <w:trHeight w:val="265"/>
        </w:trPr>
        <w:tc>
          <w:tcPr>
            <w:tcW w:w="3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3"/>
                <w:szCs w:val="23"/>
                <w:color w:val="auto"/>
              </w:rPr>
            </w:pPr>
          </w:p>
        </w:tc>
        <w:tc>
          <w:tcPr>
            <w:tcW w:w="12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590</w:t>
            </w:r>
          </w:p>
        </w:tc>
        <w:tc>
          <w:tcPr>
            <w:tcW w:w="500" w:type="dxa"/>
            <w:vAlign w:val="bottom"/>
          </w:tcPr>
          <w:p>
            <w:pPr>
              <w:spacing w:after="0"/>
              <w:rPr>
                <w:sz w:val="23"/>
                <w:szCs w:val="23"/>
                <w:color w:val="auto"/>
              </w:rPr>
            </w:pPr>
          </w:p>
        </w:tc>
        <w:tc>
          <w:tcPr>
            <w:tcW w:w="12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204</w:t>
            </w:r>
          </w:p>
        </w:tc>
        <w:tc>
          <w:tcPr>
            <w:tcW w:w="340" w:type="dxa"/>
            <w:vAlign w:val="bottom"/>
          </w:tcPr>
          <w:p>
            <w:pPr>
              <w:spacing w:after="0"/>
              <w:rPr>
                <w:sz w:val="23"/>
                <w:szCs w:val="23"/>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392</w:t>
            </w:r>
          </w:p>
        </w:tc>
      </w:tr>
      <w:tr>
        <w:trPr>
          <w:trHeight w:val="296"/>
        </w:trPr>
        <w:tc>
          <w:tcPr>
            <w:tcW w:w="3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Programming charges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24"/>
                <w:szCs w:val="24"/>
                <w:color w:val="auto"/>
              </w:rPr>
            </w:pPr>
          </w:p>
        </w:tc>
        <w:tc>
          <w:tcPr>
            <w:tcW w:w="12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Pr>
          <w:p>
            <w:pPr>
              <w:spacing w:after="0"/>
              <w:rPr>
                <w:sz w:val="24"/>
                <w:szCs w:val="24"/>
                <w:color w:val="auto"/>
              </w:rPr>
            </w:pPr>
          </w:p>
        </w:tc>
        <w:tc>
          <w:tcPr>
            <w:tcW w:w="12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1,118</w:t>
            </w:r>
          </w:p>
        </w:tc>
      </w:tr>
      <w:tr>
        <w:trPr>
          <w:trHeight w:val="265"/>
        </w:trPr>
        <w:tc>
          <w:tcPr>
            <w:tcW w:w="3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Impairment charges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23"/>
                <w:szCs w:val="23"/>
                <w:color w:val="auto"/>
              </w:rPr>
            </w:pPr>
          </w:p>
        </w:tc>
        <w:tc>
          <w:tcPr>
            <w:tcW w:w="12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12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157</w:t>
            </w:r>
          </w:p>
        </w:tc>
        <w:tc>
          <w:tcPr>
            <w:tcW w:w="340" w:type="dxa"/>
            <w:vAlign w:val="bottom"/>
          </w:tcPr>
          <w:p>
            <w:pPr>
              <w:spacing w:after="0"/>
              <w:rPr>
                <w:sz w:val="23"/>
                <w:szCs w:val="23"/>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6,130</w:t>
            </w:r>
          </w:p>
        </w:tc>
      </w:tr>
      <w:tr>
        <w:trPr>
          <w:trHeight w:val="265"/>
        </w:trPr>
        <w:tc>
          <w:tcPr>
            <w:tcW w:w="3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23"/>
                <w:szCs w:val="23"/>
                <w:color w:val="auto"/>
              </w:rPr>
            </w:pPr>
          </w:p>
        </w:tc>
        <w:tc>
          <w:tcPr>
            <w:tcW w:w="12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650</w:t>
            </w:r>
          </w:p>
        </w:tc>
        <w:tc>
          <w:tcPr>
            <w:tcW w:w="500" w:type="dxa"/>
            <w:vAlign w:val="bottom"/>
          </w:tcPr>
          <w:p>
            <w:pPr>
              <w:spacing w:after="0"/>
              <w:rPr>
                <w:sz w:val="23"/>
                <w:szCs w:val="23"/>
                <w:color w:val="auto"/>
              </w:rPr>
            </w:pPr>
          </w:p>
        </w:tc>
        <w:tc>
          <w:tcPr>
            <w:tcW w:w="12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255</w:t>
            </w:r>
          </w:p>
        </w:tc>
        <w:tc>
          <w:tcPr>
            <w:tcW w:w="340" w:type="dxa"/>
            <w:vAlign w:val="bottom"/>
          </w:tcPr>
          <w:p>
            <w:pPr>
              <w:spacing w:after="0"/>
              <w:rPr>
                <w:sz w:val="23"/>
                <w:szCs w:val="23"/>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554</w:t>
            </w:r>
          </w:p>
        </w:tc>
      </w:tr>
      <w:tr>
        <w:trPr>
          <w:trHeight w:val="265"/>
        </w:trPr>
        <w:tc>
          <w:tcPr>
            <w:tcW w:w="3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Transaction-related items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23"/>
                <w:szCs w:val="23"/>
                <w:color w:val="auto"/>
              </w:rPr>
            </w:pPr>
          </w:p>
        </w:tc>
        <w:tc>
          <w:tcPr>
            <w:tcW w:w="12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81</w:t>
            </w:r>
          </w:p>
        </w:tc>
        <w:tc>
          <w:tcPr>
            <w:tcW w:w="500" w:type="dxa"/>
            <w:vAlign w:val="bottom"/>
          </w:tcPr>
          <w:p>
            <w:pPr>
              <w:spacing w:after="0"/>
              <w:rPr>
                <w:sz w:val="23"/>
                <w:szCs w:val="23"/>
                <w:color w:val="auto"/>
              </w:rPr>
            </w:pPr>
          </w:p>
        </w:tc>
        <w:tc>
          <w:tcPr>
            <w:tcW w:w="12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199</w:t>
            </w:r>
          </w:p>
        </w:tc>
        <w:tc>
          <w:tcPr>
            <w:tcW w:w="340" w:type="dxa"/>
            <w:vAlign w:val="bottom"/>
          </w:tcPr>
          <w:p>
            <w:pPr>
              <w:spacing w:after="0"/>
              <w:rPr>
                <w:sz w:val="23"/>
                <w:szCs w:val="23"/>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62</w:t>
            </w:r>
          </w:p>
        </w:tc>
      </w:tr>
      <w:tr>
        <w:trPr>
          <w:trHeight w:val="265"/>
        </w:trPr>
        <w:tc>
          <w:tcPr>
            <w:tcW w:w="3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Other corporate matters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23"/>
                <w:szCs w:val="23"/>
                <w:color w:val="auto"/>
              </w:rPr>
            </w:pPr>
          </w:p>
        </w:tc>
        <w:tc>
          <w:tcPr>
            <w:tcW w:w="12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12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131</w:t>
            </w:r>
          </w:p>
        </w:tc>
      </w:tr>
      <w:tr>
        <w:trPr>
          <w:trHeight w:val="260"/>
        </w:trPr>
        <w:tc>
          <w:tcPr>
            <w:tcW w:w="3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xml:space="preserve">Gain on dispositions </w:t>
            </w:r>
            <w:r>
              <w:rPr>
                <w:rFonts w:ascii="Times New Roman" w:cs="Times New Roman" w:eastAsia="Times New Roman" w:hAnsi="Times New Roman"/>
                <w:sz w:val="22"/>
                <w:szCs w:val="22"/>
                <w:color w:val="auto"/>
                <w:vertAlign w:val="superscript"/>
              </w:rPr>
              <w:t>(a)</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OIBDA (Non-GAAP)</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1,267</w:t>
            </w:r>
          </w:p>
        </w:tc>
        <w:tc>
          <w:tcPr>
            <w:tcW w:w="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1,809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3,118</w:t>
            </w:r>
          </w:p>
        </w:tc>
      </w:tr>
      <w:tr>
        <w:trPr>
          <w:trHeight w:val="32"/>
        </w:trPr>
        <w:tc>
          <w:tcPr>
            <w:tcW w:w="3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ind w:left="1500" w:hanging="222"/>
        <w:spacing w:after="0"/>
        <w:tabs>
          <w:tab w:leader="none" w:pos="1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notes on the following tables for additional information on items affecting comparability.</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51" w:lineRule="exact"/>
        <w:rPr>
          <w:rFonts w:ascii="Times New Roman" w:cs="Times New Roman" w:eastAsia="Times New Roman" w:hAnsi="Times New Roman"/>
          <w:sz w:val="16"/>
          <w:szCs w:val="16"/>
          <w:color w:val="auto"/>
        </w:rPr>
      </w:pPr>
    </w:p>
    <w:p>
      <w:pPr>
        <w:ind w:left="5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4" w:name="page25"/>
    <w:bookmarkEnd w:id="24"/>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129540</wp:posOffset>
            </wp:positionV>
            <wp:extent cx="66217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21780" cy="17145"/>
                    </a:xfrm>
                    <a:prstGeom prst="rect">
                      <a:avLst/>
                    </a:prstGeom>
                    <a:noFill/>
                  </pic:spPr>
                </pic:pic>
              </a:graphicData>
            </a:graphic>
          </wp:anchor>
        </w:drawing>
      </w:r>
    </w:p>
    <w:p>
      <w:pPr>
        <w:spacing w:after="0" w:line="216" w:lineRule="exact"/>
        <w:rPr>
          <w:sz w:val="20"/>
          <w:szCs w:val="20"/>
          <w:color w:val="auto"/>
        </w:rPr>
      </w:pPr>
    </w:p>
    <w:tbl>
      <w:tblPr>
        <w:tblLayout w:type="fixed"/>
        <w:tblInd w:w="420" w:type="dxa"/>
        <w:tblCellMar>
          <w:top w:w="0" w:type="dxa"/>
          <w:left w:w="0" w:type="dxa"/>
          <w:bottom w:w="0" w:type="dxa"/>
          <w:right w:w="0" w:type="dxa"/>
        </w:tblCellMar>
      </w:tblPr>
      <w:tr>
        <w:trPr>
          <w:trHeight w:val="233"/>
        </w:trPr>
        <w:tc>
          <w:tcPr>
            <w:tcW w:w="3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gridSpan w:val="2"/>
          </w:tcPr>
          <w:p>
            <w:pPr>
              <w:jc w:val="center"/>
              <w:ind w:left="376"/>
              <w:spacing w:after="0"/>
              <w:rPr>
                <w:sz w:val="20"/>
                <w:szCs w:val="20"/>
                <w:color w:val="auto"/>
              </w:rPr>
            </w:pPr>
            <w:r>
              <w:rPr>
                <w:rFonts w:ascii="Times New Roman" w:cs="Times New Roman" w:eastAsia="Times New Roman" w:hAnsi="Times New Roman"/>
                <w:sz w:val="18"/>
                <w:szCs w:val="18"/>
                <w:b w:val="1"/>
                <w:bCs w:val="1"/>
                <w:color w:val="auto"/>
                <w:w w:val="95"/>
              </w:rPr>
              <w:t>Successor</w:t>
            </w: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6"/>
        </w:trPr>
        <w:tc>
          <w:tcPr>
            <w:tcW w:w="36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3"/>
        </w:trPr>
        <w:tc>
          <w:tcPr>
            <w:tcW w:w="3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500" w:type="dxa"/>
            <w:vAlign w:val="bottom"/>
            <w:gridSpan w:val="4"/>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Period From August 7 - December 31, 2025</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
        </w:trPr>
        <w:tc>
          <w:tcPr>
            <w:tcW w:w="36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1"/>
        </w:trPr>
        <w:tc>
          <w:tcPr>
            <w:tcW w:w="3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Net Earnings (Loss)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362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Earnings (Loss) from</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from Continuing</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362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Continuing</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Benefit from</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Operations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Diluted EPS from</w:t>
            </w:r>
          </w:p>
        </w:tc>
      </w:tr>
      <w:tr>
        <w:trPr>
          <w:trHeight w:val="212"/>
        </w:trPr>
        <w:tc>
          <w:tcPr>
            <w:tcW w:w="362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Operations Before</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(Provision for)</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Attributable to</w:t>
            </w:r>
          </w:p>
        </w:tc>
        <w:tc>
          <w:tcPr>
            <w:tcW w:w="380" w:type="dxa"/>
            <w:vAlign w:val="bottom"/>
          </w:tcPr>
          <w:p>
            <w:pPr>
              <w:spacing w:after="0"/>
              <w:rPr>
                <w:sz w:val="18"/>
                <w:szCs w:val="18"/>
                <w:color w:val="auto"/>
              </w:rPr>
            </w:pPr>
          </w:p>
        </w:tc>
        <w:tc>
          <w:tcPr>
            <w:tcW w:w="1220" w:type="dxa"/>
            <w:vAlign w:val="bottom"/>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8"/>
              </w:rPr>
              <w:t>Continuing</w:t>
            </w:r>
          </w:p>
        </w:tc>
      </w:tr>
      <w:tr>
        <w:trPr>
          <w:trHeight w:val="233"/>
        </w:trPr>
        <w:tc>
          <w:tcPr>
            <w:tcW w:w="362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Income Taxes</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600" w:type="dxa"/>
            <w:vAlign w:val="bottom"/>
          </w:tcPr>
          <w:p>
            <w:pPr>
              <w:spacing w:after="0"/>
              <w:rPr>
                <w:sz w:val="20"/>
                <w:szCs w:val="20"/>
                <w:color w:val="auto"/>
              </w:rPr>
            </w:pPr>
          </w:p>
        </w:tc>
        <w:tc>
          <w:tcPr>
            <w:tcW w:w="1240" w:type="dxa"/>
            <w:vAlign w:val="bottom"/>
          </w:tcPr>
          <w:p>
            <w:pPr>
              <w:jc w:val="center"/>
              <w:ind w:right="492"/>
              <w:spacing w:after="0"/>
              <w:rPr>
                <w:sz w:val="20"/>
                <w:szCs w:val="20"/>
                <w:color w:val="auto"/>
              </w:rPr>
            </w:pPr>
            <w:r>
              <w:rPr>
                <w:rFonts w:ascii="Times New Roman" w:cs="Times New Roman" w:eastAsia="Times New Roman" w:hAnsi="Times New Roman"/>
                <w:sz w:val="18"/>
                <w:szCs w:val="18"/>
                <w:b w:val="1"/>
                <w:bCs w:val="1"/>
                <w:color w:val="auto"/>
                <w:w w:val="96"/>
              </w:rPr>
              <w:t>Parent</w:t>
            </w:r>
          </w:p>
        </w:tc>
        <w:tc>
          <w:tcPr>
            <w:tcW w:w="380" w:type="dxa"/>
            <w:vAlign w:val="bottom"/>
          </w:tcPr>
          <w:p>
            <w:pPr>
              <w:spacing w:after="0"/>
              <w:rPr>
                <w:sz w:val="20"/>
                <w:szCs w:val="20"/>
                <w:color w:val="auto"/>
              </w:rPr>
            </w:pPr>
          </w:p>
        </w:tc>
        <w:tc>
          <w:tcPr>
            <w:tcW w:w="1220" w:type="dxa"/>
            <w:vAlign w:val="bottom"/>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7"/>
              </w:rPr>
              <w:t>Operations</w:t>
            </w:r>
          </w:p>
        </w:tc>
      </w:tr>
      <w:tr>
        <w:trPr>
          <w:trHeight w:val="26"/>
        </w:trPr>
        <w:tc>
          <w:tcPr>
            <w:tcW w:w="3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Reported (GAAP)</w:t>
            </w: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(476)</w:t>
            </w: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6"/>
              <w:spacing w:after="0" w:line="266" w:lineRule="exact"/>
              <w:rPr>
                <w:sz w:val="20"/>
                <w:szCs w:val="20"/>
                <w:color w:val="auto"/>
              </w:rPr>
            </w:pPr>
            <w:r>
              <w:rPr>
                <w:rFonts w:ascii="Times New Roman" w:cs="Times New Roman" w:eastAsia="Times New Roman" w:hAnsi="Times New Roman"/>
                <w:sz w:val="30"/>
                <w:szCs w:val="30"/>
                <w:color w:val="auto"/>
                <w:vertAlign w:val="subscript"/>
              </w:rPr>
              <w:t>40</w:t>
            </w:r>
            <w:r>
              <w:rPr>
                <w:rFonts w:ascii="Times New Roman" w:cs="Times New Roman" w:eastAsia="Times New Roman" w:hAnsi="Times New Roman"/>
                <w:sz w:val="11"/>
                <w:szCs w:val="11"/>
                <w:color w:val="auto"/>
              </w:rPr>
              <w:t xml:space="preserve"> (g)</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(586)</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8"/>
              </w:rPr>
              <w:t>(.53)</w:t>
            </w:r>
          </w:p>
        </w:tc>
      </w:tr>
      <w:tr>
        <w:trPr>
          <w:trHeight w:val="231"/>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Items affecting comparability:</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99"/>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Programming charges </w:t>
            </w:r>
            <w:r>
              <w:rPr>
                <w:rFonts w:ascii="Times New Roman" w:cs="Times New Roman" w:eastAsia="Times New Roman" w:hAnsi="Times New Roman"/>
                <w:sz w:val="22"/>
                <w:szCs w:val="22"/>
                <w:color w:val="auto"/>
                <w:vertAlign w:val="superscript"/>
              </w:rPr>
              <w:t>(a)</w:t>
            </w:r>
          </w:p>
        </w:tc>
        <w:tc>
          <w:tcPr>
            <w:tcW w:w="660" w:type="dxa"/>
            <w:vAlign w:val="bottom"/>
          </w:tcPr>
          <w:p>
            <w:pPr>
              <w:spacing w:after="0"/>
              <w:rPr>
                <w:sz w:val="24"/>
                <w:szCs w:val="24"/>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41</w:t>
            </w:r>
          </w:p>
        </w:tc>
        <w:tc>
          <w:tcPr>
            <w:tcW w:w="680" w:type="dxa"/>
            <w:vAlign w:val="bottom"/>
          </w:tcPr>
          <w:p>
            <w:pPr>
              <w:spacing w:after="0"/>
              <w:rPr>
                <w:sz w:val="24"/>
                <w:szCs w:val="24"/>
                <w:color w:val="auto"/>
              </w:rPr>
            </w:pPr>
          </w:p>
        </w:tc>
        <w:tc>
          <w:tcPr>
            <w:tcW w:w="9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tcPr>
          <w:p>
            <w:pPr>
              <w:spacing w:after="0"/>
              <w:rPr>
                <w:sz w:val="24"/>
                <w:szCs w:val="24"/>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24"/>
                <w:szCs w:val="24"/>
                <w:color w:val="auto"/>
              </w:rPr>
            </w:pP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7"/>
              </w:rPr>
              <w:t>.03</w:t>
            </w:r>
          </w:p>
        </w:tc>
      </w:tr>
      <w:tr>
        <w:trPr>
          <w:trHeight w:val="265"/>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2"/>
                <w:szCs w:val="22"/>
                <w:color w:val="auto"/>
                <w:vertAlign w:val="superscript"/>
              </w:rPr>
              <w:t>(b)</w:t>
            </w:r>
          </w:p>
        </w:tc>
        <w:tc>
          <w:tcPr>
            <w:tcW w:w="660" w:type="dxa"/>
            <w:vAlign w:val="bottom"/>
          </w:tcPr>
          <w:p>
            <w:pPr>
              <w:spacing w:after="0"/>
              <w:rPr>
                <w:sz w:val="23"/>
                <w:szCs w:val="23"/>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650</w:t>
            </w:r>
          </w:p>
        </w:tc>
        <w:tc>
          <w:tcPr>
            <w:tcW w:w="680" w:type="dxa"/>
            <w:vAlign w:val="bottom"/>
          </w:tcPr>
          <w:p>
            <w:pPr>
              <w:spacing w:after="0"/>
              <w:rPr>
                <w:sz w:val="23"/>
                <w:szCs w:val="23"/>
                <w:color w:val="auto"/>
              </w:rPr>
            </w:pPr>
          </w:p>
        </w:tc>
        <w:tc>
          <w:tcPr>
            <w:tcW w:w="9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(147)</w:t>
            </w:r>
          </w:p>
        </w:tc>
        <w:tc>
          <w:tcPr>
            <w:tcW w:w="600" w:type="dxa"/>
            <w:vAlign w:val="bottom"/>
          </w:tcPr>
          <w:p>
            <w:pPr>
              <w:spacing w:after="0"/>
              <w:rPr>
                <w:sz w:val="23"/>
                <w:szCs w:val="23"/>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503</w:t>
            </w:r>
          </w:p>
        </w:tc>
        <w:tc>
          <w:tcPr>
            <w:tcW w:w="380" w:type="dxa"/>
            <w:vAlign w:val="bottom"/>
          </w:tcPr>
          <w:p>
            <w:pPr>
              <w:spacing w:after="0"/>
              <w:rPr>
                <w:sz w:val="23"/>
                <w:szCs w:val="23"/>
                <w:color w:val="auto"/>
              </w:rPr>
            </w:pP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7"/>
              </w:rPr>
              <w:t>.45</w:t>
            </w:r>
          </w:p>
        </w:tc>
      </w:tr>
      <w:tr>
        <w:trPr>
          <w:trHeight w:val="265"/>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Transaction-related items </w:t>
            </w:r>
            <w:r>
              <w:rPr>
                <w:rFonts w:ascii="Times New Roman" w:cs="Times New Roman" w:eastAsia="Times New Roman" w:hAnsi="Times New Roman"/>
                <w:sz w:val="22"/>
                <w:szCs w:val="22"/>
                <w:color w:val="auto"/>
                <w:vertAlign w:val="superscript"/>
              </w:rPr>
              <w:t>(c)</w:t>
            </w:r>
          </w:p>
        </w:tc>
        <w:tc>
          <w:tcPr>
            <w:tcW w:w="660" w:type="dxa"/>
            <w:vAlign w:val="bottom"/>
          </w:tcPr>
          <w:p>
            <w:pPr>
              <w:spacing w:after="0"/>
              <w:rPr>
                <w:sz w:val="23"/>
                <w:szCs w:val="23"/>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81</w:t>
            </w:r>
          </w:p>
        </w:tc>
        <w:tc>
          <w:tcPr>
            <w:tcW w:w="680" w:type="dxa"/>
            <w:vAlign w:val="bottom"/>
          </w:tcPr>
          <w:p>
            <w:pPr>
              <w:spacing w:after="0"/>
              <w:rPr>
                <w:sz w:val="23"/>
                <w:szCs w:val="23"/>
                <w:color w:val="auto"/>
              </w:rPr>
            </w:pPr>
          </w:p>
        </w:tc>
        <w:tc>
          <w:tcPr>
            <w:tcW w:w="9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(18)</w:t>
            </w:r>
          </w:p>
        </w:tc>
        <w:tc>
          <w:tcPr>
            <w:tcW w:w="600" w:type="dxa"/>
            <w:vAlign w:val="bottom"/>
          </w:tcPr>
          <w:p>
            <w:pPr>
              <w:spacing w:after="0"/>
              <w:rPr>
                <w:sz w:val="23"/>
                <w:szCs w:val="23"/>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tcPr>
          <w:p>
            <w:pPr>
              <w:spacing w:after="0"/>
              <w:rPr>
                <w:sz w:val="23"/>
                <w:szCs w:val="23"/>
                <w:color w:val="auto"/>
              </w:rPr>
            </w:pP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7"/>
              </w:rPr>
              <w:t>.06</w:t>
            </w:r>
          </w:p>
        </w:tc>
      </w:tr>
      <w:tr>
        <w:trPr>
          <w:trHeight w:val="231"/>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investments</w:t>
            </w:r>
          </w:p>
        </w:tc>
        <w:tc>
          <w:tcPr>
            <w:tcW w:w="660" w:type="dxa"/>
            <w:vAlign w:val="bottom"/>
          </w:tcPr>
          <w:p>
            <w:pPr>
              <w:spacing w:after="0"/>
              <w:rPr>
                <w:sz w:val="20"/>
                <w:szCs w:val="20"/>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40</w:t>
            </w:r>
          </w:p>
        </w:tc>
        <w:tc>
          <w:tcPr>
            <w:tcW w:w="680" w:type="dxa"/>
            <w:vAlign w:val="bottom"/>
          </w:tcPr>
          <w:p>
            <w:pPr>
              <w:spacing w:after="0"/>
              <w:rPr>
                <w:sz w:val="20"/>
                <w:szCs w:val="20"/>
                <w:color w:val="auto"/>
              </w:rPr>
            </w:pPr>
          </w:p>
        </w:tc>
        <w:tc>
          <w:tcPr>
            <w:tcW w:w="9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tcPr>
          <w:p>
            <w:pPr>
              <w:spacing w:after="0"/>
              <w:rPr>
                <w:sz w:val="20"/>
                <w:szCs w:val="20"/>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Pr>
          <w:p>
            <w:pPr>
              <w:spacing w:after="0"/>
              <w:rPr>
                <w:sz w:val="20"/>
                <w:szCs w:val="20"/>
                <w:color w:val="auto"/>
              </w:rPr>
            </w:pP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7"/>
              </w:rPr>
              <w:t>.03</w:t>
            </w:r>
          </w:p>
        </w:tc>
      </w:tr>
      <w:tr>
        <w:trPr>
          <w:trHeight w:val="290"/>
        </w:trPr>
        <w:tc>
          <w:tcPr>
            <w:tcW w:w="3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xml:space="preserve">Discrete tax items </w:t>
            </w:r>
            <w:r>
              <w:rPr>
                <w:rFonts w:ascii="Times New Roman" w:cs="Times New Roman" w:eastAsia="Times New Roman" w:hAnsi="Times New Roman"/>
                <w:sz w:val="22"/>
                <w:szCs w:val="22"/>
                <w:color w:val="auto"/>
                <w:vertAlign w:val="superscript"/>
              </w:rPr>
              <w:t>(d)</w:t>
            </w: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18"/>
                <w:szCs w:val="18"/>
                <w:color w:val="auto"/>
                <w:w w:val="98"/>
              </w:rPr>
              <w:t>(.03)</w:t>
            </w:r>
          </w:p>
        </w:tc>
      </w:tr>
      <w:tr>
        <w:trPr>
          <w:trHeight w:val="26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Adjusted (Non-GAAP)</w:t>
            </w: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336</w:t>
            </w:r>
          </w:p>
        </w:tc>
        <w:tc>
          <w:tcPr>
            <w:tcW w:w="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 xml:space="preserve">(177) </w:t>
            </w:r>
            <w:r>
              <w:rPr>
                <w:rFonts w:ascii="Times New Roman" w:cs="Times New Roman" w:eastAsia="Times New Roman" w:hAnsi="Times New Roman"/>
                <w:sz w:val="22"/>
                <w:szCs w:val="22"/>
                <w:color w:val="auto"/>
                <w:vertAlign w:val="superscript"/>
              </w:rPr>
              <w:t>(g)</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18"/>
                <w:szCs w:val="18"/>
                <w:color w:val="auto"/>
                <w:w w:val="97"/>
              </w:rPr>
              <w:t>.01</w:t>
            </w:r>
          </w:p>
        </w:tc>
      </w:tr>
      <w:tr>
        <w:trPr>
          <w:trHeight w:val="258"/>
        </w:trPr>
        <w:tc>
          <w:tcPr>
            <w:tcW w:w="36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39"/>
        </w:trPr>
        <w:tc>
          <w:tcPr>
            <w:tcW w:w="3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gridSpan w:val="2"/>
          </w:tcPr>
          <w:p>
            <w:pPr>
              <w:jc w:val="center"/>
              <w:ind w:left="356"/>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
        </w:trPr>
        <w:tc>
          <w:tcPr>
            <w:tcW w:w="36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3"/>
        </w:trPr>
        <w:tc>
          <w:tcPr>
            <w:tcW w:w="3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500" w:type="dxa"/>
            <w:vAlign w:val="bottom"/>
            <w:gridSpan w:val="4"/>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8"/>
              </w:rPr>
              <w:t>Period From January 1 - August 6, 2025</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
        </w:trPr>
        <w:tc>
          <w:tcPr>
            <w:tcW w:w="36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1"/>
        </w:trPr>
        <w:tc>
          <w:tcPr>
            <w:tcW w:w="3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Net Earnings (Loss)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362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Earnings from</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from Continuing</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362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Continuing</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Benefit from</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Operations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Diluted EPS from</w:t>
            </w:r>
          </w:p>
        </w:tc>
      </w:tr>
      <w:tr>
        <w:trPr>
          <w:trHeight w:val="212"/>
        </w:trPr>
        <w:tc>
          <w:tcPr>
            <w:tcW w:w="362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Operations Before</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(Provision for)</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Attributable to</w:t>
            </w:r>
          </w:p>
        </w:tc>
        <w:tc>
          <w:tcPr>
            <w:tcW w:w="380" w:type="dxa"/>
            <w:vAlign w:val="bottom"/>
          </w:tcPr>
          <w:p>
            <w:pPr>
              <w:spacing w:after="0"/>
              <w:rPr>
                <w:sz w:val="18"/>
                <w:szCs w:val="18"/>
                <w:color w:val="auto"/>
              </w:rPr>
            </w:pPr>
          </w:p>
        </w:tc>
        <w:tc>
          <w:tcPr>
            <w:tcW w:w="1220" w:type="dxa"/>
            <w:vAlign w:val="bottom"/>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8"/>
              </w:rPr>
              <w:t>Continuing</w:t>
            </w:r>
          </w:p>
        </w:tc>
      </w:tr>
      <w:tr>
        <w:trPr>
          <w:trHeight w:val="233"/>
        </w:trPr>
        <w:tc>
          <w:tcPr>
            <w:tcW w:w="362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Income Taxes</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600" w:type="dxa"/>
            <w:vAlign w:val="bottom"/>
          </w:tcPr>
          <w:p>
            <w:pPr>
              <w:spacing w:after="0"/>
              <w:rPr>
                <w:sz w:val="20"/>
                <w:szCs w:val="20"/>
                <w:color w:val="auto"/>
              </w:rPr>
            </w:pPr>
          </w:p>
        </w:tc>
        <w:tc>
          <w:tcPr>
            <w:tcW w:w="1240" w:type="dxa"/>
            <w:vAlign w:val="bottom"/>
          </w:tcPr>
          <w:p>
            <w:pPr>
              <w:jc w:val="center"/>
              <w:ind w:right="492"/>
              <w:spacing w:after="0"/>
              <w:rPr>
                <w:sz w:val="20"/>
                <w:szCs w:val="20"/>
                <w:color w:val="auto"/>
              </w:rPr>
            </w:pPr>
            <w:r>
              <w:rPr>
                <w:rFonts w:ascii="Times New Roman" w:cs="Times New Roman" w:eastAsia="Times New Roman" w:hAnsi="Times New Roman"/>
                <w:sz w:val="18"/>
                <w:szCs w:val="18"/>
                <w:b w:val="1"/>
                <w:bCs w:val="1"/>
                <w:color w:val="auto"/>
                <w:w w:val="96"/>
              </w:rPr>
              <w:t>Parent</w:t>
            </w:r>
          </w:p>
        </w:tc>
        <w:tc>
          <w:tcPr>
            <w:tcW w:w="380" w:type="dxa"/>
            <w:vAlign w:val="bottom"/>
          </w:tcPr>
          <w:p>
            <w:pPr>
              <w:spacing w:after="0"/>
              <w:rPr>
                <w:sz w:val="20"/>
                <w:szCs w:val="20"/>
                <w:color w:val="auto"/>
              </w:rPr>
            </w:pPr>
          </w:p>
        </w:tc>
        <w:tc>
          <w:tcPr>
            <w:tcW w:w="1220" w:type="dxa"/>
            <w:vAlign w:val="bottom"/>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7"/>
              </w:rPr>
              <w:t>Operations</w:t>
            </w:r>
          </w:p>
        </w:tc>
      </w:tr>
      <w:tr>
        <w:trPr>
          <w:trHeight w:val="25"/>
        </w:trPr>
        <w:tc>
          <w:tcPr>
            <w:tcW w:w="3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Reported (GAAP)</w:t>
            </w: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504</w:t>
            </w: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6"/>
              <w:spacing w:after="0" w:line="266" w:lineRule="exact"/>
              <w:rPr>
                <w:sz w:val="20"/>
                <w:szCs w:val="20"/>
                <w:color w:val="auto"/>
              </w:rPr>
            </w:pPr>
            <w:r>
              <w:rPr>
                <w:rFonts w:ascii="Times New Roman" w:cs="Times New Roman" w:eastAsia="Times New Roman" w:hAnsi="Times New Roman"/>
                <w:sz w:val="30"/>
                <w:szCs w:val="30"/>
                <w:color w:val="auto"/>
                <w:vertAlign w:val="subscript"/>
              </w:rPr>
              <w:t>79</w:t>
            </w:r>
            <w:r>
              <w:rPr>
                <w:rFonts w:ascii="Times New Roman" w:cs="Times New Roman" w:eastAsia="Times New Roman" w:hAnsi="Times New Roman"/>
                <w:sz w:val="11"/>
                <w:szCs w:val="11"/>
                <w:color w:val="auto"/>
              </w:rPr>
              <w:t xml:space="preserve"> (h)</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8"/>
              </w:rPr>
              <w:t>(.05)</w:t>
            </w:r>
          </w:p>
        </w:tc>
      </w:tr>
      <w:tr>
        <w:trPr>
          <w:trHeight w:val="231"/>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Items affecting comparability:</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96"/>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Impairment charges </w:t>
            </w:r>
            <w:r>
              <w:rPr>
                <w:rFonts w:ascii="Times New Roman" w:cs="Times New Roman" w:eastAsia="Times New Roman" w:hAnsi="Times New Roman"/>
                <w:sz w:val="22"/>
                <w:szCs w:val="22"/>
                <w:color w:val="auto"/>
                <w:vertAlign w:val="superscript"/>
              </w:rPr>
              <w:t>(e)</w:t>
            </w:r>
          </w:p>
        </w:tc>
        <w:tc>
          <w:tcPr>
            <w:tcW w:w="660" w:type="dxa"/>
            <w:vAlign w:val="bottom"/>
          </w:tcPr>
          <w:p>
            <w:pPr>
              <w:spacing w:after="0"/>
              <w:rPr>
                <w:sz w:val="24"/>
                <w:szCs w:val="24"/>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157</w:t>
            </w:r>
          </w:p>
        </w:tc>
        <w:tc>
          <w:tcPr>
            <w:tcW w:w="680" w:type="dxa"/>
            <w:vAlign w:val="bottom"/>
          </w:tcPr>
          <w:p>
            <w:pPr>
              <w:spacing w:after="0"/>
              <w:rPr>
                <w:sz w:val="24"/>
                <w:szCs w:val="24"/>
                <w:color w:val="auto"/>
              </w:rPr>
            </w:pPr>
          </w:p>
        </w:tc>
        <w:tc>
          <w:tcPr>
            <w:tcW w:w="9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(39)</w:t>
            </w:r>
          </w:p>
        </w:tc>
        <w:tc>
          <w:tcPr>
            <w:tcW w:w="600" w:type="dxa"/>
            <w:vAlign w:val="bottom"/>
          </w:tcPr>
          <w:p>
            <w:pPr>
              <w:spacing w:after="0"/>
              <w:rPr>
                <w:sz w:val="24"/>
                <w:szCs w:val="24"/>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118</w:t>
            </w:r>
          </w:p>
        </w:tc>
        <w:tc>
          <w:tcPr>
            <w:tcW w:w="380" w:type="dxa"/>
            <w:vAlign w:val="bottom"/>
          </w:tcPr>
          <w:p>
            <w:pPr>
              <w:spacing w:after="0"/>
              <w:rPr>
                <w:sz w:val="24"/>
                <w:szCs w:val="24"/>
                <w:color w:val="auto"/>
              </w:rPr>
            </w:pP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7"/>
              </w:rPr>
              <w:t>.17</w:t>
            </w:r>
          </w:p>
        </w:tc>
      </w:tr>
      <w:tr>
        <w:trPr>
          <w:trHeight w:val="265"/>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2"/>
                <w:szCs w:val="22"/>
                <w:color w:val="auto"/>
                <w:vertAlign w:val="superscript"/>
              </w:rPr>
              <w:t>(b)</w:t>
            </w:r>
          </w:p>
        </w:tc>
        <w:tc>
          <w:tcPr>
            <w:tcW w:w="660" w:type="dxa"/>
            <w:vAlign w:val="bottom"/>
          </w:tcPr>
          <w:p>
            <w:pPr>
              <w:spacing w:after="0"/>
              <w:rPr>
                <w:sz w:val="23"/>
                <w:szCs w:val="23"/>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255</w:t>
            </w:r>
          </w:p>
        </w:tc>
        <w:tc>
          <w:tcPr>
            <w:tcW w:w="680" w:type="dxa"/>
            <w:vAlign w:val="bottom"/>
          </w:tcPr>
          <w:p>
            <w:pPr>
              <w:spacing w:after="0"/>
              <w:rPr>
                <w:sz w:val="23"/>
                <w:szCs w:val="23"/>
                <w:color w:val="auto"/>
              </w:rPr>
            </w:pPr>
          </w:p>
        </w:tc>
        <w:tc>
          <w:tcPr>
            <w:tcW w:w="9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(61)</w:t>
            </w:r>
          </w:p>
        </w:tc>
        <w:tc>
          <w:tcPr>
            <w:tcW w:w="600" w:type="dxa"/>
            <w:vAlign w:val="bottom"/>
          </w:tcPr>
          <w:p>
            <w:pPr>
              <w:spacing w:after="0"/>
              <w:rPr>
                <w:sz w:val="23"/>
                <w:szCs w:val="23"/>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194</w:t>
            </w:r>
          </w:p>
        </w:tc>
        <w:tc>
          <w:tcPr>
            <w:tcW w:w="380" w:type="dxa"/>
            <w:vAlign w:val="bottom"/>
          </w:tcPr>
          <w:p>
            <w:pPr>
              <w:spacing w:after="0"/>
              <w:rPr>
                <w:sz w:val="23"/>
                <w:szCs w:val="23"/>
                <w:color w:val="auto"/>
              </w:rPr>
            </w:pP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7"/>
              </w:rPr>
              <w:t>.29</w:t>
            </w:r>
          </w:p>
        </w:tc>
      </w:tr>
      <w:tr>
        <w:trPr>
          <w:trHeight w:val="265"/>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Transaction-related items </w:t>
            </w:r>
            <w:r>
              <w:rPr>
                <w:rFonts w:ascii="Times New Roman" w:cs="Times New Roman" w:eastAsia="Times New Roman" w:hAnsi="Times New Roman"/>
                <w:sz w:val="22"/>
                <w:szCs w:val="22"/>
                <w:color w:val="auto"/>
                <w:vertAlign w:val="superscript"/>
              </w:rPr>
              <w:t>(c)</w:t>
            </w:r>
          </w:p>
        </w:tc>
        <w:tc>
          <w:tcPr>
            <w:tcW w:w="660" w:type="dxa"/>
            <w:vAlign w:val="bottom"/>
          </w:tcPr>
          <w:p>
            <w:pPr>
              <w:spacing w:after="0"/>
              <w:rPr>
                <w:sz w:val="23"/>
                <w:szCs w:val="23"/>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199</w:t>
            </w:r>
          </w:p>
        </w:tc>
        <w:tc>
          <w:tcPr>
            <w:tcW w:w="680" w:type="dxa"/>
            <w:vAlign w:val="bottom"/>
          </w:tcPr>
          <w:p>
            <w:pPr>
              <w:spacing w:after="0"/>
              <w:rPr>
                <w:sz w:val="23"/>
                <w:szCs w:val="23"/>
                <w:color w:val="auto"/>
              </w:rPr>
            </w:pPr>
          </w:p>
        </w:tc>
        <w:tc>
          <w:tcPr>
            <w:tcW w:w="9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tcPr>
          <w:p>
            <w:pPr>
              <w:spacing w:after="0"/>
              <w:rPr>
                <w:sz w:val="23"/>
                <w:szCs w:val="23"/>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168</w:t>
            </w:r>
          </w:p>
        </w:tc>
        <w:tc>
          <w:tcPr>
            <w:tcW w:w="380" w:type="dxa"/>
            <w:vAlign w:val="bottom"/>
          </w:tcPr>
          <w:p>
            <w:pPr>
              <w:spacing w:after="0"/>
              <w:rPr>
                <w:sz w:val="23"/>
                <w:szCs w:val="23"/>
                <w:color w:val="auto"/>
              </w:rPr>
            </w:pP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7"/>
              </w:rPr>
              <w:t>.25</w:t>
            </w:r>
          </w:p>
        </w:tc>
      </w:tr>
      <w:tr>
        <w:trPr>
          <w:trHeight w:val="265"/>
        </w:trPr>
        <w:tc>
          <w:tcPr>
            <w:tcW w:w="3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Gain on dispositions </w:t>
            </w:r>
            <w:r>
              <w:rPr>
                <w:rFonts w:ascii="Times New Roman" w:cs="Times New Roman" w:eastAsia="Times New Roman" w:hAnsi="Times New Roman"/>
                <w:sz w:val="22"/>
                <w:szCs w:val="22"/>
                <w:color w:val="auto"/>
                <w:vertAlign w:val="superscript"/>
              </w:rPr>
              <w:t>(f)</w:t>
            </w:r>
          </w:p>
        </w:tc>
        <w:tc>
          <w:tcPr>
            <w:tcW w:w="660" w:type="dxa"/>
            <w:vAlign w:val="bottom"/>
          </w:tcPr>
          <w:p>
            <w:pPr>
              <w:spacing w:after="0"/>
              <w:rPr>
                <w:sz w:val="23"/>
                <w:szCs w:val="23"/>
                <w:color w:val="auto"/>
              </w:rPr>
            </w:pPr>
          </w:p>
        </w:tc>
        <w:tc>
          <w:tcPr>
            <w:tcW w:w="10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(35)</w:t>
            </w:r>
          </w:p>
        </w:tc>
        <w:tc>
          <w:tcPr>
            <w:tcW w:w="680" w:type="dxa"/>
            <w:vAlign w:val="bottom"/>
          </w:tcPr>
          <w:p>
            <w:pPr>
              <w:spacing w:after="0"/>
              <w:rPr>
                <w:sz w:val="23"/>
                <w:szCs w:val="23"/>
                <w:color w:val="auto"/>
              </w:rPr>
            </w:pPr>
          </w:p>
        </w:tc>
        <w:tc>
          <w:tcPr>
            <w:tcW w:w="98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spacing w:after="0"/>
              <w:rPr>
                <w:sz w:val="23"/>
                <w:szCs w:val="23"/>
                <w:color w:val="auto"/>
              </w:rPr>
            </w:pP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23"/>
                <w:szCs w:val="23"/>
                <w:color w:val="auto"/>
              </w:rPr>
            </w:pP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8"/>
              </w:rPr>
              <w:t>(.05)</w:t>
            </w:r>
          </w:p>
        </w:tc>
      </w:tr>
      <w:tr>
        <w:trPr>
          <w:trHeight w:val="260"/>
        </w:trPr>
        <w:tc>
          <w:tcPr>
            <w:tcW w:w="3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xml:space="preserve">Discrete tax items </w:t>
            </w:r>
            <w:r>
              <w:rPr>
                <w:rFonts w:ascii="Times New Roman" w:cs="Times New Roman" w:eastAsia="Times New Roman" w:hAnsi="Times New Roman"/>
                <w:sz w:val="22"/>
                <w:szCs w:val="22"/>
                <w:color w:val="auto"/>
                <w:vertAlign w:val="superscript"/>
              </w:rPr>
              <w:t>(d)</w:t>
            </w: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(64)</w:t>
            </w: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(64)</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18"/>
                <w:szCs w:val="18"/>
                <w:color w:val="auto"/>
                <w:w w:val="98"/>
              </w:rPr>
              <w:t>(.10)</w:t>
            </w:r>
          </w:p>
        </w:tc>
      </w:tr>
      <w:tr>
        <w:trPr>
          <w:trHeight w:val="26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Adjusted (Non-GAAP)</w:t>
            </w: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1,080</w:t>
            </w:r>
          </w:p>
        </w:tc>
        <w:tc>
          <w:tcPr>
            <w:tcW w:w="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22"/>
                <w:szCs w:val="22"/>
                <w:color w:val="auto"/>
                <w:vertAlign w:val="superscript"/>
              </w:rPr>
              <w:t>(h)</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348</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18"/>
                <w:szCs w:val="18"/>
                <w:color w:val="auto"/>
                <w:w w:val="97"/>
              </w:rPr>
              <w:t>.51</w:t>
            </w:r>
          </w:p>
        </w:tc>
      </w:tr>
    </w:tbl>
    <w:p>
      <w:pPr>
        <w:spacing w:after="0" w:line="132" w:lineRule="exact"/>
        <w:rPr>
          <w:sz w:val="20"/>
          <w:szCs w:val="20"/>
          <w:color w:val="auto"/>
        </w:rPr>
      </w:pPr>
    </w:p>
    <w:p>
      <w:pPr>
        <w:ind w:left="640" w:hanging="237"/>
        <w:spacing w:after="0" w:line="272" w:lineRule="auto"/>
        <w:tabs>
          <w:tab w:leader="none" w:pos="63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 review of our content portfolio following the closing of the Transactions, we decided to abandon certain Skydance content, principally development projects. As a result, we recorded programming charges during the fourth quarter of 2025 associated with this abandonment.</w:t>
      </w:r>
    </w:p>
    <w:p>
      <w:pPr>
        <w:spacing w:after="0" w:line="6" w:lineRule="exact"/>
        <w:rPr>
          <w:rFonts w:ascii="Times New Roman" w:cs="Times New Roman" w:eastAsia="Times New Roman" w:hAnsi="Times New Roman"/>
          <w:sz w:val="16"/>
          <w:szCs w:val="16"/>
          <w:color w:val="auto"/>
        </w:rPr>
      </w:pPr>
    </w:p>
    <w:p>
      <w:pPr>
        <w:ind w:left="640" w:hanging="237"/>
        <w:spacing w:after="0" w:line="285" w:lineRule="auto"/>
        <w:tabs>
          <w:tab w:leader="none" w:pos="628"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Both periods reflect severance charges and also included in the period from January 1 - August 6, 2025 are charges for the impairment of lease assets, as further described under </w:t>
      </w:r>
      <w:r>
        <w:rPr>
          <w:rFonts w:ascii="Times New Roman" w:cs="Times New Roman" w:eastAsia="Times New Roman" w:hAnsi="Times New Roman"/>
          <w:sz w:val="16"/>
          <w:szCs w:val="16"/>
          <w:i w:val="1"/>
          <w:iCs w:val="1"/>
          <w:color w:val="auto"/>
        </w:rPr>
        <w:t>Restructuring, Transaction-Related Items, and Other Corporate Matters</w:t>
      </w:r>
      <w:r>
        <w:rPr>
          <w:rFonts w:ascii="Times New Roman" w:cs="Times New Roman" w:eastAsia="Times New Roman" w:hAnsi="Times New Roman"/>
          <w:sz w:val="16"/>
          <w:szCs w:val="16"/>
          <w:color w:val="auto"/>
        </w:rPr>
        <w:t>.</w:t>
      </w:r>
    </w:p>
    <w:p>
      <w:pPr>
        <w:jc w:val="both"/>
        <w:ind w:left="640" w:hanging="237"/>
        <w:spacing w:after="0" w:line="266" w:lineRule="auto"/>
        <w:tabs>
          <w:tab w:leader="none" w:pos="63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Successor period principally reflects legal and other professional fees associated with the Warner Bros. offer and during the Predecessor period reflects banking, legal, advisory, and other professional fees relating to the Transactions, and transaction awards that became payable to eligible employees upon closing of the Transactions.</w:t>
      </w:r>
    </w:p>
    <w:p>
      <w:pPr>
        <w:spacing w:after="0" w:line="10" w:lineRule="exact"/>
        <w:rPr>
          <w:rFonts w:ascii="Times New Roman" w:cs="Times New Roman" w:eastAsia="Times New Roman" w:hAnsi="Times New Roman"/>
          <w:sz w:val="16"/>
          <w:szCs w:val="16"/>
          <w:color w:val="auto"/>
        </w:rPr>
      </w:pPr>
    </w:p>
    <w:p>
      <w:pPr>
        <w:ind w:left="640" w:hanging="237"/>
        <w:spacing w:after="0" w:line="285" w:lineRule="auto"/>
        <w:tabs>
          <w:tab w:leader="none" w:pos="638"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Successor period primarily reflects tax benefits realized in connection with the filing of our tax returns and the Predecessor period primarily reflects the reversal of valuation allowances on deferred tax assets related to interest deduction limitations as a result of recent U.S. tax legislation.</w:t>
      </w:r>
    </w:p>
    <w:p>
      <w:pPr>
        <w:ind w:left="620" w:hanging="217"/>
        <w:spacing w:after="0"/>
        <w:tabs>
          <w:tab w:leader="none" w:pos="6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charge to reduce the carrying values of FCC licenses in certain markets to their estimated fair values.</w:t>
      </w:r>
    </w:p>
    <w:p>
      <w:pPr>
        <w:spacing w:after="0" w:line="54" w:lineRule="exact"/>
        <w:rPr>
          <w:rFonts w:ascii="Times New Roman" w:cs="Times New Roman" w:eastAsia="Times New Roman" w:hAnsi="Times New Roman"/>
          <w:sz w:val="16"/>
          <w:szCs w:val="16"/>
          <w:color w:val="auto"/>
        </w:rPr>
      </w:pPr>
    </w:p>
    <w:p>
      <w:pPr>
        <w:ind w:left="600" w:hanging="197"/>
        <w:spacing w:after="0"/>
        <w:tabs>
          <w:tab w:leader="none" w:pos="6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Principally reflects a gain associated with the disposition of a noncore business.</w:t>
      </w:r>
    </w:p>
    <w:p>
      <w:pPr>
        <w:sectPr>
          <w:pgSz w:w="11900" w:h="16838" w:orient="portrait"/>
          <w:cols w:equalWidth="0" w:num="1">
            <w:col w:w="10840"/>
          </w:cols>
          <w:pgMar w:left="320" w:top="59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40"/>
          </w:cols>
          <w:pgMar w:left="320" w:top="590" w:right="739" w:bottom="1440" w:gutter="0" w:footer="0" w:header="0"/>
          <w:type w:val="continuous"/>
        </w:sectPr>
      </w:pPr>
    </w:p>
    <w:bookmarkStart w:id="25" w:name="page26"/>
    <w:bookmarkEnd w:id="25"/>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97" w:lineRule="exact"/>
        <w:rPr>
          <w:sz w:val="20"/>
          <w:szCs w:val="20"/>
          <w:color w:val="auto"/>
        </w:rPr>
      </w:pPr>
    </w:p>
    <w:p>
      <w:pPr>
        <w:jc w:val="both"/>
        <w:ind w:left="640" w:hanging="237"/>
        <w:spacing w:after="0" w:line="258" w:lineRule="auto"/>
        <w:tabs>
          <w:tab w:leader="none" w:pos="62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effective income tax rate for the period from August 7 - December 31, 2025 was 8.4%, which includes tax benefits realized in connection with the filing of our tax returns. The adjusted effective income tax rate, which is calculated as the adjusted provision for income taxes of $177 million divided by adjusted earnings from continuing operations before income taxes of $336 million, was 52.7%. The reported and adjusted tax rates reflect the timing of foreign inclusions between the Predecessor and Successor periods.</w:t>
      </w:r>
    </w:p>
    <w:p>
      <w:pPr>
        <w:spacing w:after="0" w:line="30" w:lineRule="exact"/>
        <w:rPr>
          <w:rFonts w:ascii="Times New Roman" w:cs="Times New Roman" w:eastAsia="Times New Roman" w:hAnsi="Times New Roman"/>
          <w:sz w:val="16"/>
          <w:szCs w:val="16"/>
          <w:color w:val="auto"/>
        </w:rPr>
      </w:pPr>
    </w:p>
    <w:p>
      <w:pPr>
        <w:jc w:val="both"/>
        <w:ind w:left="640" w:hanging="237"/>
        <w:spacing w:after="0" w:line="254" w:lineRule="auto"/>
        <w:tabs>
          <w:tab w:leader="none" w:pos="63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effective income tax rate for the period from January 1 - August 6, 2025 was 15.7%, which primarily reflects the reversal of valuation allowances on deferred tax assets related to interest deduction limitations as a result of recent U.S. tax legislation. The reported effective income tax rate also reflects the tax impact of earnings attributable to noncontrolling interests, the timing of foreign inclusions between the Successor and Predecessor periods, and the tax benefit on the foreign-derived intangible income deduction. The adjusted effective income tax rate was 10.6%, which is calculated as the adjusted provision for income taxes of $114 million divided by adjusted earnings from continuing operations before income taxes of $1.08 billion.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129540</wp:posOffset>
            </wp:positionV>
            <wp:extent cx="625157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51575" cy="16510"/>
                    </a:xfrm>
                    <a:prstGeom prst="rect">
                      <a:avLst/>
                    </a:prstGeom>
                    <a:noFill/>
                  </pic:spPr>
                </pic:pic>
              </a:graphicData>
            </a:graphic>
          </wp:anchor>
        </w:drawing>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3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
        </w:trPr>
        <w:tc>
          <w:tcPr>
            <w:tcW w:w="33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3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20" w:type="dxa"/>
            <w:vAlign w:val="bottom"/>
            <w:gridSpan w:val="3"/>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97"/>
              </w:rPr>
              <w:t>Year Ended December 31, 2024</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
        </w:trPr>
        <w:tc>
          <w:tcPr>
            <w:tcW w:w="33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1"/>
        </w:trPr>
        <w:tc>
          <w:tcPr>
            <w:tcW w:w="3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Net Earnings (Loss)</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3380" w:type="dxa"/>
            <w:vAlign w:val="bottom"/>
          </w:tcPr>
          <w:p>
            <w:pPr>
              <w:spacing w:after="0"/>
              <w:rPr>
                <w:sz w:val="18"/>
                <w:szCs w:val="18"/>
                <w:color w:val="auto"/>
              </w:rPr>
            </w:pPr>
          </w:p>
        </w:tc>
        <w:tc>
          <w:tcPr>
            <w:tcW w:w="1700" w:type="dxa"/>
            <w:vAlign w:val="bottom"/>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8"/>
              </w:rPr>
              <w:t>Earnings (Loss)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from Continuing</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3380" w:type="dxa"/>
            <w:vAlign w:val="bottom"/>
          </w:tcPr>
          <w:p>
            <w:pPr>
              <w:spacing w:after="0"/>
              <w:rPr>
                <w:sz w:val="18"/>
                <w:szCs w:val="18"/>
                <w:color w:val="auto"/>
              </w:rPr>
            </w:pPr>
          </w:p>
        </w:tc>
        <w:tc>
          <w:tcPr>
            <w:tcW w:w="1700" w:type="dxa"/>
            <w:vAlign w:val="bottom"/>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8"/>
              </w:rPr>
              <w:t>from Continuing</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Benefit from</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Diluted EPS from</w:t>
            </w:r>
          </w:p>
        </w:tc>
      </w:tr>
      <w:tr>
        <w:trPr>
          <w:trHeight w:val="212"/>
        </w:trPr>
        <w:tc>
          <w:tcPr>
            <w:tcW w:w="338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Operations Before</w:t>
            </w:r>
          </w:p>
        </w:tc>
        <w:tc>
          <w:tcPr>
            <w:tcW w:w="14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Attributable to</w:t>
            </w:r>
          </w:p>
        </w:tc>
        <w:tc>
          <w:tcPr>
            <w:tcW w:w="152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Continuing</w:t>
            </w:r>
          </w:p>
        </w:tc>
      </w:tr>
      <w:tr>
        <w:trPr>
          <w:trHeight w:val="233"/>
        </w:trPr>
        <w:tc>
          <w:tcPr>
            <w:tcW w:w="3380" w:type="dxa"/>
            <w:vAlign w:val="bottom"/>
          </w:tcPr>
          <w:p>
            <w:pPr>
              <w:spacing w:after="0"/>
              <w:rPr>
                <w:sz w:val="20"/>
                <w:szCs w:val="20"/>
                <w:color w:val="auto"/>
              </w:rPr>
            </w:pPr>
          </w:p>
        </w:tc>
        <w:tc>
          <w:tcPr>
            <w:tcW w:w="1700" w:type="dxa"/>
            <w:vAlign w:val="bottom"/>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Income Taxes</w:t>
            </w:r>
          </w:p>
        </w:tc>
        <w:tc>
          <w:tcPr>
            <w:tcW w:w="14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600" w:type="dxa"/>
            <w:vAlign w:val="bottom"/>
          </w:tcPr>
          <w:p>
            <w:pPr>
              <w:spacing w:after="0"/>
              <w:rPr>
                <w:sz w:val="20"/>
                <w:szCs w:val="20"/>
                <w:color w:val="auto"/>
              </w:rPr>
            </w:pPr>
          </w:p>
        </w:tc>
        <w:tc>
          <w:tcPr>
            <w:tcW w:w="1180" w:type="dxa"/>
            <w:vAlign w:val="bottom"/>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6"/>
              </w:rPr>
              <w:t>Parent</w:t>
            </w:r>
          </w:p>
        </w:tc>
        <w:tc>
          <w:tcPr>
            <w:tcW w:w="152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Operations</w:t>
            </w:r>
          </w:p>
        </w:tc>
      </w:tr>
      <w:tr>
        <w:trPr>
          <w:trHeight w:val="26"/>
        </w:trPr>
        <w:tc>
          <w:tcPr>
            <w:tcW w:w="3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(GAAP)</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(6,177)</w:t>
            </w:r>
          </w:p>
        </w:tc>
        <w:tc>
          <w:tcPr>
            <w:tcW w:w="340" w:type="dxa"/>
            <w:vAlign w:val="bottom"/>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 xml:space="preserve">305 </w:t>
            </w:r>
            <w:r>
              <w:rPr>
                <w:rFonts w:ascii="Times New Roman" w:cs="Times New Roman" w:eastAsia="Times New Roman" w:hAnsi="Times New Roman"/>
                <w:sz w:val="22"/>
                <w:szCs w:val="22"/>
                <w:color w:val="auto"/>
                <w:vertAlign w:val="superscript"/>
              </w:rPr>
              <w:t>(h)</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(6,204)</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 xml:space="preserve">(9.36) </w:t>
            </w:r>
            <w:r>
              <w:rPr>
                <w:rFonts w:ascii="Times New Roman" w:cs="Times New Roman" w:eastAsia="Times New Roman" w:hAnsi="Times New Roman"/>
                <w:sz w:val="22"/>
                <w:szCs w:val="22"/>
                <w:color w:val="auto"/>
                <w:vertAlign w:val="superscript"/>
              </w:rPr>
              <w:t>(i)</w:t>
            </w:r>
          </w:p>
        </w:tc>
      </w:tr>
      <w:tr>
        <w:trPr>
          <w:trHeight w:val="231"/>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affecting comparability:</w:t>
            </w: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96"/>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Programming charges </w:t>
            </w:r>
            <w:r>
              <w:rPr>
                <w:rFonts w:ascii="Times New Roman" w:cs="Times New Roman" w:eastAsia="Times New Roman" w:hAnsi="Times New Roman"/>
                <w:sz w:val="22"/>
                <w:szCs w:val="22"/>
                <w:color w:val="auto"/>
                <w:vertAlign w:val="superscript"/>
              </w:rPr>
              <w:t>(a)</w:t>
            </w:r>
          </w:p>
        </w:tc>
        <w:tc>
          <w:tcPr>
            <w:tcW w:w="580" w:type="dxa"/>
            <w:vAlign w:val="bottom"/>
          </w:tcPr>
          <w:p>
            <w:pPr>
              <w:spacing w:after="0"/>
              <w:rPr>
                <w:sz w:val="24"/>
                <w:szCs w:val="24"/>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1,118</w:t>
            </w:r>
          </w:p>
        </w:tc>
        <w:tc>
          <w:tcPr>
            <w:tcW w:w="340" w:type="dxa"/>
            <w:vAlign w:val="bottom"/>
          </w:tcPr>
          <w:p>
            <w:pPr>
              <w:spacing w:after="0"/>
              <w:rPr>
                <w:sz w:val="24"/>
                <w:szCs w:val="24"/>
                <w:color w:val="auto"/>
              </w:rPr>
            </w:pP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(275)</w:t>
            </w:r>
          </w:p>
        </w:tc>
        <w:tc>
          <w:tcPr>
            <w:tcW w:w="600" w:type="dxa"/>
            <w:vAlign w:val="bottom"/>
          </w:tcPr>
          <w:p>
            <w:pPr>
              <w:spacing w:after="0"/>
              <w:rPr>
                <w:sz w:val="24"/>
                <w:szCs w:val="24"/>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843</w:t>
            </w:r>
          </w:p>
        </w:tc>
        <w:tc>
          <w:tcPr>
            <w:tcW w:w="560" w:type="dxa"/>
            <w:vAlign w:val="bottom"/>
          </w:tcPr>
          <w:p>
            <w:pPr>
              <w:spacing w:after="0"/>
              <w:rPr>
                <w:sz w:val="24"/>
                <w:szCs w:val="24"/>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1.26</w:t>
            </w:r>
          </w:p>
        </w:tc>
      </w:tr>
      <w:tr>
        <w:trPr>
          <w:trHeight w:val="265"/>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Impairment charges </w:t>
            </w:r>
            <w:r>
              <w:rPr>
                <w:rFonts w:ascii="Times New Roman" w:cs="Times New Roman" w:eastAsia="Times New Roman" w:hAnsi="Times New Roman"/>
                <w:sz w:val="22"/>
                <w:szCs w:val="22"/>
                <w:color w:val="auto"/>
                <w:vertAlign w:val="superscript"/>
              </w:rPr>
              <w:t>(b)</w:t>
            </w:r>
          </w:p>
        </w:tc>
        <w:tc>
          <w:tcPr>
            <w:tcW w:w="580" w:type="dxa"/>
            <w:vAlign w:val="bottom"/>
          </w:tcPr>
          <w:p>
            <w:pPr>
              <w:spacing w:after="0"/>
              <w:rPr>
                <w:sz w:val="23"/>
                <w:szCs w:val="23"/>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6,130</w:t>
            </w:r>
          </w:p>
        </w:tc>
        <w:tc>
          <w:tcPr>
            <w:tcW w:w="340" w:type="dxa"/>
            <w:vAlign w:val="bottom"/>
          </w:tcPr>
          <w:p>
            <w:pPr>
              <w:spacing w:after="0"/>
              <w:rPr>
                <w:sz w:val="23"/>
                <w:szCs w:val="23"/>
                <w:color w:val="auto"/>
              </w:rPr>
            </w:pP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(380)</w:t>
            </w:r>
          </w:p>
        </w:tc>
        <w:tc>
          <w:tcPr>
            <w:tcW w:w="600" w:type="dxa"/>
            <w:vAlign w:val="bottom"/>
          </w:tcPr>
          <w:p>
            <w:pPr>
              <w:spacing w:after="0"/>
              <w:rPr>
                <w:sz w:val="23"/>
                <w:szCs w:val="23"/>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5,750</w:t>
            </w:r>
          </w:p>
        </w:tc>
        <w:tc>
          <w:tcPr>
            <w:tcW w:w="560" w:type="dxa"/>
            <w:vAlign w:val="bottom"/>
          </w:tcPr>
          <w:p>
            <w:pPr>
              <w:spacing w:after="0"/>
              <w:rPr>
                <w:sz w:val="23"/>
                <w:szCs w:val="23"/>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8.62</w:t>
            </w:r>
          </w:p>
        </w:tc>
      </w:tr>
      <w:tr>
        <w:trPr>
          <w:trHeight w:val="265"/>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2"/>
                <w:szCs w:val="22"/>
                <w:color w:val="auto"/>
                <w:vertAlign w:val="superscript"/>
              </w:rPr>
              <w:t>(c)</w:t>
            </w:r>
          </w:p>
        </w:tc>
        <w:tc>
          <w:tcPr>
            <w:tcW w:w="580" w:type="dxa"/>
            <w:vAlign w:val="bottom"/>
          </w:tcPr>
          <w:p>
            <w:pPr>
              <w:spacing w:after="0"/>
              <w:rPr>
                <w:sz w:val="23"/>
                <w:szCs w:val="23"/>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554</w:t>
            </w:r>
          </w:p>
        </w:tc>
        <w:tc>
          <w:tcPr>
            <w:tcW w:w="340" w:type="dxa"/>
            <w:vAlign w:val="bottom"/>
          </w:tcPr>
          <w:p>
            <w:pPr>
              <w:spacing w:after="0"/>
              <w:rPr>
                <w:sz w:val="23"/>
                <w:szCs w:val="23"/>
                <w:color w:val="auto"/>
              </w:rPr>
            </w:pP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(120)</w:t>
            </w:r>
          </w:p>
        </w:tc>
        <w:tc>
          <w:tcPr>
            <w:tcW w:w="600" w:type="dxa"/>
            <w:vAlign w:val="bottom"/>
          </w:tcPr>
          <w:p>
            <w:pPr>
              <w:spacing w:after="0"/>
              <w:rPr>
                <w:sz w:val="23"/>
                <w:szCs w:val="23"/>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434</w:t>
            </w:r>
          </w:p>
        </w:tc>
        <w:tc>
          <w:tcPr>
            <w:tcW w:w="560" w:type="dxa"/>
            <w:vAlign w:val="bottom"/>
          </w:tcPr>
          <w:p>
            <w:pPr>
              <w:spacing w:after="0"/>
              <w:rPr>
                <w:sz w:val="23"/>
                <w:szCs w:val="23"/>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.65</w:t>
            </w:r>
          </w:p>
        </w:tc>
      </w:tr>
      <w:tr>
        <w:trPr>
          <w:trHeight w:val="265"/>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Transaction-related items </w:t>
            </w:r>
            <w:r>
              <w:rPr>
                <w:rFonts w:ascii="Times New Roman" w:cs="Times New Roman" w:eastAsia="Times New Roman" w:hAnsi="Times New Roman"/>
                <w:sz w:val="22"/>
                <w:szCs w:val="22"/>
                <w:color w:val="auto"/>
                <w:vertAlign w:val="superscript"/>
              </w:rPr>
              <w:t>(d)</w:t>
            </w:r>
          </w:p>
        </w:tc>
        <w:tc>
          <w:tcPr>
            <w:tcW w:w="580" w:type="dxa"/>
            <w:vAlign w:val="bottom"/>
          </w:tcPr>
          <w:p>
            <w:pPr>
              <w:spacing w:after="0"/>
              <w:rPr>
                <w:sz w:val="23"/>
                <w:szCs w:val="23"/>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tcPr>
          <w:p>
            <w:pPr>
              <w:spacing w:after="0"/>
              <w:rPr>
                <w:sz w:val="23"/>
                <w:szCs w:val="23"/>
                <w:color w:val="auto"/>
              </w:rPr>
            </w:pP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Pr>
          <w:p>
            <w:pPr>
              <w:spacing w:after="0"/>
              <w:rPr>
                <w:sz w:val="23"/>
                <w:szCs w:val="23"/>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59</w:t>
            </w:r>
          </w:p>
        </w:tc>
        <w:tc>
          <w:tcPr>
            <w:tcW w:w="560" w:type="dxa"/>
            <w:vAlign w:val="bottom"/>
          </w:tcPr>
          <w:p>
            <w:pPr>
              <w:spacing w:after="0"/>
              <w:rPr>
                <w:sz w:val="23"/>
                <w:szCs w:val="23"/>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.09</w:t>
            </w:r>
          </w:p>
        </w:tc>
      </w:tr>
      <w:tr>
        <w:trPr>
          <w:trHeight w:val="265"/>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Other corporate matters </w:t>
            </w:r>
            <w:r>
              <w:rPr>
                <w:rFonts w:ascii="Times New Roman" w:cs="Times New Roman" w:eastAsia="Times New Roman" w:hAnsi="Times New Roman"/>
                <w:sz w:val="22"/>
                <w:szCs w:val="22"/>
                <w:color w:val="auto"/>
                <w:vertAlign w:val="superscript"/>
              </w:rPr>
              <w:t>(e)</w:t>
            </w:r>
          </w:p>
        </w:tc>
        <w:tc>
          <w:tcPr>
            <w:tcW w:w="580" w:type="dxa"/>
            <w:vAlign w:val="bottom"/>
          </w:tcPr>
          <w:p>
            <w:pPr>
              <w:spacing w:after="0"/>
              <w:rPr>
                <w:sz w:val="23"/>
                <w:szCs w:val="23"/>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131</w:t>
            </w:r>
          </w:p>
        </w:tc>
        <w:tc>
          <w:tcPr>
            <w:tcW w:w="340" w:type="dxa"/>
            <w:vAlign w:val="bottom"/>
          </w:tcPr>
          <w:p>
            <w:pPr>
              <w:spacing w:after="0"/>
              <w:rPr>
                <w:sz w:val="23"/>
                <w:szCs w:val="23"/>
                <w:color w:val="auto"/>
              </w:rPr>
            </w:pP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tcPr>
          <w:p>
            <w:pPr>
              <w:spacing w:after="0"/>
              <w:rPr>
                <w:sz w:val="23"/>
                <w:szCs w:val="23"/>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99</w:t>
            </w:r>
          </w:p>
        </w:tc>
        <w:tc>
          <w:tcPr>
            <w:tcW w:w="560" w:type="dxa"/>
            <w:vAlign w:val="bottom"/>
          </w:tcPr>
          <w:p>
            <w:pPr>
              <w:spacing w:after="0"/>
              <w:rPr>
                <w:sz w:val="23"/>
                <w:szCs w:val="23"/>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.15</w:t>
            </w:r>
          </w:p>
        </w:tc>
      </w:tr>
      <w:tr>
        <w:trPr>
          <w:trHeight w:val="265"/>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Loss from investments </w:t>
            </w:r>
            <w:r>
              <w:rPr>
                <w:rFonts w:ascii="Times New Roman" w:cs="Times New Roman" w:eastAsia="Times New Roman" w:hAnsi="Times New Roman"/>
                <w:sz w:val="22"/>
                <w:szCs w:val="22"/>
                <w:color w:val="auto"/>
                <w:vertAlign w:val="superscript"/>
              </w:rPr>
              <w:t>(f)</w:t>
            </w:r>
          </w:p>
        </w:tc>
        <w:tc>
          <w:tcPr>
            <w:tcW w:w="580" w:type="dxa"/>
            <w:vAlign w:val="bottom"/>
          </w:tcPr>
          <w:p>
            <w:pPr>
              <w:spacing w:after="0"/>
              <w:rPr>
                <w:sz w:val="23"/>
                <w:szCs w:val="23"/>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23"/>
                <w:szCs w:val="23"/>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tcPr>
          <w:p>
            <w:pPr>
              <w:spacing w:after="0"/>
              <w:rPr>
                <w:sz w:val="23"/>
                <w:szCs w:val="23"/>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tcPr>
          <w:p>
            <w:pPr>
              <w:spacing w:after="0"/>
              <w:rPr>
                <w:sz w:val="23"/>
                <w:szCs w:val="23"/>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.04</w:t>
            </w:r>
          </w:p>
        </w:tc>
      </w:tr>
      <w:tr>
        <w:trPr>
          <w:trHeight w:val="268"/>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Discrete tax items </w:t>
            </w:r>
            <w:r>
              <w:rPr>
                <w:rFonts w:ascii="Times New Roman" w:cs="Times New Roman" w:eastAsia="Times New Roman" w:hAnsi="Times New Roman"/>
                <w:sz w:val="22"/>
                <w:szCs w:val="22"/>
                <w:color w:val="auto"/>
                <w:vertAlign w:val="superscript"/>
              </w:rPr>
              <w:t>(g)</w:t>
            </w:r>
          </w:p>
        </w:tc>
        <w:tc>
          <w:tcPr>
            <w:tcW w:w="580" w:type="dxa"/>
            <w:vAlign w:val="bottom"/>
          </w:tcPr>
          <w:p>
            <w:pPr>
              <w:spacing w:after="0"/>
              <w:rPr>
                <w:sz w:val="23"/>
                <w:szCs w:val="23"/>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36</w:t>
            </w:r>
          </w:p>
        </w:tc>
        <w:tc>
          <w:tcPr>
            <w:tcW w:w="600" w:type="dxa"/>
            <w:vAlign w:val="bottom"/>
          </w:tcPr>
          <w:p>
            <w:pPr>
              <w:spacing w:after="0"/>
              <w:rPr>
                <w:sz w:val="23"/>
                <w:szCs w:val="23"/>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36</w:t>
            </w:r>
          </w:p>
        </w:tc>
        <w:tc>
          <w:tcPr>
            <w:tcW w:w="560" w:type="dxa"/>
            <w:vAlign w:val="bottom"/>
          </w:tcPr>
          <w:p>
            <w:pPr>
              <w:spacing w:after="0"/>
              <w:rPr>
                <w:sz w:val="23"/>
                <w:szCs w:val="23"/>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.05</w:t>
            </w:r>
          </w:p>
        </w:tc>
      </w:tr>
      <w:tr>
        <w:trPr>
          <w:trHeight w:val="231"/>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Impact of antidilution</w:t>
            </w:r>
          </w:p>
        </w:tc>
        <w:tc>
          <w:tcPr>
            <w:tcW w:w="580" w:type="dxa"/>
            <w:vAlign w:val="bottom"/>
          </w:tcPr>
          <w:p>
            <w:pPr>
              <w:spacing w:after="0"/>
              <w:rPr>
                <w:sz w:val="20"/>
                <w:szCs w:val="20"/>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.04</w:t>
            </w:r>
          </w:p>
        </w:tc>
      </w:tr>
      <w:tr>
        <w:trPr>
          <w:trHeight w:val="25"/>
        </w:trPr>
        <w:tc>
          <w:tcPr>
            <w:tcW w:w="3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(Non-GAAP)</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1,835</w:t>
            </w:r>
          </w:p>
        </w:tc>
        <w:tc>
          <w:tcPr>
            <w:tcW w:w="340" w:type="dxa"/>
            <w:vAlign w:val="bottom"/>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 xml:space="preserve">(462) </w:t>
            </w:r>
            <w:r>
              <w:rPr>
                <w:rFonts w:ascii="Times New Roman" w:cs="Times New Roman" w:eastAsia="Times New Roman" w:hAnsi="Times New Roman"/>
                <w:sz w:val="11"/>
                <w:szCs w:val="11"/>
                <w:color w:val="auto"/>
              </w:rPr>
              <w:t>(h)</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1,041</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1"/>
                <w:szCs w:val="11"/>
                <w:color w:val="auto"/>
              </w:rPr>
              <w:t>(i)</w:t>
            </w:r>
          </w:p>
        </w:tc>
      </w:tr>
      <w:tr>
        <w:trPr>
          <w:trHeight w:val="32"/>
        </w:trPr>
        <w:tc>
          <w:tcPr>
            <w:tcW w:w="3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30" w:lineRule="exact"/>
        <w:rPr>
          <w:sz w:val="20"/>
          <w:szCs w:val="20"/>
          <w:color w:val="auto"/>
        </w:rPr>
      </w:pPr>
    </w:p>
    <w:p>
      <w:pPr>
        <w:ind w:left="620" w:hanging="217"/>
        <w:spacing w:after="0"/>
        <w:tabs>
          <w:tab w:leader="none" w:pos="6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Reflects programming charges associated with major changes in content strategy, which are further described under </w:t>
      </w:r>
      <w:r>
        <w:rPr>
          <w:rFonts w:ascii="Times New Roman" w:cs="Times New Roman" w:eastAsia="Times New Roman" w:hAnsi="Times New Roman"/>
          <w:sz w:val="16"/>
          <w:szCs w:val="16"/>
          <w:i w:val="1"/>
          <w:iCs w:val="1"/>
          <w:color w:val="auto"/>
        </w:rPr>
        <w:t>Programming Charges</w:t>
      </w:r>
      <w:r>
        <w:rPr>
          <w:rFonts w:ascii="Times New Roman" w:cs="Times New Roman" w:eastAsia="Times New Roman" w:hAnsi="Times New Roman"/>
          <w:sz w:val="16"/>
          <w:szCs w:val="16"/>
          <w:color w:val="auto"/>
        </w:rPr>
        <w:t>.</w:t>
      </w:r>
    </w:p>
    <w:p>
      <w:pPr>
        <w:spacing w:after="0" w:line="69" w:lineRule="exact"/>
        <w:rPr>
          <w:rFonts w:ascii="Times New Roman" w:cs="Times New Roman" w:eastAsia="Times New Roman" w:hAnsi="Times New Roman"/>
          <w:sz w:val="16"/>
          <w:szCs w:val="16"/>
          <w:color w:val="auto"/>
        </w:rPr>
      </w:pPr>
    </w:p>
    <w:p>
      <w:pPr>
        <w:ind w:left="640" w:hanging="237"/>
        <w:spacing w:after="0" w:line="285" w:lineRule="auto"/>
        <w:tabs>
          <w:tab w:leader="none" w:pos="63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goodwill impairment charge for the Cable Networks reporting unit of $5.98 billion, as well as charges totaling $149 million to reduce the carrying values of FCC licenses to their estimated fair values and Australian broadcast licenses to their estimated fair values.</w:t>
      </w:r>
    </w:p>
    <w:p>
      <w:pPr>
        <w:ind w:left="640" w:hanging="237"/>
        <w:spacing w:after="0" w:line="285" w:lineRule="auto"/>
        <w:tabs>
          <w:tab w:leader="none" w:pos="65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Consists of severance costs associated with strategic changes in our global workforce and the impairment of lease assets, as further described under </w:t>
      </w:r>
      <w:r>
        <w:rPr>
          <w:rFonts w:ascii="Times New Roman" w:cs="Times New Roman" w:eastAsia="Times New Roman" w:hAnsi="Times New Roman"/>
          <w:sz w:val="16"/>
          <w:szCs w:val="16"/>
          <w:i w:val="1"/>
          <w:iCs w:val="1"/>
          <w:color w:val="auto"/>
        </w:rPr>
        <w:t>Restructuring, Transaction-Related Items, and Other Corporate Matters</w:t>
      </w:r>
      <w:r>
        <w:rPr>
          <w:rFonts w:ascii="Times New Roman" w:cs="Times New Roman" w:eastAsia="Times New Roman" w:hAnsi="Times New Roman"/>
          <w:sz w:val="16"/>
          <w:szCs w:val="16"/>
          <w:color w:val="auto"/>
        </w:rPr>
        <w:t>.</w:t>
      </w:r>
    </w:p>
    <w:p>
      <w:pPr>
        <w:ind w:left="620" w:hanging="217"/>
        <w:spacing w:after="0"/>
        <w:tabs>
          <w:tab w:leader="none" w:pos="6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legal and advisory fees relating to the Transactions.</w:t>
      </w:r>
    </w:p>
    <w:p>
      <w:pPr>
        <w:spacing w:after="0" w:line="54" w:lineRule="exact"/>
        <w:rPr>
          <w:rFonts w:ascii="Times New Roman" w:cs="Times New Roman" w:eastAsia="Times New Roman" w:hAnsi="Times New Roman"/>
          <w:sz w:val="16"/>
          <w:szCs w:val="16"/>
          <w:color w:val="auto"/>
        </w:rPr>
      </w:pPr>
    </w:p>
    <w:p>
      <w:pPr>
        <w:ind w:left="640" w:hanging="237"/>
        <w:spacing w:after="0" w:line="285" w:lineRule="auto"/>
        <w:tabs>
          <w:tab w:leader="none" w:pos="63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Reflects charges of $74 million associated with the abandonment of developed technology and $57 million to increase our accrual for asbestos matters as discussed under </w:t>
      </w:r>
      <w:r>
        <w:rPr>
          <w:rFonts w:ascii="Times New Roman" w:cs="Times New Roman" w:eastAsia="Times New Roman" w:hAnsi="Times New Roman"/>
          <w:sz w:val="16"/>
          <w:szCs w:val="16"/>
          <w:i w:val="1"/>
          <w:iCs w:val="1"/>
          <w:color w:val="auto"/>
        </w:rPr>
        <w:t>Legal Matters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Claims Related to Former Businesses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Asbestos</w:t>
      </w:r>
      <w:r>
        <w:rPr>
          <w:rFonts w:ascii="Times New Roman" w:cs="Times New Roman" w:eastAsia="Times New Roman" w:hAnsi="Times New Roman"/>
          <w:sz w:val="16"/>
          <w:szCs w:val="16"/>
          <w:color w:val="auto"/>
        </w:rPr>
        <w:t xml:space="preserve"> in Note 18 to the consolidated financial statements.</w:t>
      </w:r>
    </w:p>
    <w:p>
      <w:pPr>
        <w:ind w:left="600" w:hanging="197"/>
        <w:spacing w:after="0"/>
        <w:tabs>
          <w:tab w:leader="none" w:pos="6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Principally reflects a loss on the sale of Paramount Global’s investment in Viacom18 of $13 million.</w:t>
      </w:r>
    </w:p>
    <w:p>
      <w:pPr>
        <w:spacing w:after="0" w:line="67" w:lineRule="exact"/>
        <w:rPr>
          <w:rFonts w:ascii="Times New Roman" w:cs="Times New Roman" w:eastAsia="Times New Roman" w:hAnsi="Times New Roman"/>
          <w:sz w:val="16"/>
          <w:szCs w:val="16"/>
          <w:color w:val="auto"/>
        </w:rPr>
      </w:pPr>
    </w:p>
    <w:p>
      <w:pPr>
        <w:jc w:val="both"/>
        <w:ind w:left="640" w:hanging="237"/>
        <w:spacing w:after="0" w:line="257" w:lineRule="auto"/>
        <w:tabs>
          <w:tab w:leader="none" w:pos="63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attributable to the establishment of a valuation allowance on a deferred tax asset that was not expected to be realized because of a reduction in our deferred tax liabilities caused by the goodwill impairment charge in the second quarter of 2024. This impact was partially offset by amounts realized in connection with the filing of our tax returns in certain international jurisdictions.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40"/>
          </w:cols>
          <w:pgMar w:left="320" w:top="590" w:right="7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97" w:lineRule="exact"/>
        <w:rPr>
          <w:sz w:val="20"/>
          <w:szCs w:val="20"/>
          <w:color w:val="auto"/>
        </w:rPr>
      </w:pPr>
    </w:p>
    <w:p>
      <w:pPr>
        <w:jc w:val="both"/>
        <w:ind w:left="640" w:right="400" w:hanging="237"/>
        <w:spacing w:after="0" w:line="266" w:lineRule="auto"/>
        <w:tabs>
          <w:tab w:leader="none" w:pos="63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effective income tax rate for the year ended December 31, 2024 was 4.9% and the adjusted effective income tax rate, which is calculated as the adjusted provision for income taxes of $462 million divided by adjusted earnings from continuing operations before income taxes of $1.84 billion, was 25.2%. These adjusted measures exclude the items affecting comparability detailed above.</w:t>
      </w:r>
    </w:p>
    <w:p>
      <w:pPr>
        <w:spacing w:after="0" w:line="10" w:lineRule="exact"/>
        <w:rPr>
          <w:rFonts w:ascii="Times New Roman" w:cs="Times New Roman" w:eastAsia="Times New Roman" w:hAnsi="Times New Roman"/>
          <w:sz w:val="16"/>
          <w:szCs w:val="16"/>
          <w:color w:val="auto"/>
        </w:rPr>
      </w:pPr>
    </w:p>
    <w:p>
      <w:pPr>
        <w:jc w:val="both"/>
        <w:ind w:left="640" w:right="400" w:hanging="237"/>
        <w:spacing w:after="0" w:line="266" w:lineRule="auto"/>
        <w:tabs>
          <w:tab w:leader="none" w:pos="59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2024, the weighted average number of common shares outstanding used in the calculation of reported diluted EPS from continuing operations is 664 million and in the calculation of adjusted diluted EPS from continuing operations is 667 million. The dilutive impact was excluded in the calculation of reported diluted EPS from continuing operations because it would have been antidilutive since we reported a net loss from continuing operations.</w:t>
      </w:r>
    </w:p>
    <w:p>
      <w:pPr>
        <w:spacing w:after="0" w:line="157" w:lineRule="exact"/>
        <w:rPr>
          <w:sz w:val="20"/>
          <w:szCs w:val="20"/>
          <w:color w:val="auto"/>
        </w:rPr>
      </w:pPr>
    </w:p>
    <w:p>
      <w:pPr>
        <w:ind w:right="4680"/>
        <w:spacing w:after="0" w:line="444" w:lineRule="auto"/>
        <w:rPr>
          <w:sz w:val="20"/>
          <w:szCs w:val="20"/>
          <w:color w:val="auto"/>
        </w:rPr>
      </w:pPr>
      <w:r>
        <w:rPr>
          <w:rFonts w:ascii="Times New Roman" w:cs="Times New Roman" w:eastAsia="Times New Roman" w:hAnsi="Times New Roman"/>
          <w:sz w:val="19"/>
          <w:szCs w:val="19"/>
          <w:b w:val="1"/>
          <w:bCs w:val="1"/>
          <w:color w:val="auto"/>
        </w:rPr>
        <w:t xml:space="preserve">Consolidated Results of Operations - Years Ended December 31, 2025 and 2024 </w:t>
      </w:r>
      <w:r>
        <w:rPr>
          <w:rFonts w:ascii="Times New Roman" w:cs="Times New Roman" w:eastAsia="Times New Roman" w:hAnsi="Times New Roman"/>
          <w:sz w:val="19"/>
          <w:szCs w:val="19"/>
          <w:i w:val="1"/>
          <w:iCs w:val="1"/>
          <w:color w:val="auto"/>
        </w:rPr>
        <w:t>Revenues</w:t>
      </w:r>
    </w:p>
    <w:tbl>
      <w:tblPr>
        <w:tblLayout w:type="fixed"/>
        <w:tblInd w:w="60" w:type="dxa"/>
        <w:tblCellMar>
          <w:top w:w="0" w:type="dxa"/>
          <w:left w:w="0" w:type="dxa"/>
          <w:bottom w:w="0" w:type="dxa"/>
          <w:right w:w="0" w:type="dxa"/>
        </w:tblCellMar>
      </w:tblPr>
      <w:tr>
        <w:trPr>
          <w:trHeight w:val="245"/>
        </w:trPr>
        <w:tc>
          <w:tcPr>
            <w:tcW w:w="21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right w:val="single" w:sz="8" w:color="auto"/>
            </w:tcBorders>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2900" w:type="dxa"/>
            <w:vAlign w:val="bottom"/>
            <w:tcBorders>
              <w:top w:val="single" w:sz="8" w:color="auto"/>
              <w:bottom w:val="single" w:sz="8" w:color="auto"/>
            </w:tcBorders>
            <w:gridSpan w:val="4"/>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 xml:space="preserve">Supplemental Pro Forma </w:t>
            </w:r>
            <w:r>
              <w:rPr>
                <w:rFonts w:ascii="Times New Roman" w:cs="Times New Roman" w:eastAsia="Times New Roman" w:hAnsi="Times New Roman"/>
                <w:sz w:val="20"/>
                <w:szCs w:val="20"/>
                <w:b w:val="1"/>
                <w:bCs w:val="1"/>
                <w:color w:val="auto"/>
                <w:vertAlign w:val="superscript"/>
              </w:rPr>
              <w:t>(a)</w:t>
            </w:r>
          </w:p>
        </w:tc>
        <w:tc>
          <w:tcPr>
            <w:tcW w:w="480" w:type="dxa"/>
            <w:vAlign w:val="bottom"/>
            <w:tcBorders>
              <w:top w:val="single" w:sz="8" w:color="auto"/>
              <w:bottom w:val="single" w:sz="8" w:color="auto"/>
            </w:tcBorders>
          </w:tcPr>
          <w:p>
            <w:pPr>
              <w:spacing w:after="0"/>
              <w:rPr>
                <w:sz w:val="21"/>
                <w:szCs w:val="21"/>
                <w:color w:val="auto"/>
              </w:rPr>
            </w:pPr>
          </w:p>
        </w:tc>
      </w:tr>
      <w:tr>
        <w:trPr>
          <w:trHeight w:val="189"/>
        </w:trPr>
        <w:tc>
          <w:tcPr>
            <w:tcW w:w="2180" w:type="dxa"/>
            <w:vAlign w:val="bottom"/>
          </w:tcPr>
          <w:p>
            <w:pPr>
              <w:spacing w:after="0"/>
              <w:rPr>
                <w:sz w:val="16"/>
                <w:szCs w:val="16"/>
                <w:color w:val="auto"/>
              </w:rPr>
            </w:pPr>
          </w:p>
        </w:tc>
        <w:tc>
          <w:tcPr>
            <w:tcW w:w="1420" w:type="dxa"/>
            <w:vAlign w:val="bottom"/>
            <w:tcBorders>
              <w:right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Borders>
              <w:right w:val="single" w:sz="8" w:color="auto"/>
            </w:tcBorders>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w w:val="98"/>
              </w:rPr>
              <w:t>Pro Forma</w:t>
            </w:r>
          </w:p>
        </w:tc>
        <w:tc>
          <w:tcPr>
            <w:tcW w:w="480" w:type="dxa"/>
            <w:vAlign w:val="bottom"/>
          </w:tcPr>
          <w:p>
            <w:pPr>
              <w:spacing w:after="0"/>
              <w:rPr>
                <w:sz w:val="16"/>
                <w:szCs w:val="16"/>
                <w:color w:val="auto"/>
              </w:rPr>
            </w:pPr>
          </w:p>
        </w:tc>
      </w:tr>
      <w:tr>
        <w:trPr>
          <w:trHeight w:val="234"/>
        </w:trPr>
        <w:tc>
          <w:tcPr>
            <w:tcW w:w="2180" w:type="dxa"/>
            <w:vAlign w:val="bottom"/>
          </w:tcPr>
          <w:p>
            <w:pPr>
              <w:spacing w:after="0"/>
              <w:rPr>
                <w:sz w:val="20"/>
                <w:szCs w:val="20"/>
                <w:color w:val="auto"/>
              </w:rPr>
            </w:pPr>
          </w:p>
        </w:tc>
        <w:tc>
          <w:tcPr>
            <w:tcW w:w="1420" w:type="dxa"/>
            <w:vAlign w:val="bottom"/>
            <w:tcBorders>
              <w:bottom w:val="single" w:sz="8" w:color="auto"/>
              <w:right w:val="single" w:sz="8" w:color="auto"/>
            </w:tcBorders>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21"/>
              <w:spacing w:after="0"/>
              <w:rPr>
                <w:sz w:val="20"/>
                <w:szCs w:val="20"/>
                <w:color w:val="auto"/>
              </w:rPr>
            </w:pPr>
            <w:r>
              <w:rPr>
                <w:rFonts w:ascii="Times New Roman" w:cs="Times New Roman" w:eastAsia="Times New Roman" w:hAnsi="Times New Roman"/>
                <w:sz w:val="16"/>
                <w:szCs w:val="16"/>
                <w:b w:val="1"/>
                <w:bCs w:val="1"/>
                <w:color w:val="auto"/>
              </w:rPr>
              <w:t>August 6,</w:t>
            </w:r>
          </w:p>
        </w:tc>
        <w:tc>
          <w:tcPr>
            <w:tcW w:w="14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Increase/(Decrease)</w:t>
            </w:r>
          </w:p>
        </w:tc>
      </w:tr>
      <w:tr>
        <w:trPr>
          <w:trHeight w:val="232"/>
        </w:trPr>
        <w:tc>
          <w:tcPr>
            <w:tcW w:w="2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ind w:right="32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20"/>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 by Type:</w:t>
            </w:r>
          </w:p>
        </w:tc>
        <w:tc>
          <w:tcPr>
            <w:tcW w:w="30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8"/>
        </w:trPr>
        <w:tc>
          <w:tcPr>
            <w:tcW w:w="2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3,803</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5,329</w:t>
            </w:r>
          </w:p>
        </w:tc>
        <w:tc>
          <w:tcPr>
            <w:tcW w:w="4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10,295</w:t>
            </w:r>
          </w:p>
        </w:tc>
        <w:tc>
          <w:tcPr>
            <w:tcW w:w="4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9,132</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10,295</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(1,163)</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8"/>
        </w:trPr>
        <w:tc>
          <w:tcPr>
            <w:tcW w:w="2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Affiliate and subscription</w:t>
            </w:r>
          </w:p>
        </w:tc>
        <w:tc>
          <w:tcPr>
            <w:tcW w:w="300" w:type="dxa"/>
            <w:vAlign w:val="bottom"/>
          </w:tcPr>
          <w:p>
            <w:pPr>
              <w:spacing w:after="0"/>
              <w:rPr>
                <w:sz w:val="20"/>
                <w:szCs w:val="20"/>
                <w:color w:val="auto"/>
              </w:rPr>
            </w:pPr>
          </w:p>
        </w:tc>
        <w:tc>
          <w:tcPr>
            <w:tcW w:w="112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5,429</w:t>
            </w:r>
          </w:p>
        </w:tc>
        <w:tc>
          <w:tcPr>
            <w:tcW w:w="360" w:type="dxa"/>
            <w:vAlign w:val="bottom"/>
          </w:tcPr>
          <w:p>
            <w:pPr>
              <w:spacing w:after="0"/>
              <w:rPr>
                <w:sz w:val="20"/>
                <w:szCs w:val="20"/>
                <w:color w:val="auto"/>
              </w:rPr>
            </w:pPr>
          </w:p>
        </w:tc>
        <w:tc>
          <w:tcPr>
            <w:tcW w:w="10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8,242</w:t>
            </w:r>
          </w:p>
        </w:tc>
        <w:tc>
          <w:tcPr>
            <w:tcW w:w="480" w:type="dxa"/>
            <w:vAlign w:val="bottom"/>
          </w:tcPr>
          <w:p>
            <w:pPr>
              <w:spacing w:after="0"/>
              <w:rPr>
                <w:sz w:val="20"/>
                <w:szCs w:val="20"/>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13,153</w:t>
            </w:r>
          </w:p>
        </w:tc>
        <w:tc>
          <w:tcPr>
            <w:tcW w:w="460" w:type="dxa"/>
            <w:vAlign w:val="bottom"/>
          </w:tcPr>
          <w:p>
            <w:pPr>
              <w:spacing w:after="0"/>
              <w:rPr>
                <w:sz w:val="20"/>
                <w:szCs w:val="20"/>
                <w:color w:val="auto"/>
              </w:rPr>
            </w:pPr>
          </w:p>
        </w:tc>
        <w:tc>
          <w:tcPr>
            <w:tcW w:w="7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13,671</w:t>
            </w:r>
          </w:p>
        </w:tc>
        <w:tc>
          <w:tcPr>
            <w:tcW w:w="680" w:type="dxa"/>
            <w:vAlign w:val="bottom"/>
          </w:tcPr>
          <w:p>
            <w:pPr>
              <w:spacing w:after="0"/>
              <w:rPr>
                <w:sz w:val="20"/>
                <w:szCs w:val="20"/>
                <w:color w:val="auto"/>
              </w:rPr>
            </w:pP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13,153</w:t>
            </w:r>
          </w:p>
        </w:tc>
        <w:tc>
          <w:tcPr>
            <w:tcW w:w="320" w:type="dxa"/>
            <w:vAlign w:val="bottom"/>
          </w:tcPr>
          <w:p>
            <w:pPr>
              <w:spacing w:after="0"/>
              <w:rPr>
                <w:sz w:val="20"/>
                <w:szCs w:val="20"/>
                <w:color w:val="auto"/>
              </w:rPr>
            </w:pPr>
          </w:p>
        </w:tc>
        <w:tc>
          <w:tcPr>
            <w:tcW w:w="1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518</w:t>
            </w:r>
          </w:p>
        </w:tc>
        <w:tc>
          <w:tcPr>
            <w:tcW w:w="4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4</w:t>
            </w:r>
          </w:p>
        </w:tc>
      </w:tr>
      <w:tr>
        <w:trPr>
          <w:trHeight w:val="239"/>
        </w:trPr>
        <w:tc>
          <w:tcPr>
            <w:tcW w:w="2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Theatrical</w:t>
            </w:r>
          </w:p>
        </w:tc>
        <w:tc>
          <w:tcPr>
            <w:tcW w:w="300" w:type="dxa"/>
            <w:vAlign w:val="bottom"/>
          </w:tcPr>
          <w:p>
            <w:pPr>
              <w:spacing w:after="0"/>
              <w:rPr>
                <w:sz w:val="20"/>
                <w:szCs w:val="20"/>
                <w:color w:val="auto"/>
              </w:rPr>
            </w:pPr>
          </w:p>
        </w:tc>
        <w:tc>
          <w:tcPr>
            <w:tcW w:w="112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154</w:t>
            </w:r>
          </w:p>
        </w:tc>
        <w:tc>
          <w:tcPr>
            <w:tcW w:w="360" w:type="dxa"/>
            <w:vAlign w:val="bottom"/>
          </w:tcPr>
          <w:p>
            <w:pPr>
              <w:spacing w:after="0"/>
              <w:rPr>
                <w:sz w:val="20"/>
                <w:szCs w:val="20"/>
                <w:color w:val="auto"/>
              </w:rPr>
            </w:pPr>
          </w:p>
        </w:tc>
        <w:tc>
          <w:tcPr>
            <w:tcW w:w="10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475</w:t>
            </w:r>
          </w:p>
        </w:tc>
        <w:tc>
          <w:tcPr>
            <w:tcW w:w="480" w:type="dxa"/>
            <w:vAlign w:val="bottom"/>
          </w:tcPr>
          <w:p>
            <w:pPr>
              <w:spacing w:after="0"/>
              <w:rPr>
                <w:sz w:val="20"/>
                <w:szCs w:val="20"/>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813</w:t>
            </w:r>
          </w:p>
        </w:tc>
        <w:tc>
          <w:tcPr>
            <w:tcW w:w="460" w:type="dxa"/>
            <w:vAlign w:val="bottom"/>
          </w:tcPr>
          <w:p>
            <w:pPr>
              <w:spacing w:after="0"/>
              <w:rPr>
                <w:sz w:val="20"/>
                <w:szCs w:val="20"/>
                <w:color w:val="auto"/>
              </w:rPr>
            </w:pPr>
          </w:p>
        </w:tc>
        <w:tc>
          <w:tcPr>
            <w:tcW w:w="7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629</w:t>
            </w:r>
          </w:p>
        </w:tc>
        <w:tc>
          <w:tcPr>
            <w:tcW w:w="680" w:type="dxa"/>
            <w:vAlign w:val="bottom"/>
          </w:tcPr>
          <w:p>
            <w:pPr>
              <w:spacing w:after="0"/>
              <w:rPr>
                <w:sz w:val="20"/>
                <w:szCs w:val="20"/>
                <w:color w:val="auto"/>
              </w:rPr>
            </w:pP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813</w:t>
            </w:r>
          </w:p>
        </w:tc>
        <w:tc>
          <w:tcPr>
            <w:tcW w:w="320" w:type="dxa"/>
            <w:vAlign w:val="bottom"/>
          </w:tcPr>
          <w:p>
            <w:pPr>
              <w:spacing w:after="0"/>
              <w:rPr>
                <w:sz w:val="20"/>
                <w:szCs w:val="20"/>
                <w:color w:val="auto"/>
              </w:rPr>
            </w:pP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(184)</w:t>
            </w:r>
          </w:p>
        </w:tc>
        <w:tc>
          <w:tcPr>
            <w:tcW w:w="4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(23)</w:t>
            </w:r>
          </w:p>
        </w:tc>
      </w:tr>
      <w:tr>
        <w:trPr>
          <w:trHeight w:val="250"/>
        </w:trPr>
        <w:tc>
          <w:tcPr>
            <w:tcW w:w="2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Licensing and other</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2,883</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2,576</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4,952</w:t>
            </w: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5,962</w:t>
            </w:r>
          </w:p>
        </w:tc>
        <w:tc>
          <w:tcPr>
            <w:tcW w:w="6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6,010</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(48)</w:t>
            </w:r>
          </w:p>
        </w:tc>
        <w:tc>
          <w:tcPr>
            <w:tcW w:w="4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w:t>
            </w:r>
          </w:p>
        </w:tc>
      </w:tr>
      <w:tr>
        <w:trPr>
          <w:trHeight w:val="245"/>
        </w:trPr>
        <w:tc>
          <w:tcPr>
            <w:tcW w:w="2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12,269</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16,622</w:t>
            </w:r>
          </w:p>
        </w:tc>
        <w:tc>
          <w:tcPr>
            <w:tcW w:w="4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29,213</w:t>
            </w:r>
          </w:p>
        </w:tc>
        <w:tc>
          <w:tcPr>
            <w:tcW w:w="4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29,394</w:t>
            </w: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30,271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(877)</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bl>
    <w:p>
      <w:pPr>
        <w:spacing w:after="0" w:line="158" w:lineRule="exact"/>
        <w:rPr>
          <w:sz w:val="20"/>
          <w:szCs w:val="20"/>
          <w:color w:val="auto"/>
        </w:rPr>
      </w:pPr>
    </w:p>
    <w:p>
      <w:pPr>
        <w:jc w:val="both"/>
        <w:ind w:left="400" w:right="320" w:hanging="235"/>
        <w:spacing w:after="0" w:line="258" w:lineRule="auto"/>
        <w:tabs>
          <w:tab w:leader="none" w:pos="38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Supplemental Pro Forma Revenues for the year ended December 31, 2025 reflect the combination of the Successor period with the Predecessor period from January 1-August 6, 2025, and for each Predecessor period, Licensing and other and Total Revenues include pro forma adjustments to include Skydance revenues after the elimination of intercompany revenues from Paramount Global. While the Successor and Predecessor periods are distinct reporting periods, revenues were not impacted by the pushdown of the Ultimate Parent’s basis and are supplementally presented on a pro forma combined basis to help investors view these revenues in a manner consistent with our management. See </w:t>
      </w:r>
      <w:r>
        <w:rPr>
          <w:rFonts w:ascii="Times New Roman" w:cs="Times New Roman" w:eastAsia="Times New Roman" w:hAnsi="Times New Roman"/>
          <w:sz w:val="16"/>
          <w:szCs w:val="16"/>
          <w:i w:val="1"/>
          <w:iCs w:val="1"/>
          <w:color w:val="auto"/>
        </w:rPr>
        <w:t>Supplemental Pro Forma Revenues</w:t>
      </w:r>
      <w:r>
        <w:rPr>
          <w:rFonts w:ascii="Times New Roman" w:cs="Times New Roman" w:eastAsia="Times New Roman" w:hAnsi="Times New Roman"/>
          <w:sz w:val="16"/>
          <w:szCs w:val="16"/>
          <w:color w:val="auto"/>
        </w:rPr>
        <w:t xml:space="preserve"> for calculations of these pro forma revenue amounts.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Advertising revenues are generated primarily from the sale of advertising spots on our global broadcast and cable networks, television stations, and streaming services. Advertising revenues during the Successor and Predecessor periods in 2025 and 2024 were impacted by declines in the linear advertising market and in the 2025 periods also included the impact on pricing from new entrants to the digital advertising market. The year ended December 31, 2024 benefited from revenues associated with the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on CBS and Paramount+ in the first quarter of 2024 and political advertising revenue associated with the 2024 U.S. Presidential election. We have the rights to broadcast the Super Bowl on a rotational basis with other networks, and therefore did not have a comparable broadcast in 2025.</w:t>
      </w:r>
    </w:p>
    <w:p>
      <w:pPr>
        <w:spacing w:after="0" w:line="19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On a pro forma basis, the decrease in advertising revenues of 11% for the year ended December 31, 2025 includes decreases of 6% from the comparison to our broadcast of the Super Bowl in 2024 and 2% from lower political advertising.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Affiliate and subscription revenues are principally comprised of affiliate fees we receive from distributors for their carriage of our cable networks (cable affiliate fees) and television stations (retransmission fees), as well as fees received from third-party television stations for their affiliation with the CBS Television Network (reverse compensation), and subscription fees for our streaming services.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Affiliate and subscription revenues during each of the Successor and Predecessor periods in 2025 and 2024 reflect the benefit from subscriber growth and pricing increases for Paramount+ but were negatively impacted by linear subscriber declines. At December 31, 2025, there were 78.9 million Paramount+ subscribers.</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On a pro forma basis, the growth of 4% in affiliate and subscription revenues for the year ended December 31, 2025 reflects an increase of 8% from higher streaming subscription fees, driven by subscriber growth and pricing increases for Paramount+, partially offset by decreases from lower linear affiliate fees.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Theatrical</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Theatrical revenues during the Successor period included revenues from the releases of </w:t>
      </w:r>
      <w:r>
        <w:rPr>
          <w:rFonts w:ascii="Times New Roman" w:cs="Times New Roman" w:eastAsia="Times New Roman" w:hAnsi="Times New Roman"/>
          <w:sz w:val="19"/>
          <w:szCs w:val="19"/>
          <w:i w:val="1"/>
          <w:iCs w:val="1"/>
          <w:color w:val="auto"/>
        </w:rPr>
        <w:t>The SpongeBob Movie: Search for SquarePants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Regretting You</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The Running Man</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i w:val="1"/>
          <w:iCs w:val="1"/>
          <w:color w:val="auto"/>
        </w:rPr>
        <w:t xml:space="preserve"> The Naked Gun</w:t>
      </w:r>
      <w:r>
        <w:rPr>
          <w:rFonts w:ascii="Times New Roman" w:cs="Times New Roman" w:eastAsia="Times New Roman" w:hAnsi="Times New Roman"/>
          <w:sz w:val="19"/>
          <w:szCs w:val="19"/>
          <w:color w:val="auto"/>
        </w:rPr>
        <w:t>. Theatrical revenues during the Predecessor period from January 1, 2025 - August 6,</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2025 benefited from the second quarter 2025 release of </w:t>
      </w:r>
      <w:r>
        <w:rPr>
          <w:rFonts w:ascii="Times New Roman" w:cs="Times New Roman" w:eastAsia="Times New Roman" w:hAnsi="Times New Roman"/>
          <w:sz w:val="19"/>
          <w:szCs w:val="19"/>
          <w:i w:val="1"/>
          <w:iCs w:val="1"/>
          <w:color w:val="auto"/>
        </w:rPr>
        <w:t>Mission: Impossible-The Final Reckoning</w:t>
      </w:r>
      <w:r>
        <w:rPr>
          <w:rFonts w:ascii="Times New Roman" w:cs="Times New Roman" w:eastAsia="Times New Roman" w:hAnsi="Times New Roman"/>
          <w:sz w:val="19"/>
          <w:szCs w:val="19"/>
          <w:color w:val="auto"/>
        </w:rPr>
        <w:t xml:space="preserve"> and the fourth quarter 2024 release of </w:t>
      </w:r>
      <w:r>
        <w:rPr>
          <w:rFonts w:ascii="Times New Roman" w:cs="Times New Roman" w:eastAsia="Times New Roman" w:hAnsi="Times New Roman"/>
          <w:sz w:val="19"/>
          <w:szCs w:val="19"/>
          <w:i w:val="1"/>
          <w:iCs w:val="1"/>
          <w:color w:val="auto"/>
        </w:rPr>
        <w:t>Sonic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the Hedgehog 3</w:t>
      </w:r>
      <w:r>
        <w:rPr>
          <w:rFonts w:ascii="Times New Roman" w:cs="Times New Roman" w:eastAsia="Times New Roman" w:hAnsi="Times New Roman"/>
          <w:sz w:val="19"/>
          <w:szCs w:val="19"/>
          <w:color w:val="auto"/>
        </w:rPr>
        <w:t>, which also benefited 2024 revenues, along with the releases of</w:t>
      </w:r>
      <w:r>
        <w:rPr>
          <w:rFonts w:ascii="Times New Roman" w:cs="Times New Roman" w:eastAsia="Times New Roman" w:hAnsi="Times New Roman"/>
          <w:sz w:val="19"/>
          <w:szCs w:val="19"/>
          <w:i w:val="1"/>
          <w:iCs w:val="1"/>
          <w:color w:val="auto"/>
        </w:rPr>
        <w:t xml:space="preserve"> Gladiator II</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A Quiet Place: Day One</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i w:val="1"/>
          <w:iCs w:val="1"/>
          <w:color w:val="auto"/>
        </w:rPr>
        <w:t xml:space="preserve"> Transformers One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 a pro forma basis, the 23% decrease reflects the mix of releases in each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Licensing and other revenues are principally comprised of fees from the licensing of the rights to exhibit our internally-produced television and film programming on various platforms in the secondary market after its initial exhibition on our owned or third-party platforms; license fees from content produced or distributed for third parties; home entertainment revenues, which primarily include revenues from the viewing of our content on a transactional basis through transactional video-on-demand (TVOD) and electronic sell-through services; fees from the use of our trademarks and brands for consumer products, recreation and live events; revenues from games and other interactive content; and revenues from studio rentals and production services. Content licensing and other revenues include Skydance revenue in the Successor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Operating Expenses</w:t>
      </w:r>
    </w:p>
    <w:p>
      <w:pPr>
        <w:spacing w:after="0" w:line="184" w:lineRule="exact"/>
        <w:rPr>
          <w:sz w:val="20"/>
          <w:szCs w:val="20"/>
          <w:color w:val="auto"/>
        </w:rPr>
      </w:pPr>
    </w:p>
    <w:tbl>
      <w:tblPr>
        <w:tblLayout w:type="fixed"/>
        <w:tblInd w:w="1340" w:type="dxa"/>
        <w:tblCellMar>
          <w:top w:w="0" w:type="dxa"/>
          <w:left w:w="0" w:type="dxa"/>
          <w:bottom w:w="0" w:type="dxa"/>
          <w:right w:w="0" w:type="dxa"/>
        </w:tblCellMar>
      </w:tblPr>
      <w:tr>
        <w:trPr>
          <w:trHeight w:val="258"/>
        </w:trPr>
        <w:tc>
          <w:tcPr>
            <w:tcW w:w="404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0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80" w:type="dxa"/>
            <w:vAlign w:val="bottom"/>
            <w:tcBorders>
              <w:top w:val="single" w:sz="8" w:color="auto"/>
              <w:bottom w:val="single" w:sz="8" w:color="auto"/>
            </w:tcBorders>
          </w:tcPr>
          <w:p>
            <w:pPr>
              <w:spacing w:after="0"/>
              <w:rPr>
                <w:sz w:val="22"/>
                <w:szCs w:val="22"/>
                <w:color w:val="auto"/>
              </w:rPr>
            </w:pPr>
          </w:p>
        </w:tc>
      </w:tr>
      <w:tr>
        <w:trPr>
          <w:trHeight w:val="196"/>
        </w:trPr>
        <w:tc>
          <w:tcPr>
            <w:tcW w:w="4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5"/>
        </w:trPr>
        <w:tc>
          <w:tcPr>
            <w:tcW w:w="404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Period From August</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540" w:type="dxa"/>
            <w:vAlign w:val="bottom"/>
            <w:gridSpan w:val="2"/>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34"/>
        </w:trPr>
        <w:tc>
          <w:tcPr>
            <w:tcW w:w="4040" w:type="dxa"/>
            <w:vAlign w:val="bottom"/>
          </w:tcPr>
          <w:p>
            <w:pPr>
              <w:spacing w:after="0"/>
              <w:rPr>
                <w:sz w:val="20"/>
                <w:szCs w:val="20"/>
                <w:color w:val="auto"/>
              </w:rPr>
            </w:pPr>
          </w:p>
        </w:tc>
        <w:tc>
          <w:tcPr>
            <w:tcW w:w="1520" w:type="dxa"/>
            <w:vAlign w:val="bottom"/>
            <w:tcBorders>
              <w:bottom w:val="single" w:sz="8" w:color="auto"/>
              <w:right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7 - December 31,</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rPr>
              <w:t>August 6,</w:t>
            </w:r>
          </w:p>
        </w:tc>
        <w:tc>
          <w:tcPr>
            <w:tcW w:w="15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32"/>
        </w:trPr>
        <w:tc>
          <w:tcPr>
            <w:tcW w:w="4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37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0"/>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 by Type:</w:t>
            </w:r>
          </w:p>
        </w:tc>
        <w:tc>
          <w:tcPr>
            <w:tcW w:w="3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65"/>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Content costs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6,492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8,494</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14,964</w:t>
            </w:r>
          </w:p>
        </w:tc>
      </w:tr>
      <w:tr>
        <w:trPr>
          <w:trHeight w:val="265"/>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 and other</w:t>
            </w:r>
          </w:p>
        </w:tc>
        <w:tc>
          <w:tcPr>
            <w:tcW w:w="340" w:type="dxa"/>
            <w:vAlign w:val="bottom"/>
          </w:tcPr>
          <w:p>
            <w:pPr>
              <w:spacing w:after="0"/>
              <w:rPr>
                <w:sz w:val="23"/>
                <w:szCs w:val="23"/>
                <w:color w:val="auto"/>
              </w:rPr>
            </w:pP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1,916</w:t>
            </w:r>
          </w:p>
        </w:tc>
        <w:tc>
          <w:tcPr>
            <w:tcW w:w="400" w:type="dxa"/>
            <w:vAlign w:val="bottom"/>
          </w:tcPr>
          <w:p>
            <w:pPr>
              <w:spacing w:after="0"/>
              <w:rPr>
                <w:sz w:val="23"/>
                <w:szCs w:val="23"/>
                <w:color w:val="auto"/>
              </w:rPr>
            </w:pPr>
          </w:p>
        </w:tc>
        <w:tc>
          <w:tcPr>
            <w:tcW w:w="10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2,793</w:t>
            </w:r>
          </w:p>
        </w:tc>
        <w:tc>
          <w:tcPr>
            <w:tcW w:w="560" w:type="dxa"/>
            <w:vAlign w:val="bottom"/>
          </w:tcPr>
          <w:p>
            <w:pPr>
              <w:spacing w:after="0"/>
              <w:rPr>
                <w:sz w:val="23"/>
                <w:szCs w:val="23"/>
                <w:color w:val="auto"/>
              </w:rPr>
            </w:pPr>
          </w:p>
        </w:tc>
        <w:tc>
          <w:tcPr>
            <w:tcW w:w="9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4,473</w:t>
            </w:r>
          </w:p>
        </w:tc>
      </w:tr>
      <w:tr>
        <w:trPr>
          <w:trHeight w:val="25"/>
        </w:trPr>
        <w:tc>
          <w:tcPr>
            <w:tcW w:w="4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3"/>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8,408</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11,287</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19,437</w:t>
            </w:r>
          </w:p>
        </w:tc>
      </w:tr>
      <w:tr>
        <w:trPr>
          <w:trHeight w:val="32"/>
        </w:trPr>
        <w:tc>
          <w:tcPr>
            <w:tcW w:w="4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Content costs include the amortization of costs of internally-produced television content, theatrical film content, and interactive game development; amortization of acquired program rights; other television production costs, including on-air talent; and participation and residuals expenses, which reflect amounts owed to talent and other participants in our content pursuant to contractual and collective bargaining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Content costs for the Successor period include costs associated with Skydance’s content, and also reflect reductions in programming assets resulting from the pushdown of the Ultimate Parent’s basis. Programming assets decreased for our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segments and increased for our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as a result of the pushdown. Content costs for the Predecessor period for 2024 include costs associated with the Super Bowl broadcast in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Distribution and Other</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Distribution and other operating expenses primarily include costs relating to the distribution of our content, including marketing for theatrical releases; revenue-sharing costs, including for third-party distribution and to television stations affiliated with the CBS Television Network; compensation; and other costs associated with our operations.</w:t>
      </w:r>
    </w:p>
    <w:p>
      <w:pPr>
        <w:spacing w:after="0" w:line="18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Distribution and other operating expenses in each period reflect revenue-sharing costs related to revenues for our streaming services, which increased on a pro forma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Programming Charges</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During the fourth quarter of 2025, in connection with a review of our content portfolio following the closing of the Transactions, we decided to abandon certain Skydance content, principally development projects. As a result, we recorded programming charges totaling $41 million associated with this abandonment.</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Programming charges totaling $1.12 billion recorded during the first quarter of 2024 were the result of major changes in content strategy, which resulted in the removal of significant levels of content from our platforms, abandonment of development projects, and termination of programming agreements, particularly internationally, including locally-produced content and domestic titles that no longer aligned with a shift to a global programming strategy. The removal of this content from our platforms was a triggering event that required an assessment of whether the affected programming assets were impaired. This impairment review compared the current carrying value of each title with its fair value, which considered (1) that the titles were no longer being utilized on our platforms and there was no intention to use the titles on our platforms in the future and (2) the estimated future cash flows associated with any anticipated licensing of the titles to third parties, which was minimal. The programming charges were comprised of $909 million for the impairment of content to its estimated fair value, as well as $209 million for development cost write-offs and contract termination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Selling, General and Administrative Expenses</w:t>
      </w:r>
    </w:p>
    <w:p>
      <w:pPr>
        <w:spacing w:after="0" w:line="171" w:lineRule="exact"/>
        <w:rPr>
          <w:sz w:val="20"/>
          <w:szCs w:val="20"/>
          <w:color w:val="auto"/>
        </w:rPr>
      </w:pPr>
    </w:p>
    <w:tbl>
      <w:tblPr>
        <w:tblLayout w:type="fixed"/>
        <w:tblInd w:w="1860" w:type="dxa"/>
        <w:tblCellMar>
          <w:top w:w="0" w:type="dxa"/>
          <w:left w:w="0" w:type="dxa"/>
          <w:bottom w:w="0" w:type="dxa"/>
          <w:right w:w="0" w:type="dxa"/>
        </w:tblCellMar>
      </w:tblPr>
      <w:tr>
        <w:trPr>
          <w:trHeight w:val="266"/>
        </w:trPr>
        <w:tc>
          <w:tcPr>
            <w:tcW w:w="264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20" w:type="dxa"/>
            <w:vAlign w:val="bottom"/>
            <w:tcBorders>
              <w:top w:val="single" w:sz="8" w:color="auto"/>
              <w:right w:val="single" w:sz="8" w:color="auto"/>
            </w:tcBorders>
          </w:tcPr>
          <w:p>
            <w:pPr>
              <w:jc w:val="center"/>
              <w:ind w:right="412"/>
              <w:spacing w:after="0"/>
              <w:rPr>
                <w:sz w:val="20"/>
                <w:szCs w:val="20"/>
                <w:color w:val="auto"/>
              </w:rPr>
            </w:pPr>
            <w:r>
              <w:rPr>
                <w:rFonts w:ascii="Times New Roman" w:cs="Times New Roman" w:eastAsia="Times New Roman" w:hAnsi="Times New Roman"/>
                <w:sz w:val="18"/>
                <w:szCs w:val="18"/>
                <w:b w:val="1"/>
                <w:bCs w:val="1"/>
                <w:color w:val="auto"/>
                <w:w w:val="95"/>
              </w:rPr>
              <w:t>Successor</w:t>
            </w:r>
          </w:p>
        </w:tc>
        <w:tc>
          <w:tcPr>
            <w:tcW w:w="440" w:type="dxa"/>
            <w:vAlign w:val="bottom"/>
            <w:tcBorders>
              <w:top w:val="single" w:sz="8" w:color="auto"/>
            </w:tcBorders>
          </w:tcPr>
          <w:p>
            <w:pPr>
              <w:spacing w:after="0"/>
              <w:rPr>
                <w:sz w:val="23"/>
                <w:szCs w:val="23"/>
                <w:color w:val="auto"/>
              </w:rPr>
            </w:pPr>
          </w:p>
        </w:tc>
        <w:tc>
          <w:tcPr>
            <w:tcW w:w="1820" w:type="dxa"/>
            <w:vAlign w:val="bottom"/>
            <w:tcBorders>
              <w:top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020" w:type="dxa"/>
            <w:vAlign w:val="bottom"/>
            <w:tcBorders>
              <w:top w:val="single" w:sz="8" w:color="auto"/>
            </w:tcBorders>
          </w:tcPr>
          <w:p>
            <w:pPr>
              <w:spacing w:after="0"/>
              <w:rPr>
                <w:sz w:val="23"/>
                <w:szCs w:val="23"/>
                <w:color w:val="auto"/>
              </w:rPr>
            </w:pPr>
          </w:p>
        </w:tc>
      </w:tr>
      <w:tr>
        <w:trPr>
          <w:trHeight w:val="25"/>
        </w:trPr>
        <w:tc>
          <w:tcPr>
            <w:tcW w:w="2640" w:type="dxa"/>
            <w:vAlign w:val="bottom"/>
          </w:tcPr>
          <w:p>
            <w:pPr>
              <w:spacing w:after="0"/>
              <w:rPr>
                <w:sz w:val="2"/>
                <w:szCs w:val="2"/>
                <w:color w:val="auto"/>
              </w:rPr>
            </w:pPr>
          </w:p>
        </w:tc>
        <w:tc>
          <w:tcPr>
            <w:tcW w:w="1600" w:type="dxa"/>
            <w:vAlign w:val="bottom"/>
            <w:tcBorders>
              <w:bottom w:val="single" w:sz="8" w:color="auto"/>
              <w:right w:val="single" w:sz="8" w:color="auto"/>
            </w:tcBorders>
            <w:gridSpan w:val="2"/>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1"/>
        </w:trPr>
        <w:tc>
          <w:tcPr>
            <w:tcW w:w="2640" w:type="dxa"/>
            <w:vAlign w:val="bottom"/>
          </w:tcPr>
          <w:p>
            <w:pPr>
              <w:spacing w:after="0"/>
              <w:rPr>
                <w:sz w:val="18"/>
                <w:szCs w:val="18"/>
                <w:color w:val="auto"/>
              </w:rPr>
            </w:pPr>
          </w:p>
        </w:tc>
        <w:tc>
          <w:tcPr>
            <w:tcW w:w="1600" w:type="dxa"/>
            <w:vAlign w:val="bottom"/>
            <w:tcBorders>
              <w:right w:val="single" w:sz="8" w:color="auto"/>
            </w:tcBorders>
            <w:gridSpan w:val="2"/>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Period From</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Period From</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2640" w:type="dxa"/>
            <w:vAlign w:val="bottom"/>
          </w:tcPr>
          <w:p>
            <w:pPr>
              <w:spacing w:after="0"/>
              <w:rPr>
                <w:sz w:val="18"/>
                <w:szCs w:val="18"/>
                <w:color w:val="auto"/>
              </w:rPr>
            </w:pPr>
          </w:p>
        </w:tc>
        <w:tc>
          <w:tcPr>
            <w:tcW w:w="1600" w:type="dxa"/>
            <w:vAlign w:val="bottom"/>
            <w:tcBorders>
              <w:right w:val="single" w:sz="8" w:color="auto"/>
            </w:tcBorders>
            <w:gridSpan w:val="2"/>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August 7 -</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January 1 -</w:t>
            </w: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3"/>
        </w:trPr>
        <w:tc>
          <w:tcPr>
            <w:tcW w:w="2640" w:type="dxa"/>
            <w:vAlign w:val="bottom"/>
          </w:tcPr>
          <w:p>
            <w:pPr>
              <w:spacing w:after="0"/>
              <w:rPr>
                <w:sz w:val="20"/>
                <w:szCs w:val="20"/>
                <w:color w:val="auto"/>
              </w:rPr>
            </w:pPr>
          </w:p>
        </w:tc>
        <w:tc>
          <w:tcPr>
            <w:tcW w:w="1600" w:type="dxa"/>
            <w:vAlign w:val="bottom"/>
            <w:tcBorders>
              <w:right w:val="single" w:sz="8" w:color="auto"/>
            </w:tcBorders>
            <w:gridSpan w:val="2"/>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40" w:type="dxa"/>
            <w:vAlign w:val="bottom"/>
          </w:tcPr>
          <w:p>
            <w:pPr>
              <w:spacing w:after="0"/>
              <w:rPr>
                <w:sz w:val="20"/>
                <w:szCs w:val="20"/>
                <w:color w:val="auto"/>
              </w:rPr>
            </w:pPr>
          </w:p>
        </w:tc>
        <w:tc>
          <w:tcPr>
            <w:tcW w:w="122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5"/>
              </w:rPr>
              <w:t>August 6,</w:t>
            </w: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5"/>
        </w:trPr>
        <w:tc>
          <w:tcPr>
            <w:tcW w:w="2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2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Borders>
              <w:right w:val="single" w:sz="8" w:color="auto"/>
            </w:tcBorders>
          </w:tcPr>
          <w:p>
            <w:pPr>
              <w:jc w:val="center"/>
              <w:ind w:right="41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40" w:type="dxa"/>
            <w:vAlign w:val="bottom"/>
          </w:tcPr>
          <w:p>
            <w:pPr>
              <w:spacing w:after="0"/>
              <w:rPr>
                <w:sz w:val="20"/>
                <w:szCs w:val="20"/>
                <w:color w:val="auto"/>
              </w:rPr>
            </w:pPr>
          </w:p>
        </w:tc>
        <w:tc>
          <w:tcPr>
            <w:tcW w:w="122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600" w:type="dxa"/>
            <w:vAlign w:val="bottom"/>
          </w:tcPr>
          <w:p>
            <w:pPr>
              <w:spacing w:after="0"/>
              <w:rPr>
                <w:sz w:val="20"/>
                <w:szCs w:val="20"/>
                <w:color w:val="auto"/>
              </w:rPr>
            </w:pPr>
          </w:p>
        </w:tc>
        <w:tc>
          <w:tcPr>
            <w:tcW w:w="102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6"/>
        </w:trPr>
        <w:tc>
          <w:tcPr>
            <w:tcW w:w="2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w:t>
            </w:r>
          </w:p>
        </w:tc>
        <w:tc>
          <w:tcPr>
            <w:tcW w:w="38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1"/>
        </w:trPr>
        <w:tc>
          <w:tcPr>
            <w:tcW w:w="2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administrative expenses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2,594</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3,526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6,658</w:t>
            </w:r>
          </w:p>
        </w:tc>
      </w:tr>
      <w:tr>
        <w:trPr>
          <w:trHeight w:val="32"/>
        </w:trPr>
        <w:tc>
          <w:tcPr>
            <w:tcW w:w="2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Selling, general and administrative (“SG&amp;A”) expenses include costs incurred for advertising and marketing for our linear networks and streaming services, research, occupancy, professional service fees, and back office support, including employee compensation and technology. SG&amp;A in all periods benefited from restructuring activities and other cost savings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Depreciation and Amortization</w:t>
      </w:r>
    </w:p>
    <w:p>
      <w:pPr>
        <w:spacing w:after="0" w:line="171" w:lineRule="exact"/>
        <w:rPr>
          <w:sz w:val="20"/>
          <w:szCs w:val="20"/>
          <w:color w:val="auto"/>
        </w:rPr>
      </w:pPr>
    </w:p>
    <w:tbl>
      <w:tblPr>
        <w:tblLayout w:type="fixed"/>
        <w:tblInd w:w="1820" w:type="dxa"/>
        <w:tblCellMar>
          <w:top w:w="0" w:type="dxa"/>
          <w:left w:w="0" w:type="dxa"/>
          <w:bottom w:w="0" w:type="dxa"/>
          <w:right w:w="0" w:type="dxa"/>
        </w:tblCellMar>
      </w:tblPr>
      <w:tr>
        <w:trPr>
          <w:trHeight w:val="266"/>
        </w:trPr>
        <w:tc>
          <w:tcPr>
            <w:tcW w:w="262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40" w:type="dxa"/>
            <w:vAlign w:val="bottom"/>
            <w:tcBorders>
              <w:top w:val="single" w:sz="8" w:color="auto"/>
              <w:right w:val="single" w:sz="8" w:color="auto"/>
            </w:tcBorders>
          </w:tcPr>
          <w:p>
            <w:pPr>
              <w:jc w:val="center"/>
              <w:ind w:right="412"/>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520" w:type="dxa"/>
            <w:vAlign w:val="bottom"/>
            <w:tcBorders>
              <w:top w:val="single" w:sz="8" w:color="auto"/>
            </w:tcBorders>
          </w:tcPr>
          <w:p>
            <w:pPr>
              <w:spacing w:after="0"/>
              <w:rPr>
                <w:sz w:val="23"/>
                <w:szCs w:val="23"/>
                <w:color w:val="auto"/>
              </w:rPr>
            </w:pPr>
          </w:p>
        </w:tc>
        <w:tc>
          <w:tcPr>
            <w:tcW w:w="1820" w:type="dxa"/>
            <w:vAlign w:val="bottom"/>
            <w:tcBorders>
              <w:top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020" w:type="dxa"/>
            <w:vAlign w:val="bottom"/>
            <w:tcBorders>
              <w:top w:val="single" w:sz="8" w:color="auto"/>
            </w:tcBorders>
          </w:tcPr>
          <w:p>
            <w:pPr>
              <w:spacing w:after="0"/>
              <w:rPr>
                <w:sz w:val="23"/>
                <w:szCs w:val="23"/>
                <w:color w:val="auto"/>
              </w:rPr>
            </w:pPr>
          </w:p>
        </w:tc>
      </w:tr>
      <w:tr>
        <w:trPr>
          <w:trHeight w:val="26"/>
        </w:trPr>
        <w:tc>
          <w:tcPr>
            <w:tcW w:w="2620" w:type="dxa"/>
            <w:vAlign w:val="bottom"/>
          </w:tcPr>
          <w:p>
            <w:pPr>
              <w:spacing w:after="0"/>
              <w:rPr>
                <w:sz w:val="2"/>
                <w:szCs w:val="2"/>
                <w:color w:val="auto"/>
              </w:rPr>
            </w:pPr>
          </w:p>
        </w:tc>
        <w:tc>
          <w:tcPr>
            <w:tcW w:w="1620" w:type="dxa"/>
            <w:vAlign w:val="bottom"/>
            <w:tcBorders>
              <w:bottom w:val="single" w:sz="8" w:color="auto"/>
              <w:right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1"/>
        </w:trPr>
        <w:tc>
          <w:tcPr>
            <w:tcW w:w="262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Period From</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 From</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262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August 7 -</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January 1 -</w:t>
            </w: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3"/>
        </w:trPr>
        <w:tc>
          <w:tcPr>
            <w:tcW w:w="2620" w:type="dxa"/>
            <w:vAlign w:val="bottom"/>
          </w:tcPr>
          <w:p>
            <w:pPr>
              <w:spacing w:after="0"/>
              <w:rPr>
                <w:sz w:val="20"/>
                <w:szCs w:val="20"/>
                <w:color w:val="auto"/>
              </w:rPr>
            </w:pPr>
          </w:p>
        </w:tc>
        <w:tc>
          <w:tcPr>
            <w:tcW w:w="1620" w:type="dxa"/>
            <w:vAlign w:val="bottom"/>
            <w:tcBorders>
              <w:right w:val="single" w:sz="8" w:color="auto"/>
            </w:tcBorders>
            <w:gridSpan w:val="2"/>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520" w:type="dxa"/>
            <w:vAlign w:val="bottom"/>
          </w:tcPr>
          <w:p>
            <w:pPr>
              <w:spacing w:after="0"/>
              <w:rPr>
                <w:sz w:val="20"/>
                <w:szCs w:val="20"/>
                <w:color w:val="auto"/>
              </w:rPr>
            </w:pPr>
          </w:p>
        </w:tc>
        <w:tc>
          <w:tcPr>
            <w:tcW w:w="1220" w:type="dxa"/>
            <w:vAlign w:val="bottom"/>
          </w:tcPr>
          <w:p>
            <w:pPr>
              <w:jc w:val="center"/>
              <w:ind w:right="412"/>
              <w:spacing w:after="0"/>
              <w:rPr>
                <w:sz w:val="20"/>
                <w:szCs w:val="20"/>
                <w:color w:val="auto"/>
              </w:rPr>
            </w:pPr>
            <w:r>
              <w:rPr>
                <w:rFonts w:ascii="Times New Roman" w:cs="Times New Roman" w:eastAsia="Times New Roman" w:hAnsi="Times New Roman"/>
                <w:sz w:val="18"/>
                <w:szCs w:val="18"/>
                <w:b w:val="1"/>
                <w:bCs w:val="1"/>
                <w:color w:val="auto"/>
                <w:w w:val="98"/>
              </w:rPr>
              <w:t>August 6,</w:t>
            </w: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5"/>
        </w:trPr>
        <w:tc>
          <w:tcPr>
            <w:tcW w:w="2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Borders>
              <w:right w:val="single" w:sz="8" w:color="auto"/>
            </w:tcBorders>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520" w:type="dxa"/>
            <w:vAlign w:val="bottom"/>
          </w:tcPr>
          <w:p>
            <w:pPr>
              <w:spacing w:after="0"/>
              <w:rPr>
                <w:sz w:val="20"/>
                <w:szCs w:val="20"/>
                <w:color w:val="auto"/>
              </w:rPr>
            </w:pPr>
          </w:p>
        </w:tc>
        <w:tc>
          <w:tcPr>
            <w:tcW w:w="1220" w:type="dxa"/>
            <w:vAlign w:val="bottom"/>
          </w:tcPr>
          <w:p>
            <w:pPr>
              <w:jc w:val="center"/>
              <w:ind w:right="41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0" w:type="dxa"/>
            <w:vAlign w:val="bottom"/>
          </w:tcPr>
          <w:p>
            <w:pPr>
              <w:spacing w:after="0"/>
              <w:rPr>
                <w:sz w:val="20"/>
                <w:szCs w:val="20"/>
                <w:color w:val="auto"/>
              </w:rPr>
            </w:pPr>
          </w:p>
        </w:tc>
        <w:tc>
          <w:tcPr>
            <w:tcW w:w="102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5"/>
        </w:trPr>
        <w:tc>
          <w:tcPr>
            <w:tcW w:w="2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590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204</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392</w:t>
            </w:r>
          </w:p>
        </w:tc>
      </w:tr>
      <w:tr>
        <w:trPr>
          <w:trHeight w:val="32"/>
        </w:trPr>
        <w:tc>
          <w:tcPr>
            <w:tcW w:w="2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Depreciation and amortization expense reflects depreciation of fixed assets and amortization of finite-lived intangible assets. Depreciation and amortization for the Successor period includes amortization of intangible assets established in connection with the pushdown of the Ultimate Parent’s basis (See Note 2 to the consolidated financial statements). In addition, we began amortizing FCC licenses over a 30-year period during the third quarter of 2025 (see </w:t>
      </w:r>
      <w:r>
        <w:rPr>
          <w:rFonts w:ascii="Times New Roman" w:cs="Times New Roman" w:eastAsia="Times New Roman" w:hAnsi="Times New Roman"/>
          <w:sz w:val="19"/>
          <w:szCs w:val="19"/>
          <w:i w:val="1"/>
          <w:iCs w:val="1"/>
          <w:color w:val="auto"/>
        </w:rPr>
        <w:t>Critical Accounting Estimates</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Impairment Charges</w:t>
      </w:r>
    </w:p>
    <w:p>
      <w:pPr>
        <w:spacing w:after="0" w:line="15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During the 2025 Predecessor period, an impairment charge of $157 million was recorded reflecting a charge to reduce the carrying values of FCC licenses in certain markets to their estimated fair values at June 30, 2025.</w:t>
      </w:r>
    </w:p>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During 2024, a goodwill impairment charge of $5.98 billion was recorded for the Cable Networks reporting unit. In addition, charges totaling $149 million were recorded to write down the carrying values of FCC licenses in certain markets and our Australian broadcast licenses to their estimated fair values. The goodwill impairment charge resulted from a downward adjustment to the reporting unit’s expected cash flows, primarily as a result of indicators in the linear affiliate marketplace, and the estimated total company market value indicated by the Transactions and the NAI Transaction.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Restructuring, Transaction-Related Items, and Other Corporate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periods presented we recorded the following restructuring charges, transaction-related items, and other corporate matters.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258"/>
        </w:trPr>
        <w:tc>
          <w:tcPr>
            <w:tcW w:w="40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top w:val="single" w:sz="8" w:color="auto"/>
              <w:bottom w:val="single" w:sz="8" w:color="auto"/>
            </w:tcBorders>
          </w:tcPr>
          <w:p>
            <w:pPr>
              <w:spacing w:after="0"/>
              <w:rPr>
                <w:sz w:val="22"/>
                <w:szCs w:val="22"/>
                <w:color w:val="auto"/>
              </w:rPr>
            </w:pPr>
          </w:p>
        </w:tc>
      </w:tr>
      <w:tr>
        <w:trPr>
          <w:trHeight w:val="196"/>
        </w:trPr>
        <w:tc>
          <w:tcPr>
            <w:tcW w:w="402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5"/>
        </w:trPr>
        <w:tc>
          <w:tcPr>
            <w:tcW w:w="4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Borders>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540" w:type="dxa"/>
            <w:vAlign w:val="bottom"/>
            <w:gridSpan w:val="2"/>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0"/>
        </w:trPr>
        <w:tc>
          <w:tcPr>
            <w:tcW w:w="402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Pr>
          <w:p>
            <w:pPr>
              <w:spacing w:after="0"/>
              <w:rPr>
                <w:sz w:val="18"/>
                <w:szCs w:val="18"/>
                <w:color w:val="auto"/>
              </w:rPr>
            </w:pPr>
          </w:p>
        </w:tc>
        <w:tc>
          <w:tcPr>
            <w:tcW w:w="1080" w:type="dxa"/>
            <w:vAlign w:val="bottom"/>
          </w:tcPr>
          <w:p>
            <w:pPr>
              <w:jc w:val="center"/>
              <w:ind w:right="315"/>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32"/>
        </w:trPr>
        <w:tc>
          <w:tcPr>
            <w:tcW w:w="4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5"/>
        </w:trPr>
        <w:tc>
          <w:tcPr>
            <w:tcW w:w="4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7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1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Severance </w:t>
            </w:r>
            <w:r>
              <w:rPr>
                <w:rFonts w:ascii="Times New Roman" w:cs="Times New Roman" w:eastAsia="Times New Roman" w:hAnsi="Times New Roman"/>
                <w:sz w:val="22"/>
                <w:szCs w:val="22"/>
                <w:color w:val="auto"/>
                <w:vertAlign w:val="superscript"/>
              </w:rPr>
              <w:t>(a)</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650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190</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523</w:t>
            </w:r>
          </w:p>
        </w:tc>
      </w:tr>
      <w:tr>
        <w:trPr>
          <w:trHeight w:val="23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Exit costs</w:t>
            </w:r>
          </w:p>
        </w:tc>
        <w:tc>
          <w:tcPr>
            <w:tcW w:w="320" w:type="dxa"/>
            <w:vAlign w:val="bottom"/>
          </w:tcPr>
          <w:p>
            <w:pPr>
              <w:spacing w:after="0"/>
              <w:rPr>
                <w:sz w:val="20"/>
                <w:szCs w:val="20"/>
                <w:color w:val="auto"/>
              </w:rPr>
            </w:pP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0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65</w:t>
            </w:r>
          </w:p>
        </w:tc>
        <w:tc>
          <w:tcPr>
            <w:tcW w:w="540" w:type="dxa"/>
            <w:vAlign w:val="bottom"/>
          </w:tcPr>
          <w:p>
            <w:pPr>
              <w:spacing w:after="0"/>
              <w:rPr>
                <w:sz w:val="20"/>
                <w:szCs w:val="20"/>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31</w:t>
            </w:r>
          </w:p>
        </w:tc>
      </w:tr>
      <w:tr>
        <w:trPr>
          <w:trHeight w:val="25"/>
        </w:trPr>
        <w:tc>
          <w:tcPr>
            <w:tcW w:w="4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3"/>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tcPr>
          <w:p>
            <w:pPr>
              <w:spacing w:after="0"/>
              <w:rPr>
                <w:sz w:val="20"/>
                <w:szCs w:val="20"/>
                <w:color w:val="auto"/>
              </w:rPr>
            </w:pP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650</w:t>
            </w:r>
          </w:p>
        </w:tc>
        <w:tc>
          <w:tcPr>
            <w:tcW w:w="380" w:type="dxa"/>
            <w:vAlign w:val="bottom"/>
          </w:tcPr>
          <w:p>
            <w:pPr>
              <w:spacing w:after="0"/>
              <w:rPr>
                <w:sz w:val="20"/>
                <w:szCs w:val="20"/>
                <w:color w:val="auto"/>
              </w:rPr>
            </w:pPr>
          </w:p>
        </w:tc>
        <w:tc>
          <w:tcPr>
            <w:tcW w:w="10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255</w:t>
            </w:r>
          </w:p>
        </w:tc>
        <w:tc>
          <w:tcPr>
            <w:tcW w:w="540" w:type="dxa"/>
            <w:vAlign w:val="bottom"/>
          </w:tcPr>
          <w:p>
            <w:pPr>
              <w:spacing w:after="0"/>
              <w:rPr>
                <w:sz w:val="20"/>
                <w:szCs w:val="20"/>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554</w:t>
            </w:r>
          </w:p>
        </w:tc>
      </w:tr>
      <w:tr>
        <w:trPr>
          <w:trHeight w:val="265"/>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Transaction-related items</w:t>
            </w:r>
          </w:p>
        </w:tc>
        <w:tc>
          <w:tcPr>
            <w:tcW w:w="320" w:type="dxa"/>
            <w:vAlign w:val="bottom"/>
          </w:tcPr>
          <w:p>
            <w:pPr>
              <w:spacing w:after="0"/>
              <w:rPr>
                <w:sz w:val="23"/>
                <w:szCs w:val="23"/>
                <w:color w:val="auto"/>
              </w:rPr>
            </w:pP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tcPr>
          <w:p>
            <w:pPr>
              <w:spacing w:after="0"/>
              <w:rPr>
                <w:sz w:val="23"/>
                <w:szCs w:val="23"/>
                <w:color w:val="auto"/>
              </w:rPr>
            </w:pPr>
          </w:p>
        </w:tc>
        <w:tc>
          <w:tcPr>
            <w:tcW w:w="10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199</w:t>
            </w:r>
          </w:p>
        </w:tc>
        <w:tc>
          <w:tcPr>
            <w:tcW w:w="540" w:type="dxa"/>
            <w:vAlign w:val="bottom"/>
          </w:tcPr>
          <w:p>
            <w:pPr>
              <w:spacing w:after="0"/>
              <w:rPr>
                <w:sz w:val="23"/>
                <w:szCs w:val="23"/>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62</w:t>
            </w:r>
          </w:p>
        </w:tc>
      </w:tr>
      <w:tr>
        <w:trPr>
          <w:trHeight w:val="265"/>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corporate matters</w:t>
            </w:r>
          </w:p>
        </w:tc>
        <w:tc>
          <w:tcPr>
            <w:tcW w:w="320" w:type="dxa"/>
            <w:vAlign w:val="bottom"/>
          </w:tcPr>
          <w:p>
            <w:pPr>
              <w:spacing w:after="0"/>
              <w:rPr>
                <w:sz w:val="23"/>
                <w:szCs w:val="23"/>
                <w:color w:val="auto"/>
              </w:rPr>
            </w:pP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0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3"/>
                <w:szCs w:val="23"/>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131</w:t>
            </w:r>
          </w:p>
        </w:tc>
      </w:tr>
      <w:tr>
        <w:trPr>
          <w:trHeight w:val="25"/>
        </w:trPr>
        <w:tc>
          <w:tcPr>
            <w:tcW w:w="4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transaction-related items, and</w:t>
            </w:r>
          </w:p>
        </w:tc>
        <w:tc>
          <w:tcPr>
            <w:tcW w:w="32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4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corporate matters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731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454</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747</w:t>
            </w:r>
          </w:p>
        </w:tc>
      </w:tr>
      <w:tr>
        <w:trPr>
          <w:trHeight w:val="32"/>
        </w:trPr>
        <w:tc>
          <w:tcPr>
            <w:tcW w:w="4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32" w:lineRule="exact"/>
        <w:rPr>
          <w:sz w:val="20"/>
          <w:szCs w:val="20"/>
          <w:color w:val="auto"/>
        </w:rPr>
      </w:pPr>
    </w:p>
    <w:p>
      <w:pPr>
        <w:ind w:left="1340" w:hanging="221"/>
        <w:spacing w:after="0"/>
        <w:tabs>
          <w:tab w:leader="none" w:pos="1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Severance costs include the accelerated vesting of stock-based compensation.</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64" w:lineRule="exact"/>
        <w:rPr>
          <w:rFonts w:ascii="Times New Roman" w:cs="Times New Roman" w:eastAsia="Times New Roman" w:hAnsi="Times New Roman"/>
          <w:sz w:val="16"/>
          <w:szCs w:val="16"/>
          <w:color w:val="auto"/>
        </w:rPr>
      </w:pPr>
    </w:p>
    <w:p>
      <w:pPr>
        <w:ind w:left="5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i w:val="1"/>
          <w:iCs w:val="1"/>
          <w:color w:val="auto"/>
        </w:rPr>
        <w:t>Restructuring Charges</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Restructuring charges for the period from August 7 - December 31, 2025 (Successor) were comprised of severance costs of $650 million, principally associated with transformation initiatives and aligning the business around our strategic priorities following the Transactions, including costs related to a plan under which severance payments are being provided to certain eligible employees who voluntarily elected to participate.</w:t>
      </w:r>
    </w:p>
    <w:p>
      <w:pPr>
        <w:spacing w:after="0" w:line="200" w:lineRule="exact"/>
        <w:rPr>
          <w:sz w:val="20"/>
          <w:szCs w:val="20"/>
          <w:color w:val="auto"/>
        </w:rPr>
      </w:pP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Restructuring charges for the Predecessor periods from January 1 - August 6, 2025 and the year ended December 31, 2024 included severance costs of $190 million and $523 million, respectively, primarily reflecting strategic changes in our global workforce in order to streamline the organization. The severance costs in 2024 also included expenses associated with the exit of Paramount Global’s former CEO and other management changes.</w:t>
      </w:r>
    </w:p>
    <w:p>
      <w:pPr>
        <w:spacing w:after="0" w:line="2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Additionally, during the Predecessor periods from January 1 - August 6, 2025 and the year ended December 31, 2024, we recorded exit costs of $65 million and $31 million, respectively, primarily for the impairment of lease assets that we ceased use of in connection with initiatives to reduce our real estate footprint and create cost synergies.</w:t>
      </w:r>
    </w:p>
    <w:p>
      <w:pPr>
        <w:spacing w:after="0" w:line="1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Transaction-Related Items</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During the Successor period from August 7 - December 31, 2025, we recorded $81 million of transaction-related costs, principally for legal and other professional fees associated with the Warner Bros. offer. During the Predecessor period from January 1 - August 6, 2025, we recorded $199 million, principally for banking, legal, advisory, and other professional fees relating to the Transactions, and transaction awards that became payable to eligible employees upon closing. During 2024, we recorded costs for transaction-related items of $62 million associated with legal and advisory services related to the Transactions.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Other Corporate Matters</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 xml:space="preserve">In 2024, we recorded charges for other corporate matters of $131 million, comprised of $74 million associated with the abandonment of developed technology and $57 million to increase our accrual for asbestos matters as discussed under </w:t>
      </w: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Claims Related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Former Businesses—Asbestos </w:t>
      </w:r>
      <w:r>
        <w:rPr>
          <w:rFonts w:ascii="Times New Roman" w:cs="Times New Roman" w:eastAsia="Times New Roman" w:hAnsi="Times New Roman"/>
          <w:sz w:val="19"/>
          <w:szCs w:val="19"/>
          <w:color w:val="auto"/>
        </w:rPr>
        <w:t>in Note 18 to the consolidated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Gain on Dispositions</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During the first quarter of 2025 (Predecessor), we recorded gains totaling $35 million, principally associated with the disposition of a noncore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Interest Expense and Income</w:t>
      </w:r>
    </w:p>
    <w:p>
      <w:pPr>
        <w:spacing w:after="0" w:line="197" w:lineRule="exact"/>
        <w:rPr>
          <w:sz w:val="20"/>
          <w:szCs w:val="20"/>
          <w:color w:val="auto"/>
        </w:rPr>
      </w:pPr>
    </w:p>
    <w:tbl>
      <w:tblPr>
        <w:tblLayout w:type="fixed"/>
        <w:tblInd w:w="1960" w:type="dxa"/>
        <w:tblCellMar>
          <w:top w:w="0" w:type="dxa"/>
          <w:left w:w="0" w:type="dxa"/>
          <w:bottom w:w="0" w:type="dxa"/>
          <w:right w:w="0" w:type="dxa"/>
        </w:tblCellMar>
      </w:tblPr>
      <w:tr>
        <w:trPr>
          <w:trHeight w:val="258"/>
        </w:trPr>
        <w:tc>
          <w:tcPr>
            <w:tcW w:w="26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right w:val="single" w:sz="8" w:color="auto"/>
            </w:tcBorders>
          </w:tcPr>
          <w:p>
            <w:pPr>
              <w:jc w:val="center"/>
              <w:ind w:right="41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20" w:type="dxa"/>
            <w:vAlign w:val="bottom"/>
            <w:tcBorders>
              <w:top w:val="single" w:sz="8" w:color="auto"/>
              <w:bottom w:val="single" w:sz="8" w:color="auto"/>
            </w:tcBorders>
          </w:tcPr>
          <w:p>
            <w:pPr>
              <w:spacing w:after="0"/>
              <w:rPr>
                <w:sz w:val="22"/>
                <w:szCs w:val="22"/>
                <w:color w:val="auto"/>
              </w:rPr>
            </w:pPr>
          </w:p>
        </w:tc>
      </w:tr>
      <w:tr>
        <w:trPr>
          <w:trHeight w:val="196"/>
        </w:trPr>
        <w:tc>
          <w:tcPr>
            <w:tcW w:w="2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180" w:type="dxa"/>
            <w:vAlign w:val="bottom"/>
            <w:gridSpan w:val="2"/>
          </w:tcPr>
          <w:p>
            <w:pPr>
              <w:jc w:val="center"/>
              <w:ind w:left="216"/>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6"/>
        </w:trPr>
        <w:tc>
          <w:tcPr>
            <w:tcW w:w="2600" w:type="dxa"/>
            <w:vAlign w:val="bottom"/>
          </w:tcPr>
          <w:p>
            <w:pPr>
              <w:spacing w:after="0"/>
              <w:rPr>
                <w:sz w:val="16"/>
                <w:szCs w:val="16"/>
                <w:color w:val="auto"/>
              </w:rPr>
            </w:pPr>
          </w:p>
        </w:tc>
        <w:tc>
          <w:tcPr>
            <w:tcW w:w="1600" w:type="dxa"/>
            <w:vAlign w:val="bottom"/>
            <w:tcBorders>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Period From August</w:t>
            </w:r>
          </w:p>
        </w:tc>
        <w:tc>
          <w:tcPr>
            <w:tcW w:w="1180" w:type="dxa"/>
            <w:vAlign w:val="bottom"/>
            <w:gridSpan w:val="2"/>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94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34"/>
        </w:trPr>
        <w:tc>
          <w:tcPr>
            <w:tcW w:w="2600" w:type="dxa"/>
            <w:vAlign w:val="bottom"/>
          </w:tcPr>
          <w:p>
            <w:pPr>
              <w:spacing w:after="0"/>
              <w:rPr>
                <w:sz w:val="20"/>
                <w:szCs w:val="20"/>
                <w:color w:val="auto"/>
              </w:rPr>
            </w:pPr>
          </w:p>
        </w:tc>
        <w:tc>
          <w:tcPr>
            <w:tcW w:w="1600" w:type="dxa"/>
            <w:vAlign w:val="bottom"/>
            <w:tcBorders>
              <w:bottom w:val="single" w:sz="8" w:color="auto"/>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9"/>
              </w:rPr>
              <w:t>7 - December 31,</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94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32"/>
        </w:trPr>
        <w:tc>
          <w:tcPr>
            <w:tcW w:w="26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ind w:right="39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9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0"/>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rPr>
              <w:t>366</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860</w:t>
            </w:r>
          </w:p>
        </w:tc>
      </w:tr>
      <w:tr>
        <w:trPr>
          <w:trHeight w:val="265"/>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rPr>
              <w:t>64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151</w:t>
            </w:r>
          </w:p>
        </w:tc>
      </w:tr>
      <w:tr>
        <w:trPr>
          <w:trHeight w:val="32"/>
        </w:trPr>
        <w:tc>
          <w:tcPr>
            <w:tcW w:w="2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5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In connection with the pushdown of the Ultimate Parent’s basis, our debt was recorded at fair value, which resulted in a decrease to our total debt balance of $898 million. The adjustments to fair value for each of our senior and</w:t>
      </w:r>
    </w:p>
    <w:p>
      <w:pPr>
        <w:sectPr>
          <w:pgSz w:w="11900" w:h="16838" w:orient="portrait"/>
          <w:cols w:equalWidth="0" w:num="1">
            <w:col w:w="11240"/>
          </w:cols>
          <w:pgMar w:left="320" w:top="5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8"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junior debt issuances are being amortized over the remaining term of the applicable issuance within interest expense. The weighted average interest rate on our senior and junior debt was 5.17% at both December 31, 2025 (Successor) and December 31, 2024 (Predecessor).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Loss from Investments</w:t>
      </w:r>
    </w:p>
    <w:p>
      <w:pPr>
        <w:spacing w:after="0" w:line="155"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During the fourth quarter of 2025 (Successor), we recorded a loss of $40 million to write off investments due to recent indications that these investments are no longer recoverable.</w:t>
      </w:r>
    </w:p>
    <w:p>
      <w:pPr>
        <w:spacing w:after="0" w:line="9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During 2024, we recorded losses totaling $17 million associated with sales of investments, including a $13 million loss on the sale of our remaining 13% interest in Viacom18.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Items, Net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the components of “Other items, net.”</w:t>
      </w:r>
    </w:p>
    <w:p>
      <w:pPr>
        <w:spacing w:after="0" w:line="182" w:lineRule="exact"/>
        <w:rPr>
          <w:sz w:val="20"/>
          <w:szCs w:val="20"/>
          <w:color w:val="auto"/>
        </w:rPr>
      </w:pPr>
    </w:p>
    <w:tbl>
      <w:tblPr>
        <w:tblLayout w:type="fixed"/>
        <w:tblInd w:w="1480" w:type="dxa"/>
        <w:tblCellMar>
          <w:top w:w="0" w:type="dxa"/>
          <w:left w:w="0" w:type="dxa"/>
          <w:bottom w:w="0" w:type="dxa"/>
          <w:right w:w="0" w:type="dxa"/>
        </w:tblCellMar>
      </w:tblPr>
      <w:tr>
        <w:trPr>
          <w:trHeight w:val="258"/>
        </w:trPr>
        <w:tc>
          <w:tcPr>
            <w:tcW w:w="346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60" w:type="dxa"/>
            <w:vAlign w:val="bottom"/>
            <w:tcBorders>
              <w:top w:val="single" w:sz="8" w:color="auto"/>
              <w:bottom w:val="single" w:sz="8" w:color="auto"/>
            </w:tcBorders>
          </w:tcPr>
          <w:p>
            <w:pPr>
              <w:spacing w:after="0"/>
              <w:rPr>
                <w:sz w:val="22"/>
                <w:szCs w:val="22"/>
                <w:color w:val="auto"/>
              </w:rPr>
            </w:pPr>
          </w:p>
        </w:tc>
        <w:tc>
          <w:tcPr>
            <w:tcW w:w="2720" w:type="dxa"/>
            <w:vAlign w:val="bottom"/>
            <w:tcBorders>
              <w:top w:val="single" w:sz="8" w:color="auto"/>
              <w:bottom w:val="single" w:sz="8" w:color="auto"/>
            </w:tcBorders>
            <w:gridSpan w:val="3"/>
          </w:tcPr>
          <w:p>
            <w:pPr>
              <w:jc w:val="right"/>
              <w:ind w:right="1075"/>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1660" w:type="dxa"/>
            <w:vAlign w:val="bottom"/>
            <w:tcBorders>
              <w:right w:val="single" w:sz="8" w:color="auto"/>
            </w:tcBorders>
            <w:gridSpan w:val="2"/>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Period From August 7</w:t>
            </w:r>
          </w:p>
        </w:tc>
        <w:tc>
          <w:tcPr>
            <w:tcW w:w="1660" w:type="dxa"/>
            <w:vAlign w:val="bottom"/>
            <w:gridSpan w:val="2"/>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340" w:type="dxa"/>
            <w:vAlign w:val="bottom"/>
          </w:tcPr>
          <w:p>
            <w:pPr>
              <w:spacing w:after="0"/>
              <w:rPr>
                <w:sz w:val="18"/>
                <w:szCs w:val="18"/>
                <w:color w:val="auto"/>
              </w:rPr>
            </w:pPr>
          </w:p>
        </w:tc>
        <w:tc>
          <w:tcPr>
            <w:tcW w:w="1180" w:type="dxa"/>
            <w:vAlign w:val="bottom"/>
            <w:vMerge w:val="restart"/>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85"/>
        </w:trPr>
        <w:tc>
          <w:tcPr>
            <w:tcW w:w="3460" w:type="dxa"/>
            <w:vAlign w:val="bottom"/>
          </w:tcPr>
          <w:p>
            <w:pPr>
              <w:spacing w:after="0"/>
              <w:rPr>
                <w:sz w:val="16"/>
                <w:szCs w:val="16"/>
                <w:color w:val="auto"/>
              </w:rPr>
            </w:pPr>
          </w:p>
        </w:tc>
        <w:tc>
          <w:tcPr>
            <w:tcW w:w="1660" w:type="dxa"/>
            <w:vAlign w:val="bottom"/>
            <w:tcBorders>
              <w:right w:val="single" w:sz="8" w:color="auto"/>
            </w:tcBorders>
            <w:gridSpan w:val="2"/>
            <w:vMerge w:val="continue"/>
          </w:tcPr>
          <w:p>
            <w:pPr>
              <w:spacing w:after="0"/>
              <w:rPr>
                <w:sz w:val="16"/>
                <w:szCs w:val="16"/>
                <w:color w:val="auto"/>
              </w:rPr>
            </w:pPr>
          </w:p>
        </w:tc>
        <w:tc>
          <w:tcPr>
            <w:tcW w:w="1660" w:type="dxa"/>
            <w:vAlign w:val="bottom"/>
            <w:gridSpan w:val="2"/>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3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460" w:type="dxa"/>
            <w:vAlign w:val="bottom"/>
          </w:tcPr>
          <w:p>
            <w:pPr>
              <w:spacing w:after="0"/>
              <w:rPr>
                <w:sz w:val="19"/>
                <w:szCs w:val="19"/>
                <w:color w:val="auto"/>
              </w:rPr>
            </w:pPr>
          </w:p>
        </w:tc>
        <w:tc>
          <w:tcPr>
            <w:tcW w:w="1660" w:type="dxa"/>
            <w:vAlign w:val="bottom"/>
            <w:tcBorders>
              <w:bottom w:val="single" w:sz="8" w:color="auto"/>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 December 31,</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6"/>
                <w:szCs w:val="16"/>
                <w:b w:val="1"/>
                <w:bCs w:val="1"/>
                <w:color w:val="auto"/>
              </w:rPr>
              <w:t>6,</w:t>
            </w: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32"/>
        </w:trPr>
        <w:tc>
          <w:tcPr>
            <w:tcW w:w="34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ind w:right="45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0" w:type="dxa"/>
            <w:vAlign w:val="bottom"/>
          </w:tcPr>
          <w:p>
            <w:pPr>
              <w:spacing w:after="0"/>
              <w:rPr>
                <w:sz w:val="1"/>
                <w:szCs w:val="1"/>
                <w:color w:val="auto"/>
              </w:rPr>
            </w:pPr>
          </w:p>
        </w:tc>
      </w:tr>
      <w:tr>
        <w:trPr>
          <w:trHeight w:val="24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65"/>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w:t>
            </w:r>
          </w:p>
        </w:tc>
        <w:tc>
          <w:tcPr>
            <w:tcW w:w="400" w:type="dxa"/>
            <w:vAlign w:val="bottom"/>
          </w:tcPr>
          <w:p>
            <w:pPr>
              <w:spacing w:after="0"/>
              <w:rPr>
                <w:sz w:val="23"/>
                <w:szCs w:val="23"/>
                <w:color w:val="auto"/>
              </w:rPr>
            </w:pPr>
          </w:p>
        </w:tc>
        <w:tc>
          <w:tcPr>
            <w:tcW w:w="1260" w:type="dxa"/>
            <w:vAlign w:val="bottom"/>
            <w:tcBorders>
              <w:right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23"/>
                <w:szCs w:val="23"/>
                <w:color w:val="auto"/>
              </w:rPr>
            </w:pPr>
          </w:p>
        </w:tc>
        <w:tc>
          <w:tcPr>
            <w:tcW w:w="12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3"/>
                <w:szCs w:val="23"/>
                <w:color w:val="auto"/>
              </w:rPr>
            </w:pPr>
          </w:p>
        </w:tc>
        <w:tc>
          <w:tcPr>
            <w:tcW w:w="11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65"/>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23"/>
                <w:szCs w:val="23"/>
                <w:color w:val="auto"/>
              </w:rPr>
            </w:pPr>
          </w:p>
        </w:tc>
        <w:tc>
          <w:tcPr>
            <w:tcW w:w="1260" w:type="dxa"/>
            <w:vAlign w:val="bottom"/>
            <w:tcBorders>
              <w:right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23"/>
                <w:szCs w:val="23"/>
                <w:color w:val="auto"/>
              </w:rPr>
            </w:pPr>
          </w:p>
        </w:tc>
        <w:tc>
          <w:tcPr>
            <w:tcW w:w="12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3"/>
                <w:szCs w:val="23"/>
                <w:color w:val="auto"/>
              </w:rPr>
            </w:pP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
        </w:trPr>
        <w:tc>
          <w:tcPr>
            <w:tcW w:w="3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32"/>
        </w:trPr>
        <w:tc>
          <w:tcPr>
            <w:tcW w:w="3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Provision for/Benefit from Income Taxes</w:t>
      </w:r>
    </w:p>
    <w:p>
      <w:pPr>
        <w:spacing w:after="0" w:line="155"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9"/>
          <w:szCs w:val="19"/>
          <w:color w:val="auto"/>
        </w:rPr>
        <w:t xml:space="preserve">The provision for/benefit from income taxes represents federal, state and local, and foreign taxes on earnings (loss) from continuing operations before income taxes and equity in loss of investee companies. For the period from August 7 - December 31, 2025 (Successor), we recorded a benefit from income taxes of $40 million and for the period from January 1 - August 6, 2025 (Predecessor), we recorded a benefit from income taxes of $79 million. Refer to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 xml:space="preserve"> for reported and adjusted effective income tax rates and the related income tax effects of the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32" w:name="page33"/>
    <w:bookmarkEnd w:id="32"/>
    <w:p>
      <w:pPr>
        <w:jc w:val="center"/>
        <w:ind w:right="-4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332740</wp:posOffset>
            </wp:positionV>
            <wp:extent cx="63690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6905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3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00" w:type="dxa"/>
            <w:vAlign w:val="bottom"/>
            <w:gridSpan w:val="5"/>
          </w:tcPr>
          <w:p>
            <w:pPr>
              <w:ind w:left="1380"/>
              <w:spacing w:after="0"/>
              <w:rPr>
                <w:sz w:val="20"/>
                <w:szCs w:val="20"/>
                <w:color w:val="auto"/>
              </w:rPr>
            </w:pPr>
            <w:r>
              <w:rPr>
                <w:rFonts w:ascii="Times New Roman" w:cs="Times New Roman" w:eastAsia="Times New Roman" w:hAnsi="Times New Roman"/>
                <w:sz w:val="18"/>
                <w:szCs w:val="18"/>
                <w:b w:val="1"/>
                <w:bCs w:val="1"/>
                <w:color w:val="auto"/>
                <w:w w:val="97"/>
              </w:rPr>
              <w:t>Impact from Items Affecting Comparability</w:t>
            </w: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
        </w:trPr>
        <w:tc>
          <w:tcPr>
            <w:tcW w:w="3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3"/>
          </w:tcPr>
          <w:p>
            <w:pPr>
              <w:spacing w:after="0"/>
              <w:rPr>
                <w:sz w:val="2"/>
                <w:szCs w:val="2"/>
                <w:color w:val="auto"/>
              </w:rPr>
            </w:pPr>
          </w:p>
        </w:tc>
      </w:tr>
      <w:tr>
        <w:trPr>
          <w:trHeight w:val="225"/>
        </w:trPr>
        <w:tc>
          <w:tcPr>
            <w:tcW w:w="3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894"/>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center"/>
              <w:ind w:right="292"/>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r>
      <w:tr>
        <w:trPr>
          <w:trHeight w:val="232"/>
        </w:trPr>
        <w:tc>
          <w:tcPr>
            <w:tcW w:w="3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140" w:type="dxa"/>
            <w:vAlign w:val="bottom"/>
            <w:tcBorders>
              <w:bottom w:val="single" w:sz="8" w:color="auto"/>
              <w:right w:val="single" w:sz="8" w:color="auto"/>
            </w:tcBorders>
            <w:gridSpan w:val="3"/>
          </w:tcPr>
          <w:p>
            <w:pPr>
              <w:jc w:val="center"/>
              <w:ind w:right="432"/>
              <w:spacing w:after="0"/>
              <w:rPr>
                <w:sz w:val="20"/>
                <w:szCs w:val="20"/>
                <w:color w:val="auto"/>
              </w:rPr>
            </w:pPr>
            <w:r>
              <w:rPr>
                <w:rFonts w:ascii="Times New Roman" w:cs="Times New Roman" w:eastAsia="Times New Roman" w:hAnsi="Times New Roman"/>
                <w:sz w:val="16"/>
                <w:szCs w:val="16"/>
                <w:b w:val="1"/>
                <w:bCs w:val="1"/>
                <w:color w:val="auto"/>
                <w:w w:val="99"/>
              </w:rPr>
              <w:t>Period From August 7 - December 31,</w:t>
            </w:r>
          </w:p>
        </w:tc>
        <w:tc>
          <w:tcPr>
            <w:tcW w:w="4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center"/>
              <w:ind w:right="292"/>
              <w:spacing w:after="0"/>
              <w:rPr>
                <w:sz w:val="20"/>
                <w:szCs w:val="20"/>
                <w:color w:val="auto"/>
              </w:rPr>
            </w:pPr>
            <w:r>
              <w:rPr>
                <w:rFonts w:ascii="Times New Roman" w:cs="Times New Roman" w:eastAsia="Times New Roman" w:hAnsi="Times New Roman"/>
                <w:sz w:val="16"/>
                <w:szCs w:val="16"/>
                <w:b w:val="1"/>
                <w:bCs w:val="1"/>
                <w:color w:val="auto"/>
                <w:w w:val="98"/>
              </w:rPr>
              <w:t>Period From January 1 - August 6,</w:t>
            </w:r>
          </w:p>
        </w:tc>
      </w:tr>
      <w:tr>
        <w:trPr>
          <w:trHeight w:val="232"/>
        </w:trPr>
        <w:tc>
          <w:tcPr>
            <w:tcW w:w="3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left="87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340" w:type="dxa"/>
            <w:vAlign w:val="bottom"/>
            <w:tcBorders>
              <w:bottom w:val="single" w:sz="8" w:color="auto"/>
            </w:tcBorders>
          </w:tcPr>
          <w:p>
            <w:pPr>
              <w:spacing w:after="0"/>
              <w:rPr>
                <w:sz w:val="20"/>
                <w:szCs w:val="20"/>
                <w:color w:val="auto"/>
              </w:rPr>
            </w:pPr>
          </w:p>
        </w:tc>
      </w:tr>
      <w:tr>
        <w:trPr>
          <w:trHeight w:val="218"/>
        </w:trPr>
        <w:tc>
          <w:tcPr>
            <w:tcW w:w="3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8"/>
              </w:rPr>
              <w:t>Benefit from</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Earnings (Loss)</w:t>
            </w:r>
          </w:p>
        </w:tc>
        <w:tc>
          <w:tcPr>
            <w:tcW w:w="460" w:type="dxa"/>
            <w:vAlign w:val="bottom"/>
          </w:tcPr>
          <w:p>
            <w:pPr>
              <w:spacing w:after="0"/>
              <w:rPr>
                <w:sz w:val="18"/>
                <w:szCs w:val="18"/>
                <w:color w:val="auto"/>
              </w:rPr>
            </w:pPr>
          </w:p>
        </w:tc>
        <w:tc>
          <w:tcPr>
            <w:tcW w:w="134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6"/>
              </w:rPr>
              <w:t>Benefit from</w:t>
            </w:r>
          </w:p>
        </w:tc>
      </w:tr>
      <w:tr>
        <w:trPr>
          <w:trHeight w:val="212"/>
        </w:trPr>
        <w:tc>
          <w:tcPr>
            <w:tcW w:w="3100" w:type="dxa"/>
            <w:vAlign w:val="bottom"/>
          </w:tcPr>
          <w:p>
            <w:pPr>
              <w:spacing w:after="0"/>
              <w:rPr>
                <w:sz w:val="18"/>
                <w:szCs w:val="18"/>
                <w:color w:val="auto"/>
              </w:rPr>
            </w:pPr>
          </w:p>
        </w:tc>
        <w:tc>
          <w:tcPr>
            <w:tcW w:w="2060" w:type="dxa"/>
            <w:vAlign w:val="bottom"/>
            <w:gridSpan w:val="2"/>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1500" w:type="dxa"/>
            <w:vAlign w:val="bottom"/>
            <w:tcBorders>
              <w:right w:val="single" w:sz="8" w:color="auto"/>
            </w:tcBorders>
            <w:gridSpan w:val="2"/>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7"/>
              </w:rPr>
              <w:t>(Provision for)</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Before Income</w:t>
            </w:r>
          </w:p>
        </w:tc>
        <w:tc>
          <w:tcPr>
            <w:tcW w:w="180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7"/>
              </w:rPr>
              <w:t>(Provision for)</w:t>
            </w:r>
          </w:p>
        </w:tc>
      </w:tr>
      <w:tr>
        <w:trPr>
          <w:trHeight w:val="233"/>
        </w:trPr>
        <w:tc>
          <w:tcPr>
            <w:tcW w:w="3100" w:type="dxa"/>
            <w:vAlign w:val="bottom"/>
          </w:tcPr>
          <w:p>
            <w:pPr>
              <w:spacing w:after="0"/>
              <w:rPr>
                <w:sz w:val="20"/>
                <w:szCs w:val="20"/>
                <w:color w:val="auto"/>
              </w:rPr>
            </w:pPr>
          </w:p>
        </w:tc>
        <w:tc>
          <w:tcPr>
            <w:tcW w:w="2060" w:type="dxa"/>
            <w:vAlign w:val="bottom"/>
            <w:gridSpan w:val="2"/>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w w:val="97"/>
              </w:rPr>
              <w:t>Before Income Taxes</w:t>
            </w:r>
          </w:p>
        </w:tc>
        <w:tc>
          <w:tcPr>
            <w:tcW w:w="1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460" w:type="dxa"/>
            <w:vAlign w:val="bottom"/>
          </w:tcPr>
          <w:p>
            <w:pPr>
              <w:spacing w:after="0"/>
              <w:rPr>
                <w:sz w:val="20"/>
                <w:szCs w:val="20"/>
                <w:color w:val="auto"/>
              </w:rPr>
            </w:pPr>
          </w:p>
        </w:tc>
        <w:tc>
          <w:tcPr>
            <w:tcW w:w="1100" w:type="dxa"/>
            <w:vAlign w:val="bottom"/>
          </w:tcPr>
          <w:p>
            <w:pPr>
              <w:jc w:val="center"/>
              <w:ind w:right="313"/>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460" w:type="dxa"/>
            <w:vAlign w:val="bottom"/>
          </w:tcPr>
          <w:p>
            <w:pPr>
              <w:spacing w:after="0"/>
              <w:rPr>
                <w:sz w:val="20"/>
                <w:szCs w:val="20"/>
                <w:color w:val="auto"/>
              </w:rPr>
            </w:pPr>
          </w:p>
        </w:tc>
        <w:tc>
          <w:tcPr>
            <w:tcW w:w="134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5"/>
              </w:rPr>
              <w:t>Income Taxes</w:t>
            </w:r>
          </w:p>
        </w:tc>
      </w:tr>
      <w:tr>
        <w:trPr>
          <w:trHeight w:val="25"/>
        </w:trPr>
        <w:tc>
          <w:tcPr>
            <w:tcW w:w="3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Programming charges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(Note 6)</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(650)</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147</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(255)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61</w:t>
            </w:r>
          </w:p>
        </w:tc>
      </w:tr>
      <w:tr>
        <w:trPr>
          <w:trHeight w:val="265"/>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Transaction-related items (Note 6)</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(81)</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(199)</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31</w:t>
            </w:r>
          </w:p>
        </w:tc>
      </w:tr>
      <w:tr>
        <w:trPr>
          <w:trHeight w:val="265"/>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(157)</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39</w:t>
            </w:r>
          </w:p>
        </w:tc>
      </w:tr>
      <w:tr>
        <w:trPr>
          <w:trHeight w:val="265"/>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Gain from dispositions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w:t>
            </w:r>
          </w:p>
        </w:tc>
      </w:tr>
      <w:tr>
        <w:trPr>
          <w:trHeight w:val="265"/>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Loss from investments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(40)</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Net discrete tax benefit </w:t>
            </w:r>
            <w:r>
              <w:rPr>
                <w:rFonts w:ascii="Times New Roman" w:cs="Times New Roman" w:eastAsia="Times New Roman" w:hAnsi="Times New Roman"/>
                <w:sz w:val="22"/>
                <w:szCs w:val="22"/>
                <w:color w:val="auto"/>
                <w:vertAlign w:val="superscript"/>
              </w:rPr>
              <w:t>(a)</w:t>
            </w: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8"/>
                <w:szCs w:val="18"/>
                <w:color w:val="auto"/>
              </w:rPr>
              <w:t>n/a</w:t>
            </w: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64</w:t>
            </w:r>
          </w:p>
        </w:tc>
      </w:tr>
    </w:tbl>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147" w:lineRule="exact"/>
        <w:rPr>
          <w:sz w:val="20"/>
          <w:szCs w:val="20"/>
          <w:color w:val="auto"/>
        </w:rPr>
      </w:pPr>
    </w:p>
    <w:p>
      <w:pPr>
        <w:jc w:val="both"/>
        <w:ind w:left="720" w:right="120" w:hanging="237"/>
        <w:spacing w:after="0" w:line="255" w:lineRule="auto"/>
        <w:tabs>
          <w:tab w:leader="none" w:pos="72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4, 2025, the U.S. government enacted tax legislation, which includes the extension of certain expired or expiring tax provisions, including a favorable change to the interest deduction limitation, and modifications to certain international tax provisions. The legislation has multiple effective dates with certain provisions effective in 2025. A favorable change to the interest deduction limitation resulted in the reversal of the valuation allowance on our interest limitation carryforward deferred tax asset of $114 million. The net discrete tax benefit for the 2025 Predecessor period reflects this reversal, partially offset by a reserve for uncertain tax positions. For the Successor period, the net discrete tax benefit primarily reflects amounts realized in connection with the filing of our tax returns.</w:t>
      </w:r>
    </w:p>
    <w:p>
      <w:pPr>
        <w:spacing w:after="0" w:line="17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For the year ended December 31, 2024, we recorded a net benefit from income taxes of $305 million, reflecting an effective income tax rate of 4.9%. Included in the benefit from income taxes are the following items identified as affecting the comparability of our results, which in aggregate decreased our effective income tax rate by 20.3 percentage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88265</wp:posOffset>
            </wp:positionV>
            <wp:extent cx="575500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5005" cy="17145"/>
                    </a:xfrm>
                    <a:prstGeom prst="rect">
                      <a:avLst/>
                    </a:prstGeom>
                    <a:noFill/>
                  </pic:spPr>
                </pic:pic>
              </a:graphicData>
            </a:graphic>
          </wp:anchor>
        </w:drawing>
      </w:r>
    </w:p>
    <w:p>
      <w:pPr>
        <w:spacing w:after="0" w:line="151" w:lineRule="exact"/>
        <w:rPr>
          <w:sz w:val="20"/>
          <w:szCs w:val="20"/>
          <w:color w:val="auto"/>
        </w:rPr>
      </w:pPr>
    </w:p>
    <w:tbl>
      <w:tblPr>
        <w:tblLayout w:type="fixed"/>
        <w:tblInd w:w="1100" w:type="dxa"/>
        <w:tblCellMar>
          <w:top w:w="0" w:type="dxa"/>
          <w:left w:w="0" w:type="dxa"/>
          <w:bottom w:w="0" w:type="dxa"/>
          <w:right w:w="0" w:type="dxa"/>
        </w:tblCellMar>
      </w:tblPr>
      <w:tr>
        <w:trPr>
          <w:trHeight w:val="233"/>
        </w:trPr>
        <w:tc>
          <w:tcPr>
            <w:tcW w:w="4560" w:type="dxa"/>
            <w:vAlign w:val="bottom"/>
          </w:tcPr>
          <w:p>
            <w:pPr>
              <w:spacing w:after="0"/>
              <w:rPr>
                <w:sz w:val="20"/>
                <w:szCs w:val="20"/>
                <w:color w:val="auto"/>
              </w:rPr>
            </w:pPr>
          </w:p>
        </w:tc>
        <w:tc>
          <w:tcPr>
            <w:tcW w:w="45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Impact from Items Affecting Comparability</w:t>
            </w:r>
          </w:p>
        </w:tc>
      </w:tr>
      <w:tr>
        <w:trPr>
          <w:trHeight w:val="25"/>
        </w:trPr>
        <w:tc>
          <w:tcPr>
            <w:tcW w:w="45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3"/>
        </w:trPr>
        <w:tc>
          <w:tcPr>
            <w:tcW w:w="4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980" w:type="dxa"/>
            <w:vAlign w:val="bottom"/>
          </w:tcPr>
          <w:p>
            <w:pPr>
              <w:spacing w:after="0"/>
              <w:rPr>
                <w:sz w:val="20"/>
                <w:szCs w:val="20"/>
                <w:color w:val="auto"/>
              </w:rPr>
            </w:pPr>
          </w:p>
        </w:tc>
      </w:tr>
      <w:tr>
        <w:trPr>
          <w:trHeight w:val="25"/>
        </w:trPr>
        <w:tc>
          <w:tcPr>
            <w:tcW w:w="45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3"/>
        </w:trPr>
        <w:tc>
          <w:tcPr>
            <w:tcW w:w="4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8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7"/>
              </w:rPr>
              <w:t>Year Ended December 31, 2024</w:t>
            </w:r>
          </w:p>
        </w:tc>
        <w:tc>
          <w:tcPr>
            <w:tcW w:w="980" w:type="dxa"/>
            <w:vAlign w:val="bottom"/>
          </w:tcPr>
          <w:p>
            <w:pPr>
              <w:spacing w:after="0"/>
              <w:rPr>
                <w:sz w:val="20"/>
                <w:szCs w:val="20"/>
                <w:color w:val="auto"/>
              </w:rPr>
            </w:pPr>
          </w:p>
        </w:tc>
      </w:tr>
      <w:tr>
        <w:trPr>
          <w:trHeight w:val="25"/>
        </w:trPr>
        <w:tc>
          <w:tcPr>
            <w:tcW w:w="4560" w:type="dxa"/>
            <w:vAlign w:val="bottom"/>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r>
      <w:tr>
        <w:trPr>
          <w:trHeight w:val="211"/>
        </w:trPr>
        <w:tc>
          <w:tcPr>
            <w:tcW w:w="4560" w:type="dxa"/>
            <w:vAlign w:val="bottom"/>
          </w:tcPr>
          <w:p>
            <w:pPr>
              <w:spacing w:after="0"/>
              <w:rPr>
                <w:sz w:val="18"/>
                <w:szCs w:val="18"/>
                <w:color w:val="auto"/>
              </w:rPr>
            </w:pPr>
          </w:p>
        </w:tc>
        <w:tc>
          <w:tcPr>
            <w:tcW w:w="21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Earnings (Loss) Before</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Benefit from (Provision for)</w:t>
            </w:r>
          </w:p>
        </w:tc>
      </w:tr>
      <w:tr>
        <w:trPr>
          <w:trHeight w:val="233"/>
        </w:trPr>
        <w:tc>
          <w:tcPr>
            <w:tcW w:w="4560" w:type="dxa"/>
            <w:vAlign w:val="bottom"/>
          </w:tcPr>
          <w:p>
            <w:pPr>
              <w:spacing w:after="0"/>
              <w:rPr>
                <w:sz w:val="20"/>
                <w:szCs w:val="20"/>
                <w:color w:val="auto"/>
              </w:rPr>
            </w:pPr>
          </w:p>
        </w:tc>
        <w:tc>
          <w:tcPr>
            <w:tcW w:w="214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236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Income Taxes</w:t>
            </w:r>
          </w:p>
        </w:tc>
      </w:tr>
      <w:tr>
        <w:trPr>
          <w:trHeight w:val="25"/>
        </w:trPr>
        <w:tc>
          <w:tcPr>
            <w:tcW w:w="4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charges (Note 4)</w:t>
            </w:r>
          </w:p>
        </w:tc>
        <w:tc>
          <w:tcPr>
            <w:tcW w:w="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(1,118)</w:t>
            </w:r>
          </w:p>
        </w:tc>
        <w:tc>
          <w:tcPr>
            <w:tcW w:w="13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275</w:t>
            </w:r>
          </w:p>
        </w:tc>
      </w:tr>
      <w:tr>
        <w:trPr>
          <w:trHeight w:val="265"/>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 (Note 4)</w:t>
            </w:r>
          </w:p>
        </w:tc>
        <w:tc>
          <w:tcPr>
            <w:tcW w:w="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(6,130)</w:t>
            </w:r>
          </w:p>
        </w:tc>
        <w:tc>
          <w:tcPr>
            <w:tcW w:w="13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380</w:t>
            </w:r>
          </w:p>
        </w:tc>
      </w:tr>
      <w:tr>
        <w:trPr>
          <w:trHeight w:val="291"/>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Restructuring charges (Note </w:t>
            </w:r>
            <w:r>
              <w:rPr>
                <w:rFonts w:ascii="Times New Roman" w:cs="Times New Roman" w:eastAsia="Times New Roman" w:hAnsi="Times New Roman"/>
                <w:sz w:val="19"/>
                <w:szCs w:val="19"/>
                <w:color w:val="auto"/>
              </w:rPr>
              <w:t>6</w:t>
            </w:r>
            <w:r>
              <w:rPr>
                <w:rFonts w:ascii="Times New Roman" w:cs="Times New Roman" w:eastAsia="Times New Roman" w:hAnsi="Times New Roman"/>
                <w:sz w:val="18"/>
                <w:szCs w:val="18"/>
                <w:color w:val="auto"/>
              </w:rPr>
              <w:t>)</w:t>
            </w:r>
          </w:p>
        </w:tc>
        <w:tc>
          <w:tcPr>
            <w:tcW w:w="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(554)</w:t>
            </w:r>
          </w:p>
        </w:tc>
        <w:tc>
          <w:tcPr>
            <w:tcW w:w="13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120</w:t>
            </w:r>
          </w:p>
        </w:tc>
      </w:tr>
      <w:tr>
        <w:trPr>
          <w:trHeight w:val="292"/>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Transaction-related items (Note </w:t>
            </w:r>
            <w:r>
              <w:rPr>
                <w:rFonts w:ascii="Times New Roman" w:cs="Times New Roman" w:eastAsia="Times New Roman" w:hAnsi="Times New Roman"/>
                <w:sz w:val="19"/>
                <w:szCs w:val="19"/>
                <w:color w:val="auto"/>
              </w:rPr>
              <w:t>6</w:t>
            </w:r>
            <w:r>
              <w:rPr>
                <w:rFonts w:ascii="Times New Roman" w:cs="Times New Roman" w:eastAsia="Times New Roman" w:hAnsi="Times New Roman"/>
                <w:sz w:val="18"/>
                <w:szCs w:val="18"/>
                <w:color w:val="auto"/>
              </w:rPr>
              <w:t>)</w:t>
            </w:r>
          </w:p>
        </w:tc>
        <w:tc>
          <w:tcPr>
            <w:tcW w:w="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(62)</w:t>
            </w:r>
          </w:p>
        </w:tc>
        <w:tc>
          <w:tcPr>
            <w:tcW w:w="13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3</w:t>
            </w:r>
          </w:p>
        </w:tc>
      </w:tr>
      <w:tr>
        <w:trPr>
          <w:trHeight w:val="292"/>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corporate matters (Note </w:t>
            </w:r>
            <w:r>
              <w:rPr>
                <w:rFonts w:ascii="Times New Roman" w:cs="Times New Roman" w:eastAsia="Times New Roman" w:hAnsi="Times New Roman"/>
                <w:sz w:val="19"/>
                <w:szCs w:val="19"/>
                <w:color w:val="auto"/>
              </w:rPr>
              <w:t>6</w:t>
            </w:r>
            <w:r>
              <w:rPr>
                <w:rFonts w:ascii="Times New Roman" w:cs="Times New Roman" w:eastAsia="Times New Roman" w:hAnsi="Times New Roman"/>
                <w:sz w:val="18"/>
                <w:szCs w:val="18"/>
                <w:color w:val="auto"/>
              </w:rPr>
              <w:t>)</w:t>
            </w:r>
          </w:p>
        </w:tc>
        <w:tc>
          <w:tcPr>
            <w:tcW w:w="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(131)</w:t>
            </w:r>
          </w:p>
        </w:tc>
        <w:tc>
          <w:tcPr>
            <w:tcW w:w="13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32</w:t>
            </w:r>
          </w:p>
        </w:tc>
      </w:tr>
      <w:tr>
        <w:trPr>
          <w:trHeight w:val="265"/>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investments</w:t>
            </w:r>
          </w:p>
        </w:tc>
        <w:tc>
          <w:tcPr>
            <w:tcW w:w="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(17)</w:t>
            </w:r>
          </w:p>
        </w:tc>
        <w:tc>
          <w:tcPr>
            <w:tcW w:w="13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(7)</w:t>
            </w:r>
          </w:p>
        </w:tc>
      </w:tr>
      <w:tr>
        <w:trPr>
          <w:trHeight w:val="297"/>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Net discrete tax provision </w:t>
            </w:r>
            <w:r>
              <w:rPr>
                <w:rFonts w:ascii="Times New Roman" w:cs="Times New Roman" w:eastAsia="Times New Roman" w:hAnsi="Times New Roman"/>
                <w:sz w:val="22"/>
                <w:szCs w:val="22"/>
                <w:color w:val="auto"/>
                <w:vertAlign w:val="superscript"/>
              </w:rPr>
              <w:t>(a)</w:t>
            </w:r>
          </w:p>
        </w:tc>
        <w:tc>
          <w:tcPr>
            <w:tcW w:w="8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(36)</w:t>
            </w:r>
          </w:p>
        </w:tc>
      </w:tr>
    </w:tbl>
    <w:p>
      <w:pPr>
        <w:spacing w:after="0" w:line="1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81" w:lineRule="exact"/>
        <w:rPr>
          <w:sz w:val="20"/>
          <w:szCs w:val="20"/>
          <w:color w:val="auto"/>
        </w:rPr>
      </w:pPr>
    </w:p>
    <w:p>
      <w:pPr>
        <w:jc w:val="both"/>
        <w:ind w:left="1200" w:right="520" w:hanging="240"/>
        <w:spacing w:after="0" w:line="258" w:lineRule="auto"/>
        <w:tabs>
          <w:tab w:leader="none" w:pos="120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discrete tax provision for 2024 is primarily attributable to the establishment of a valuation allowance on our interest limitation carryforward deferred tax asset that was not expected to be realized because of a reduction in our deferred tax liabilities caused by the goodwill impairment charge in the second quarter of 2024. This impact was partially offset by amounts realized in connection with the filing of our tax returns in certain international jurisdictions.</w:t>
      </w:r>
    </w:p>
    <w:p>
      <w:pPr>
        <w:sectPr>
          <w:pgSz w:w="11900" w:h="16838" w:orient="portrait"/>
          <w:cols w:equalWidth="0" w:num="1">
            <w:col w:w="10800"/>
          </w:cols>
          <w:pgMar w:left="320" w:top="59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00"/>
          </w:cols>
          <w:pgMar w:left="320" w:top="590" w:right="77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Equity in Loss of Investee Companies, Net of Tax</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equity in loss of investee companies, net of tax for our equity-method investments.</w:t>
      </w:r>
    </w:p>
    <w:p>
      <w:pPr>
        <w:spacing w:after="0" w:line="195" w:lineRule="exact"/>
        <w:rPr>
          <w:sz w:val="20"/>
          <w:szCs w:val="20"/>
          <w:color w:val="auto"/>
        </w:rPr>
      </w:pPr>
    </w:p>
    <w:tbl>
      <w:tblPr>
        <w:tblLayout w:type="fixed"/>
        <w:tblInd w:w="1680" w:type="dxa"/>
        <w:tblCellMar>
          <w:top w:w="0" w:type="dxa"/>
          <w:left w:w="0" w:type="dxa"/>
          <w:bottom w:w="0" w:type="dxa"/>
          <w:right w:w="0" w:type="dxa"/>
        </w:tblCellMar>
      </w:tblPr>
      <w:tr>
        <w:trPr>
          <w:trHeight w:val="258"/>
        </w:trPr>
        <w:tc>
          <w:tcPr>
            <w:tcW w:w="334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80" w:type="dxa"/>
            <w:vAlign w:val="bottom"/>
            <w:tcBorders>
              <w:top w:val="single" w:sz="8" w:color="auto"/>
              <w:bottom w:val="single" w:sz="8" w:color="auto"/>
            </w:tcBorders>
          </w:tcPr>
          <w:p>
            <w:pPr>
              <w:spacing w:after="0"/>
              <w:rPr>
                <w:sz w:val="22"/>
                <w:szCs w:val="22"/>
                <w:color w:val="auto"/>
              </w:rPr>
            </w:pPr>
          </w:p>
        </w:tc>
      </w:tr>
      <w:tr>
        <w:trPr>
          <w:trHeight w:val="196"/>
        </w:trPr>
        <w:tc>
          <w:tcPr>
            <w:tcW w:w="334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5"/>
        </w:trPr>
        <w:tc>
          <w:tcPr>
            <w:tcW w:w="3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Borders>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520" w:type="dxa"/>
            <w:vAlign w:val="bottom"/>
            <w:gridSpan w:val="2"/>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0"/>
        </w:trPr>
        <w:tc>
          <w:tcPr>
            <w:tcW w:w="3340" w:type="dxa"/>
            <w:vAlign w:val="bottom"/>
          </w:tcPr>
          <w:p>
            <w:pPr>
              <w:spacing w:after="0"/>
              <w:rPr>
                <w:sz w:val="18"/>
                <w:szCs w:val="18"/>
                <w:color w:val="auto"/>
              </w:rPr>
            </w:pPr>
          </w:p>
        </w:tc>
        <w:tc>
          <w:tcPr>
            <w:tcW w:w="1520" w:type="dxa"/>
            <w:vAlign w:val="bottom"/>
            <w:tcBorders>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Pr>
          <w:p>
            <w:pPr>
              <w:spacing w:after="0"/>
              <w:rPr>
                <w:sz w:val="18"/>
                <w:szCs w:val="18"/>
                <w:color w:val="auto"/>
              </w:rPr>
            </w:pPr>
          </w:p>
        </w:tc>
        <w:tc>
          <w:tcPr>
            <w:tcW w:w="1140" w:type="dxa"/>
            <w:vAlign w:val="bottom"/>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32"/>
        </w:trPr>
        <w:tc>
          <w:tcPr>
            <w:tcW w:w="3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5"/>
        </w:trPr>
        <w:tc>
          <w:tcPr>
            <w:tcW w:w="3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(169)</w:t>
            </w: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(292)</w:t>
            </w:r>
          </w:p>
        </w:tc>
      </w:tr>
      <w:tr>
        <w:trPr>
          <w:trHeight w:val="265"/>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(provision) benefit</w:t>
            </w:r>
          </w:p>
        </w:tc>
        <w:tc>
          <w:tcPr>
            <w:tcW w:w="360" w:type="dxa"/>
            <w:vAlign w:val="bottom"/>
          </w:tcPr>
          <w:p>
            <w:pPr>
              <w:spacing w:after="0"/>
              <w:rPr>
                <w:sz w:val="23"/>
                <w:szCs w:val="23"/>
                <w:color w:val="auto"/>
              </w:rPr>
            </w:pPr>
          </w:p>
        </w:tc>
        <w:tc>
          <w:tcPr>
            <w:tcW w:w="116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23"/>
                <w:szCs w:val="23"/>
                <w:color w:val="auto"/>
              </w:rPr>
            </w:pPr>
          </w:p>
        </w:tc>
        <w:tc>
          <w:tcPr>
            <w:tcW w:w="11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23"/>
                <w:szCs w:val="23"/>
                <w:color w:val="auto"/>
              </w:rPr>
            </w:pPr>
          </w:p>
        </w:tc>
        <w:tc>
          <w:tcPr>
            <w:tcW w:w="98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w:t>
            </w:r>
          </w:p>
        </w:tc>
      </w:tr>
      <w:tr>
        <w:trPr>
          <w:trHeight w:val="26"/>
        </w:trPr>
        <w:tc>
          <w:tcPr>
            <w:tcW w:w="3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w:t>
            </w:r>
          </w:p>
        </w:tc>
        <w:tc>
          <w:tcPr>
            <w:tcW w:w="36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1"/>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(171)</w:t>
            </w: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(291)</w:t>
            </w:r>
          </w:p>
        </w:tc>
      </w:tr>
      <w:tr>
        <w:trPr>
          <w:trHeight w:val="32"/>
        </w:trPr>
        <w:tc>
          <w:tcPr>
            <w:tcW w:w="3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Loss from Continuing Operations Attributable to Parent and Diluted EPS from Continuing Operations</w:t>
      </w:r>
    </w:p>
    <w:p>
      <w:pPr>
        <w:spacing w:after="0" w:line="197" w:lineRule="exact"/>
        <w:rPr>
          <w:sz w:val="20"/>
          <w:szCs w:val="20"/>
          <w:color w:val="auto"/>
        </w:rPr>
      </w:pPr>
    </w:p>
    <w:tbl>
      <w:tblPr>
        <w:tblLayout w:type="fixed"/>
        <w:tblInd w:w="1960" w:type="dxa"/>
        <w:tblCellMar>
          <w:top w:w="0" w:type="dxa"/>
          <w:left w:w="0" w:type="dxa"/>
          <w:bottom w:w="0" w:type="dxa"/>
          <w:right w:w="0" w:type="dxa"/>
        </w:tblCellMar>
      </w:tblPr>
      <w:tr>
        <w:trPr>
          <w:trHeight w:val="266"/>
        </w:trPr>
        <w:tc>
          <w:tcPr>
            <w:tcW w:w="3060" w:type="dxa"/>
            <w:vAlign w:val="bottom"/>
            <w:tcBorders>
              <w:top w:val="single" w:sz="8" w:color="auto"/>
            </w:tcBorders>
          </w:tcPr>
          <w:p>
            <w:pPr>
              <w:spacing w:after="0"/>
              <w:rPr>
                <w:sz w:val="23"/>
                <w:szCs w:val="23"/>
                <w:color w:val="auto"/>
              </w:rPr>
            </w:pPr>
          </w:p>
        </w:tc>
        <w:tc>
          <w:tcPr>
            <w:tcW w:w="1460" w:type="dxa"/>
            <w:vAlign w:val="bottom"/>
            <w:tcBorders>
              <w:top w:val="single" w:sz="8" w:color="auto"/>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340" w:type="dxa"/>
            <w:vAlign w:val="bottom"/>
            <w:tcBorders>
              <w:top w:val="single" w:sz="8" w:color="auto"/>
            </w:tcBorders>
          </w:tcPr>
          <w:p>
            <w:pPr>
              <w:spacing w:after="0"/>
              <w:rPr>
                <w:sz w:val="23"/>
                <w:szCs w:val="23"/>
                <w:color w:val="auto"/>
              </w:rPr>
            </w:pPr>
          </w:p>
        </w:tc>
        <w:tc>
          <w:tcPr>
            <w:tcW w:w="1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880" w:type="dxa"/>
            <w:vAlign w:val="bottom"/>
            <w:tcBorders>
              <w:top w:val="single" w:sz="8" w:color="auto"/>
            </w:tcBorders>
          </w:tcPr>
          <w:p>
            <w:pPr>
              <w:spacing w:after="0"/>
              <w:rPr>
                <w:sz w:val="23"/>
                <w:szCs w:val="23"/>
                <w:color w:val="auto"/>
              </w:rPr>
            </w:pPr>
          </w:p>
        </w:tc>
      </w:tr>
      <w:tr>
        <w:trPr>
          <w:trHeight w:val="25"/>
        </w:trPr>
        <w:tc>
          <w:tcPr>
            <w:tcW w:w="3060" w:type="dxa"/>
            <w:vAlign w:val="bottom"/>
          </w:tcPr>
          <w:p>
            <w:pPr>
              <w:spacing w:after="0"/>
              <w:rPr>
                <w:sz w:val="2"/>
                <w:szCs w:val="2"/>
                <w:color w:val="auto"/>
              </w:rPr>
            </w:pPr>
          </w:p>
        </w:tc>
        <w:tc>
          <w:tcPr>
            <w:tcW w:w="1460" w:type="dxa"/>
            <w:vAlign w:val="bottom"/>
            <w:tcBorders>
              <w:bottom w:val="single" w:sz="8" w:color="auto"/>
              <w:right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3060" w:type="dxa"/>
            <w:vAlign w:val="bottom"/>
          </w:tcPr>
          <w:p>
            <w:pPr>
              <w:spacing w:after="0"/>
              <w:rPr>
                <w:sz w:val="16"/>
                <w:szCs w:val="16"/>
                <w:color w:val="auto"/>
              </w:rPr>
            </w:pPr>
          </w:p>
        </w:tc>
        <w:tc>
          <w:tcPr>
            <w:tcW w:w="1460" w:type="dxa"/>
            <w:vAlign w:val="bottom"/>
            <w:tcBorders>
              <w:right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3060" w:type="dxa"/>
            <w:vAlign w:val="bottom"/>
          </w:tcPr>
          <w:p>
            <w:pPr>
              <w:spacing w:after="0"/>
              <w:rPr>
                <w:sz w:val="16"/>
                <w:szCs w:val="16"/>
                <w:color w:val="auto"/>
              </w:rPr>
            </w:pPr>
          </w:p>
        </w:tc>
        <w:tc>
          <w:tcPr>
            <w:tcW w:w="1460" w:type="dxa"/>
            <w:vAlign w:val="bottom"/>
            <w:tcBorders>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Ended</w:t>
            </w:r>
          </w:p>
        </w:tc>
      </w:tr>
      <w:tr>
        <w:trPr>
          <w:trHeight w:val="234"/>
        </w:trPr>
        <w:tc>
          <w:tcPr>
            <w:tcW w:w="3060" w:type="dxa"/>
            <w:vAlign w:val="bottom"/>
          </w:tcPr>
          <w:p>
            <w:pPr>
              <w:spacing w:after="0"/>
              <w:rPr>
                <w:sz w:val="20"/>
                <w:szCs w:val="20"/>
                <w:color w:val="auto"/>
              </w:rPr>
            </w:pPr>
          </w:p>
        </w:tc>
        <w:tc>
          <w:tcPr>
            <w:tcW w:w="1460" w:type="dxa"/>
            <w:vAlign w:val="bottom"/>
            <w:tcBorders>
              <w:bottom w:val="single" w:sz="8" w:color="auto"/>
              <w:right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32"/>
        </w:trPr>
        <w:tc>
          <w:tcPr>
            <w:tcW w:w="3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ind w:right="45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95"/>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w:t>
            </w:r>
          </w:p>
        </w:tc>
        <w:tc>
          <w:tcPr>
            <w:tcW w:w="4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1"/>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 attributable to Parent</w:t>
            </w: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(586)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(35)</w:t>
            </w: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(6,204)</w:t>
            </w:r>
          </w:p>
        </w:tc>
      </w:tr>
      <w:tr>
        <w:trPr>
          <w:trHeight w:val="24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Diluted EPS from continuing</w:t>
            </w:r>
          </w:p>
        </w:tc>
        <w:tc>
          <w:tcPr>
            <w:tcW w:w="44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1"/>
        </w:trPr>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(.05)</w:t>
            </w: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(9.36)</w:t>
            </w:r>
          </w:p>
        </w:tc>
      </w:tr>
      <w:tr>
        <w:trPr>
          <w:trHeight w:val="32"/>
        </w:trPr>
        <w:tc>
          <w:tcPr>
            <w:tcW w:w="3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As a result of the pushdown of the Ultimate Parent’s basis, net loss from continuing operations attributable to Parent and diluted EPS during the Successor period include amortization associated with intangible assets that were established and interest expense associated with the adjustment to fair value our debt, as well as the decrease in programming assets. Net loss from continuing operations attributable to Parent and diluted EPS during the year ended December 31, 2024 were impacted by a goodwill impairment charge during the second quarter of $5.98 billion ($5.64 billion, net of tax) and programming charges during the first quarter of $1.12 billion ($843 million, net of tax).</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Earnings from Discontinued Operations</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During 2024, as a result of working capital adjustments we recorded additional pretax gains on the 2023 sale of Simon &amp; Schuster totaling $19 million ($14 million, net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Supplemental Pro Forma Revenues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While the Successor and Predecessor periods in 2025 are distinct reporting periods, revenues were not impacted by the pushdown of the Ultimate Parent’s basis so are supplementally presented on a pro forma combined basis, with the addition of Skydance in the Predecessor period, to help investors view our 2025 revenues in a manner consistent with our management.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 below presents the calculation of Supplemental Pro Forma Revenues on a consolidated basis.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Year Ended December 31, 2025</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1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gridSpan w:val="5"/>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1180" w:type="dxa"/>
            <w:vAlign w:val="bottom"/>
          </w:tcPr>
          <w:p>
            <w:pPr>
              <w:spacing w:after="0"/>
              <w:rPr>
                <w:sz w:val="5"/>
                <w:szCs w:val="5"/>
                <w:color w:val="auto"/>
              </w:rPr>
            </w:pPr>
          </w:p>
        </w:tc>
        <w:tc>
          <w:tcPr>
            <w:tcW w:w="1140" w:type="dxa"/>
            <w:vAlign w:val="bottom"/>
            <w:tcBorders>
              <w:bottom w:val="single" w:sz="8" w:color="auto"/>
            </w:tcBorders>
            <w:gridSpan w:val="2"/>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180" w:type="dxa"/>
            <w:vAlign w:val="bottom"/>
          </w:tcPr>
          <w:p>
            <w:pPr>
              <w:spacing w:after="0"/>
              <w:rPr>
                <w:sz w:val="13"/>
                <w:szCs w:val="13"/>
                <w:color w:val="auto"/>
              </w:rPr>
            </w:pPr>
          </w:p>
        </w:tc>
        <w:tc>
          <w:tcPr>
            <w:tcW w:w="1140" w:type="dxa"/>
            <w:vAlign w:val="bottom"/>
            <w:tcBorders>
              <w:right w:val="single" w:sz="8" w:color="auto"/>
            </w:tcBorders>
            <w:gridSpan w:val="2"/>
          </w:tcPr>
          <w:p>
            <w:pPr>
              <w:jc w:val="center"/>
              <w:ind w:right="49"/>
              <w:spacing w:after="0" w:line="154"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80" w:type="dxa"/>
            <w:vAlign w:val="bottom"/>
          </w:tcPr>
          <w:p>
            <w:pPr>
              <w:spacing w:after="0"/>
              <w:rPr>
                <w:sz w:val="13"/>
                <w:szCs w:val="13"/>
                <w:color w:val="auto"/>
              </w:rPr>
            </w:pPr>
          </w:p>
        </w:tc>
        <w:tc>
          <w:tcPr>
            <w:tcW w:w="1140" w:type="dxa"/>
            <w:vAlign w:val="bottom"/>
            <w:tcBorders>
              <w:right w:val="single" w:sz="8" w:color="auto"/>
            </w:tcBorders>
            <w:gridSpan w:val="2"/>
          </w:tcPr>
          <w:p>
            <w:pPr>
              <w:jc w:val="center"/>
              <w:ind w:right="49"/>
              <w:spacing w:after="0" w:line="159" w:lineRule="exact"/>
              <w:rPr>
                <w:sz w:val="20"/>
                <w:szCs w:val="20"/>
                <w:color w:val="auto"/>
              </w:rPr>
            </w:pPr>
            <w:r>
              <w:rPr>
                <w:rFonts w:ascii="Times New Roman" w:cs="Times New Roman" w:eastAsia="Times New Roman" w:hAnsi="Times New Roman"/>
                <w:sz w:val="14"/>
                <w:szCs w:val="14"/>
                <w:b w:val="1"/>
                <w:bCs w:val="1"/>
                <w:color w:val="auto"/>
              </w:rPr>
              <w:t>August 7 -</w:t>
            </w: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180" w:type="dxa"/>
            <w:vAlign w:val="bottom"/>
          </w:tcPr>
          <w:p>
            <w:pPr>
              <w:spacing w:after="0"/>
              <w:rPr>
                <w:sz w:val="16"/>
                <w:szCs w:val="16"/>
                <w:color w:val="auto"/>
              </w:rPr>
            </w:pPr>
          </w:p>
        </w:tc>
        <w:tc>
          <w:tcPr>
            <w:tcW w:w="1140" w:type="dxa"/>
            <w:vAlign w:val="bottom"/>
            <w:tcBorders>
              <w:right w:val="single" w:sz="8" w:color="auto"/>
            </w:tcBorders>
            <w:gridSpan w:val="2"/>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December 31</w:t>
            </w:r>
          </w:p>
        </w:tc>
        <w:tc>
          <w:tcPr>
            <w:tcW w:w="2540" w:type="dxa"/>
            <w:vAlign w:val="bottom"/>
            <w:tcBorders>
              <w:right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Period From January 1 - August 6</w:t>
            </w: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38"/>
        </w:trPr>
        <w:tc>
          <w:tcPr>
            <w:tcW w:w="1180" w:type="dxa"/>
            <w:vAlign w:val="bottom"/>
          </w:tcPr>
          <w:p>
            <w:pPr>
              <w:spacing w:after="0"/>
              <w:rPr>
                <w:sz w:val="3"/>
                <w:szCs w:val="3"/>
                <w:color w:val="auto"/>
              </w:rPr>
            </w:pPr>
          </w:p>
        </w:tc>
        <w:tc>
          <w:tcPr>
            <w:tcW w:w="1140" w:type="dxa"/>
            <w:vAlign w:val="bottom"/>
            <w:tcBorders>
              <w:bottom w:val="single" w:sz="8" w:color="auto"/>
              <w:right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380" w:type="dxa"/>
            <w:vAlign w:val="bottom"/>
            <w:tcBorders>
              <w:bottom w:val="single" w:sz="8" w:color="auto"/>
              <w:right w:val="single" w:sz="8" w:color="auto"/>
            </w:tcBorders>
            <w:gridSpan w:val="2"/>
          </w:tcPr>
          <w:p>
            <w:pPr>
              <w:spacing w:after="0"/>
              <w:rPr>
                <w:sz w:val="3"/>
                <w:szCs w:val="3"/>
                <w:color w:val="auto"/>
              </w:rPr>
            </w:pPr>
          </w:p>
        </w:tc>
        <w:tc>
          <w:tcPr>
            <w:tcW w:w="106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Pro forma </w:t>
            </w:r>
            <w:r>
              <w:rPr>
                <w:rFonts w:ascii="Times New Roman" w:cs="Times New Roman" w:eastAsia="Times New Roman" w:hAnsi="Times New Roman"/>
                <w:sz w:val="18"/>
                <w:szCs w:val="18"/>
                <w:b w:val="1"/>
                <w:bCs w:val="1"/>
                <w:color w:val="auto"/>
                <w:vertAlign w:val="superscript"/>
              </w:rPr>
              <w:t>(b)</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340" w:type="dxa"/>
            <w:vAlign w:val="bottom"/>
            <w:tcBorders>
              <w:right w:val="single" w:sz="8" w:color="auto"/>
            </w:tcBorders>
            <w:gridSpan w:val="2"/>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(a)</w:t>
            </w:r>
          </w:p>
        </w:tc>
        <w:tc>
          <w:tcPr>
            <w:tcW w:w="1060" w:type="dxa"/>
            <w:vAlign w:val="bottom"/>
            <w:tcBorders>
              <w:right w:val="single" w:sz="8" w:color="auto"/>
            </w:tcBorders>
            <w:gridSpan w:val="2"/>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 xml:space="preserve">Pro forma </w:t>
            </w:r>
            <w:r>
              <w:rPr>
                <w:rFonts w:ascii="Times New Roman" w:cs="Times New Roman" w:eastAsia="Times New Roman" w:hAnsi="Times New Roman"/>
                <w:sz w:val="18"/>
                <w:szCs w:val="18"/>
                <w:b w:val="1"/>
                <w:bCs w:val="1"/>
                <w:color w:val="auto"/>
                <w:vertAlign w:val="superscript"/>
              </w:rPr>
              <w:t>(b)</w:t>
            </w: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180" w:type="dxa"/>
            <w:vAlign w:val="bottom"/>
          </w:tcPr>
          <w:p>
            <w:pPr>
              <w:spacing w:after="0"/>
              <w:rPr>
                <w:sz w:val="19"/>
                <w:szCs w:val="19"/>
                <w:color w:val="auto"/>
              </w:rPr>
            </w:pPr>
          </w:p>
        </w:tc>
        <w:tc>
          <w:tcPr>
            <w:tcW w:w="1140" w:type="dxa"/>
            <w:vAlign w:val="bottom"/>
            <w:tcBorders>
              <w:right w:val="single" w:sz="8" w:color="auto"/>
            </w:tcBorders>
            <w:gridSpan w:val="2"/>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380" w:type="dxa"/>
            <w:vAlign w:val="bottom"/>
            <w:tcBorders>
              <w:right w:val="single" w:sz="8" w:color="auto"/>
            </w:tcBorders>
            <w:gridSpan w:val="2"/>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(a)</w:t>
            </w:r>
          </w:p>
        </w:tc>
        <w:tc>
          <w:tcPr>
            <w:tcW w:w="106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vMerge w:val="continue"/>
          </w:tcPr>
          <w:p>
            <w:pPr>
              <w:spacing w:after="0"/>
              <w:rPr>
                <w:sz w:val="19"/>
                <w:szCs w:val="19"/>
                <w:color w:val="auto"/>
              </w:rPr>
            </w:pPr>
          </w:p>
        </w:tc>
        <w:tc>
          <w:tcPr>
            <w:tcW w:w="1340" w:type="dxa"/>
            <w:vAlign w:val="bottom"/>
            <w:tcBorders>
              <w:right w:val="single" w:sz="8" w:color="auto"/>
            </w:tcBorders>
            <w:gridSpan w:val="2"/>
            <w:vMerge w:val="continue"/>
          </w:tcPr>
          <w:p>
            <w:pPr>
              <w:spacing w:after="0"/>
              <w:rPr>
                <w:sz w:val="19"/>
                <w:szCs w:val="19"/>
                <w:color w:val="auto"/>
              </w:rPr>
            </w:pPr>
          </w:p>
        </w:tc>
        <w:tc>
          <w:tcPr>
            <w:tcW w:w="106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67"/>
        </w:trPr>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Revenues by</w:t>
            </w:r>
          </w:p>
        </w:tc>
        <w:tc>
          <w:tcPr>
            <w:tcW w:w="320" w:type="dxa"/>
            <w:vAlign w:val="bottom"/>
            <w:tcBorders>
              <w:top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right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32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Advertising</w:t>
            </w:r>
          </w:p>
        </w:tc>
        <w:tc>
          <w:tcPr>
            <w:tcW w:w="3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3,803</w:t>
            </w:r>
          </w:p>
        </w:tc>
        <w:tc>
          <w:tcPr>
            <w:tcW w:w="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5,329</w:t>
            </w:r>
          </w:p>
        </w:tc>
        <w:tc>
          <w:tcPr>
            <w:tcW w:w="5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9,132</w:t>
            </w:r>
          </w:p>
        </w:tc>
        <w:tc>
          <w:tcPr>
            <w:tcW w:w="80" w:type="dxa"/>
            <w:vAlign w:val="bottom"/>
          </w:tcPr>
          <w:p>
            <w:pPr>
              <w:spacing w:after="0"/>
              <w:rPr>
                <w:sz w:val="19"/>
                <w:szCs w:val="19"/>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10,295</w:t>
            </w:r>
          </w:p>
        </w:tc>
        <w:tc>
          <w:tcPr>
            <w:tcW w:w="100" w:type="dxa"/>
            <w:vAlign w:val="bottom"/>
          </w:tcPr>
          <w:p>
            <w:pPr>
              <w:spacing w:after="0"/>
              <w:rPr>
                <w:sz w:val="19"/>
                <w:szCs w:val="19"/>
                <w:color w:val="auto"/>
              </w:rPr>
            </w:pPr>
          </w:p>
        </w:tc>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10,295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(1,163)</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4"/>
        </w:trPr>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Affiliate and</w:t>
            </w:r>
          </w:p>
        </w:tc>
        <w:tc>
          <w:tcPr>
            <w:tcW w:w="3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subscription</w:t>
            </w:r>
          </w:p>
        </w:tc>
        <w:tc>
          <w:tcPr>
            <w:tcW w:w="320" w:type="dxa"/>
            <w:vAlign w:val="bottom"/>
          </w:tcPr>
          <w:p>
            <w:pPr>
              <w:spacing w:after="0"/>
              <w:rPr>
                <w:sz w:val="15"/>
                <w:szCs w:val="15"/>
                <w:color w:val="auto"/>
              </w:rPr>
            </w:pPr>
          </w:p>
        </w:tc>
        <w:tc>
          <w:tcPr>
            <w:tcW w:w="82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5,429</w:t>
            </w:r>
          </w:p>
        </w:tc>
        <w:tc>
          <w:tcPr>
            <w:tcW w:w="400" w:type="dxa"/>
            <w:vAlign w:val="bottom"/>
          </w:tcPr>
          <w:p>
            <w:pPr>
              <w:spacing w:after="0"/>
              <w:rPr>
                <w:sz w:val="15"/>
                <w:szCs w:val="15"/>
                <w:color w:val="auto"/>
              </w:rPr>
            </w:pPr>
          </w:p>
        </w:tc>
        <w:tc>
          <w:tcPr>
            <w:tcW w:w="7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8,242</w:t>
            </w:r>
          </w:p>
        </w:tc>
        <w:tc>
          <w:tcPr>
            <w:tcW w:w="560" w:type="dxa"/>
            <w:vAlign w:val="bottom"/>
          </w:tcPr>
          <w:p>
            <w:pPr>
              <w:spacing w:after="0"/>
              <w:rPr>
                <w:sz w:val="15"/>
                <w:szCs w:val="15"/>
                <w:color w:val="auto"/>
              </w:rPr>
            </w:pPr>
          </w:p>
        </w:tc>
        <w:tc>
          <w:tcPr>
            <w:tcW w:w="820" w:type="dxa"/>
            <w:vAlign w:val="bottom"/>
            <w:tcBorders>
              <w:right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740" w:type="dxa"/>
            <w:vAlign w:val="bottom"/>
            <w:tcBorders>
              <w:right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13,671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13,153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Borders>
              <w:right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740" w:type="dxa"/>
            <w:vAlign w:val="bottom"/>
            <w:tcBorders>
              <w:right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13,153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518</w:t>
            </w:r>
          </w:p>
        </w:tc>
        <w:tc>
          <w:tcPr>
            <w:tcW w:w="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5"/>
        </w:trPr>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Theatrical</w:t>
            </w:r>
          </w:p>
        </w:tc>
        <w:tc>
          <w:tcPr>
            <w:tcW w:w="320" w:type="dxa"/>
            <w:vAlign w:val="bottom"/>
          </w:tcPr>
          <w:p>
            <w:pPr>
              <w:spacing w:after="0"/>
              <w:rPr>
                <w:sz w:val="19"/>
                <w:szCs w:val="19"/>
                <w:color w:val="auto"/>
              </w:rPr>
            </w:pPr>
          </w:p>
        </w:tc>
        <w:tc>
          <w:tcPr>
            <w:tcW w:w="82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154</w:t>
            </w:r>
          </w:p>
        </w:tc>
        <w:tc>
          <w:tcPr>
            <w:tcW w:w="400" w:type="dxa"/>
            <w:vAlign w:val="bottom"/>
          </w:tcPr>
          <w:p>
            <w:pPr>
              <w:spacing w:after="0"/>
              <w:rPr>
                <w:sz w:val="19"/>
                <w:szCs w:val="19"/>
                <w:color w:val="auto"/>
              </w:rPr>
            </w:pPr>
          </w:p>
        </w:tc>
        <w:tc>
          <w:tcPr>
            <w:tcW w:w="7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475</w:t>
            </w:r>
          </w:p>
        </w:tc>
        <w:tc>
          <w:tcPr>
            <w:tcW w:w="560" w:type="dxa"/>
            <w:vAlign w:val="bottom"/>
          </w:tcPr>
          <w:p>
            <w:pPr>
              <w:spacing w:after="0"/>
              <w:rPr>
                <w:sz w:val="19"/>
                <w:szCs w:val="19"/>
                <w:color w:val="auto"/>
              </w:rPr>
            </w:pPr>
          </w:p>
        </w:tc>
        <w:tc>
          <w:tcPr>
            <w:tcW w:w="820" w:type="dxa"/>
            <w:vAlign w:val="bottom"/>
            <w:tcBorders>
              <w:right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740" w:type="dxa"/>
            <w:vAlign w:val="bottom"/>
            <w:tcBorders>
              <w:right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Borders>
              <w:right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740" w:type="dxa"/>
            <w:vAlign w:val="bottom"/>
            <w:tcBorders>
              <w:right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813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(184)</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4"/>
        </w:trPr>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Licensing and</w:t>
            </w:r>
          </w:p>
        </w:tc>
        <w:tc>
          <w:tcPr>
            <w:tcW w:w="3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5"/>
                <w:szCs w:val="15"/>
                <w:color w:val="auto"/>
              </w:rPr>
            </w:pPr>
          </w:p>
        </w:tc>
        <w:tc>
          <w:tcPr>
            <w:tcW w:w="82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2,883</w:t>
            </w:r>
          </w:p>
        </w:tc>
        <w:tc>
          <w:tcPr>
            <w:tcW w:w="400" w:type="dxa"/>
            <w:vAlign w:val="bottom"/>
          </w:tcPr>
          <w:p>
            <w:pPr>
              <w:spacing w:after="0"/>
              <w:rPr>
                <w:sz w:val="15"/>
                <w:szCs w:val="15"/>
                <w:color w:val="auto"/>
              </w:rPr>
            </w:pPr>
          </w:p>
        </w:tc>
        <w:tc>
          <w:tcPr>
            <w:tcW w:w="7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2,576</w:t>
            </w:r>
          </w:p>
        </w:tc>
        <w:tc>
          <w:tcPr>
            <w:tcW w:w="560" w:type="dxa"/>
            <w:vAlign w:val="bottom"/>
          </w:tcPr>
          <w:p>
            <w:pPr>
              <w:spacing w:after="0"/>
              <w:rPr>
                <w:sz w:val="15"/>
                <w:szCs w:val="15"/>
                <w:color w:val="auto"/>
              </w:rPr>
            </w:pPr>
          </w:p>
        </w:tc>
        <w:tc>
          <w:tcPr>
            <w:tcW w:w="820" w:type="dxa"/>
            <w:vAlign w:val="bottom"/>
            <w:tcBorders>
              <w:right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503</w:t>
            </w:r>
          </w:p>
        </w:tc>
        <w:tc>
          <w:tcPr>
            <w:tcW w:w="320" w:type="dxa"/>
            <w:vAlign w:val="bottom"/>
          </w:tcPr>
          <w:p>
            <w:pPr>
              <w:spacing w:after="0"/>
              <w:rPr>
                <w:sz w:val="15"/>
                <w:szCs w:val="15"/>
                <w:color w:val="auto"/>
              </w:rPr>
            </w:pPr>
          </w:p>
        </w:tc>
        <w:tc>
          <w:tcPr>
            <w:tcW w:w="740" w:type="dxa"/>
            <w:vAlign w:val="bottom"/>
            <w:tcBorders>
              <w:right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5,962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4,952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Borders>
              <w:right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1,058</w:t>
            </w:r>
          </w:p>
        </w:tc>
        <w:tc>
          <w:tcPr>
            <w:tcW w:w="320" w:type="dxa"/>
            <w:vAlign w:val="bottom"/>
          </w:tcPr>
          <w:p>
            <w:pPr>
              <w:spacing w:after="0"/>
              <w:rPr>
                <w:sz w:val="15"/>
                <w:szCs w:val="15"/>
                <w:color w:val="auto"/>
              </w:rPr>
            </w:pPr>
          </w:p>
        </w:tc>
        <w:tc>
          <w:tcPr>
            <w:tcW w:w="740" w:type="dxa"/>
            <w:vAlign w:val="bottom"/>
            <w:tcBorders>
              <w:right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6,010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(48)</w:t>
            </w: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8"/>
        </w:trPr>
        <w:tc>
          <w:tcPr>
            <w:tcW w:w="1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12,269</w:t>
            </w:r>
          </w:p>
        </w:tc>
        <w:tc>
          <w:tcPr>
            <w:tcW w:w="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16,622</w:t>
            </w:r>
          </w:p>
        </w:tc>
        <w:tc>
          <w:tcPr>
            <w:tcW w:w="5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503</w:t>
            </w:r>
          </w:p>
        </w:tc>
        <w:tc>
          <w:tcPr>
            <w:tcW w:w="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29,394</w:t>
            </w:r>
          </w:p>
        </w:tc>
        <w:tc>
          <w:tcPr>
            <w:tcW w:w="80" w:type="dxa"/>
            <w:vAlign w:val="bottom"/>
          </w:tcPr>
          <w:p>
            <w:pPr>
              <w:spacing w:after="0"/>
              <w:rPr>
                <w:sz w:val="16"/>
                <w:szCs w:val="16"/>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29,213</w:t>
            </w:r>
          </w:p>
        </w:tc>
        <w:tc>
          <w:tcPr>
            <w:tcW w:w="100" w:type="dxa"/>
            <w:vAlign w:val="bottom"/>
          </w:tcPr>
          <w:p>
            <w:pPr>
              <w:spacing w:after="0"/>
              <w:rPr>
                <w:sz w:val="16"/>
                <w:szCs w:val="16"/>
                <w:color w:val="auto"/>
              </w:rPr>
            </w:pPr>
          </w:p>
        </w:tc>
        <w:tc>
          <w:tcPr>
            <w:tcW w:w="4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1,058</w:t>
            </w:r>
          </w:p>
        </w:tc>
        <w:tc>
          <w:tcPr>
            <w:tcW w:w="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30,271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(877)</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44"/>
        </w:trPr>
        <w:tc>
          <w:tcPr>
            <w:tcW w:w="1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20" w:hanging="314"/>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Skydance revenues after the elimination of intercompany revenues from Paramount Global during the applicable Predecessor period.</w:t>
      </w:r>
    </w:p>
    <w:p>
      <w:pPr>
        <w:spacing w:after="0" w:line="51" w:lineRule="exact"/>
        <w:rPr>
          <w:rFonts w:ascii="Times New Roman" w:cs="Times New Roman" w:eastAsia="Times New Roman" w:hAnsi="Times New Roman"/>
          <w:sz w:val="14"/>
          <w:szCs w:val="14"/>
          <w:color w:val="auto"/>
        </w:rPr>
      </w:pPr>
    </w:p>
    <w:p>
      <w:pPr>
        <w:jc w:val="both"/>
        <w:ind w:left="320" w:hanging="314"/>
        <w:spacing w:after="0" w:line="273" w:lineRule="auto"/>
        <w:tabs>
          <w:tab w:leader="none" w:pos="31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Supplemental Pro Forma Revenues for the year ended December 31, 2025 reflect the combination of the Successor period with the Predecessor period from January 1-August 6, 2025, and for each Predecessor period, Licensing and other and Total Revenues include pro forma adjustments to include Skydance revenues after the elimination of intercompany revenues from Paramount Global.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Segments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Beginning in 2026, we transitioned our reporting structure into three new segments: </w:t>
      </w:r>
      <w:r>
        <w:rPr>
          <w:rFonts w:ascii="Times New Roman" w:cs="Times New Roman" w:eastAsia="Times New Roman" w:hAnsi="Times New Roman"/>
          <w:sz w:val="19"/>
          <w:szCs w:val="19"/>
          <w:i w:val="1"/>
          <w:iCs w:val="1"/>
          <w:color w:val="auto"/>
        </w:rPr>
        <w:t>Studios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Under the new segment structure, our </w:t>
      </w:r>
      <w:r>
        <w:rPr>
          <w:rFonts w:ascii="Times New Roman" w:cs="Times New Roman" w:eastAsia="Times New Roman" w:hAnsi="Times New Roman"/>
          <w:sz w:val="19"/>
          <w:szCs w:val="19"/>
          <w:i w:val="1"/>
          <w:iCs w:val="1"/>
          <w:color w:val="auto"/>
        </w:rPr>
        <w:t>Studios</w:t>
      </w:r>
      <w:r>
        <w:rPr>
          <w:rFonts w:ascii="Times New Roman" w:cs="Times New Roman" w:eastAsia="Times New Roman" w:hAnsi="Times New Roman"/>
          <w:sz w:val="19"/>
          <w:szCs w:val="19"/>
          <w:color w:val="auto"/>
        </w:rPr>
        <w:t xml:space="preserve"> segment reflects the combination of the historical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with the historical </w:t>
      </w:r>
      <w:r>
        <w:rPr>
          <w:rFonts w:ascii="Times New Roman" w:cs="Times New Roman" w:eastAsia="Times New Roman" w:hAnsi="Times New Roman"/>
          <w:sz w:val="19"/>
          <w:szCs w:val="19"/>
          <w:i w:val="1"/>
          <w:iCs w:val="1"/>
          <w:color w:val="auto"/>
        </w:rPr>
        <w:t>TV</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Media </w:t>
      </w:r>
      <w:r>
        <w:rPr>
          <w:rFonts w:ascii="Times New Roman" w:cs="Times New Roman" w:eastAsia="Times New Roman" w:hAnsi="Times New Roman"/>
          <w:sz w:val="19"/>
          <w:szCs w:val="19"/>
          <w:color w:val="auto"/>
        </w:rPr>
        <w:t>studio operations, consolidating our content creation activities. Additionally, our premium cable channel, Paramount+ with Showtime,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which was previously under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is now managed under the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Concurrent with the change to our segments, we updated our segment expense allocations to better reflect how we operate and make cost decisions across the business (together with the segment change, the “new segment presentation”). Certain centralized costs that were previously allocated at the segment level are now reported within corporate expenses.</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tables below set forth our financial information by reportable segment. As a result of the new accounting basis established in connection with the Transactions and the NAI Transaction, our results of operations for the Successor period, which began on August 7, 2025, are not comparable to those of the Predecessor periods. Accordingly, we are required to present Predecessor segment information using our historical segments—</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—while Successor segment results reflect the new segment presentation. In addition, in the first quarter of 2026, we renamed our primary measure of profit and loss for our operating segments from Adjusted OIBDA to Adjusted EBITDA (see Note 17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35" w:name="page36"/>
    <w:bookmarkEnd w:id="35"/>
    <w:p>
      <w:pPr>
        <w:jc w:val="center"/>
        <w:ind w:right="-8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Segment Results of Operations (Successor) - Period From August 7 -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130810</wp:posOffset>
            </wp:positionV>
            <wp:extent cx="59150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15025" cy="17145"/>
                    </a:xfrm>
                    <a:prstGeom prst="rect">
                      <a:avLst/>
                    </a:prstGeom>
                    <a:noFill/>
                  </pic:spPr>
                </pic:pic>
              </a:graphicData>
            </a:graphic>
          </wp:anchor>
        </w:drawing>
      </w:r>
    </w:p>
    <w:p>
      <w:pPr>
        <w:spacing w:after="0" w:line="223"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1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733"/>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20" w:type="dxa"/>
            <w:vAlign w:val="bottom"/>
          </w:tcPr>
          <w:p>
            <w:pPr>
              <w:spacing w:after="0"/>
              <w:rPr>
                <w:sz w:val="19"/>
                <w:szCs w:val="19"/>
                <w:color w:val="auto"/>
              </w:rPr>
            </w:pPr>
          </w:p>
        </w:tc>
      </w:tr>
      <w:tr>
        <w:trPr>
          <w:trHeight w:val="196"/>
        </w:trPr>
        <w:tc>
          <w:tcPr>
            <w:tcW w:w="1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2"/>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8"/>
              </w:rPr>
              <w:t>Period From August 7 -</w:t>
            </w:r>
          </w:p>
        </w:tc>
        <w:tc>
          <w:tcPr>
            <w:tcW w:w="120" w:type="dxa"/>
            <w:vAlign w:val="bottom"/>
          </w:tcPr>
          <w:p>
            <w:pPr>
              <w:spacing w:after="0"/>
              <w:rPr>
                <w:sz w:val="17"/>
                <w:szCs w:val="17"/>
                <w:color w:val="auto"/>
              </w:rPr>
            </w:pPr>
          </w:p>
        </w:tc>
      </w:tr>
      <w:tr>
        <w:trPr>
          <w:trHeight w:val="210"/>
        </w:trPr>
        <w:tc>
          <w:tcPr>
            <w:tcW w:w="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gridSpan w:val="2"/>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8"/>
                <w:szCs w:val="18"/>
                <w:color w:val="auto"/>
              </w:rPr>
            </w:pPr>
          </w:p>
        </w:tc>
      </w:tr>
      <w:tr>
        <w:trPr>
          <w:trHeight w:val="32"/>
        </w:trPr>
        <w:tc>
          <w:tcPr>
            <w:tcW w:w="120" w:type="dxa"/>
            <w:vAlign w:val="bottom"/>
          </w:tcPr>
          <w:p>
            <w:pPr>
              <w:spacing w:after="0"/>
              <w:rPr>
                <w:sz w:val="2"/>
                <w:szCs w:val="2"/>
                <w:color w:val="auto"/>
              </w:rPr>
            </w:pPr>
          </w:p>
        </w:tc>
        <w:tc>
          <w:tcPr>
            <w:tcW w:w="6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25"/>
        </w:trPr>
        <w:tc>
          <w:tcPr>
            <w:tcW w:w="120" w:type="dxa"/>
            <w:vAlign w:val="bottom"/>
          </w:tcPr>
          <w:p>
            <w:pPr>
              <w:spacing w:after="0"/>
              <w:rPr>
                <w:sz w:val="19"/>
                <w:szCs w:val="19"/>
                <w:color w:val="auto"/>
              </w:rPr>
            </w:pPr>
          </w:p>
        </w:tc>
        <w:tc>
          <w:tcPr>
            <w:tcW w:w="6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75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9"/>
                <w:szCs w:val="19"/>
                <w:color w:val="auto"/>
              </w:rPr>
            </w:pPr>
          </w:p>
        </w:tc>
      </w:tr>
      <w:tr>
        <w:trPr>
          <w:trHeight w:val="239"/>
        </w:trPr>
        <w:tc>
          <w:tcPr>
            <w:tcW w:w="120" w:type="dxa"/>
            <w:vAlign w:val="bottom"/>
          </w:tcPr>
          <w:p>
            <w:pPr>
              <w:spacing w:after="0"/>
              <w:rPr>
                <w:sz w:val="20"/>
                <w:szCs w:val="20"/>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5"/>
        </w:trPr>
        <w:tc>
          <w:tcPr>
            <w:tcW w:w="120" w:type="dxa"/>
            <w:vAlign w:val="bottom"/>
          </w:tcPr>
          <w:p>
            <w:pPr>
              <w:spacing w:after="0"/>
              <w:rPr>
                <w:sz w:val="23"/>
                <w:szCs w:val="23"/>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Studios</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2,798</w:t>
            </w:r>
          </w:p>
        </w:tc>
        <w:tc>
          <w:tcPr>
            <w:tcW w:w="120" w:type="dxa"/>
            <w:vAlign w:val="bottom"/>
          </w:tcPr>
          <w:p>
            <w:pPr>
              <w:spacing w:after="0"/>
              <w:rPr>
                <w:sz w:val="23"/>
                <w:szCs w:val="23"/>
                <w:color w:val="auto"/>
              </w:rPr>
            </w:pPr>
          </w:p>
        </w:tc>
      </w:tr>
      <w:tr>
        <w:trPr>
          <w:trHeight w:val="265"/>
        </w:trPr>
        <w:tc>
          <w:tcPr>
            <w:tcW w:w="120" w:type="dxa"/>
            <w:vAlign w:val="bottom"/>
          </w:tcPr>
          <w:p>
            <w:pPr>
              <w:spacing w:after="0"/>
              <w:rPr>
                <w:sz w:val="23"/>
                <w:szCs w:val="23"/>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Direct-to-Consumer</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tcPr>
          <w:p>
            <w:pPr>
              <w:spacing w:after="0"/>
              <w:rPr>
                <w:sz w:val="23"/>
                <w:szCs w:val="23"/>
                <w:color w:val="auto"/>
              </w:rPr>
            </w:pPr>
          </w:p>
        </w:tc>
      </w:tr>
      <w:tr>
        <w:trPr>
          <w:trHeight w:val="265"/>
        </w:trPr>
        <w:tc>
          <w:tcPr>
            <w:tcW w:w="120" w:type="dxa"/>
            <w:vAlign w:val="bottom"/>
          </w:tcPr>
          <w:p>
            <w:pPr>
              <w:spacing w:after="0"/>
              <w:rPr>
                <w:sz w:val="23"/>
                <w:szCs w:val="23"/>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TV Media</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5,841</w:t>
            </w:r>
          </w:p>
        </w:tc>
        <w:tc>
          <w:tcPr>
            <w:tcW w:w="120" w:type="dxa"/>
            <w:vAlign w:val="bottom"/>
          </w:tcPr>
          <w:p>
            <w:pPr>
              <w:spacing w:after="0"/>
              <w:rPr>
                <w:sz w:val="23"/>
                <w:szCs w:val="23"/>
                <w:color w:val="auto"/>
              </w:rPr>
            </w:pPr>
          </w:p>
        </w:tc>
      </w:tr>
      <w:tr>
        <w:trPr>
          <w:trHeight w:val="265"/>
        </w:trPr>
        <w:tc>
          <w:tcPr>
            <w:tcW w:w="120" w:type="dxa"/>
            <w:vAlign w:val="bottom"/>
          </w:tcPr>
          <w:p>
            <w:pPr>
              <w:spacing w:after="0"/>
              <w:rPr>
                <w:sz w:val="23"/>
                <w:szCs w:val="23"/>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Eliminations</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3"/>
                <w:szCs w:val="23"/>
                <w:color w:val="auto"/>
              </w:rPr>
            </w:pPr>
          </w:p>
        </w:tc>
      </w:tr>
      <w:tr>
        <w:trPr>
          <w:trHeight w:val="26"/>
        </w:trPr>
        <w:tc>
          <w:tcPr>
            <w:tcW w:w="120" w:type="dxa"/>
            <w:vAlign w:val="bottom"/>
          </w:tcPr>
          <w:p>
            <w:pPr>
              <w:spacing w:after="0"/>
              <w:rPr>
                <w:sz w:val="2"/>
                <w:szCs w:val="2"/>
                <w:color w:val="auto"/>
              </w:rPr>
            </w:pPr>
          </w:p>
        </w:tc>
        <w:tc>
          <w:tcPr>
            <w:tcW w:w="6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3"/>
        </w:trPr>
        <w:tc>
          <w:tcPr>
            <w:tcW w:w="120" w:type="dxa"/>
            <w:vAlign w:val="bottom"/>
          </w:tcPr>
          <w:p>
            <w:pPr>
              <w:spacing w:after="0"/>
              <w:rPr>
                <w:sz w:val="20"/>
                <w:szCs w:val="20"/>
                <w:color w:val="auto"/>
              </w:rPr>
            </w:pPr>
          </w:p>
        </w:tc>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12,269</w:t>
            </w:r>
          </w:p>
        </w:tc>
        <w:tc>
          <w:tcPr>
            <w:tcW w:w="120" w:type="dxa"/>
            <w:vAlign w:val="bottom"/>
          </w:tcPr>
          <w:p>
            <w:pPr>
              <w:spacing w:after="0"/>
              <w:rPr>
                <w:sz w:val="20"/>
                <w:szCs w:val="20"/>
                <w:color w:val="auto"/>
              </w:rPr>
            </w:pPr>
          </w:p>
        </w:tc>
      </w:tr>
      <w:tr>
        <w:trPr>
          <w:trHeight w:val="32"/>
        </w:trPr>
        <w:tc>
          <w:tcPr>
            <w:tcW w:w="120" w:type="dxa"/>
            <w:vAlign w:val="bottom"/>
          </w:tcPr>
          <w:p>
            <w:pPr>
              <w:spacing w:after="0"/>
              <w:rPr>
                <w:sz w:val="2"/>
                <w:szCs w:val="2"/>
                <w:color w:val="auto"/>
              </w:rPr>
            </w:pPr>
          </w:p>
        </w:tc>
        <w:tc>
          <w:tcPr>
            <w:tcW w:w="6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58"/>
        </w:trPr>
        <w:tc>
          <w:tcPr>
            <w:tcW w:w="120" w:type="dxa"/>
            <w:vAlign w:val="bottom"/>
            <w:tcBorders>
              <w:bottom w:val="single" w:sz="8" w:color="auto"/>
            </w:tcBorders>
          </w:tcPr>
          <w:p>
            <w:pPr>
              <w:spacing w:after="0"/>
              <w:rPr>
                <w:sz w:val="22"/>
                <w:szCs w:val="22"/>
                <w:color w:val="auto"/>
              </w:rPr>
            </w:pPr>
          </w:p>
        </w:tc>
        <w:tc>
          <w:tcPr>
            <w:tcW w:w="69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r>
      <w:tr>
        <w:trPr>
          <w:trHeight w:val="240"/>
        </w:trPr>
        <w:tc>
          <w:tcPr>
            <w:tcW w:w="1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tcPr>
          <w:p>
            <w:pPr>
              <w:jc w:val="center"/>
              <w:ind w:right="573"/>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20" w:type="dxa"/>
            <w:vAlign w:val="bottom"/>
          </w:tcPr>
          <w:p>
            <w:pPr>
              <w:spacing w:after="0"/>
              <w:rPr>
                <w:sz w:val="20"/>
                <w:szCs w:val="20"/>
                <w:color w:val="auto"/>
              </w:rPr>
            </w:pPr>
          </w:p>
        </w:tc>
      </w:tr>
      <w:tr>
        <w:trPr>
          <w:trHeight w:val="25"/>
        </w:trPr>
        <w:tc>
          <w:tcPr>
            <w:tcW w:w="1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03"/>
        </w:trPr>
        <w:tc>
          <w:tcPr>
            <w:tcW w:w="1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 August 7 -</w:t>
            </w:r>
          </w:p>
        </w:tc>
        <w:tc>
          <w:tcPr>
            <w:tcW w:w="120" w:type="dxa"/>
            <w:vAlign w:val="bottom"/>
          </w:tcPr>
          <w:p>
            <w:pPr>
              <w:spacing w:after="0"/>
              <w:rPr>
                <w:sz w:val="17"/>
                <w:szCs w:val="17"/>
                <w:color w:val="auto"/>
              </w:rPr>
            </w:pPr>
          </w:p>
        </w:tc>
      </w:tr>
      <w:tr>
        <w:trPr>
          <w:trHeight w:val="221"/>
        </w:trPr>
        <w:tc>
          <w:tcPr>
            <w:tcW w:w="1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553"/>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Borders>
              <w:bottom w:val="single" w:sz="8" w:color="auto"/>
            </w:tcBorders>
          </w:tcPr>
          <w:p>
            <w:pPr>
              <w:spacing w:after="0"/>
              <w:rPr>
                <w:sz w:val="19"/>
                <w:szCs w:val="19"/>
                <w:color w:val="auto"/>
              </w:rPr>
            </w:pPr>
          </w:p>
        </w:tc>
      </w:tr>
      <w:tr>
        <w:trPr>
          <w:trHeight w:val="232"/>
        </w:trPr>
        <w:tc>
          <w:tcPr>
            <w:tcW w:w="120" w:type="dxa"/>
            <w:vAlign w:val="bottom"/>
            <w:tcBorders>
              <w:bottom w:val="single" w:sz="8" w:color="auto"/>
            </w:tcBorders>
          </w:tcPr>
          <w:p>
            <w:pPr>
              <w:spacing w:after="0"/>
              <w:rPr>
                <w:sz w:val="20"/>
                <w:szCs w:val="20"/>
                <w:color w:val="auto"/>
              </w:rPr>
            </w:pPr>
          </w:p>
        </w:tc>
        <w:tc>
          <w:tcPr>
            <w:tcW w:w="6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55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auto"/>
            </w:tcBorders>
          </w:tcPr>
          <w:p>
            <w:pPr>
              <w:spacing w:after="0"/>
              <w:rPr>
                <w:sz w:val="20"/>
                <w:szCs w:val="20"/>
                <w:color w:val="auto"/>
              </w:rPr>
            </w:pPr>
          </w:p>
        </w:tc>
      </w:tr>
      <w:tr>
        <w:trPr>
          <w:trHeight w:val="23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5"/>
        </w:trPr>
        <w:tc>
          <w:tcPr>
            <w:tcW w:w="120" w:type="dxa"/>
            <w:vAlign w:val="bottom"/>
          </w:tcPr>
          <w:p>
            <w:pPr>
              <w:spacing w:after="0"/>
              <w:rPr>
                <w:sz w:val="23"/>
                <w:szCs w:val="23"/>
                <w:color w:val="auto"/>
              </w:rPr>
            </w:pP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Studios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3"/>
                <w:szCs w:val="23"/>
                <w:color w:val="auto"/>
              </w:rPr>
            </w:pPr>
          </w:p>
        </w:tc>
      </w:tr>
      <w:tr>
        <w:trPr>
          <w:trHeight w:val="265"/>
        </w:trPr>
        <w:tc>
          <w:tcPr>
            <w:tcW w:w="120" w:type="dxa"/>
            <w:vAlign w:val="bottom"/>
          </w:tcPr>
          <w:p>
            <w:pPr>
              <w:spacing w:after="0"/>
              <w:rPr>
                <w:sz w:val="23"/>
                <w:szCs w:val="23"/>
                <w:color w:val="auto"/>
              </w:rPr>
            </w:pP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Direct-to-Consumer</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3"/>
                <w:szCs w:val="23"/>
                <w:color w:val="auto"/>
              </w:rPr>
            </w:pPr>
          </w:p>
        </w:tc>
      </w:tr>
      <w:tr>
        <w:trPr>
          <w:trHeight w:val="265"/>
        </w:trPr>
        <w:tc>
          <w:tcPr>
            <w:tcW w:w="120" w:type="dxa"/>
            <w:vAlign w:val="bottom"/>
          </w:tcPr>
          <w:p>
            <w:pPr>
              <w:spacing w:after="0"/>
              <w:rPr>
                <w:sz w:val="23"/>
                <w:szCs w:val="23"/>
                <w:color w:val="auto"/>
              </w:rPr>
            </w:pP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TV Media</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Pr>
          <w:p>
            <w:pPr>
              <w:spacing w:after="0"/>
              <w:rPr>
                <w:sz w:val="23"/>
                <w:szCs w:val="23"/>
                <w:color w:val="auto"/>
              </w:rPr>
            </w:pPr>
          </w:p>
        </w:tc>
      </w:tr>
      <w:tr>
        <w:trPr>
          <w:trHeight w:val="265"/>
        </w:trPr>
        <w:tc>
          <w:tcPr>
            <w:tcW w:w="120" w:type="dxa"/>
            <w:vAlign w:val="bottom"/>
          </w:tcPr>
          <w:p>
            <w:pPr>
              <w:spacing w:after="0"/>
              <w:rPr>
                <w:sz w:val="23"/>
                <w:szCs w:val="23"/>
                <w:color w:val="auto"/>
              </w:rPr>
            </w:pP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Corporate/Eliminations</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23"/>
                <w:szCs w:val="23"/>
                <w:color w:val="auto"/>
              </w:rPr>
            </w:pPr>
          </w:p>
        </w:tc>
      </w:tr>
      <w:tr>
        <w:trPr>
          <w:trHeight w:val="29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2"/>
                <w:szCs w:val="22"/>
                <w:color w:val="auto"/>
                <w:vertAlign w:val="superscript"/>
              </w:rPr>
              <w:t>(a)</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4"/>
                <w:szCs w:val="24"/>
                <w:color w:val="auto"/>
              </w:rPr>
            </w:pPr>
          </w:p>
        </w:tc>
      </w:tr>
      <w:tr>
        <w:trPr>
          <w:trHeight w:val="231"/>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20"/>
                <w:szCs w:val="20"/>
                <w:color w:val="auto"/>
              </w:rPr>
            </w:pPr>
          </w:p>
        </w:tc>
      </w:tr>
      <w:tr>
        <w:trPr>
          <w:trHeight w:val="265"/>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Programming charges</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3"/>
                <w:szCs w:val="23"/>
                <w:color w:val="auto"/>
              </w:rPr>
            </w:pPr>
          </w:p>
        </w:tc>
      </w:tr>
      <w:tr>
        <w:trPr>
          <w:trHeight w:val="246"/>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transaction-related items, and</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5"/>
        </w:trPr>
        <w:tc>
          <w:tcPr>
            <w:tcW w:w="120" w:type="dxa"/>
            <w:vAlign w:val="bottom"/>
          </w:tcPr>
          <w:p>
            <w:pPr>
              <w:spacing w:after="0"/>
              <w:rPr>
                <w:sz w:val="23"/>
                <w:szCs w:val="23"/>
                <w:color w:val="auto"/>
              </w:rPr>
            </w:pPr>
          </w:p>
        </w:tc>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other corporate matters </w:t>
            </w:r>
            <w:r>
              <w:rPr>
                <w:rFonts w:ascii="Times New Roman" w:cs="Times New Roman" w:eastAsia="Times New Roman" w:hAnsi="Times New Roman"/>
                <w:sz w:val="22"/>
                <w:szCs w:val="22"/>
                <w:color w:val="auto"/>
                <w:vertAlign w:val="superscript"/>
              </w:rPr>
              <w:t>(a)</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23"/>
                <w:szCs w:val="23"/>
                <w:color w:val="auto"/>
              </w:rPr>
            </w:pPr>
          </w:p>
        </w:tc>
      </w:tr>
      <w:tr>
        <w:trPr>
          <w:trHeight w:val="231"/>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dispositions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5"/>
        </w:trPr>
        <w:tc>
          <w:tcPr>
            <w:tcW w:w="7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3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r>
      <w:tr>
        <w:trPr>
          <w:trHeight w:val="265"/>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3"/>
                <w:szCs w:val="23"/>
                <w:color w:val="auto"/>
              </w:rPr>
            </w:pPr>
          </w:p>
        </w:tc>
      </w:tr>
      <w:tr>
        <w:trPr>
          <w:trHeight w:val="265"/>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investment</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3"/>
                <w:szCs w:val="23"/>
                <w:color w:val="auto"/>
              </w:rPr>
            </w:pPr>
          </w:p>
        </w:tc>
      </w:tr>
      <w:tr>
        <w:trPr>
          <w:trHeight w:val="265"/>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3"/>
                <w:szCs w:val="23"/>
                <w:color w:val="auto"/>
              </w:rPr>
            </w:pPr>
          </w:p>
        </w:tc>
      </w:tr>
      <w:tr>
        <w:trPr>
          <w:trHeight w:val="25"/>
        </w:trPr>
        <w:tc>
          <w:tcPr>
            <w:tcW w:w="7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1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before income taxes and equity loss of</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investee companies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20"/>
                <w:szCs w:val="20"/>
                <w:color w:val="auto"/>
              </w:rPr>
            </w:pPr>
          </w:p>
        </w:tc>
      </w:tr>
      <w:tr>
        <w:trPr>
          <w:trHeight w:val="265"/>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3"/>
                <w:szCs w:val="23"/>
                <w:color w:val="auto"/>
              </w:rPr>
            </w:pPr>
          </w:p>
        </w:tc>
      </w:tr>
      <w:tr>
        <w:trPr>
          <w:trHeight w:val="265"/>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3"/>
                <w:szCs w:val="23"/>
                <w:color w:val="auto"/>
              </w:rPr>
            </w:pPr>
          </w:p>
        </w:tc>
      </w:tr>
      <w:tr>
        <w:trPr>
          <w:trHeight w:val="25"/>
        </w:trPr>
        <w:tc>
          <w:tcPr>
            <w:tcW w:w="7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3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(Parent and noncontrolling interests)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20"/>
                <w:szCs w:val="20"/>
                <w:color w:val="auto"/>
              </w:rPr>
            </w:pPr>
          </w:p>
        </w:tc>
      </w:tr>
      <w:tr>
        <w:trPr>
          <w:trHeight w:val="265"/>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3"/>
                <w:szCs w:val="23"/>
                <w:color w:val="auto"/>
              </w:rPr>
            </w:pPr>
          </w:p>
        </w:tc>
      </w:tr>
      <w:tr>
        <w:trPr>
          <w:trHeight w:val="25"/>
        </w:trPr>
        <w:tc>
          <w:tcPr>
            <w:tcW w:w="7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3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Parent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20"/>
                <w:szCs w:val="20"/>
                <w:color w:val="auto"/>
              </w:rPr>
            </w:pPr>
          </w:p>
        </w:tc>
      </w:tr>
      <w:tr>
        <w:trPr>
          <w:trHeight w:val="32"/>
        </w:trPr>
        <w:tc>
          <w:tcPr>
            <w:tcW w:w="120" w:type="dxa"/>
            <w:vAlign w:val="bottom"/>
            <w:tcBorders>
              <w:bottom w:val="single" w:sz="8" w:color="auto"/>
            </w:tcBorders>
          </w:tcPr>
          <w:p>
            <w:pPr>
              <w:spacing w:after="0"/>
              <w:rPr>
                <w:sz w:val="2"/>
                <w:szCs w:val="2"/>
                <w:color w:val="auto"/>
              </w:rPr>
            </w:pPr>
          </w:p>
        </w:tc>
        <w:tc>
          <w:tcPr>
            <w:tcW w:w="6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ind w:left="1040" w:hanging="239"/>
        <w:spacing w:after="0" w:line="290" w:lineRule="auto"/>
        <w:tabs>
          <w:tab w:leader="none" w:pos="102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Successor period from August 7 - December 31, 2025, stock-based compensation expense of $69 million was included in “Restructuring, transaction-related items, and other corporate matters.”</w:t>
      </w:r>
    </w:p>
    <w:p>
      <w:pPr>
        <w:sectPr>
          <w:pgSz w:w="11900" w:h="16838" w:orient="portrait"/>
          <w:cols w:equalWidth="0" w:num="1">
            <w:col w:w="10440"/>
          </w:cols>
          <w:pgMar w:left="320" w:top="59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440"/>
          </w:cols>
          <w:pgMar w:left="320" w:top="590" w:right="1139" w:bottom="1440" w:gutter="0" w:footer="0" w:header="0"/>
          <w:type w:val="continuous"/>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Studios</w:t>
      </w:r>
    </w:p>
    <w:p>
      <w:pPr>
        <w:spacing w:after="0" w:line="155" w:lineRule="exact"/>
        <w:rPr>
          <w:sz w:val="20"/>
          <w:szCs w:val="20"/>
          <w:color w:val="auto"/>
        </w:rPr>
      </w:pPr>
    </w:p>
    <w:p>
      <w:pPr>
        <w:jc w:val="both"/>
        <w:ind w:right="240"/>
        <w:spacing w:after="0" w:line="274" w:lineRule="auto"/>
        <w:rPr>
          <w:sz w:val="20"/>
          <w:szCs w:val="20"/>
          <w:color w:val="auto"/>
        </w:rPr>
      </w:pPr>
      <w:r>
        <w:rPr>
          <w:rFonts w:ascii="Times New Roman" w:cs="Times New Roman" w:eastAsia="Times New Roman" w:hAnsi="Times New Roman"/>
          <w:sz w:val="19"/>
          <w:szCs w:val="19"/>
          <w:color w:val="auto"/>
        </w:rPr>
        <w:t xml:space="preserve">Our </w:t>
      </w:r>
      <w:r>
        <w:rPr>
          <w:rFonts w:ascii="Times New Roman" w:cs="Times New Roman" w:eastAsia="Times New Roman" w:hAnsi="Times New Roman"/>
          <w:sz w:val="19"/>
          <w:szCs w:val="19"/>
          <w:i w:val="1"/>
          <w:iCs w:val="1"/>
          <w:color w:val="auto"/>
        </w:rPr>
        <w:t>Studios</w:t>
      </w:r>
      <w:r>
        <w:rPr>
          <w:rFonts w:ascii="Times New Roman" w:cs="Times New Roman" w:eastAsia="Times New Roman" w:hAnsi="Times New Roman"/>
          <w:sz w:val="19"/>
          <w:szCs w:val="19"/>
          <w:color w:val="auto"/>
        </w:rPr>
        <w:t xml:space="preserve"> segment consists of our television and film studio operations, including CBS Studios, Paramount Television Studios, Nickelodeon Animation, Paramount Pictures, Paramount Animation, and Miramax, as well as Skydance Animation, Film, Television, and Interactive/Games, and Paramount Sports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87630</wp:posOffset>
            </wp:positionV>
            <wp:extent cx="591502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15025" cy="16510"/>
                    </a:xfrm>
                    <a:prstGeom prst="rect">
                      <a:avLst/>
                    </a:prstGeom>
                    <a:noFill/>
                  </pic:spPr>
                </pic:pic>
              </a:graphicData>
            </a:graphic>
          </wp:anchor>
        </w:drawing>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233"/>
        </w:trPr>
        <w:tc>
          <w:tcPr>
            <w:tcW w:w="6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60" w:type="dxa"/>
            <w:vAlign w:val="bottom"/>
          </w:tcPr>
          <w:p>
            <w:pPr>
              <w:jc w:val="center"/>
              <w:ind w:right="612"/>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0" w:type="dxa"/>
            <w:vAlign w:val="bottom"/>
          </w:tcPr>
          <w:p>
            <w:pPr>
              <w:spacing w:after="0"/>
              <w:rPr>
                <w:sz w:val="1"/>
                <w:szCs w:val="1"/>
                <w:color w:val="auto"/>
              </w:rPr>
            </w:pPr>
          </w:p>
        </w:tc>
      </w:tr>
      <w:tr>
        <w:trPr>
          <w:trHeight w:val="25"/>
        </w:trPr>
        <w:tc>
          <w:tcPr>
            <w:tcW w:w="6920" w:type="dxa"/>
            <w:vAlign w:val="bottom"/>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920" w:type="dxa"/>
            <w:vAlign w:val="bottom"/>
          </w:tcPr>
          <w:p>
            <w:pPr>
              <w:spacing w:after="0"/>
              <w:rPr>
                <w:sz w:val="18"/>
                <w:szCs w:val="18"/>
                <w:color w:val="auto"/>
              </w:rPr>
            </w:pPr>
          </w:p>
        </w:tc>
        <w:tc>
          <w:tcPr>
            <w:tcW w:w="2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 From August 7 -</w:t>
            </w:r>
          </w:p>
        </w:tc>
        <w:tc>
          <w:tcPr>
            <w:tcW w:w="0" w:type="dxa"/>
            <w:vAlign w:val="bottom"/>
          </w:tcPr>
          <w:p>
            <w:pPr>
              <w:spacing w:after="0"/>
              <w:rPr>
                <w:sz w:val="1"/>
                <w:szCs w:val="1"/>
                <w:color w:val="auto"/>
              </w:rPr>
            </w:pPr>
          </w:p>
        </w:tc>
      </w:tr>
      <w:tr>
        <w:trPr>
          <w:trHeight w:val="233"/>
        </w:trPr>
        <w:tc>
          <w:tcPr>
            <w:tcW w:w="6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60" w:type="dxa"/>
            <w:vAlign w:val="bottom"/>
          </w:tcPr>
          <w:p>
            <w:pPr>
              <w:jc w:val="center"/>
              <w:ind w:right="632"/>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5"/>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Studios</w:t>
            </w:r>
          </w:p>
        </w:tc>
        <w:tc>
          <w:tcPr>
            <w:tcW w:w="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92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760" w:type="dxa"/>
            <w:vAlign w:val="bottom"/>
          </w:tcPr>
          <w:p>
            <w:pPr>
              <w:jc w:val="center"/>
              <w:ind w:right="63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6"/>
        </w:trPr>
        <w:tc>
          <w:tcPr>
            <w:tcW w:w="6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Theatrical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65"/>
        </w:trPr>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Licensing and other</w:t>
            </w:r>
          </w:p>
        </w:tc>
        <w:tc>
          <w:tcPr>
            <w:tcW w:w="620" w:type="dxa"/>
            <w:vAlign w:val="bottom"/>
          </w:tcPr>
          <w:p>
            <w:pPr>
              <w:spacing w:after="0"/>
              <w:rPr>
                <w:sz w:val="23"/>
                <w:szCs w:val="23"/>
                <w:color w:val="auto"/>
              </w:rPr>
            </w:pPr>
          </w:p>
        </w:tc>
        <w:tc>
          <w:tcPr>
            <w:tcW w:w="17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90"/>
        </w:trPr>
        <w:tc>
          <w:tcPr>
            <w:tcW w:w="6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Advertising </w:t>
            </w:r>
            <w:r>
              <w:rPr>
                <w:rFonts w:ascii="Times New Roman" w:cs="Times New Roman" w:eastAsia="Times New Roman" w:hAnsi="Times New Roman"/>
                <w:sz w:val="22"/>
                <w:szCs w:val="22"/>
                <w:color w:val="auto"/>
                <w:vertAlign w:val="superscript"/>
              </w:rPr>
              <w:t>(a)</w:t>
            </w:r>
          </w:p>
        </w:tc>
        <w:tc>
          <w:tcPr>
            <w:tcW w:w="6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620" w:type="dxa"/>
            <w:vAlign w:val="bottom"/>
          </w:tcPr>
          <w:p>
            <w:pPr>
              <w:spacing w:after="0"/>
              <w:rPr>
                <w:sz w:val="20"/>
                <w:szCs w:val="20"/>
                <w:color w:val="auto"/>
              </w:rPr>
            </w:pPr>
          </w:p>
        </w:tc>
        <w:tc>
          <w:tcPr>
            <w:tcW w:w="17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358"/>
        </w:trPr>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Content costs</w:t>
            </w:r>
          </w:p>
        </w:tc>
        <w:tc>
          <w:tcPr>
            <w:tcW w:w="620" w:type="dxa"/>
            <w:vAlign w:val="bottom"/>
          </w:tcPr>
          <w:p>
            <w:pPr>
              <w:spacing w:after="0"/>
              <w:rPr>
                <w:sz w:val="24"/>
                <w:szCs w:val="24"/>
                <w:color w:val="auto"/>
              </w:rPr>
            </w:pPr>
          </w:p>
        </w:tc>
        <w:tc>
          <w:tcPr>
            <w:tcW w:w="17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65"/>
        </w:trPr>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620" w:type="dxa"/>
            <w:vAlign w:val="bottom"/>
          </w:tcPr>
          <w:p>
            <w:pPr>
              <w:spacing w:after="0"/>
              <w:rPr>
                <w:sz w:val="23"/>
                <w:szCs w:val="23"/>
                <w:color w:val="auto"/>
              </w:rPr>
            </w:pPr>
          </w:p>
        </w:tc>
        <w:tc>
          <w:tcPr>
            <w:tcW w:w="17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90"/>
        </w:trPr>
        <w:tc>
          <w:tcPr>
            <w:tcW w:w="6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2"/>
                <w:szCs w:val="22"/>
                <w:color w:val="auto"/>
                <w:vertAlign w:val="superscript"/>
              </w:rPr>
              <w:t>(b)</w:t>
            </w:r>
          </w:p>
        </w:tc>
        <w:tc>
          <w:tcPr>
            <w:tcW w:w="6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620" w:type="dxa"/>
            <w:vAlign w:val="bottom"/>
          </w:tcPr>
          <w:p>
            <w:pPr>
              <w:spacing w:after="0"/>
              <w:rPr>
                <w:sz w:val="20"/>
                <w:szCs w:val="20"/>
                <w:color w:val="auto"/>
              </w:rPr>
            </w:pPr>
          </w:p>
        </w:tc>
        <w:tc>
          <w:tcPr>
            <w:tcW w:w="17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2,614</w:t>
            </w:r>
          </w:p>
        </w:tc>
        <w:tc>
          <w:tcPr>
            <w:tcW w:w="0" w:type="dxa"/>
            <w:vAlign w:val="bottom"/>
          </w:tcPr>
          <w:p>
            <w:pPr>
              <w:spacing w:after="0"/>
              <w:rPr>
                <w:sz w:val="1"/>
                <w:szCs w:val="1"/>
                <w:color w:val="auto"/>
              </w:rPr>
            </w:pPr>
          </w:p>
        </w:tc>
      </w:tr>
      <w:tr>
        <w:trPr>
          <w:trHeight w:val="371"/>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32"/>
        </w:trPr>
        <w:tc>
          <w:tcPr>
            <w:tcW w:w="6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020" w:hanging="219"/>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Primarily reflects advertising revenues earned from the use of </w:t>
      </w:r>
      <w:r>
        <w:rPr>
          <w:rFonts w:ascii="Times New Roman" w:cs="Times New Roman" w:eastAsia="Times New Roman" w:hAnsi="Times New Roman"/>
          <w:sz w:val="16"/>
          <w:szCs w:val="16"/>
          <w:i w:val="1"/>
          <w:iCs w:val="1"/>
          <w:color w:val="auto"/>
        </w:rPr>
        <w:t>Studios</w:t>
      </w:r>
      <w:r>
        <w:rPr>
          <w:rFonts w:ascii="Times New Roman" w:cs="Times New Roman" w:eastAsia="Times New Roman" w:hAnsi="Times New Roman"/>
          <w:sz w:val="16"/>
          <w:szCs w:val="16"/>
          <w:color w:val="auto"/>
        </w:rPr>
        <w:t xml:space="preserve"> content on third-party digital platforms.</w:t>
      </w:r>
    </w:p>
    <w:p>
      <w:pPr>
        <w:spacing w:after="0" w:line="94" w:lineRule="exact"/>
        <w:rPr>
          <w:rFonts w:ascii="Times New Roman" w:cs="Times New Roman" w:eastAsia="Times New Roman" w:hAnsi="Times New Roman"/>
          <w:sz w:val="16"/>
          <w:szCs w:val="16"/>
          <w:color w:val="auto"/>
        </w:rPr>
      </w:pPr>
    </w:p>
    <w:p>
      <w:pPr>
        <w:ind w:left="1040" w:right="800" w:hanging="239"/>
        <w:spacing w:after="0" w:line="275" w:lineRule="auto"/>
        <w:tabs>
          <w:tab w:leader="none" w:pos="1055"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Studios</w:t>
      </w:r>
      <w:r>
        <w:rPr>
          <w:rFonts w:ascii="Times New Roman" w:cs="Times New Roman" w:eastAsia="Times New Roman" w:hAnsi="Times New Roman"/>
          <w:sz w:val="16"/>
          <w:szCs w:val="16"/>
          <w:color w:val="auto"/>
        </w:rPr>
        <w:t xml:space="preserve"> segment include employee compensation; costs relating to the distribution of our content; costs for occupancy, technology, and professional services; and other costs associated with our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Theatrical</w:t>
      </w:r>
    </w:p>
    <w:p>
      <w:pPr>
        <w:spacing w:after="0" w:line="153"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9"/>
          <w:szCs w:val="19"/>
          <w:color w:val="auto"/>
        </w:rPr>
        <w:t xml:space="preserve">Theatrical revenues during the period included revenues from the releases of </w:t>
      </w:r>
      <w:r>
        <w:rPr>
          <w:rFonts w:ascii="Times New Roman" w:cs="Times New Roman" w:eastAsia="Times New Roman" w:hAnsi="Times New Roman"/>
          <w:sz w:val="19"/>
          <w:szCs w:val="19"/>
          <w:i w:val="1"/>
          <w:iCs w:val="1"/>
          <w:color w:val="auto"/>
        </w:rPr>
        <w:t>The SpongeBob Movie: Search for SquarePants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Regretting You</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The Running Man</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i w:val="1"/>
          <w:iCs w:val="1"/>
          <w:color w:val="auto"/>
        </w:rPr>
        <w:t xml:space="preserve"> The Naked Gun</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Licensing and other revenues during the period include revenues from our television and film content, including Skydance revenues.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Content costs include costs associated with the theatrical and licensing revenues above.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and marketing costs principally reflect costs associated with our theatrical releases in the period.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expenses benefited from cost savings initiatives.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EBITDA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EBITDA reflects the revenues above partially offset by the expenses.</w:t>
      </w:r>
    </w:p>
    <w:p>
      <w:pPr>
        <w:sectPr>
          <w:pgSz w:w="11900" w:h="16838" w:orient="portrait"/>
          <w:cols w:equalWidth="0" w:num="1">
            <w:col w:w="11240"/>
          </w:cols>
          <w:pgMar w:left="320" w:top="5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type w:val="continuous"/>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Direct-to-Consumer</w:t>
      </w:r>
    </w:p>
    <w:p>
      <w:pPr>
        <w:spacing w:after="0" w:line="155"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9"/>
          <w:szCs w:val="19"/>
          <w:color w:val="auto"/>
        </w:rPr>
        <w:t xml:space="preserve">Our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consists of our portfolio of domestic and international pay and free streaming services, including Paramount+, Pluto TV, and BET+, as well as our domestic premium cable network, Paramount+ with Showtime.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70485</wp:posOffset>
            </wp:positionV>
            <wp:extent cx="59150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15025" cy="17145"/>
                    </a:xfrm>
                    <a:prstGeom prst="rect">
                      <a:avLst/>
                    </a:prstGeom>
                    <a:noFill/>
                  </pic:spPr>
                </pic:pic>
              </a:graphicData>
            </a:graphic>
          </wp:anchor>
        </w:drawing>
      </w:r>
    </w:p>
    <w:p>
      <w:pPr>
        <w:spacing w:after="0" w:line="128" w:lineRule="exact"/>
        <w:rPr>
          <w:sz w:val="20"/>
          <w:szCs w:val="20"/>
          <w:color w:val="auto"/>
        </w:rPr>
      </w:pPr>
    </w:p>
    <w:tbl>
      <w:tblPr>
        <w:tblLayout w:type="fixed"/>
        <w:tblInd w:w="980" w:type="dxa"/>
        <w:tblCellMar>
          <w:top w:w="0" w:type="dxa"/>
          <w:left w:w="0" w:type="dxa"/>
          <w:bottom w:w="0" w:type="dxa"/>
          <w:right w:w="0" w:type="dxa"/>
        </w:tblCellMar>
      </w:tblPr>
      <w:tr>
        <w:trPr>
          <w:trHeight w:val="221"/>
        </w:trPr>
        <w:tc>
          <w:tcPr>
            <w:tcW w:w="8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Period From August 7 -</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40" w:type="dxa"/>
            <w:vAlign w:val="bottom"/>
            <w:gridSpan w:val="2"/>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32"/>
        </w:trPr>
        <w:tc>
          <w:tcPr>
            <w:tcW w:w="69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Direct-to-Consumer</w:t>
            </w: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920" w:type="dxa"/>
            <w:vAlign w:val="bottom"/>
            <w:tcBorders>
              <w:bottom w:val="single" w:sz="8" w:color="auto"/>
            </w:tcBorders>
            <w:gridSpan w:val="3"/>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Advertising</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853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6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Affiliate and subscription</w:t>
            </w:r>
          </w:p>
        </w:tc>
        <w:tc>
          <w:tcPr>
            <w:tcW w:w="640" w:type="dxa"/>
            <w:vAlign w:val="bottom"/>
          </w:tcPr>
          <w:p>
            <w:pPr>
              <w:spacing w:after="0"/>
              <w:rPr>
                <w:sz w:val="20"/>
                <w:szCs w:val="20"/>
                <w:color w:val="auto"/>
              </w:rPr>
            </w:pPr>
          </w:p>
        </w:tc>
        <w:tc>
          <w:tcPr>
            <w:tcW w:w="1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2,799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 w:type="dxa"/>
            <w:vAlign w:val="bottom"/>
            <w:tcBorders>
              <w:bottom w:val="single" w:sz="8" w:color="auto"/>
            </w:tcBorders>
          </w:tcPr>
          <w:p>
            <w:pPr>
              <w:spacing w:after="0"/>
              <w:rPr>
                <w:sz w:val="22"/>
                <w:szCs w:val="22"/>
                <w:color w:val="auto"/>
              </w:rPr>
            </w:pPr>
          </w:p>
        </w:tc>
        <w:tc>
          <w:tcPr>
            <w:tcW w:w="6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Licensing </w:t>
            </w:r>
            <w:r>
              <w:rPr>
                <w:rFonts w:ascii="Times New Roman" w:cs="Times New Roman" w:eastAsia="Times New Roman" w:hAnsi="Times New Roman"/>
                <w:sz w:val="20"/>
                <w:szCs w:val="20"/>
                <w:color w:val="auto"/>
                <w:vertAlign w:val="superscript"/>
              </w:rPr>
              <w:t>(a)</w:t>
            </w: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640" w:type="dxa"/>
            <w:vAlign w:val="bottom"/>
          </w:tcPr>
          <w:p>
            <w:pPr>
              <w:spacing w:after="0"/>
              <w:rPr>
                <w:sz w:val="18"/>
                <w:szCs w:val="18"/>
                <w:color w:val="auto"/>
              </w:rPr>
            </w:pPr>
          </w:p>
        </w:tc>
        <w:tc>
          <w:tcPr>
            <w:tcW w:w="1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3,653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80" w:type="dxa"/>
            <w:vAlign w:val="bottom"/>
          </w:tcPr>
          <w:p>
            <w:pPr>
              <w:spacing w:after="0"/>
              <w:rPr>
                <w:sz w:val="24"/>
                <w:szCs w:val="24"/>
                <w:color w:val="auto"/>
              </w:rPr>
            </w:pPr>
          </w:p>
        </w:tc>
        <w:tc>
          <w:tcPr>
            <w:tcW w:w="6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Content costs</w:t>
            </w:r>
          </w:p>
        </w:tc>
        <w:tc>
          <w:tcPr>
            <w:tcW w:w="640" w:type="dxa"/>
            <w:vAlign w:val="bottom"/>
          </w:tcPr>
          <w:p>
            <w:pPr>
              <w:spacing w:after="0"/>
              <w:rPr>
                <w:sz w:val="24"/>
                <w:szCs w:val="24"/>
                <w:color w:val="auto"/>
              </w:rPr>
            </w:pPr>
          </w:p>
        </w:tc>
        <w:tc>
          <w:tcPr>
            <w:tcW w:w="1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1,760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6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640" w:type="dxa"/>
            <w:vAlign w:val="bottom"/>
          </w:tcPr>
          <w:p>
            <w:pPr>
              <w:spacing w:after="0"/>
              <w:rPr>
                <w:sz w:val="20"/>
                <w:szCs w:val="20"/>
                <w:color w:val="auto"/>
              </w:rPr>
            </w:pPr>
          </w:p>
        </w:tc>
        <w:tc>
          <w:tcPr>
            <w:tcW w:w="1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674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 w:type="dxa"/>
            <w:vAlign w:val="bottom"/>
            <w:tcBorders>
              <w:bottom w:val="single" w:sz="8" w:color="auto"/>
            </w:tcBorders>
          </w:tcPr>
          <w:p>
            <w:pPr>
              <w:spacing w:after="0"/>
              <w:rPr>
                <w:sz w:val="22"/>
                <w:szCs w:val="22"/>
                <w:color w:val="auto"/>
              </w:rPr>
            </w:pPr>
          </w:p>
        </w:tc>
        <w:tc>
          <w:tcPr>
            <w:tcW w:w="6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(b)</w:t>
            </w: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940</w:t>
            </w: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Expenses</w:t>
            </w:r>
          </w:p>
        </w:tc>
        <w:tc>
          <w:tcPr>
            <w:tcW w:w="640" w:type="dxa"/>
            <w:vAlign w:val="bottom"/>
          </w:tcPr>
          <w:p>
            <w:pPr>
              <w:spacing w:after="0"/>
              <w:rPr>
                <w:sz w:val="18"/>
                <w:szCs w:val="18"/>
                <w:color w:val="auto"/>
              </w:rPr>
            </w:pPr>
          </w:p>
        </w:tc>
        <w:tc>
          <w:tcPr>
            <w:tcW w:w="1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3,374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6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279</w:t>
            </w: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6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right="24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w w:val="98"/>
              </w:rPr>
              <w:t>Period From August 7 -</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31"/>
        </w:trPr>
        <w:tc>
          <w:tcPr>
            <w:tcW w:w="8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6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Paramount+ (Global)</w:t>
            </w:r>
          </w:p>
        </w:tc>
        <w:tc>
          <w:tcPr>
            <w:tcW w:w="6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86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6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2,897</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1020" w:hanging="219"/>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revenues from the sublicensing of content by BET+.</w:t>
      </w:r>
    </w:p>
    <w:p>
      <w:pPr>
        <w:spacing w:after="0" w:line="92" w:lineRule="exact"/>
        <w:rPr>
          <w:rFonts w:ascii="Times New Roman" w:cs="Times New Roman" w:eastAsia="Times New Roman" w:hAnsi="Times New Roman"/>
          <w:sz w:val="16"/>
          <w:szCs w:val="16"/>
          <w:color w:val="auto"/>
        </w:rPr>
      </w:pPr>
    </w:p>
    <w:p>
      <w:pPr>
        <w:ind w:left="1040" w:right="800" w:hanging="239"/>
        <w:spacing w:after="0" w:line="292" w:lineRule="auto"/>
        <w:tabs>
          <w:tab w:leader="none" w:pos="104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Direct-to-Consumer</w:t>
      </w:r>
      <w:r>
        <w:rPr>
          <w:rFonts w:ascii="Times New Roman" w:cs="Times New Roman" w:eastAsia="Times New Roman" w:hAnsi="Times New Roman"/>
          <w:sz w:val="16"/>
          <w:szCs w:val="16"/>
          <w:color w:val="auto"/>
        </w:rPr>
        <w:t xml:space="preserve"> segment include employee compensation; revenue-sharing costs, including for third-party distribution; costs for occupancy, technology, and professional services; and other costs associated with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70485</wp:posOffset>
            </wp:positionV>
            <wp:extent cx="52419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41925" cy="17145"/>
                    </a:xfrm>
                    <a:prstGeom prst="rect">
                      <a:avLst/>
                    </a:prstGeom>
                    <a:noFill/>
                  </pic:spPr>
                </pic:pic>
              </a:graphicData>
            </a:graphic>
          </wp:anchor>
        </w:drawing>
      </w:r>
    </w:p>
    <w:p>
      <w:pPr>
        <w:spacing w:after="0" w:line="129" w:lineRule="exact"/>
        <w:rPr>
          <w:sz w:val="20"/>
          <w:szCs w:val="20"/>
          <w:color w:val="auto"/>
        </w:rPr>
      </w:pPr>
    </w:p>
    <w:tbl>
      <w:tblPr>
        <w:tblLayout w:type="fixed"/>
        <w:tblInd w:w="13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1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Successor</w:t>
            </w:r>
          </w:p>
        </w:tc>
      </w:tr>
      <w:tr>
        <w:trPr>
          <w:trHeight w:val="225"/>
        </w:trPr>
        <w:tc>
          <w:tcPr>
            <w:tcW w:w="20" w:type="dxa"/>
            <w:vAlign w:val="bottom"/>
            <w:tcBorders>
              <w:bottom w:val="single" w:sz="8" w:color="auto"/>
            </w:tcBorders>
          </w:tcPr>
          <w:p>
            <w:pPr>
              <w:spacing w:after="0"/>
              <w:rPr>
                <w:sz w:val="19"/>
                <w:szCs w:val="19"/>
                <w:color w:val="auto"/>
              </w:rPr>
            </w:pPr>
          </w:p>
        </w:tc>
        <w:tc>
          <w:tcPr>
            <w:tcW w:w="6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210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85"/>
        </w:trPr>
        <w:tc>
          <w:tcPr>
            <w:tcW w:w="20" w:type="dxa"/>
            <w:vAlign w:val="bottom"/>
          </w:tcPr>
          <w:p>
            <w:pPr>
              <w:spacing w:after="0"/>
              <w:rPr>
                <w:sz w:val="16"/>
                <w:szCs w:val="16"/>
                <w:color w:val="auto"/>
              </w:rPr>
            </w:pP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7"/>
              </w:rPr>
              <w:t>Paramount+ (Global)</w:t>
            </w:r>
          </w:p>
        </w:tc>
        <w:tc>
          <w:tcPr>
            <w:tcW w:w="46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278"/>
        </w:trPr>
        <w:tc>
          <w:tcPr>
            <w:tcW w:w="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 xml:space="preserve">Subscribers </w:t>
            </w:r>
            <w:r>
              <w:rPr>
                <w:rFonts w:ascii="Times New Roman" w:cs="Times New Roman" w:eastAsia="Times New Roman" w:hAnsi="Times New Roman"/>
                <w:sz w:val="20"/>
                <w:szCs w:val="20"/>
                <w:color w:val="auto"/>
                <w:vertAlign w:val="superscript"/>
              </w:rPr>
              <w:t>(a)</w:t>
            </w:r>
          </w:p>
        </w:tc>
        <w:tc>
          <w:tcPr>
            <w:tcW w:w="21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78.9</w:t>
            </w:r>
          </w:p>
        </w:tc>
      </w:tr>
    </w:tbl>
    <w:p>
      <w:pPr>
        <w:spacing w:after="0" w:line="158" w:lineRule="exact"/>
        <w:rPr>
          <w:sz w:val="20"/>
          <w:szCs w:val="20"/>
          <w:color w:val="auto"/>
        </w:rPr>
      </w:pPr>
    </w:p>
    <w:p>
      <w:pPr>
        <w:jc w:val="both"/>
        <w:ind w:left="1120" w:right="820" w:hanging="240"/>
        <w:spacing w:after="0" w:line="258" w:lineRule="auto"/>
        <w:tabs>
          <w:tab w:leader="none" w:pos="110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Subscribers include customers who are registered for Paramount+, either directly through our owned and operated apps and websites, or through third-party distributors. Subscribers also include customers who are provided with access through a subscription bundle with a domestic linear video streaming service (vMVPD) or an international third-party distributor. Our subscriber count includes only paid subscriptions and reflects the number of subscribers as of the applicable period-end date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revenues during the period are comprised of advertising revenues from our streaming services.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68"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Affiliate and subscription revenues during the period principally include subscription revenues from Paramount+ and affiliate revenues from Paramount+ with Showtime.</w:t>
      </w:r>
    </w:p>
    <w:p>
      <w:pPr>
        <w:sectPr>
          <w:pgSz w:w="11900" w:h="16838" w:orient="portrait"/>
          <w:cols w:equalWidth="0" w:num="1">
            <w:col w:w="11240"/>
          </w:cols>
          <w:pgMar w:left="320" w:top="5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5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Content costs reflect ongoing investment in original programming as well as the impact from the pushdown of the Ultimate Parent’s basis, which resulted in a net reduction in programming assets.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and marketing expenses primarily include costs to promote Paramount+ original series.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expenses for the period include revenue sharing costs relating to subscription revenues.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EBITDA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EBITDA reflects the revenues above partially offset by the expenses.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TV Media</w:t>
      </w:r>
    </w:p>
    <w:p>
      <w:pPr>
        <w:spacing w:after="0" w:line="1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Our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consists of our (1) broadcast operations—the CBS Television Network, our domestic broadcast television network; CBS Stations, our owned television stations; and our international free-to-air networks, including Network 10 and Channel 5; (2) domestic basic cable networks, including MTV, Comedy Central, Paramount Network, The Smithsonian Channel, Nickelodeon, BET Media Group, CBS Sports Network, and international extensions of certain of these brands; and (3) CBS Media Ventures, which produces and distributes first-run syndicated programming.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also includes a number of digital properties such as CBS News 24/7 for 24-hour news and CBS Sports HQ for sports news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126365</wp:posOffset>
            </wp:positionV>
            <wp:extent cx="53174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17490" cy="17145"/>
                    </a:xfrm>
                    <a:prstGeom prst="rect">
                      <a:avLst/>
                    </a:prstGeom>
                    <a:noFill/>
                  </pic:spPr>
                </pic:pic>
              </a:graphicData>
            </a:graphic>
          </wp:anchor>
        </w:drawing>
      </w:r>
    </w:p>
    <w:p>
      <w:pPr>
        <w:spacing w:after="0" w:line="216"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5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8"/>
              </w:rPr>
              <w:t>Period From August 7 -</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20" w:type="dxa"/>
            <w:vAlign w:val="bottom"/>
          </w:tcPr>
          <w:p>
            <w:pPr>
              <w:spacing w:after="0"/>
              <w:rPr>
                <w:sz w:val="20"/>
                <w:szCs w:val="20"/>
                <w:color w:val="auto"/>
              </w:rPr>
            </w:pPr>
          </w:p>
        </w:tc>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TV Media</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78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20" w:type="dxa"/>
            <w:vAlign w:val="bottom"/>
          </w:tcPr>
          <w:p>
            <w:pPr>
              <w:spacing w:after="0"/>
              <w:rPr>
                <w:sz w:val="19"/>
                <w:szCs w:val="19"/>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w:t>
            </w: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2,943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Affiliate and subscription</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2,630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6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Licensing and other</w:t>
            </w: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268</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2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5,841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520" w:type="dxa"/>
            <w:vAlign w:val="bottom"/>
          </w:tcPr>
          <w:p>
            <w:pPr>
              <w:spacing w:after="0"/>
              <w:rPr>
                <w:sz w:val="24"/>
                <w:szCs w:val="24"/>
                <w:color w:val="auto"/>
              </w:rPr>
            </w:pPr>
          </w:p>
        </w:tc>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Content costs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2,774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20" w:type="dxa"/>
            <w:vAlign w:val="bottom"/>
          </w:tcPr>
          <w:p>
            <w:pPr>
              <w:spacing w:after="0"/>
              <w:rPr>
                <w:sz w:val="20"/>
                <w:szCs w:val="20"/>
                <w:color w:val="auto"/>
              </w:rPr>
            </w:pPr>
          </w:p>
        </w:tc>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224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20" w:type="dxa"/>
            <w:vAlign w:val="bottom"/>
          </w:tcPr>
          <w:p>
            <w:pPr>
              <w:spacing w:after="0"/>
              <w:rPr>
                <w:sz w:val="22"/>
                <w:szCs w:val="22"/>
                <w:color w:val="auto"/>
              </w:rPr>
            </w:pPr>
          </w:p>
        </w:tc>
        <w:tc>
          <w:tcPr>
            <w:tcW w:w="6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(a)</w:t>
            </w: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1,408</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2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4,406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520" w:type="dxa"/>
            <w:vAlign w:val="bottom"/>
          </w:tcPr>
          <w:p>
            <w:pPr>
              <w:spacing w:after="0"/>
              <w:rPr>
                <w:sz w:val="24"/>
                <w:szCs w:val="24"/>
                <w:color w:val="auto"/>
              </w:rPr>
            </w:pPr>
          </w:p>
        </w:tc>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40" w:type="dxa"/>
            <w:vAlign w:val="bottom"/>
            <w:tcBorders>
              <w:bottom w:val="single" w:sz="8" w:color="auto"/>
            </w:tcBorders>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1,435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20" w:type="dxa"/>
            <w:vAlign w:val="bottom"/>
            <w:tcBorders>
              <w:bottom w:val="single" w:sz="8" w:color="auto"/>
            </w:tcBorders>
          </w:tcPr>
          <w:p>
            <w:pPr>
              <w:spacing w:after="0"/>
              <w:rPr>
                <w:sz w:val="23"/>
                <w:szCs w:val="23"/>
                <w:color w:val="auto"/>
              </w:rPr>
            </w:pPr>
          </w:p>
        </w:tc>
        <w:tc>
          <w:tcPr>
            <w:tcW w:w="62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5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36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2"/>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Period From August 7 -</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Advertising revenues</w:t>
            </w: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74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Domestic</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2,517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426</w:t>
            </w:r>
          </w:p>
        </w:tc>
        <w:tc>
          <w:tcPr>
            <w:tcW w:w="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2,943</w:t>
            </w:r>
          </w:p>
        </w:tc>
        <w:tc>
          <w:tcPr>
            <w:tcW w:w="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1040" w:right="800" w:hanging="239"/>
        <w:spacing w:after="0" w:line="267" w:lineRule="auto"/>
        <w:tabs>
          <w:tab w:leader="none" w:pos="102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segment include employee compensation; revenue-sharing costs to television stations affiliated with the CBS Television Network; costs relating to the distribution of our content; costs for research, occupancy, technology, and professional services; and other costs associated with our operations.</w:t>
      </w:r>
    </w:p>
    <w:p>
      <w:pPr>
        <w:sectPr>
          <w:pgSz w:w="11900" w:h="16838" w:orient="portrait"/>
          <w:cols w:equalWidth="0" w:num="1">
            <w:col w:w="11240"/>
          </w:cols>
          <w:pgMar w:left="320" w:top="5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type w:val="continuous"/>
        </w:sectPr>
      </w:pPr>
    </w:p>
    <w:bookmarkStart w:id="39" w:name="page40"/>
    <w:bookmarkEnd w:id="39"/>
    <w:p>
      <w:pPr>
        <w:jc w:val="center"/>
        <w:ind w:right="-3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revenues during the period were impacted by declines in the linear advertising market.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Affiliate and subscription revenues during the period were impacted by declines in linear subscribers.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Licensing and other revenues primarily include revenues from the licensing of first-run syndicated programming.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5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Content costs include the amortization of costs of internally-produced television content; amortization of acquired program rights, including sports rights; and other television production costs, including on-air talent. Content costs in the period also include the impact from the pushdown of the Ultimate Parent’s basis, which resulted in a net reduction to programming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and marketing, and other expenses benefited from cost savings initiatives.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EBITDA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EBITDA reflects the revenues above partially offset by the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00"/>
          </w:cols>
          <w:pgMar w:left="320" w:top="590" w:right="679" w:bottom="1440" w:gutter="0" w:footer="0" w:header="0"/>
        </w:sectPr>
      </w:pPr>
    </w:p>
    <w:bookmarkStart w:id="40" w:name="page41"/>
    <w:bookmarkEnd w:id="40"/>
    <w:p>
      <w:pPr>
        <w:jc w:val="center"/>
        <w:ind w:right="-57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Segment Results of Operations (Predecessor) - Period From January 1 - August 6, 2025 and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638619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6195" cy="17145"/>
                    </a:xfrm>
                    <a:prstGeom prst="rect">
                      <a:avLst/>
                    </a:prstGeom>
                    <a:noFill/>
                  </pic:spPr>
                </pic:pic>
              </a:graphicData>
            </a:graphic>
          </wp:anchor>
        </w:drawing>
      </w:r>
    </w:p>
    <w:p>
      <w:pPr>
        <w:spacing w:after="0" w:line="223" w:lineRule="exact"/>
        <w:rPr>
          <w:sz w:val="20"/>
          <w:szCs w:val="20"/>
          <w:color w:val="auto"/>
        </w:rPr>
      </w:pPr>
    </w:p>
    <w:tbl>
      <w:tblPr>
        <w:tblLayout w:type="fixed"/>
        <w:tblInd w:w="600" w:type="dxa"/>
        <w:tblCellMar>
          <w:top w:w="0" w:type="dxa"/>
          <w:left w:w="0" w:type="dxa"/>
          <w:bottom w:w="0" w:type="dxa"/>
          <w:right w:w="0" w:type="dxa"/>
        </w:tblCellMar>
      </w:tblPr>
      <w:tr>
        <w:trPr>
          <w:trHeight w:val="221"/>
        </w:trPr>
        <w:tc>
          <w:tcPr>
            <w:tcW w:w="69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574"/>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2"/>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460" w:type="dxa"/>
            <w:vAlign w:val="bottom"/>
            <w:gridSpan w:val="2"/>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234"/>
        </w:trPr>
        <w:tc>
          <w:tcPr>
            <w:tcW w:w="6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6,</w:t>
            </w:r>
          </w:p>
        </w:tc>
        <w:tc>
          <w:tcPr>
            <w:tcW w:w="14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32"/>
        </w:trPr>
        <w:tc>
          <w:tcPr>
            <w:tcW w:w="6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47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4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Media</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9,977</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18,779</w:t>
            </w:r>
          </w:p>
        </w:tc>
        <w:tc>
          <w:tcPr>
            <w:tcW w:w="0" w:type="dxa"/>
            <w:vAlign w:val="bottom"/>
          </w:tcPr>
          <w:p>
            <w:pPr>
              <w:spacing w:after="0"/>
              <w:rPr>
                <w:sz w:val="1"/>
                <w:szCs w:val="1"/>
                <w:color w:val="auto"/>
              </w:rPr>
            </w:pPr>
          </w:p>
        </w:tc>
      </w:tr>
      <w:tr>
        <w:trPr>
          <w:trHeight w:val="265"/>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5,087</w:t>
            </w:r>
          </w:p>
        </w:tc>
        <w:tc>
          <w:tcPr>
            <w:tcW w:w="460" w:type="dxa"/>
            <w:vAlign w:val="bottom"/>
          </w:tcPr>
          <w:p>
            <w:pPr>
              <w:spacing w:after="0"/>
              <w:rPr>
                <w:sz w:val="23"/>
                <w:szCs w:val="23"/>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7,632</w:t>
            </w:r>
          </w:p>
        </w:tc>
        <w:tc>
          <w:tcPr>
            <w:tcW w:w="0" w:type="dxa"/>
            <w:vAlign w:val="bottom"/>
          </w:tcPr>
          <w:p>
            <w:pPr>
              <w:spacing w:after="0"/>
              <w:rPr>
                <w:sz w:val="1"/>
                <w:szCs w:val="1"/>
                <w:color w:val="auto"/>
              </w:rPr>
            </w:pPr>
          </w:p>
        </w:tc>
      </w:tr>
      <w:tr>
        <w:trPr>
          <w:trHeight w:val="265"/>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1,593</w:t>
            </w:r>
          </w:p>
        </w:tc>
        <w:tc>
          <w:tcPr>
            <w:tcW w:w="460" w:type="dxa"/>
            <w:vAlign w:val="bottom"/>
          </w:tcPr>
          <w:p>
            <w:pPr>
              <w:spacing w:after="0"/>
              <w:rPr>
                <w:sz w:val="23"/>
                <w:szCs w:val="23"/>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2,955</w:t>
            </w:r>
          </w:p>
        </w:tc>
        <w:tc>
          <w:tcPr>
            <w:tcW w:w="0" w:type="dxa"/>
            <w:vAlign w:val="bottom"/>
          </w:tcPr>
          <w:p>
            <w:pPr>
              <w:spacing w:after="0"/>
              <w:rPr>
                <w:sz w:val="1"/>
                <w:szCs w:val="1"/>
                <w:color w:val="auto"/>
              </w:rPr>
            </w:pPr>
          </w:p>
        </w:tc>
      </w:tr>
      <w:tr>
        <w:trPr>
          <w:trHeight w:val="265"/>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spacing w:after="0"/>
              <w:rPr>
                <w:sz w:val="23"/>
                <w:szCs w:val="23"/>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5"/>
        </w:trPr>
        <w:tc>
          <w:tcPr>
            <w:tcW w:w="6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16,622</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29,213</w:t>
            </w:r>
          </w:p>
        </w:tc>
        <w:tc>
          <w:tcPr>
            <w:tcW w:w="0" w:type="dxa"/>
            <w:vAlign w:val="bottom"/>
          </w:tcPr>
          <w:p>
            <w:pPr>
              <w:spacing w:after="0"/>
              <w:rPr>
                <w:sz w:val="1"/>
                <w:szCs w:val="1"/>
                <w:color w:val="auto"/>
              </w:rPr>
            </w:pPr>
          </w:p>
        </w:tc>
      </w:tr>
      <w:tr>
        <w:trPr>
          <w:trHeight w:val="32"/>
        </w:trPr>
        <w:tc>
          <w:tcPr>
            <w:tcW w:w="6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gridSpan w:val="2"/>
          </w:tcPr>
          <w:p>
            <w:pPr>
              <w:jc w:val="center"/>
              <w:ind w:left="594"/>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60" w:type="dxa"/>
            <w:vAlign w:val="bottom"/>
            <w:gridSpan w:val="2"/>
            <w:vMerge w:val="restart"/>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86"/>
        </w:trPr>
        <w:tc>
          <w:tcPr>
            <w:tcW w:w="6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2"/>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434"/>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4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32"/>
        </w:trPr>
        <w:tc>
          <w:tcPr>
            <w:tcW w:w="6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47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4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OIBDA:</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Media</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2,067</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4,348</w:t>
            </w:r>
          </w:p>
        </w:tc>
        <w:tc>
          <w:tcPr>
            <w:tcW w:w="0" w:type="dxa"/>
            <w:vAlign w:val="bottom"/>
          </w:tcPr>
          <w:p>
            <w:pPr>
              <w:spacing w:after="0"/>
              <w:rPr>
                <w:sz w:val="1"/>
                <w:szCs w:val="1"/>
                <w:color w:val="auto"/>
              </w:rPr>
            </w:pPr>
          </w:p>
        </w:tc>
      </w:tr>
      <w:tr>
        <w:trPr>
          <w:trHeight w:val="265"/>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153</w:t>
            </w:r>
          </w:p>
        </w:tc>
        <w:tc>
          <w:tcPr>
            <w:tcW w:w="460" w:type="dxa"/>
            <w:vAlign w:val="bottom"/>
          </w:tcPr>
          <w:p>
            <w:pPr>
              <w:spacing w:after="0"/>
              <w:rPr>
                <w:sz w:val="23"/>
                <w:szCs w:val="23"/>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65"/>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3"/>
                <w:szCs w:val="23"/>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65"/>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Corporate/Eliminations</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(212)</w:t>
            </w:r>
          </w:p>
        </w:tc>
        <w:tc>
          <w:tcPr>
            <w:tcW w:w="460" w:type="dxa"/>
            <w:vAlign w:val="bottom"/>
          </w:tcPr>
          <w:p>
            <w:pPr>
              <w:spacing w:after="0"/>
              <w:rPr>
                <w:sz w:val="23"/>
                <w:szCs w:val="23"/>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90"/>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2"/>
                <w:szCs w:val="22"/>
                <w:color w:val="auto"/>
                <w:vertAlign w:val="superscript"/>
              </w:rPr>
              <w:t>(a)</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rPr>
              <w:t>(99)</w:t>
            </w: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3"/>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Adjusted OIBDA</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1,809</w:t>
            </w:r>
          </w:p>
        </w:tc>
        <w:tc>
          <w:tcPr>
            <w:tcW w:w="460" w:type="dxa"/>
            <w:vAlign w:val="bottom"/>
          </w:tcPr>
          <w:p>
            <w:pPr>
              <w:spacing w:after="0"/>
              <w:rPr>
                <w:sz w:val="20"/>
                <w:szCs w:val="20"/>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3,118</w:t>
            </w:r>
          </w:p>
        </w:tc>
        <w:tc>
          <w:tcPr>
            <w:tcW w:w="0" w:type="dxa"/>
            <w:vAlign w:val="bottom"/>
          </w:tcPr>
          <w:p>
            <w:pPr>
              <w:spacing w:after="0"/>
              <w:rPr>
                <w:sz w:val="1"/>
                <w:szCs w:val="1"/>
                <w:color w:val="auto"/>
              </w:rPr>
            </w:pPr>
          </w:p>
        </w:tc>
      </w:tr>
      <w:tr>
        <w:trPr>
          <w:trHeight w:val="265"/>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(204)</w:t>
            </w:r>
          </w:p>
        </w:tc>
        <w:tc>
          <w:tcPr>
            <w:tcW w:w="460" w:type="dxa"/>
            <w:vAlign w:val="bottom"/>
          </w:tcPr>
          <w:p>
            <w:pPr>
              <w:spacing w:after="0"/>
              <w:rPr>
                <w:sz w:val="23"/>
                <w:szCs w:val="23"/>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65"/>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charges</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65"/>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(157)</w:t>
            </w:r>
          </w:p>
        </w:tc>
        <w:tc>
          <w:tcPr>
            <w:tcW w:w="460" w:type="dxa"/>
            <w:vAlign w:val="bottom"/>
          </w:tcPr>
          <w:p>
            <w:pPr>
              <w:spacing w:after="0"/>
              <w:rPr>
                <w:sz w:val="23"/>
                <w:szCs w:val="23"/>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(6,130)</w:t>
            </w: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transaction-related items, and</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other corporate matters </w:t>
            </w:r>
            <w:r>
              <w:rPr>
                <w:rFonts w:ascii="Times New Roman" w:cs="Times New Roman" w:eastAsia="Times New Roman" w:hAnsi="Times New Roman"/>
                <w:sz w:val="22"/>
                <w:szCs w:val="22"/>
                <w:color w:val="auto"/>
                <w:vertAlign w:val="superscript"/>
              </w:rPr>
              <w:t>(a)</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(454)</w:t>
            </w:r>
          </w:p>
        </w:tc>
        <w:tc>
          <w:tcPr>
            <w:tcW w:w="460" w:type="dxa"/>
            <w:vAlign w:val="bottom"/>
          </w:tcPr>
          <w:p>
            <w:pPr>
              <w:spacing w:after="0"/>
              <w:rPr>
                <w:sz w:val="23"/>
                <w:szCs w:val="23"/>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1"/>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dispositions</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spacing w:after="0"/>
              <w:rPr>
                <w:sz w:val="20"/>
                <w:szCs w:val="20"/>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6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Income (Loss)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1,029</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(5,269)</w:t>
            </w:r>
          </w:p>
        </w:tc>
        <w:tc>
          <w:tcPr>
            <w:tcW w:w="0" w:type="dxa"/>
            <w:vAlign w:val="bottom"/>
          </w:tcPr>
          <w:p>
            <w:pPr>
              <w:spacing w:after="0"/>
              <w:rPr>
                <w:sz w:val="1"/>
                <w:szCs w:val="1"/>
                <w:color w:val="auto"/>
              </w:rPr>
            </w:pPr>
          </w:p>
        </w:tc>
      </w:tr>
      <w:tr>
        <w:trPr>
          <w:trHeight w:val="32"/>
        </w:trPr>
        <w:tc>
          <w:tcPr>
            <w:tcW w:w="6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880" w:right="140" w:hanging="238"/>
        <w:spacing w:after="0" w:line="290"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Predecessor periods from January 1 - August 6, 2025 and the year ended December 31, 2024, stock-based compensation expense of $14 million, and $35 million, respectively, is included in “Restructuring, transaction-related items, and other corporate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660"/>
          </w:cols>
          <w:pgMar w:left="320" w:top="590" w:right="919" w:bottom="1440" w:gutter="0" w:footer="0" w:header="0"/>
        </w:sectPr>
      </w:pPr>
    </w:p>
    <w:bookmarkStart w:id="41" w:name="page42"/>
    <w:bookmarkEnd w:id="41"/>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TV Media</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Prior to the segment change described above, our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consisted of our (1) broadcast operations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the CBS Television Network, our domestic broadcast television network; CBS Stations, our owned television stations; and our international free-to-air networks, including Network 10 and Channel 5; (2) domestic premium and basic cable networks, including Paramount+ with Showtime, MTV, Comedy Central, Paramount Network, The Smithsonian Channel, Nickelodeon, BET Media Group, CBS Sports Network, and international extensions of certain of these brands; and (3) domestic and international television studio operations, including CBS Studios and Paramount Television Studios, as well as CBS Media Ventures, which produces and distributes first-run syndicated programming.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also included a number of digital properties such as CBS News 24/7 for 24 hour news and CBS Sports HQ for sports news and analysis. On October 23, 2025, we completed the sale of Telefe in Argentina and on January 12, 2026, we completed the sale of Chilevisión in Chile.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95885</wp:posOffset>
            </wp:positionV>
            <wp:extent cx="636905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69050" cy="16510"/>
                    </a:xfrm>
                    <a:prstGeom prst="rect">
                      <a:avLst/>
                    </a:prstGeom>
                    <a:noFill/>
                  </pic:spPr>
                </pic:pic>
              </a:graphicData>
            </a:graphic>
          </wp:anchor>
        </w:drawing>
      </w:r>
    </w:p>
    <w:p>
      <w:pPr>
        <w:spacing w:after="0" w:line="168" w:lineRule="exact"/>
        <w:rPr>
          <w:sz w:val="20"/>
          <w:szCs w:val="20"/>
          <w:color w:val="auto"/>
        </w:rPr>
      </w:pPr>
    </w:p>
    <w:tbl>
      <w:tblPr>
        <w:tblLayout w:type="fixed"/>
        <w:tblInd w:w="620" w:type="dxa"/>
        <w:tblCellMar>
          <w:top w:w="0" w:type="dxa"/>
          <w:left w:w="0" w:type="dxa"/>
          <w:bottom w:w="0" w:type="dxa"/>
          <w:right w:w="0" w:type="dxa"/>
        </w:tblCellMar>
      </w:tblPr>
      <w:tr>
        <w:trPr>
          <w:trHeight w:val="221"/>
        </w:trPr>
        <w:tc>
          <w:tcPr>
            <w:tcW w:w="70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1041"/>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209"/>
        </w:trPr>
        <w:tc>
          <w:tcPr>
            <w:tcW w:w="7000" w:type="dxa"/>
            <w:vAlign w:val="bottom"/>
          </w:tcPr>
          <w:p>
            <w:pPr>
              <w:spacing w:after="0"/>
              <w:rPr>
                <w:sz w:val="18"/>
                <w:szCs w:val="18"/>
                <w:color w:val="auto"/>
              </w:rPr>
            </w:pPr>
          </w:p>
        </w:tc>
        <w:tc>
          <w:tcPr>
            <w:tcW w:w="1540" w:type="dxa"/>
            <w:vAlign w:val="bottom"/>
            <w:gridSpan w:val="2"/>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300" w:type="dxa"/>
            <w:vAlign w:val="bottom"/>
          </w:tcPr>
          <w:p>
            <w:pPr>
              <w:spacing w:after="0"/>
              <w:rPr>
                <w:sz w:val="18"/>
                <w:szCs w:val="18"/>
                <w:color w:val="auto"/>
              </w:rPr>
            </w:pPr>
          </w:p>
        </w:tc>
        <w:tc>
          <w:tcPr>
            <w:tcW w:w="118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0" w:type="dxa"/>
            <w:vAlign w:val="bottom"/>
          </w:tcPr>
          <w:p>
            <w:pPr>
              <w:spacing w:after="0"/>
              <w:rPr>
                <w:sz w:val="1"/>
                <w:szCs w:val="1"/>
                <w:color w:val="auto"/>
              </w:rPr>
            </w:pPr>
          </w:p>
        </w:tc>
      </w:tr>
      <w:tr>
        <w:trPr>
          <w:trHeight w:val="186"/>
        </w:trPr>
        <w:tc>
          <w:tcPr>
            <w:tcW w:w="7000" w:type="dxa"/>
            <w:vAlign w:val="bottom"/>
          </w:tcPr>
          <w:p>
            <w:pPr>
              <w:spacing w:after="0"/>
              <w:rPr>
                <w:sz w:val="16"/>
                <w:szCs w:val="16"/>
                <w:color w:val="auto"/>
              </w:rPr>
            </w:pPr>
          </w:p>
        </w:tc>
        <w:tc>
          <w:tcPr>
            <w:tcW w:w="154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7"/>
              </w:rPr>
              <w:t>January 1 - August</w:t>
            </w: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0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6,</w:t>
            </w:r>
          </w:p>
        </w:tc>
        <w:tc>
          <w:tcPr>
            <w:tcW w:w="1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32"/>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TV Media</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0"/>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Advertising</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4,180</w:t>
            </w:r>
          </w:p>
        </w:tc>
        <w:tc>
          <w:tcPr>
            <w:tcW w:w="30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8,180</w:t>
            </w:r>
          </w:p>
        </w:tc>
        <w:tc>
          <w:tcPr>
            <w:tcW w:w="0" w:type="dxa"/>
            <w:vAlign w:val="bottom"/>
          </w:tcPr>
          <w:p>
            <w:pPr>
              <w:spacing w:after="0"/>
              <w:rPr>
                <w:sz w:val="1"/>
                <w:szCs w:val="1"/>
                <w:color w:val="auto"/>
              </w:rPr>
            </w:pPr>
          </w:p>
        </w:tc>
      </w:tr>
      <w:tr>
        <w:trPr>
          <w:trHeight w:val="238"/>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Affiliate and subscription</w:t>
            </w:r>
          </w:p>
        </w:tc>
        <w:tc>
          <w:tcPr>
            <w:tcW w:w="380" w:type="dxa"/>
            <w:vAlign w:val="bottom"/>
          </w:tcPr>
          <w:p>
            <w:pPr>
              <w:spacing w:after="0"/>
              <w:rPr>
                <w:sz w:val="20"/>
                <w:szCs w:val="20"/>
                <w:color w:val="auto"/>
              </w:rPr>
            </w:pPr>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4,302</w:t>
            </w:r>
          </w:p>
        </w:tc>
        <w:tc>
          <w:tcPr>
            <w:tcW w:w="300" w:type="dxa"/>
            <w:vAlign w:val="bottom"/>
          </w:tcPr>
          <w:p>
            <w:pPr>
              <w:spacing w:after="0"/>
              <w:rPr>
                <w:sz w:val="20"/>
                <w:szCs w:val="20"/>
                <w:color w:val="auto"/>
              </w:rPr>
            </w:pP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7,647</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Licensing and other</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1,495</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2,952</w:t>
            </w:r>
          </w:p>
        </w:tc>
        <w:tc>
          <w:tcPr>
            <w:tcW w:w="0" w:type="dxa"/>
            <w:vAlign w:val="bottom"/>
          </w:tcPr>
          <w:p>
            <w:pPr>
              <w:spacing w:after="0"/>
              <w:rPr>
                <w:sz w:val="1"/>
                <w:szCs w:val="1"/>
                <w:color w:val="auto"/>
              </w:rPr>
            </w:pPr>
          </w:p>
        </w:tc>
      </w:tr>
      <w:tr>
        <w:trPr>
          <w:trHeight w:val="220"/>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Pr>
          <w:p>
            <w:pPr>
              <w:spacing w:after="0"/>
              <w:rPr>
                <w:sz w:val="19"/>
                <w:szCs w:val="19"/>
                <w:color w:val="auto"/>
              </w:rPr>
            </w:pPr>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9,977</w:t>
            </w:r>
          </w:p>
        </w:tc>
        <w:tc>
          <w:tcPr>
            <w:tcW w:w="300" w:type="dxa"/>
            <w:vAlign w:val="bottom"/>
          </w:tcPr>
          <w:p>
            <w:pPr>
              <w:spacing w:after="0"/>
              <w:rPr>
                <w:sz w:val="19"/>
                <w:szCs w:val="19"/>
                <w:color w:val="auto"/>
              </w:rPr>
            </w:pP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18,779</w:t>
            </w:r>
          </w:p>
        </w:tc>
        <w:tc>
          <w:tcPr>
            <w:tcW w:w="0" w:type="dxa"/>
            <w:vAlign w:val="bottom"/>
          </w:tcPr>
          <w:p>
            <w:pPr>
              <w:spacing w:after="0"/>
              <w:rPr>
                <w:sz w:val="1"/>
                <w:szCs w:val="1"/>
                <w:color w:val="auto"/>
              </w:rPr>
            </w:pPr>
          </w:p>
        </w:tc>
      </w:tr>
      <w:tr>
        <w:trPr>
          <w:trHeight w:val="450"/>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Content costs</w:t>
            </w:r>
          </w:p>
        </w:tc>
        <w:tc>
          <w:tcPr>
            <w:tcW w:w="380" w:type="dxa"/>
            <w:vAlign w:val="bottom"/>
          </w:tcPr>
          <w:p>
            <w:pPr>
              <w:spacing w:after="0"/>
              <w:rPr>
                <w:sz w:val="24"/>
                <w:szCs w:val="24"/>
                <w:color w:val="auto"/>
              </w:rPr>
            </w:pPr>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4,956</w:t>
            </w:r>
          </w:p>
        </w:tc>
        <w:tc>
          <w:tcPr>
            <w:tcW w:w="300" w:type="dxa"/>
            <w:vAlign w:val="bottom"/>
          </w:tcPr>
          <w:p>
            <w:pPr>
              <w:spacing w:after="0"/>
              <w:rPr>
                <w:sz w:val="24"/>
                <w:szCs w:val="24"/>
                <w:color w:val="auto"/>
              </w:rPr>
            </w:pP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9,199</w:t>
            </w:r>
          </w:p>
        </w:tc>
        <w:tc>
          <w:tcPr>
            <w:tcW w:w="0" w:type="dxa"/>
            <w:vAlign w:val="bottom"/>
          </w:tcPr>
          <w:p>
            <w:pPr>
              <w:spacing w:after="0"/>
              <w:rPr>
                <w:sz w:val="1"/>
                <w:szCs w:val="1"/>
                <w:color w:val="auto"/>
              </w:rPr>
            </w:pPr>
          </w:p>
        </w:tc>
      </w:tr>
      <w:tr>
        <w:trPr>
          <w:trHeight w:val="238"/>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380" w:type="dxa"/>
            <w:vAlign w:val="bottom"/>
          </w:tcPr>
          <w:p>
            <w:pPr>
              <w:spacing w:after="0"/>
              <w:rPr>
                <w:sz w:val="20"/>
                <w:szCs w:val="20"/>
                <w:color w:val="auto"/>
              </w:rPr>
            </w:pPr>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328</w:t>
            </w:r>
          </w:p>
        </w:tc>
        <w:tc>
          <w:tcPr>
            <w:tcW w:w="300" w:type="dxa"/>
            <w:vAlign w:val="bottom"/>
          </w:tcPr>
          <w:p>
            <w:pPr>
              <w:spacing w:after="0"/>
              <w:rPr>
                <w:sz w:val="20"/>
                <w:szCs w:val="20"/>
                <w:color w:val="auto"/>
              </w:rPr>
            </w:pP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689</w:t>
            </w:r>
          </w:p>
        </w:tc>
        <w:tc>
          <w:tcPr>
            <w:tcW w:w="0" w:type="dxa"/>
            <w:vAlign w:val="bottom"/>
          </w:tcPr>
          <w:p>
            <w:pPr>
              <w:spacing w:after="0"/>
              <w:rPr>
                <w:sz w:val="1"/>
                <w:szCs w:val="1"/>
                <w:color w:val="auto"/>
              </w:rPr>
            </w:pPr>
          </w:p>
        </w:tc>
      </w:tr>
      <w:tr>
        <w:trPr>
          <w:trHeight w:val="257"/>
        </w:trPr>
        <w:tc>
          <w:tcPr>
            <w:tcW w:w="7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(a)</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2,626</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4,543</w:t>
            </w:r>
          </w:p>
        </w:tc>
        <w:tc>
          <w:tcPr>
            <w:tcW w:w="0" w:type="dxa"/>
            <w:vAlign w:val="bottom"/>
          </w:tcPr>
          <w:p>
            <w:pPr>
              <w:spacing w:after="0"/>
              <w:rPr>
                <w:sz w:val="1"/>
                <w:szCs w:val="1"/>
                <w:color w:val="auto"/>
              </w:rPr>
            </w:pPr>
          </w:p>
        </w:tc>
      </w:tr>
      <w:tr>
        <w:trPr>
          <w:trHeight w:val="21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380" w:type="dxa"/>
            <w:vAlign w:val="bottom"/>
          </w:tcPr>
          <w:p>
            <w:pPr>
              <w:spacing w:after="0"/>
              <w:rPr>
                <w:sz w:val="18"/>
                <w:szCs w:val="18"/>
                <w:color w:val="auto"/>
              </w:rPr>
            </w:pPr>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7,910</w:t>
            </w:r>
          </w:p>
        </w:tc>
        <w:tc>
          <w:tcPr>
            <w:tcW w:w="300" w:type="dxa"/>
            <w:vAlign w:val="bottom"/>
          </w:tcPr>
          <w:p>
            <w:pPr>
              <w:spacing w:after="0"/>
              <w:rPr>
                <w:sz w:val="18"/>
                <w:szCs w:val="18"/>
                <w:color w:val="auto"/>
              </w:rPr>
            </w:pP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14,431</w:t>
            </w:r>
          </w:p>
        </w:tc>
        <w:tc>
          <w:tcPr>
            <w:tcW w:w="0" w:type="dxa"/>
            <w:vAlign w:val="bottom"/>
          </w:tcPr>
          <w:p>
            <w:pPr>
              <w:spacing w:after="0"/>
              <w:rPr>
                <w:sz w:val="1"/>
                <w:szCs w:val="1"/>
                <w:color w:val="auto"/>
              </w:rPr>
            </w:pPr>
          </w:p>
        </w:tc>
      </w:tr>
      <w:tr>
        <w:trPr>
          <w:trHeight w:val="475"/>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Adjusted OIBDA</w:t>
            </w:r>
          </w:p>
        </w:tc>
        <w:tc>
          <w:tcPr>
            <w:tcW w:w="3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2,067</w:t>
            </w:r>
          </w:p>
        </w:tc>
        <w:tc>
          <w:tcPr>
            <w:tcW w:w="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4,348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168275</wp:posOffset>
            </wp:positionV>
            <wp:extent cx="63690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69050" cy="17145"/>
                    </a:xfrm>
                    <a:prstGeom prst="rect">
                      <a:avLst/>
                    </a:prstGeom>
                    <a:noFill/>
                  </pic:spPr>
                </pic:pic>
              </a:graphicData>
            </a:graphic>
          </wp:anchor>
        </w:drawing>
      </w:r>
    </w:p>
    <w:p>
      <w:pPr>
        <w:spacing w:after="0" w:line="282"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70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1041"/>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00" w:type="dxa"/>
            <w:vAlign w:val="bottom"/>
          </w:tcPr>
          <w:p>
            <w:pPr>
              <w:spacing w:after="0"/>
              <w:rPr>
                <w:sz w:val="17"/>
                <w:szCs w:val="17"/>
                <w:color w:val="auto"/>
              </w:rPr>
            </w:pPr>
          </w:p>
        </w:tc>
        <w:tc>
          <w:tcPr>
            <w:tcW w:w="1560" w:type="dxa"/>
            <w:vAlign w:val="bottom"/>
            <w:gridSpan w:val="2"/>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000" w:type="dxa"/>
            <w:vAlign w:val="bottom"/>
          </w:tcPr>
          <w:p>
            <w:pPr>
              <w:spacing w:after="0"/>
              <w:rPr>
                <w:sz w:val="16"/>
                <w:szCs w:val="16"/>
                <w:color w:val="auto"/>
              </w:rPr>
            </w:pPr>
          </w:p>
        </w:tc>
        <w:tc>
          <w:tcPr>
            <w:tcW w:w="156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January 1 - August</w:t>
            </w:r>
          </w:p>
        </w:tc>
        <w:tc>
          <w:tcPr>
            <w:tcW w:w="300" w:type="dxa"/>
            <w:vAlign w:val="bottom"/>
          </w:tcPr>
          <w:p>
            <w:pPr>
              <w:spacing w:after="0"/>
              <w:rPr>
                <w:sz w:val="16"/>
                <w:szCs w:val="16"/>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6,</w:t>
            </w: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Advertising revenues</w:t>
            </w: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0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Domestic</w:t>
            </w:r>
          </w:p>
        </w:tc>
        <w:tc>
          <w:tcPr>
            <w:tcW w:w="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3,585</w:t>
            </w:r>
          </w:p>
        </w:tc>
        <w:tc>
          <w:tcPr>
            <w:tcW w:w="30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6,976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595</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1,204</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4,180</w:t>
            </w:r>
          </w:p>
        </w:tc>
        <w:tc>
          <w:tcPr>
            <w:tcW w:w="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8,180</w:t>
            </w:r>
          </w:p>
        </w:tc>
        <w:tc>
          <w:tcPr>
            <w:tcW w:w="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w w:val="70"/>
              </w:rPr>
              <w:t>.</w:t>
            </w:r>
          </w:p>
        </w:tc>
        <w:tc>
          <w:tcPr>
            <w:tcW w:w="0" w:type="dxa"/>
            <w:vAlign w:val="bottom"/>
          </w:tcPr>
          <w:p>
            <w:pPr>
              <w:spacing w:after="0"/>
              <w:rPr>
                <w:sz w:val="1"/>
                <w:szCs w:val="1"/>
                <w:color w:val="auto"/>
              </w:rPr>
            </w:pPr>
          </w:p>
        </w:tc>
      </w:tr>
      <w:tr>
        <w:trPr>
          <w:trHeight w:val="94"/>
        </w:trPr>
        <w:tc>
          <w:tcPr>
            <w:tcW w:w="7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720" w:right="400" w:hanging="237"/>
        <w:spacing w:after="0" w:line="267" w:lineRule="auto"/>
        <w:tabs>
          <w:tab w:leader="none" w:pos="70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segment include employee compensation; revenue-sharing costs to television stations affiliated with the CBS Television Network; costs relating to the distribution of our content; costs for research, occupancy, technology, and professional services; and other costs associated with our operations.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00"/>
          </w:cols>
          <w:pgMar w:left="320" w:top="590" w:right="57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Advertising revenues during the 2025 and 2024 periods were impacted by declines in the linear advertising market. The 2025 period benefited from CBS’ broadcast of the Semifinals and National Championship games of the </w:t>
      </w:r>
      <w:r>
        <w:rPr>
          <w:rFonts w:ascii="Times New Roman" w:cs="Times New Roman" w:eastAsia="Times New Roman" w:hAnsi="Times New Roman"/>
          <w:sz w:val="19"/>
          <w:szCs w:val="19"/>
          <w:i w:val="1"/>
          <w:iCs w:val="1"/>
          <w:color w:val="auto"/>
        </w:rPr>
        <w:t>NCAA Division I Men’s Basketball Championship</w:t>
      </w:r>
      <w:r>
        <w:rPr>
          <w:rFonts w:ascii="Times New Roman" w:cs="Times New Roman" w:eastAsia="Times New Roman" w:hAnsi="Times New Roman"/>
          <w:sz w:val="19"/>
          <w:szCs w:val="19"/>
          <w:color w:val="auto"/>
        </w:rPr>
        <w:t xml:space="preserve"> (“NCAA Tournament”), which we have the rights to broadcast every other year. The year ended December 31, 2024 benefited from CBS’s broadcast of </w:t>
      </w:r>
      <w:r>
        <w:rPr>
          <w:rFonts w:ascii="Times New Roman" w:cs="Times New Roman" w:eastAsia="Times New Roman" w:hAnsi="Times New Roman"/>
          <w:sz w:val="19"/>
          <w:szCs w:val="19"/>
          <w:i w:val="1"/>
          <w:iCs w:val="1"/>
          <w:color w:val="auto"/>
        </w:rPr>
        <w:t xml:space="preserve">Super Bowl LVIII </w:t>
      </w:r>
      <w:r>
        <w:rPr>
          <w:rFonts w:ascii="Times New Roman" w:cs="Times New Roman" w:eastAsia="Times New Roman" w:hAnsi="Times New Roman"/>
          <w:sz w:val="19"/>
          <w:szCs w:val="19"/>
          <w:color w:val="auto"/>
        </w:rPr>
        <w:t>in the first quarter of 2024, amounts recognized relating to the underreporting of revenue by an international sales partner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previous periods, and political advertising associated with the 2024 U.S. Presidential election. We have the rights to broadcast the Super Bowl on a rotational basis with other networks, and therefore did not have a comparable broadcast in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Affiliate and subscription revenues in the 2025 and 2024 periods were impacted by declines in linear subscribers.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Licensing and other revenues in each period primarily include revenues from licensing in the secondary market and content produced for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Content costs in each period include the amortization of costs of internally-produced television content; amortization of acquired program rights, including sports rights; other television production costs, including on-air talent; and participation and residuals expenses. Content costs for the year ended December 31, 2024 include costs associated with the 2024 Super Bowl broadcast.</w:t>
      </w:r>
    </w:p>
    <w:p>
      <w:pPr>
        <w:spacing w:after="0" w:line="19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Advertising and marketing, and other expenses for the 2025 period benefited from cost savings initiatives. Costs in 2024 included advertising and marketing costs related to the Super Bowl broadcast.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OIBDA in each of the periods reflects the impact of declines in the linear advertising and affiliate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Direct-to-Consumer</w:t>
      </w:r>
    </w:p>
    <w:p>
      <w:pPr>
        <w:spacing w:after="0" w:line="155"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9"/>
          <w:szCs w:val="19"/>
          <w:color w:val="auto"/>
        </w:rPr>
        <w:t xml:space="preserve">Prior to the segment change described above, our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consisted of our portfolio of domestic and international pay and free streaming services, including Paramount+, Pluto TV, and BET+.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70485</wp:posOffset>
            </wp:positionV>
            <wp:extent cx="63690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69050" cy="17145"/>
                    </a:xfrm>
                    <a:prstGeom prst="rect">
                      <a:avLst/>
                    </a:prstGeom>
                    <a:noFill/>
                  </pic:spPr>
                </pic:pic>
              </a:graphicData>
            </a:graphic>
          </wp:anchor>
        </w:drawing>
      </w:r>
    </w:p>
    <w:p>
      <w:pPr>
        <w:spacing w:after="0" w:line="128" w:lineRule="exact"/>
        <w:rPr>
          <w:sz w:val="20"/>
          <w:szCs w:val="20"/>
          <w:color w:val="auto"/>
        </w:rPr>
      </w:pPr>
    </w:p>
    <w:tbl>
      <w:tblPr>
        <w:tblLayout w:type="fixed"/>
        <w:tblInd w:w="620" w:type="dxa"/>
        <w:tblCellMar>
          <w:top w:w="0" w:type="dxa"/>
          <w:left w:w="0" w:type="dxa"/>
          <w:bottom w:w="0" w:type="dxa"/>
          <w:right w:w="0" w:type="dxa"/>
        </w:tblCellMar>
      </w:tblPr>
      <w:tr>
        <w:trPr>
          <w:trHeight w:val="221"/>
        </w:trPr>
        <w:tc>
          <w:tcPr>
            <w:tcW w:w="70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1041"/>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196"/>
        </w:trPr>
        <w:tc>
          <w:tcPr>
            <w:tcW w:w="7000" w:type="dxa"/>
            <w:vAlign w:val="bottom"/>
          </w:tcPr>
          <w:p>
            <w:pPr>
              <w:spacing w:after="0"/>
              <w:rPr>
                <w:sz w:val="17"/>
                <w:szCs w:val="17"/>
                <w:color w:val="auto"/>
              </w:rPr>
            </w:pPr>
          </w:p>
        </w:tc>
        <w:tc>
          <w:tcPr>
            <w:tcW w:w="1540" w:type="dxa"/>
            <w:vAlign w:val="bottom"/>
            <w:gridSpan w:val="2"/>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6"/>
        </w:trPr>
        <w:tc>
          <w:tcPr>
            <w:tcW w:w="7000" w:type="dxa"/>
            <w:vAlign w:val="bottom"/>
          </w:tcPr>
          <w:p>
            <w:pPr>
              <w:spacing w:after="0"/>
              <w:rPr>
                <w:sz w:val="16"/>
                <w:szCs w:val="16"/>
                <w:color w:val="auto"/>
              </w:rPr>
            </w:pPr>
          </w:p>
        </w:tc>
        <w:tc>
          <w:tcPr>
            <w:tcW w:w="154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7"/>
              </w:rPr>
              <w:t>January 1 - August</w:t>
            </w:r>
          </w:p>
        </w:tc>
        <w:tc>
          <w:tcPr>
            <w:tcW w:w="300" w:type="dxa"/>
            <w:vAlign w:val="bottom"/>
          </w:tcPr>
          <w:p>
            <w:pPr>
              <w:spacing w:after="0"/>
              <w:rPr>
                <w:sz w:val="16"/>
                <w:szCs w:val="16"/>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4"/>
              </w:rPr>
              <w:t>Year Ended</w:t>
            </w:r>
          </w:p>
        </w:tc>
      </w:tr>
      <w:tr>
        <w:trPr>
          <w:trHeight w:val="234"/>
        </w:trPr>
        <w:tc>
          <w:tcPr>
            <w:tcW w:w="70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6,</w:t>
            </w:r>
          </w:p>
        </w:tc>
        <w:tc>
          <w:tcPr>
            <w:tcW w:w="1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32"/>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Direct-to-Consumer</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Advertising</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1,146</w:t>
            </w:r>
          </w:p>
        </w:tc>
        <w:tc>
          <w:tcPr>
            <w:tcW w:w="30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2,114</w:t>
            </w:r>
          </w:p>
        </w:tc>
      </w:tr>
      <w:tr>
        <w:trPr>
          <w:trHeight w:val="239"/>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Subscription</w:t>
            </w:r>
          </w:p>
        </w:tc>
        <w:tc>
          <w:tcPr>
            <w:tcW w:w="380" w:type="dxa"/>
            <w:vAlign w:val="bottom"/>
          </w:tcPr>
          <w:p>
            <w:pPr>
              <w:spacing w:after="0"/>
              <w:rPr>
                <w:sz w:val="20"/>
                <w:szCs w:val="20"/>
                <w:color w:val="auto"/>
              </w:rPr>
            </w:pPr>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3,940</w:t>
            </w:r>
          </w:p>
        </w:tc>
        <w:tc>
          <w:tcPr>
            <w:tcW w:w="300" w:type="dxa"/>
            <w:vAlign w:val="bottom"/>
          </w:tcPr>
          <w:p>
            <w:pPr>
              <w:spacing w:after="0"/>
              <w:rPr>
                <w:sz w:val="20"/>
                <w:szCs w:val="20"/>
                <w:color w:val="auto"/>
              </w:rPr>
            </w:pP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5,506</w:t>
            </w:r>
          </w:p>
        </w:tc>
      </w:tr>
      <w:tr>
        <w:trPr>
          <w:trHeight w:val="257"/>
        </w:trPr>
        <w:tc>
          <w:tcPr>
            <w:tcW w:w="7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Licensing </w:t>
            </w:r>
            <w:r>
              <w:rPr>
                <w:rFonts w:ascii="Times New Roman" w:cs="Times New Roman" w:eastAsia="Times New Roman" w:hAnsi="Times New Roman"/>
                <w:sz w:val="20"/>
                <w:szCs w:val="20"/>
                <w:color w:val="auto"/>
                <w:vertAlign w:val="superscript"/>
              </w:rPr>
              <w:t>(a)</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Pr>
          <w:p>
            <w:pPr>
              <w:spacing w:after="0"/>
              <w:rPr>
                <w:sz w:val="18"/>
                <w:szCs w:val="18"/>
                <w:color w:val="auto"/>
              </w:rPr>
            </w:pPr>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5,087</w:t>
            </w:r>
          </w:p>
        </w:tc>
        <w:tc>
          <w:tcPr>
            <w:tcW w:w="300" w:type="dxa"/>
            <w:vAlign w:val="bottom"/>
          </w:tcPr>
          <w:p>
            <w:pPr>
              <w:spacing w:after="0"/>
              <w:rPr>
                <w:sz w:val="18"/>
                <w:szCs w:val="18"/>
                <w:color w:val="auto"/>
              </w:rPr>
            </w:pP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7,632</w:t>
            </w:r>
          </w:p>
        </w:tc>
      </w:tr>
      <w:tr>
        <w:trPr>
          <w:trHeight w:val="345"/>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Content costs</w:t>
            </w:r>
          </w:p>
        </w:tc>
        <w:tc>
          <w:tcPr>
            <w:tcW w:w="380" w:type="dxa"/>
            <w:vAlign w:val="bottom"/>
          </w:tcPr>
          <w:p>
            <w:pPr>
              <w:spacing w:after="0"/>
              <w:rPr>
                <w:sz w:val="24"/>
                <w:szCs w:val="24"/>
                <w:color w:val="auto"/>
              </w:rPr>
            </w:pPr>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2,712</w:t>
            </w:r>
          </w:p>
        </w:tc>
        <w:tc>
          <w:tcPr>
            <w:tcW w:w="300" w:type="dxa"/>
            <w:vAlign w:val="bottom"/>
          </w:tcPr>
          <w:p>
            <w:pPr>
              <w:spacing w:after="0"/>
              <w:rPr>
                <w:sz w:val="24"/>
                <w:szCs w:val="24"/>
                <w:color w:val="auto"/>
              </w:rPr>
            </w:pP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4,415</w:t>
            </w:r>
          </w:p>
        </w:tc>
      </w:tr>
      <w:tr>
        <w:trPr>
          <w:trHeight w:val="238"/>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380" w:type="dxa"/>
            <w:vAlign w:val="bottom"/>
          </w:tcPr>
          <w:p>
            <w:pPr>
              <w:spacing w:after="0"/>
              <w:rPr>
                <w:sz w:val="20"/>
                <w:szCs w:val="20"/>
                <w:color w:val="auto"/>
              </w:rPr>
            </w:pPr>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749</w:t>
            </w:r>
          </w:p>
        </w:tc>
        <w:tc>
          <w:tcPr>
            <w:tcW w:w="300" w:type="dxa"/>
            <w:vAlign w:val="bottom"/>
          </w:tcPr>
          <w:p>
            <w:pPr>
              <w:spacing w:after="0"/>
              <w:rPr>
                <w:sz w:val="20"/>
                <w:szCs w:val="20"/>
                <w:color w:val="auto"/>
              </w:rPr>
            </w:pP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1,341</w:t>
            </w:r>
          </w:p>
        </w:tc>
      </w:tr>
      <w:tr>
        <w:trPr>
          <w:trHeight w:val="257"/>
        </w:trPr>
        <w:tc>
          <w:tcPr>
            <w:tcW w:w="7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(b)</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1,473</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2,373</w:t>
            </w:r>
          </w:p>
        </w:tc>
      </w:tr>
      <w:tr>
        <w:trPr>
          <w:trHeight w:val="214"/>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380" w:type="dxa"/>
            <w:vAlign w:val="bottom"/>
          </w:tcPr>
          <w:p>
            <w:pPr>
              <w:spacing w:after="0"/>
              <w:rPr>
                <w:sz w:val="18"/>
                <w:szCs w:val="18"/>
                <w:color w:val="auto"/>
              </w:rPr>
            </w:pPr>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4,934</w:t>
            </w:r>
          </w:p>
        </w:tc>
        <w:tc>
          <w:tcPr>
            <w:tcW w:w="300" w:type="dxa"/>
            <w:vAlign w:val="bottom"/>
          </w:tcPr>
          <w:p>
            <w:pPr>
              <w:spacing w:after="0"/>
              <w:rPr>
                <w:sz w:val="18"/>
                <w:szCs w:val="18"/>
                <w:color w:val="auto"/>
              </w:rPr>
            </w:pP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8,129</w:t>
            </w:r>
          </w:p>
        </w:tc>
      </w:tr>
      <w:tr>
        <w:trPr>
          <w:trHeight w:val="369"/>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3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153</w:t>
            </w:r>
          </w:p>
        </w:tc>
        <w:tc>
          <w:tcPr>
            <w:tcW w:w="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(497)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126365</wp:posOffset>
            </wp:positionV>
            <wp:extent cx="63690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69050" cy="17145"/>
                    </a:xfrm>
                    <a:prstGeom prst="rect">
                      <a:avLst/>
                    </a:prstGeom>
                    <a:noFill/>
                  </pic:spPr>
                </pic:pic>
              </a:graphicData>
            </a:graphic>
          </wp:anchor>
        </w:drawing>
      </w: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221"/>
        </w:trPr>
        <w:tc>
          <w:tcPr>
            <w:tcW w:w="70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1041"/>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196"/>
        </w:trPr>
        <w:tc>
          <w:tcPr>
            <w:tcW w:w="7000" w:type="dxa"/>
            <w:vAlign w:val="bottom"/>
          </w:tcPr>
          <w:p>
            <w:pPr>
              <w:spacing w:after="0"/>
              <w:rPr>
                <w:sz w:val="17"/>
                <w:szCs w:val="17"/>
                <w:color w:val="auto"/>
              </w:rPr>
            </w:pPr>
          </w:p>
        </w:tc>
        <w:tc>
          <w:tcPr>
            <w:tcW w:w="1540" w:type="dxa"/>
            <w:vAlign w:val="bottom"/>
            <w:gridSpan w:val="2"/>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5"/>
        </w:trPr>
        <w:tc>
          <w:tcPr>
            <w:tcW w:w="7000" w:type="dxa"/>
            <w:vAlign w:val="bottom"/>
          </w:tcPr>
          <w:p>
            <w:pPr>
              <w:spacing w:after="0"/>
              <w:rPr>
                <w:sz w:val="16"/>
                <w:szCs w:val="16"/>
                <w:color w:val="auto"/>
              </w:rPr>
            </w:pPr>
          </w:p>
        </w:tc>
        <w:tc>
          <w:tcPr>
            <w:tcW w:w="154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7"/>
              </w:rPr>
              <w:t>January 1 - August</w:t>
            </w:r>
          </w:p>
        </w:tc>
        <w:tc>
          <w:tcPr>
            <w:tcW w:w="300" w:type="dxa"/>
            <w:vAlign w:val="bottom"/>
          </w:tcPr>
          <w:p>
            <w:pPr>
              <w:spacing w:after="0"/>
              <w:rPr>
                <w:sz w:val="16"/>
                <w:szCs w:val="16"/>
                <w:color w:val="auto"/>
              </w:rPr>
            </w:pPr>
          </w:p>
        </w:tc>
        <w:tc>
          <w:tcPr>
            <w:tcW w:w="1180" w:type="dxa"/>
            <w:vAlign w:val="bottom"/>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r>
      <w:tr>
        <w:trPr>
          <w:trHeight w:val="234"/>
        </w:trPr>
        <w:tc>
          <w:tcPr>
            <w:tcW w:w="70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6,</w:t>
            </w:r>
          </w:p>
        </w:tc>
        <w:tc>
          <w:tcPr>
            <w:tcW w:w="1480" w:type="dxa"/>
            <w:vAlign w:val="bottom"/>
            <w:tcBorders>
              <w:bottom w:val="single" w:sz="8" w:color="auto"/>
            </w:tcBorders>
            <w:gridSpan w:val="2"/>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32"/>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Paramount+ (Global)</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45"/>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4,166</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5,896</w:t>
            </w:r>
          </w:p>
        </w:tc>
      </w:tr>
    </w:tbl>
    <w:p>
      <w:pPr>
        <w:spacing w:after="0" w:line="145" w:lineRule="exact"/>
        <w:rPr>
          <w:sz w:val="20"/>
          <w:szCs w:val="20"/>
          <w:color w:val="auto"/>
        </w:rPr>
      </w:pPr>
    </w:p>
    <w:p>
      <w:pPr>
        <w:ind w:left="780" w:hanging="218"/>
        <w:spacing w:after="0"/>
        <w:tabs>
          <w:tab w:leader="none" w:pos="7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revenues from the sublicensing of content by BET+.</w:t>
      </w:r>
    </w:p>
    <w:p>
      <w:pPr>
        <w:spacing w:after="0" w:line="92" w:lineRule="exact"/>
        <w:rPr>
          <w:rFonts w:ascii="Times New Roman" w:cs="Times New Roman" w:eastAsia="Times New Roman" w:hAnsi="Times New Roman"/>
          <w:sz w:val="16"/>
          <w:szCs w:val="16"/>
          <w:color w:val="auto"/>
        </w:rPr>
      </w:pPr>
    </w:p>
    <w:p>
      <w:pPr>
        <w:ind w:left="800" w:right="720" w:hanging="238"/>
        <w:spacing w:after="0" w:line="292" w:lineRule="auto"/>
        <w:tabs>
          <w:tab w:leader="none" w:pos="82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Direct-to-Consumer</w:t>
      </w:r>
      <w:r>
        <w:rPr>
          <w:rFonts w:ascii="Times New Roman" w:cs="Times New Roman" w:eastAsia="Times New Roman" w:hAnsi="Times New Roman"/>
          <w:sz w:val="16"/>
          <w:szCs w:val="16"/>
          <w:color w:val="auto"/>
        </w:rPr>
        <w:t xml:space="preserve"> segment include employee compensation; revenue-sharing costs, including for third-party distribution; costs for occupancy, technology, and professional services; and other costs associated with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44" w:name="page45"/>
    <w:bookmarkEnd w:id="44"/>
    <w:tbl>
      <w:tblPr>
        <w:tblLayout w:type="fixed"/>
        <w:tblInd w:w="148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80" w:type="dxa"/>
            <w:vAlign w:val="bottom"/>
            <w:gridSpan w:val="2"/>
          </w:tcPr>
          <w:p>
            <w:pPr>
              <w:jc w:val="center"/>
              <w:ind w:right="1261"/>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tc>
      </w:tr>
      <w:tr>
        <w:trPr>
          <w:trHeight w:val="225"/>
        </w:trPr>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80" w:type="dxa"/>
            <w:vAlign w:val="bottom"/>
            <w:gridSpan w:val="2"/>
          </w:tcPr>
          <w:p>
            <w:pPr>
              <w:jc w:val="center"/>
              <w:ind w:right="1281"/>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tc>
      </w:tr>
      <w:tr>
        <w:trPr>
          <w:trHeight w:val="257"/>
        </w:trPr>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80" w:type="dxa"/>
            <w:vAlign w:val="bottom"/>
            <w:gridSpan w:val="2"/>
          </w:tcPr>
          <w:p>
            <w:pPr>
              <w:jc w:val="center"/>
              <w:ind w:right="1261"/>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tc>
      </w:tr>
      <w:tr>
        <w:trPr>
          <w:trHeight w:val="691"/>
        </w:trPr>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r>
        <w:trPr>
          <w:trHeight w:val="238"/>
        </w:trPr>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22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6480" w:type="dxa"/>
            <w:vAlign w:val="bottom"/>
            <w:tcBorders>
              <w:bottom w:val="single" w:sz="8" w:color="auto"/>
            </w:tcBorders>
            <w:gridSpan w:val="2"/>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5"/>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Paramount+ (Global)</w:t>
            </w:r>
          </w:p>
        </w:tc>
        <w:tc>
          <w:tcPr>
            <w:tcW w:w="1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78"/>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 xml:space="preserve">Subscribers </w:t>
            </w:r>
            <w:r>
              <w:rPr>
                <w:rFonts w:ascii="Times New Roman" w:cs="Times New Roman" w:eastAsia="Times New Roman" w:hAnsi="Times New Roman"/>
                <w:sz w:val="20"/>
                <w:szCs w:val="20"/>
                <w:color w:val="auto"/>
                <w:vertAlign w:val="superscript"/>
              </w:rPr>
              <w:t>(a)</w:t>
            </w:r>
          </w:p>
        </w:tc>
        <w:tc>
          <w:tcPr>
            <w:tcW w:w="6480" w:type="dxa"/>
            <w:vAlign w:val="bottom"/>
            <w:tcBorders>
              <w:bottom w:val="single" w:sz="8" w:color="auto"/>
            </w:tcBorders>
            <w:gridSpan w:val="2"/>
          </w:tcPr>
          <w:p>
            <w:pPr>
              <w:jc w:val="right"/>
              <w:ind w:right="381"/>
              <w:spacing w:after="0"/>
              <w:rPr>
                <w:sz w:val="20"/>
                <w:szCs w:val="20"/>
                <w:color w:val="auto"/>
              </w:rPr>
            </w:pPr>
            <w:r>
              <w:rPr>
                <w:rFonts w:ascii="Times New Roman" w:cs="Times New Roman" w:eastAsia="Times New Roman" w:hAnsi="Times New Roman"/>
                <w:sz w:val="16"/>
                <w:szCs w:val="16"/>
                <w:color w:val="auto"/>
              </w:rPr>
              <w:t>76.1</w:t>
            </w:r>
          </w:p>
        </w:tc>
      </w:tr>
    </w:tbl>
    <w:p>
      <w:pPr>
        <w:spacing w:after="0" w:line="158" w:lineRule="exact"/>
        <w:rPr>
          <w:sz w:val="20"/>
          <w:szCs w:val="20"/>
          <w:color w:val="auto"/>
        </w:rPr>
      </w:pPr>
    </w:p>
    <w:p>
      <w:pPr>
        <w:jc w:val="both"/>
        <w:ind w:left="1120" w:right="820" w:hanging="240"/>
        <w:spacing w:after="0" w:line="258" w:lineRule="auto"/>
        <w:tabs>
          <w:tab w:leader="none" w:pos="110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Subscribers include customers who are registered for Paramount+, either directly through our owned and operated apps and websites, or through third-party distributors. Subscribers also include customers who are provided with access through a subscription bundle with a domestic linear video streaming service (vMVPD) or an international third-party distributor. Our subscriber count includes only paid subscriptions and reflects the number of subscribers as of the applicable period-end date.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 xml:space="preserve">Advertising revenues during each period are comprised of advertising revenues from our streaming services. The 2025 period includes the impact on pricing from new digital advertising entrants in the marketplace and in 2024 includes the benefit from political revenues associated with the 2024 U.S. Presidential election and the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in the first quarter of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Subscription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Subscription revenues during each period benefited from growth in subscribers and pricing for Paramount+.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4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 xml:space="preserve">Content costs for the 2025 and 2024 periods reflect ongoing investment in original programming, and in the 2024 period also includes costs associated with our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in the first quarter of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and marketing expenses for each period primarily include costs to promote Paramount+ original series.</w:t>
      </w:r>
    </w:p>
    <w:p>
      <w:pPr>
        <w:spacing w:after="0" w:line="16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Other expenses for the 2025 and 2024 periods include the impact on revenue sharing costs from the benefits to Paramount+ subscription revenues described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OIBDA during the 2025 period benefited from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Filmed Entertainment</w:t>
      </w:r>
    </w:p>
    <w:p>
      <w:pPr>
        <w:spacing w:after="0" w:line="155"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9"/>
          <w:szCs w:val="19"/>
          <w:color w:val="auto"/>
        </w:rPr>
        <w:t xml:space="preserve">Prior to the segment change described above our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included Paramount Pictures, Paramount Players, Paramount Animation, Nickelodeon Studio, and Miramax.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70485</wp:posOffset>
            </wp:positionV>
            <wp:extent cx="63690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69050" cy="17145"/>
                    </a:xfrm>
                    <a:prstGeom prst="rect">
                      <a:avLst/>
                    </a:prstGeom>
                    <a:noFill/>
                  </pic:spPr>
                </pic:pic>
              </a:graphicData>
            </a:graphic>
          </wp:anchor>
        </w:drawing>
      </w:r>
    </w:p>
    <w:p>
      <w:pPr>
        <w:spacing w:after="0" w:line="128" w:lineRule="exact"/>
        <w:rPr>
          <w:sz w:val="20"/>
          <w:szCs w:val="20"/>
          <w:color w:val="auto"/>
        </w:rPr>
      </w:pPr>
    </w:p>
    <w:tbl>
      <w:tblPr>
        <w:tblLayout w:type="fixed"/>
        <w:tblInd w:w="620" w:type="dxa"/>
        <w:tblCellMar>
          <w:top w:w="0" w:type="dxa"/>
          <w:left w:w="0" w:type="dxa"/>
          <w:bottom w:w="0" w:type="dxa"/>
          <w:right w:w="0" w:type="dxa"/>
        </w:tblCellMar>
      </w:tblPr>
      <w:tr>
        <w:trPr>
          <w:trHeight w:val="221"/>
        </w:trPr>
        <w:tc>
          <w:tcPr>
            <w:tcW w:w="7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1021"/>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196"/>
        </w:trPr>
        <w:tc>
          <w:tcPr>
            <w:tcW w:w="7000" w:type="dxa"/>
            <w:vAlign w:val="bottom"/>
          </w:tcPr>
          <w:p>
            <w:pPr>
              <w:spacing w:after="0"/>
              <w:rPr>
                <w:sz w:val="17"/>
                <w:szCs w:val="17"/>
                <w:color w:val="auto"/>
              </w:rPr>
            </w:pPr>
          </w:p>
        </w:tc>
        <w:tc>
          <w:tcPr>
            <w:tcW w:w="144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6"/>
        </w:trPr>
        <w:tc>
          <w:tcPr>
            <w:tcW w:w="7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400" w:type="dxa"/>
            <w:vAlign w:val="bottom"/>
          </w:tcPr>
          <w:p>
            <w:pPr>
              <w:spacing w:after="0"/>
              <w:rPr>
                <w:sz w:val="16"/>
                <w:szCs w:val="16"/>
                <w:color w:val="auto"/>
              </w:rPr>
            </w:pPr>
          </w:p>
        </w:tc>
        <w:tc>
          <w:tcPr>
            <w:tcW w:w="118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4"/>
              </w:rPr>
              <w:t>Year Ended</w:t>
            </w:r>
          </w:p>
        </w:tc>
      </w:tr>
      <w:tr>
        <w:trPr>
          <w:trHeight w:val="234"/>
        </w:trPr>
        <w:tc>
          <w:tcPr>
            <w:tcW w:w="7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5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32"/>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Filmed Entertainment</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Theatrical</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475</w:t>
            </w:r>
          </w:p>
        </w:tc>
        <w:tc>
          <w:tcPr>
            <w:tcW w:w="40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813</w:t>
            </w:r>
          </w:p>
        </w:tc>
      </w:tr>
      <w:tr>
        <w:trPr>
          <w:trHeight w:val="238"/>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Licensing and other</w:t>
            </w:r>
          </w:p>
        </w:tc>
        <w:tc>
          <w:tcPr>
            <w:tcW w:w="260" w:type="dxa"/>
            <w:vAlign w:val="bottom"/>
          </w:tcPr>
          <w:p>
            <w:pPr>
              <w:spacing w:after="0"/>
              <w:rPr>
                <w:sz w:val="20"/>
                <w:szCs w:val="20"/>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1,112</w:t>
            </w:r>
          </w:p>
        </w:tc>
        <w:tc>
          <w:tcPr>
            <w:tcW w:w="400" w:type="dxa"/>
            <w:vAlign w:val="bottom"/>
          </w:tcPr>
          <w:p>
            <w:pPr>
              <w:spacing w:after="0"/>
              <w:rPr>
                <w:sz w:val="20"/>
                <w:szCs w:val="20"/>
                <w:color w:val="auto"/>
              </w:rPr>
            </w:pP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2,126</w:t>
            </w:r>
          </w:p>
        </w:tc>
      </w:tr>
      <w:tr>
        <w:trPr>
          <w:trHeight w:val="257"/>
        </w:trPr>
        <w:tc>
          <w:tcPr>
            <w:tcW w:w="7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Advertising </w:t>
            </w:r>
            <w:r>
              <w:rPr>
                <w:rFonts w:ascii="Times New Roman" w:cs="Times New Roman" w:eastAsia="Times New Roman" w:hAnsi="Times New Roman"/>
                <w:sz w:val="20"/>
                <w:szCs w:val="20"/>
                <w:color w:val="auto"/>
                <w:vertAlign w:val="superscript"/>
              </w:rPr>
              <w:t>(a)</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16</w:t>
            </w:r>
          </w:p>
        </w:tc>
      </w:tr>
      <w:tr>
        <w:trPr>
          <w:trHeight w:val="214"/>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1,593</w:t>
            </w:r>
          </w:p>
        </w:tc>
        <w:tc>
          <w:tcPr>
            <w:tcW w:w="400" w:type="dxa"/>
            <w:vAlign w:val="bottom"/>
          </w:tcPr>
          <w:p>
            <w:pPr>
              <w:spacing w:after="0"/>
              <w:rPr>
                <w:sz w:val="18"/>
                <w:szCs w:val="18"/>
                <w:color w:val="auto"/>
              </w:rPr>
            </w:pP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2,955</w:t>
            </w:r>
          </w:p>
        </w:tc>
      </w:tr>
      <w:tr>
        <w:trPr>
          <w:trHeight w:val="331"/>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Content costs</w:t>
            </w:r>
          </w:p>
        </w:tc>
        <w:tc>
          <w:tcPr>
            <w:tcW w:w="260" w:type="dxa"/>
            <w:vAlign w:val="bottom"/>
          </w:tcPr>
          <w:p>
            <w:pPr>
              <w:spacing w:after="0"/>
              <w:rPr>
                <w:sz w:val="24"/>
                <w:szCs w:val="24"/>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846</w:t>
            </w:r>
          </w:p>
        </w:tc>
        <w:tc>
          <w:tcPr>
            <w:tcW w:w="400" w:type="dxa"/>
            <w:vAlign w:val="bottom"/>
          </w:tcPr>
          <w:p>
            <w:pPr>
              <w:spacing w:after="0"/>
              <w:rPr>
                <w:sz w:val="24"/>
                <w:szCs w:val="24"/>
                <w:color w:val="auto"/>
              </w:rPr>
            </w:pP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1,496</w:t>
            </w:r>
          </w:p>
        </w:tc>
      </w:tr>
      <w:tr>
        <w:trPr>
          <w:trHeight w:val="238"/>
        </w:trPr>
        <w:tc>
          <w:tcPr>
            <w:tcW w:w="7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260" w:type="dxa"/>
            <w:vAlign w:val="bottom"/>
          </w:tcPr>
          <w:p>
            <w:pPr>
              <w:spacing w:after="0"/>
              <w:rPr>
                <w:sz w:val="20"/>
                <w:szCs w:val="20"/>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417</w:t>
            </w:r>
          </w:p>
        </w:tc>
        <w:tc>
          <w:tcPr>
            <w:tcW w:w="400" w:type="dxa"/>
            <w:vAlign w:val="bottom"/>
          </w:tcPr>
          <w:p>
            <w:pPr>
              <w:spacing w:after="0"/>
              <w:rPr>
                <w:sz w:val="20"/>
                <w:szCs w:val="20"/>
                <w:color w:val="auto"/>
              </w:rPr>
            </w:pP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783</w:t>
            </w:r>
          </w:p>
        </w:tc>
      </w:tr>
      <w:tr>
        <w:trPr>
          <w:trHeight w:val="257"/>
        </w:trPr>
        <w:tc>
          <w:tcPr>
            <w:tcW w:w="7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430</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772</w:t>
            </w:r>
          </w:p>
        </w:tc>
      </w:tr>
      <w:tr>
        <w:trPr>
          <w:trHeight w:val="214"/>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260" w:type="dxa"/>
            <w:vAlign w:val="bottom"/>
          </w:tcPr>
          <w:p>
            <w:pPr>
              <w:spacing w:after="0"/>
              <w:rPr>
                <w:sz w:val="18"/>
                <w:szCs w:val="18"/>
                <w:color w:val="auto"/>
              </w:rPr>
            </w:pPr>
          </w:p>
        </w:tc>
        <w:tc>
          <w:tcPr>
            <w:tcW w:w="11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1,693</w:t>
            </w:r>
          </w:p>
        </w:tc>
        <w:tc>
          <w:tcPr>
            <w:tcW w:w="400" w:type="dxa"/>
            <w:vAlign w:val="bottom"/>
          </w:tcPr>
          <w:p>
            <w:pPr>
              <w:spacing w:after="0"/>
              <w:rPr>
                <w:sz w:val="18"/>
                <w:szCs w:val="18"/>
                <w:color w:val="auto"/>
              </w:rPr>
            </w:pP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3,051</w:t>
            </w:r>
          </w:p>
        </w:tc>
      </w:tr>
      <w:tr>
        <w:trPr>
          <w:trHeight w:val="369"/>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(100)</w:t>
            </w:r>
          </w:p>
        </w:tc>
        <w:tc>
          <w:tcPr>
            <w:tcW w:w="4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(96)</w:t>
            </w:r>
          </w:p>
        </w:tc>
      </w:tr>
    </w:tbl>
    <w:p>
      <w:pPr>
        <w:spacing w:after="0" w:line="156" w:lineRule="exact"/>
        <w:rPr>
          <w:sz w:val="20"/>
          <w:szCs w:val="20"/>
          <w:color w:val="auto"/>
        </w:rPr>
      </w:pPr>
    </w:p>
    <w:p>
      <w:pPr>
        <w:ind w:left="860" w:hanging="218"/>
        <w:spacing w:after="0"/>
        <w:tabs>
          <w:tab w:leader="none" w:pos="8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Primarily reflects advertising revenues earned from the use of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content on third-party digital platforms.</w:t>
      </w:r>
    </w:p>
    <w:p>
      <w:pPr>
        <w:spacing w:after="0" w:line="94" w:lineRule="exact"/>
        <w:rPr>
          <w:rFonts w:ascii="Times New Roman" w:cs="Times New Roman" w:eastAsia="Times New Roman" w:hAnsi="Times New Roman"/>
          <w:sz w:val="16"/>
          <w:szCs w:val="16"/>
          <w:color w:val="auto"/>
        </w:rPr>
      </w:pPr>
    </w:p>
    <w:p>
      <w:pPr>
        <w:ind w:left="880" w:right="720" w:hanging="238"/>
        <w:spacing w:after="0" w:line="292" w:lineRule="auto"/>
        <w:tabs>
          <w:tab w:leader="none" w:pos="87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segment include employee compensation; costs relating to the distribution of our content; costs for occupancy, technology, and professional services; and other costs associated with our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Theatrical</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color w:val="auto"/>
        </w:rPr>
        <w:t xml:space="preserve">Theatrical revenues during the 2025 period benefited from the second quarter 2025 release of </w:t>
      </w:r>
      <w:r>
        <w:rPr>
          <w:rFonts w:ascii="Times New Roman" w:cs="Times New Roman" w:eastAsia="Times New Roman" w:hAnsi="Times New Roman"/>
          <w:sz w:val="19"/>
          <w:szCs w:val="19"/>
          <w:i w:val="1"/>
          <w:iCs w:val="1"/>
          <w:color w:val="auto"/>
        </w:rPr>
        <w:t>Mission: Impossible-The Final Reckoning</w:t>
      </w:r>
      <w:r>
        <w:rPr>
          <w:rFonts w:ascii="Times New Roman" w:cs="Times New Roman" w:eastAsia="Times New Roman" w:hAnsi="Times New Roman"/>
          <w:sz w:val="19"/>
          <w:szCs w:val="19"/>
          <w:color w:val="auto"/>
        </w:rPr>
        <w:t xml:space="preserve"> and the fourth quarter 2024 release of </w:t>
      </w:r>
      <w:r>
        <w:rPr>
          <w:rFonts w:ascii="Times New Roman" w:cs="Times New Roman" w:eastAsia="Times New Roman" w:hAnsi="Times New Roman"/>
          <w:sz w:val="19"/>
          <w:szCs w:val="19"/>
          <w:i w:val="1"/>
          <w:iCs w:val="1"/>
          <w:color w:val="auto"/>
        </w:rPr>
        <w:t>Sonic the Hedgehog 3</w:t>
      </w:r>
      <w:r>
        <w:rPr>
          <w:rFonts w:ascii="Times New Roman" w:cs="Times New Roman" w:eastAsia="Times New Roman" w:hAnsi="Times New Roman"/>
          <w:sz w:val="19"/>
          <w:szCs w:val="19"/>
          <w:color w:val="auto"/>
        </w:rPr>
        <w:t xml:space="preserve">, which also benefited 2024 revenues, along with the releases of </w:t>
      </w:r>
      <w:r>
        <w:rPr>
          <w:rFonts w:ascii="Times New Roman" w:cs="Times New Roman" w:eastAsia="Times New Roman" w:hAnsi="Times New Roman"/>
          <w:sz w:val="19"/>
          <w:szCs w:val="19"/>
          <w:i w:val="1"/>
          <w:iCs w:val="1"/>
          <w:color w:val="auto"/>
        </w:rPr>
        <w:t>Gladiator 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 Quiet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Place: Day One</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i w:val="1"/>
          <w:iCs w:val="1"/>
          <w:color w:val="auto"/>
        </w:rPr>
        <w:t xml:space="preserve"> Transformers One</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Licensing and other revenues principally reflect revenues from the content licensed in each period.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Content costs in each period include costs associated with the theatrical and licensing revenues above.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and marketing costs primarily include costs associated with theatrical releases in each period.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expenses for the period in 2025 benefited from cost savings initiatives.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OIBDA in each of the periods includes the impact from films in theaters during each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Sources and Uses of Cash</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project anticipated cash requirements for our operating, investing and financing needs as well as cash flows expected to be generated and available to meet these needs. Our operating needs include, among other items, expenditures for content for our broadcast and cable networks and streaming services, including television and film programming, sports rights, and talent contracts, as well as advertising and marketing costs to promote our content and platforms; payments for leases, interest, and income taxes; and pension funding obligations. Certain of our cash requirements discussed above are associated with long-term contractual commitments (see Notes 10 and 18 to the consolidated financial statements).</w:t>
      </w:r>
    </w:p>
    <w:p>
      <w:pPr>
        <w:spacing w:after="0" w:line="1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investing and financing spending includes capital expenditures; acquisitions; funding of investments, including our streaming joint venture, SkyShowtime, under which we and our joint venture partner committed to support initial operations over a multiyear period; discretionary share repurchases; dividends; and principal payments on our outstanding indebtedness. Our long-term debt obligations due over the next five years were $3.34 billion as of December 31, 2025 (see Note 9 to the consolidated financial statements). We routinely assess our capital structure and opportunistically enter into transactions to manage our outstanding debt maturities, which could result in a charge from the early extinguishment of debt.</w:t>
      </w:r>
    </w:p>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Funding for both our short-term and long-term operating, investing and financing needs will come primarily from cash flows from operating activities, cash and cash equivalents, which were $3.27 billion as of December 31, 2025, and our ability to refinance our debt. Any additional cash funding requirements are financed with short-term borrowings, including commercial paper, and long-term debt. To the extent that commercial paper is not available to us, the borrowing capacity under our $3.50 billion Credit Facility described below is sufficient to satisfy short-term borrowing needs. In addition, if necessary, we can increase our liquidity position by reducing non-committed spending.</w:t>
      </w:r>
    </w:p>
    <w:p>
      <w:pPr>
        <w:spacing w:after="0" w:line="20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In connection with the Transactions, $1.52 billion of cash from the PIPE Transaction was provided to the Company, which was used to pay Paramount Global’s transaction-related costs and to pay down borrowings of $720 million outstanding under Skydance’s revolving credit facility.</w:t>
      </w:r>
    </w:p>
    <w:p>
      <w:pPr>
        <w:spacing w:after="0" w:line="200" w:lineRule="exact"/>
        <w:rPr>
          <w:sz w:val="20"/>
          <w:szCs w:val="20"/>
          <w:color w:val="auto"/>
        </w:rPr>
      </w:pP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Our access to capital markets and the cost of any new borrowings are impacted by factors outside our control, including economic and market conditions, as well as by ratings assigned by independent rating agencies. As a result, there can be no assurance that we will be able to access capital markets on terms and conditions favorable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changes in cash and cash equivalents were as follows:</w:t>
      </w:r>
    </w:p>
    <w:p>
      <w:pPr>
        <w:spacing w:after="0" w:line="261" w:lineRule="exact"/>
        <w:rPr>
          <w:sz w:val="20"/>
          <w:szCs w:val="20"/>
          <w:color w:val="auto"/>
        </w:rPr>
      </w:pPr>
    </w:p>
    <w:tbl>
      <w:tblPr>
        <w:tblLayout w:type="fixed"/>
        <w:tblInd w:w="260" w:type="dxa"/>
        <w:tblCellMar>
          <w:top w:w="0" w:type="dxa"/>
          <w:left w:w="0" w:type="dxa"/>
          <w:bottom w:w="0" w:type="dxa"/>
          <w:right w:w="0" w:type="dxa"/>
        </w:tblCellMar>
      </w:tblPr>
      <w:tr>
        <w:trPr>
          <w:trHeight w:val="266"/>
        </w:trPr>
        <w:tc>
          <w:tcPr>
            <w:tcW w:w="57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300" w:type="dxa"/>
            <w:vAlign w:val="bottom"/>
            <w:tcBorders>
              <w:top w:val="single" w:sz="8" w:color="auto"/>
              <w:right w:val="single" w:sz="8" w:color="auto"/>
            </w:tcBorders>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520" w:type="dxa"/>
            <w:vAlign w:val="bottom"/>
            <w:tcBorders>
              <w:top w:val="single" w:sz="8" w:color="auto"/>
            </w:tcBorders>
          </w:tcPr>
          <w:p>
            <w:pPr>
              <w:spacing w:after="0"/>
              <w:rPr>
                <w:sz w:val="23"/>
                <w:szCs w:val="23"/>
                <w:color w:val="auto"/>
              </w:rPr>
            </w:pPr>
          </w:p>
        </w:tc>
        <w:tc>
          <w:tcPr>
            <w:tcW w:w="1700" w:type="dxa"/>
            <w:vAlign w:val="bottom"/>
            <w:tcBorders>
              <w:top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060" w:type="dxa"/>
            <w:vAlign w:val="bottom"/>
            <w:tcBorders>
              <w:top w:val="single" w:sz="8" w:color="auto"/>
            </w:tcBorders>
          </w:tcPr>
          <w:p>
            <w:pPr>
              <w:spacing w:after="0"/>
              <w:rPr>
                <w:sz w:val="23"/>
                <w:szCs w:val="23"/>
                <w:color w:val="auto"/>
              </w:rPr>
            </w:pPr>
          </w:p>
        </w:tc>
      </w:tr>
      <w:tr>
        <w:trPr>
          <w:trHeight w:val="25"/>
        </w:trPr>
        <w:tc>
          <w:tcPr>
            <w:tcW w:w="5780" w:type="dxa"/>
            <w:vAlign w:val="bottom"/>
          </w:tcPr>
          <w:p>
            <w:pPr>
              <w:spacing w:after="0"/>
              <w:rPr>
                <w:sz w:val="2"/>
                <w:szCs w:val="2"/>
                <w:color w:val="auto"/>
              </w:rPr>
            </w:pPr>
          </w:p>
        </w:tc>
        <w:tc>
          <w:tcPr>
            <w:tcW w:w="1680" w:type="dxa"/>
            <w:vAlign w:val="bottom"/>
            <w:tcBorders>
              <w:bottom w:val="single" w:sz="8" w:color="auto"/>
              <w:right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1"/>
        </w:trPr>
        <w:tc>
          <w:tcPr>
            <w:tcW w:w="57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Period From</w:t>
            </w:r>
          </w:p>
        </w:tc>
        <w:tc>
          <w:tcPr>
            <w:tcW w:w="17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Period From</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5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Borders>
              <w:right w:val="single" w:sz="8" w:color="auto"/>
            </w:tcBorders>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8"/>
              </w:rPr>
              <w:t>August 7 -</w:t>
            </w:r>
          </w:p>
        </w:tc>
        <w:tc>
          <w:tcPr>
            <w:tcW w:w="17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January 1 - August</w:t>
            </w:r>
          </w:p>
        </w:tc>
        <w:tc>
          <w:tcPr>
            <w:tcW w:w="152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3"/>
        </w:trPr>
        <w:tc>
          <w:tcPr>
            <w:tcW w:w="5780" w:type="dxa"/>
            <w:vAlign w:val="bottom"/>
          </w:tcPr>
          <w:p>
            <w:pPr>
              <w:spacing w:after="0"/>
              <w:rPr>
                <w:sz w:val="20"/>
                <w:szCs w:val="20"/>
                <w:color w:val="auto"/>
              </w:rPr>
            </w:pPr>
          </w:p>
        </w:tc>
        <w:tc>
          <w:tcPr>
            <w:tcW w:w="1680" w:type="dxa"/>
            <w:vAlign w:val="bottom"/>
            <w:tcBorders>
              <w:right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520" w:type="dxa"/>
            <w:vAlign w:val="bottom"/>
          </w:tcPr>
          <w:p>
            <w:pPr>
              <w:spacing w:after="0"/>
              <w:rPr>
                <w:sz w:val="20"/>
                <w:szCs w:val="20"/>
                <w:color w:val="auto"/>
              </w:rPr>
            </w:pPr>
          </w:p>
        </w:tc>
        <w:tc>
          <w:tcPr>
            <w:tcW w:w="1240" w:type="dxa"/>
            <w:vAlign w:val="bottom"/>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6,</w:t>
            </w: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6"/>
        </w:trPr>
        <w:tc>
          <w:tcPr>
            <w:tcW w:w="5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5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Borders>
              <w:right w:val="single" w:sz="8" w:color="auto"/>
            </w:tcBorders>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520" w:type="dxa"/>
            <w:vAlign w:val="bottom"/>
          </w:tcPr>
          <w:p>
            <w:pPr>
              <w:spacing w:after="0"/>
              <w:rPr>
                <w:sz w:val="20"/>
                <w:szCs w:val="20"/>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0"/>
                <w:szCs w:val="20"/>
                <w:color w:val="auto"/>
              </w:rPr>
            </w:pPr>
          </w:p>
        </w:tc>
        <w:tc>
          <w:tcPr>
            <w:tcW w:w="106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
        </w:trPr>
        <w:tc>
          <w:tcPr>
            <w:tcW w:w="5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 provided by operating activities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485</w:t>
            </w: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164</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752</w:t>
            </w:r>
          </w:p>
        </w:tc>
      </w:tr>
      <w:tr>
        <w:trPr>
          <w:trHeight w:val="25"/>
        </w:trPr>
        <w:tc>
          <w:tcPr>
            <w:tcW w:w="5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 (used for) provided by investing activities from:</w:t>
            </w:r>
          </w:p>
        </w:tc>
        <w:tc>
          <w:tcPr>
            <w:tcW w:w="38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5"/>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80" w:type="dxa"/>
            <w:vAlign w:val="bottom"/>
          </w:tcPr>
          <w:p>
            <w:pPr>
              <w:spacing w:after="0"/>
              <w:rPr>
                <w:sz w:val="23"/>
                <w:szCs w:val="23"/>
                <w:color w:val="auto"/>
              </w:rPr>
            </w:pPr>
          </w:p>
        </w:tc>
        <w:tc>
          <w:tcPr>
            <w:tcW w:w="1300" w:type="dxa"/>
            <w:vAlign w:val="bottom"/>
            <w:tcBorders>
              <w:right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(160)</w:t>
            </w:r>
          </w:p>
        </w:tc>
        <w:tc>
          <w:tcPr>
            <w:tcW w:w="520" w:type="dxa"/>
            <w:vAlign w:val="bottom"/>
          </w:tcPr>
          <w:p>
            <w:pPr>
              <w:spacing w:after="0"/>
              <w:rPr>
                <w:sz w:val="23"/>
                <w:szCs w:val="23"/>
                <w:color w:val="auto"/>
              </w:rPr>
            </w:pP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(276)</w:t>
            </w:r>
          </w:p>
        </w:tc>
        <w:tc>
          <w:tcPr>
            <w:tcW w:w="460" w:type="dxa"/>
            <w:vAlign w:val="bottom"/>
          </w:tcPr>
          <w:p>
            <w:pPr>
              <w:spacing w:after="0"/>
              <w:rPr>
                <w:sz w:val="23"/>
                <w:szCs w:val="23"/>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(43)</w:t>
            </w:r>
          </w:p>
        </w:tc>
      </w:tr>
      <w:tr>
        <w:trPr>
          <w:trHeight w:val="265"/>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tcPr>
          <w:p>
            <w:pPr>
              <w:spacing w:after="0"/>
              <w:rPr>
                <w:sz w:val="23"/>
                <w:szCs w:val="23"/>
                <w:color w:val="auto"/>
              </w:rPr>
            </w:pPr>
          </w:p>
        </w:tc>
        <w:tc>
          <w:tcPr>
            <w:tcW w:w="1300" w:type="dxa"/>
            <w:vAlign w:val="bottom"/>
            <w:tcBorders>
              <w:right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55</w:t>
            </w:r>
          </w:p>
        </w:tc>
      </w:tr>
      <w:tr>
        <w:trPr>
          <w:trHeight w:val="26"/>
        </w:trPr>
        <w:tc>
          <w:tcPr>
            <w:tcW w:w="5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 (used for) provided by investing activities</w:t>
            </w:r>
          </w:p>
        </w:tc>
        <w:tc>
          <w:tcPr>
            <w:tcW w:w="380" w:type="dxa"/>
            <w:vAlign w:val="bottom"/>
          </w:tcPr>
          <w:p>
            <w:pPr>
              <w:spacing w:after="0"/>
              <w:rPr>
                <w:sz w:val="20"/>
                <w:szCs w:val="20"/>
                <w:color w:val="auto"/>
              </w:rPr>
            </w:pPr>
          </w:p>
        </w:tc>
        <w:tc>
          <w:tcPr>
            <w:tcW w:w="1300" w:type="dxa"/>
            <w:vAlign w:val="bottom"/>
            <w:tcBorders>
              <w:right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(160)</w:t>
            </w:r>
          </w:p>
        </w:tc>
        <w:tc>
          <w:tcPr>
            <w:tcW w:w="520" w:type="dxa"/>
            <w:vAlign w:val="bottom"/>
          </w:tcPr>
          <w:p>
            <w:pPr>
              <w:spacing w:after="0"/>
              <w:rPr>
                <w:sz w:val="20"/>
                <w:szCs w:val="20"/>
                <w:color w:val="auto"/>
              </w:rPr>
            </w:pP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(276)</w:t>
            </w:r>
          </w:p>
        </w:tc>
        <w:tc>
          <w:tcPr>
            <w:tcW w:w="460" w:type="dxa"/>
            <w:vAlign w:val="bottom"/>
          </w:tcPr>
          <w:p>
            <w:pPr>
              <w:spacing w:after="0"/>
              <w:rPr>
                <w:sz w:val="20"/>
                <w:szCs w:val="20"/>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12</w:t>
            </w:r>
          </w:p>
        </w:tc>
      </w:tr>
      <w:tr>
        <w:trPr>
          <w:trHeight w:val="25"/>
        </w:trPr>
        <w:tc>
          <w:tcPr>
            <w:tcW w:w="5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 used for financing activities</w:t>
            </w:r>
          </w:p>
        </w:tc>
        <w:tc>
          <w:tcPr>
            <w:tcW w:w="380" w:type="dxa"/>
            <w:vAlign w:val="bottom"/>
          </w:tcPr>
          <w:p>
            <w:pPr>
              <w:spacing w:after="0"/>
              <w:rPr>
                <w:sz w:val="20"/>
                <w:szCs w:val="20"/>
                <w:color w:val="auto"/>
              </w:rPr>
            </w:pPr>
          </w:p>
        </w:tc>
        <w:tc>
          <w:tcPr>
            <w:tcW w:w="1300" w:type="dxa"/>
            <w:vAlign w:val="bottom"/>
            <w:tcBorders>
              <w:right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(911)</w:t>
            </w:r>
          </w:p>
        </w:tc>
        <w:tc>
          <w:tcPr>
            <w:tcW w:w="520" w:type="dxa"/>
            <w:vAlign w:val="bottom"/>
          </w:tcPr>
          <w:p>
            <w:pPr>
              <w:spacing w:after="0"/>
              <w:rPr>
                <w:sz w:val="20"/>
                <w:szCs w:val="20"/>
                <w:color w:val="auto"/>
              </w:rPr>
            </w:pP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(159)</w:t>
            </w:r>
          </w:p>
        </w:tc>
        <w:tc>
          <w:tcPr>
            <w:tcW w:w="460" w:type="dxa"/>
            <w:vAlign w:val="bottom"/>
          </w:tcPr>
          <w:p>
            <w:pPr>
              <w:spacing w:after="0"/>
              <w:rPr>
                <w:sz w:val="20"/>
                <w:szCs w:val="20"/>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(507)</w:t>
            </w:r>
          </w:p>
        </w:tc>
      </w:tr>
      <w:tr>
        <w:trPr>
          <w:trHeight w:val="25"/>
        </w:trPr>
        <w:tc>
          <w:tcPr>
            <w:tcW w:w="5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80" w:type="dxa"/>
            <w:vAlign w:val="bottom"/>
          </w:tcPr>
          <w:p>
            <w:pPr>
              <w:spacing w:after="0"/>
              <w:rPr>
                <w:sz w:val="20"/>
                <w:szCs w:val="20"/>
                <w:color w:val="auto"/>
              </w:rPr>
            </w:pPr>
          </w:p>
        </w:tc>
        <w:tc>
          <w:tcPr>
            <w:tcW w:w="1300" w:type="dxa"/>
            <w:vAlign w:val="bottom"/>
            <w:tcBorders>
              <w:right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tcPr>
          <w:p>
            <w:pPr>
              <w:spacing w:after="0"/>
              <w:rPr>
                <w:sz w:val="20"/>
                <w:szCs w:val="20"/>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tcPr>
          <w:p>
            <w:pPr>
              <w:spacing w:after="0"/>
              <w:rPr>
                <w:sz w:val="20"/>
                <w:szCs w:val="20"/>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(56)</w:t>
            </w:r>
          </w:p>
        </w:tc>
      </w:tr>
      <w:tr>
        <w:trPr>
          <w:trHeight w:val="26"/>
        </w:trPr>
        <w:tc>
          <w:tcPr>
            <w:tcW w:w="5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(577)</w:t>
            </w: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(201)</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201</w:t>
            </w:r>
          </w:p>
        </w:tc>
      </w:tr>
      <w:tr>
        <w:trPr>
          <w:trHeight w:val="32"/>
        </w:trPr>
        <w:tc>
          <w:tcPr>
            <w:tcW w:w="5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 xml:space="preserve">Operating Activities. </w:t>
      </w:r>
      <w:r>
        <w:rPr>
          <w:rFonts w:ascii="Times New Roman" w:cs="Times New Roman" w:eastAsia="Times New Roman" w:hAnsi="Times New Roman"/>
          <w:sz w:val="19"/>
          <w:szCs w:val="19"/>
          <w:color w:val="auto"/>
        </w:rPr>
        <w:t>Net cash flow provided by operating activities includes payments of $95 million and $111 million to fund the Company’s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qualified pension plans in the 2025 Successor and Predecessor periods, respectively. Additionally, net cash flow provided by operating activities includes payments of $233 million for the period from August 7 - December 31, 2025 (Successor), $226 million for the period from January 1 - August 6, 2025 (Predecessor), and $325 million for the year ended December 31, 2024 (Predecessor), associated with restructuring, transaction-related costs and transformation initiatives, including the unification and evolution of systems and platforms, and migration to the cloud. For 2024 this amount is net of insurance recoveries received related to litigation associated with the 2019 merger of Viacom Inc. and CBS Corporation.</w:t>
      </w:r>
    </w:p>
    <w:p>
      <w:pPr>
        <w:spacing w:after="0" w:line="3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are currently undergoing significant transformational activities that are expected to include up to approximately $800 million of costs to be incurred in 2026. These costs will include severance payments resulting from our restructuring actions, capital expenditures to transform our streaming platform, global enterprise systems and office facilities, and professional fees incurred in connection with these initiatives.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48" w:name="page49"/>
    <w:bookmarkEnd w:id="48"/>
    <w:p>
      <w:pPr>
        <w:jc w:val="center"/>
        <w:ind w:right="-5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129540</wp:posOffset>
            </wp:positionV>
            <wp:extent cx="640270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02705" cy="16510"/>
                    </a:xfrm>
                    <a:prstGeom prst="rect">
                      <a:avLst/>
                    </a:prstGeom>
                    <a:noFill/>
                  </pic:spPr>
                </pic:pic>
              </a:graphicData>
            </a:graphic>
          </wp:anchor>
        </w:drawing>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5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560" w:type="dxa"/>
            <w:vAlign w:val="bottom"/>
          </w:tcPr>
          <w:p>
            <w:pPr>
              <w:spacing w:after="0"/>
              <w:rPr>
                <w:sz w:val="20"/>
                <w:szCs w:val="20"/>
                <w:color w:val="auto"/>
              </w:rPr>
            </w:pPr>
          </w:p>
        </w:tc>
        <w:tc>
          <w:tcPr>
            <w:tcW w:w="16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060" w:type="dxa"/>
            <w:vAlign w:val="bottom"/>
          </w:tcPr>
          <w:p>
            <w:pPr>
              <w:spacing w:after="0"/>
              <w:rPr>
                <w:sz w:val="20"/>
                <w:szCs w:val="20"/>
                <w:color w:val="auto"/>
              </w:rPr>
            </w:pPr>
          </w:p>
        </w:tc>
      </w:tr>
      <w:tr>
        <w:trPr>
          <w:trHeight w:val="25"/>
        </w:trPr>
        <w:tc>
          <w:tcPr>
            <w:tcW w:w="514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1"/>
        </w:trPr>
        <w:tc>
          <w:tcPr>
            <w:tcW w:w="5140" w:type="dxa"/>
            <w:vAlign w:val="bottom"/>
          </w:tcPr>
          <w:p>
            <w:pPr>
              <w:spacing w:after="0"/>
              <w:rPr>
                <w:sz w:val="18"/>
                <w:szCs w:val="18"/>
                <w:color w:val="auto"/>
              </w:rPr>
            </w:pPr>
          </w:p>
        </w:tc>
        <w:tc>
          <w:tcPr>
            <w:tcW w:w="1660" w:type="dxa"/>
            <w:vAlign w:val="bottom"/>
            <w:tcBorders>
              <w:right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Period From</w:t>
            </w:r>
          </w:p>
        </w:tc>
        <w:tc>
          <w:tcPr>
            <w:tcW w:w="17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Period From</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5140" w:type="dxa"/>
            <w:vAlign w:val="bottom"/>
          </w:tcPr>
          <w:p>
            <w:pPr>
              <w:spacing w:after="0"/>
              <w:rPr>
                <w:sz w:val="18"/>
                <w:szCs w:val="18"/>
                <w:color w:val="auto"/>
              </w:rPr>
            </w:pPr>
          </w:p>
        </w:tc>
        <w:tc>
          <w:tcPr>
            <w:tcW w:w="1660" w:type="dxa"/>
            <w:vAlign w:val="bottom"/>
            <w:tcBorders>
              <w:right w:val="single" w:sz="8" w:color="auto"/>
            </w:tcBorders>
            <w:gridSpan w:val="2"/>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August 7 -</w:t>
            </w:r>
          </w:p>
        </w:tc>
        <w:tc>
          <w:tcPr>
            <w:tcW w:w="17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January 1 - August</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Year Ended</w:t>
            </w:r>
          </w:p>
        </w:tc>
      </w:tr>
      <w:tr>
        <w:trPr>
          <w:trHeight w:val="233"/>
        </w:trPr>
        <w:tc>
          <w:tcPr>
            <w:tcW w:w="5140" w:type="dxa"/>
            <w:vAlign w:val="bottom"/>
          </w:tcPr>
          <w:p>
            <w:pPr>
              <w:spacing w:after="0"/>
              <w:rPr>
                <w:sz w:val="20"/>
                <w:szCs w:val="20"/>
                <w:color w:val="auto"/>
              </w:rPr>
            </w:pPr>
          </w:p>
        </w:tc>
        <w:tc>
          <w:tcPr>
            <w:tcW w:w="1660" w:type="dxa"/>
            <w:vAlign w:val="bottom"/>
            <w:tcBorders>
              <w:right w:val="single" w:sz="8" w:color="auto"/>
            </w:tcBorders>
            <w:gridSpan w:val="2"/>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560" w:type="dxa"/>
            <w:vAlign w:val="bottom"/>
          </w:tcPr>
          <w:p>
            <w:pPr>
              <w:spacing w:after="0"/>
              <w:rPr>
                <w:sz w:val="20"/>
                <w:szCs w:val="20"/>
                <w:color w:val="auto"/>
              </w:rPr>
            </w:pPr>
          </w:p>
        </w:tc>
        <w:tc>
          <w:tcPr>
            <w:tcW w:w="1220" w:type="dxa"/>
            <w:vAlign w:val="bottom"/>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6,</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6"/>
        </w:trPr>
        <w:tc>
          <w:tcPr>
            <w:tcW w:w="5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5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Borders>
              <w:right w:val="single" w:sz="8" w:color="auto"/>
            </w:tcBorders>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560" w:type="dxa"/>
            <w:vAlign w:val="bottom"/>
          </w:tcPr>
          <w:p>
            <w:pPr>
              <w:spacing w:after="0"/>
              <w:rPr>
                <w:sz w:val="20"/>
                <w:szCs w:val="20"/>
                <w:color w:val="auto"/>
              </w:rPr>
            </w:pPr>
          </w:p>
        </w:tc>
        <w:tc>
          <w:tcPr>
            <w:tcW w:w="122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0"/>
                <w:szCs w:val="20"/>
                <w:color w:val="auto"/>
              </w:rPr>
            </w:pPr>
          </w:p>
        </w:tc>
        <w:tc>
          <w:tcPr>
            <w:tcW w:w="1060" w:type="dxa"/>
            <w:vAlign w:val="bottom"/>
          </w:tcPr>
          <w:p>
            <w:pPr>
              <w:jc w:val="center"/>
              <w:ind w:right="412"/>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5"/>
        </w:trPr>
        <w:tc>
          <w:tcPr>
            <w:tcW w:w="5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(205)</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(326)</w:t>
            </w:r>
          </w:p>
        </w:tc>
      </w:tr>
      <w:tr>
        <w:trPr>
          <w:trHeight w:val="29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2"/>
                <w:szCs w:val="22"/>
                <w:color w:val="auto"/>
                <w:vertAlign w:val="superscript"/>
              </w:rPr>
              <w:t>(a)</w:t>
            </w:r>
          </w:p>
        </w:tc>
        <w:tc>
          <w:tcPr>
            <w:tcW w:w="400" w:type="dxa"/>
            <w:vAlign w:val="bottom"/>
          </w:tcPr>
          <w:p>
            <w:pPr>
              <w:spacing w:after="0"/>
              <w:rPr>
                <w:sz w:val="24"/>
                <w:szCs w:val="24"/>
                <w:color w:val="auto"/>
              </w:rPr>
            </w:pPr>
          </w:p>
        </w:tc>
        <w:tc>
          <w:tcPr>
            <w:tcW w:w="1260" w:type="dxa"/>
            <w:vAlign w:val="bottom"/>
            <w:tcBorders>
              <w:right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(162)</w:t>
            </w:r>
          </w:p>
        </w:tc>
        <w:tc>
          <w:tcPr>
            <w:tcW w:w="56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(134)</w:t>
            </w:r>
          </w:p>
        </w:tc>
        <w:tc>
          <w:tcPr>
            <w:tcW w:w="4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(263)</w:t>
            </w:r>
          </w:p>
        </w:tc>
      </w:tr>
      <w:tr>
        <w:trPr>
          <w:trHeight w:val="231"/>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400" w:type="dxa"/>
            <w:vAlign w:val="bottom"/>
          </w:tcPr>
          <w:p>
            <w:pPr>
              <w:spacing w:after="0"/>
              <w:rPr>
                <w:sz w:val="20"/>
                <w:szCs w:val="20"/>
                <w:color w:val="auto"/>
              </w:rPr>
            </w:pPr>
          </w:p>
        </w:tc>
        <w:tc>
          <w:tcPr>
            <w:tcW w:w="1260" w:type="dxa"/>
            <w:vAlign w:val="bottom"/>
            <w:tcBorders>
              <w:right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(60)</w:t>
            </w:r>
          </w:p>
        </w:tc>
        <w:tc>
          <w:tcPr>
            <w:tcW w:w="560" w:type="dxa"/>
            <w:vAlign w:val="bottom"/>
          </w:tcPr>
          <w:p>
            <w:pPr>
              <w:spacing w:after="0"/>
              <w:rPr>
                <w:sz w:val="20"/>
                <w:szCs w:val="20"/>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r>
      <w:tr>
        <w:trPr>
          <w:trHeight w:val="29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Proceeds from dispositions </w:t>
            </w:r>
            <w:r>
              <w:rPr>
                <w:rFonts w:ascii="Times New Roman" w:cs="Times New Roman" w:eastAsia="Times New Roman" w:hAnsi="Times New Roman"/>
                <w:sz w:val="22"/>
                <w:szCs w:val="22"/>
                <w:color w:val="auto"/>
                <w:vertAlign w:val="superscript"/>
              </w:rPr>
              <w:t>(b)</w:t>
            </w:r>
          </w:p>
        </w:tc>
        <w:tc>
          <w:tcPr>
            <w:tcW w:w="400" w:type="dxa"/>
            <w:vAlign w:val="bottom"/>
          </w:tcPr>
          <w:p>
            <w:pPr>
              <w:spacing w:after="0"/>
              <w:rPr>
                <w:sz w:val="24"/>
                <w:szCs w:val="24"/>
                <w:color w:val="auto"/>
              </w:rPr>
            </w:pPr>
          </w:p>
        </w:tc>
        <w:tc>
          <w:tcPr>
            <w:tcW w:w="1260" w:type="dxa"/>
            <w:vAlign w:val="bottom"/>
            <w:tcBorders>
              <w:right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95</w:t>
            </w:r>
          </w:p>
        </w:tc>
        <w:tc>
          <w:tcPr>
            <w:tcW w:w="56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66</w:t>
            </w:r>
          </w:p>
        </w:tc>
        <w:tc>
          <w:tcPr>
            <w:tcW w:w="460" w:type="dxa"/>
            <w:vAlign w:val="bottom"/>
          </w:tcPr>
          <w:p>
            <w:pPr>
              <w:spacing w:after="0"/>
              <w:rPr>
                <w:sz w:val="24"/>
                <w:szCs w:val="24"/>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554</w:t>
            </w:r>
          </w:p>
        </w:tc>
      </w:tr>
      <w:tr>
        <w:trPr>
          <w:trHeight w:val="231"/>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400" w:type="dxa"/>
            <w:vAlign w:val="bottom"/>
          </w:tcPr>
          <w:p>
            <w:pPr>
              <w:spacing w:after="0"/>
              <w:rPr>
                <w:sz w:val="20"/>
                <w:szCs w:val="20"/>
                <w:color w:val="auto"/>
              </w:rPr>
            </w:pPr>
          </w:p>
        </w:tc>
        <w:tc>
          <w:tcPr>
            <w:tcW w:w="1260" w:type="dxa"/>
            <w:vAlign w:val="bottom"/>
            <w:tcBorders>
              <w:right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20"/>
                <w:szCs w:val="20"/>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(8)</w:t>
            </w:r>
          </w:p>
        </w:tc>
      </w:tr>
      <w:tr>
        <w:trPr>
          <w:trHeight w:val="25"/>
        </w:trPr>
        <w:tc>
          <w:tcPr>
            <w:tcW w:w="5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 used for investing activities from continuing</w:t>
            </w:r>
          </w:p>
        </w:tc>
        <w:tc>
          <w:tcPr>
            <w:tcW w:w="4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1"/>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400" w:type="dxa"/>
            <w:vAlign w:val="bottom"/>
          </w:tcPr>
          <w:p>
            <w:pPr>
              <w:spacing w:after="0"/>
              <w:rPr>
                <w:sz w:val="20"/>
                <w:szCs w:val="20"/>
                <w:color w:val="auto"/>
              </w:rPr>
            </w:pPr>
          </w:p>
        </w:tc>
        <w:tc>
          <w:tcPr>
            <w:tcW w:w="1260" w:type="dxa"/>
            <w:vAlign w:val="bottom"/>
            <w:tcBorders>
              <w:right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(160)</w:t>
            </w:r>
          </w:p>
        </w:tc>
        <w:tc>
          <w:tcPr>
            <w:tcW w:w="560" w:type="dxa"/>
            <w:vAlign w:val="bottom"/>
          </w:tcPr>
          <w:p>
            <w:pPr>
              <w:spacing w:after="0"/>
              <w:rPr>
                <w:sz w:val="20"/>
                <w:szCs w:val="20"/>
                <w:color w:val="auto"/>
              </w:rPr>
            </w:pP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(276)</w:t>
            </w:r>
          </w:p>
        </w:tc>
        <w:tc>
          <w:tcPr>
            <w:tcW w:w="460" w:type="dxa"/>
            <w:vAlign w:val="bottom"/>
          </w:tcPr>
          <w:p>
            <w:pPr>
              <w:spacing w:after="0"/>
              <w:rPr>
                <w:sz w:val="20"/>
                <w:szCs w:val="20"/>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(43)</w:t>
            </w:r>
          </w:p>
        </w:tc>
      </w:tr>
      <w:tr>
        <w:trPr>
          <w:trHeight w:val="24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 provided by investing activities from</w:t>
            </w:r>
          </w:p>
        </w:tc>
        <w:tc>
          <w:tcPr>
            <w:tcW w:w="40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7"/>
        </w:trPr>
        <w:tc>
          <w:tcPr>
            <w:tcW w:w="51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xml:space="preserve">discontinued operations </w:t>
            </w:r>
            <w:r>
              <w:rPr>
                <w:rFonts w:ascii="Times New Roman" w:cs="Times New Roman" w:eastAsia="Times New Roman" w:hAnsi="Times New Roman"/>
                <w:sz w:val="22"/>
                <w:szCs w:val="22"/>
                <w:color w:val="auto"/>
                <w:vertAlign w:val="superscript"/>
              </w:rPr>
              <w:t>(c)</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55</w:t>
            </w:r>
          </w:p>
        </w:tc>
      </w:tr>
      <w:tr>
        <w:trPr>
          <w:trHeight w:val="23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 (used for) provided by investing activities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(160)</w:t>
            </w: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(276)</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12</w:t>
            </w:r>
          </w:p>
        </w:tc>
      </w:tr>
      <w:tr>
        <w:trPr>
          <w:trHeight w:val="32"/>
        </w:trPr>
        <w:tc>
          <w:tcPr>
            <w:tcW w:w="5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ind w:left="800" w:right="160" w:hanging="238"/>
        <w:spacing w:after="0" w:line="285" w:lineRule="auto"/>
        <w:tabs>
          <w:tab w:leader="none" w:pos="787"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payments associated with the implementation of our transformation initiatives of $1 million for the 2025 Successor period, $2 million for the 2025 Predecessor period, and $22 million for 2024.</w:t>
      </w:r>
    </w:p>
    <w:p>
      <w:pPr>
        <w:jc w:val="both"/>
        <w:ind w:left="800" w:right="160" w:hanging="238"/>
        <w:spacing w:after="0" w:line="288" w:lineRule="auto"/>
        <w:tabs>
          <w:tab w:leader="none" w:pos="79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2025 Successor period primarily reflects the proceeds received from the sale of Telefe in Argentina in October 2025. 2025 Predecessor period primarily reflects proceeds received from the disposition of a noncore business. 2024 primarily reflects the gross proceeds of $508 million received from the sale of our 13% interest in Viacom18. All periods include the collection of receivables associated with the 2022 sale of a 37.5% interest in The CW.</w:t>
      </w:r>
    </w:p>
    <w:p>
      <w:pPr>
        <w:spacing w:after="0" w:line="1" w:lineRule="exact"/>
        <w:rPr>
          <w:rFonts w:ascii="Times New Roman" w:cs="Times New Roman" w:eastAsia="Times New Roman" w:hAnsi="Times New Roman"/>
          <w:sz w:val="15"/>
          <w:szCs w:val="15"/>
          <w:color w:val="auto"/>
        </w:rPr>
      </w:pPr>
    </w:p>
    <w:p>
      <w:pPr>
        <w:ind w:left="780" w:hanging="218"/>
        <w:spacing w:after="0"/>
        <w:tabs>
          <w:tab w:leader="none" w:pos="7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2024 reflects additional proceeds received from working capital adjustments related to the sale of Simon &amp; Schuster in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Financing Activities</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266"/>
        </w:trPr>
        <w:tc>
          <w:tcPr>
            <w:tcW w:w="51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260" w:type="dxa"/>
            <w:vAlign w:val="bottom"/>
            <w:tcBorders>
              <w:top w:val="single" w:sz="8" w:color="auto"/>
              <w:right w:val="single" w:sz="8" w:color="auto"/>
            </w:tcBorders>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560" w:type="dxa"/>
            <w:vAlign w:val="bottom"/>
            <w:tcBorders>
              <w:top w:val="single" w:sz="8" w:color="auto"/>
            </w:tcBorders>
          </w:tcPr>
          <w:p>
            <w:pPr>
              <w:spacing w:after="0"/>
              <w:rPr>
                <w:sz w:val="23"/>
                <w:szCs w:val="23"/>
                <w:color w:val="auto"/>
              </w:rPr>
            </w:pPr>
          </w:p>
        </w:tc>
        <w:tc>
          <w:tcPr>
            <w:tcW w:w="1680" w:type="dxa"/>
            <w:vAlign w:val="bottom"/>
            <w:tcBorders>
              <w:top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060" w:type="dxa"/>
            <w:vAlign w:val="bottom"/>
            <w:tcBorders>
              <w:top w:val="single" w:sz="8" w:color="auto"/>
            </w:tcBorders>
          </w:tcPr>
          <w:p>
            <w:pPr>
              <w:spacing w:after="0"/>
              <w:rPr>
                <w:sz w:val="23"/>
                <w:szCs w:val="23"/>
                <w:color w:val="auto"/>
              </w:rPr>
            </w:pPr>
          </w:p>
        </w:tc>
      </w:tr>
      <w:tr>
        <w:trPr>
          <w:trHeight w:val="25"/>
        </w:trPr>
        <w:tc>
          <w:tcPr>
            <w:tcW w:w="5140" w:type="dxa"/>
            <w:vAlign w:val="bottom"/>
          </w:tcPr>
          <w:p>
            <w:pPr>
              <w:spacing w:after="0"/>
              <w:rPr>
                <w:sz w:val="2"/>
                <w:szCs w:val="2"/>
                <w:color w:val="auto"/>
              </w:rPr>
            </w:pPr>
          </w:p>
        </w:tc>
        <w:tc>
          <w:tcPr>
            <w:tcW w:w="1660" w:type="dxa"/>
            <w:vAlign w:val="bottom"/>
            <w:tcBorders>
              <w:bottom w:val="single" w:sz="8" w:color="auto"/>
              <w:right w:val="single" w:sz="8" w:color="auto"/>
            </w:tcBorders>
            <w:gridSpan w:val="2"/>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1"/>
        </w:trPr>
        <w:tc>
          <w:tcPr>
            <w:tcW w:w="5140" w:type="dxa"/>
            <w:vAlign w:val="bottom"/>
          </w:tcPr>
          <w:p>
            <w:pPr>
              <w:spacing w:after="0"/>
              <w:rPr>
                <w:sz w:val="18"/>
                <w:szCs w:val="18"/>
                <w:color w:val="auto"/>
              </w:rPr>
            </w:pPr>
          </w:p>
        </w:tc>
        <w:tc>
          <w:tcPr>
            <w:tcW w:w="1660" w:type="dxa"/>
            <w:vAlign w:val="bottom"/>
            <w:tcBorders>
              <w:right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Period From</w:t>
            </w:r>
          </w:p>
        </w:tc>
        <w:tc>
          <w:tcPr>
            <w:tcW w:w="17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Period From</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5140" w:type="dxa"/>
            <w:vAlign w:val="bottom"/>
          </w:tcPr>
          <w:p>
            <w:pPr>
              <w:spacing w:after="0"/>
              <w:rPr>
                <w:sz w:val="18"/>
                <w:szCs w:val="18"/>
                <w:color w:val="auto"/>
              </w:rPr>
            </w:pPr>
          </w:p>
        </w:tc>
        <w:tc>
          <w:tcPr>
            <w:tcW w:w="1660" w:type="dxa"/>
            <w:vAlign w:val="bottom"/>
            <w:tcBorders>
              <w:right w:val="single" w:sz="8" w:color="auto"/>
            </w:tcBorders>
            <w:gridSpan w:val="2"/>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August 7 -</w:t>
            </w:r>
          </w:p>
        </w:tc>
        <w:tc>
          <w:tcPr>
            <w:tcW w:w="17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January 1 - August</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Year Ended</w:t>
            </w:r>
          </w:p>
        </w:tc>
      </w:tr>
      <w:tr>
        <w:trPr>
          <w:trHeight w:val="233"/>
        </w:trPr>
        <w:tc>
          <w:tcPr>
            <w:tcW w:w="5140" w:type="dxa"/>
            <w:vAlign w:val="bottom"/>
          </w:tcPr>
          <w:p>
            <w:pPr>
              <w:spacing w:after="0"/>
              <w:rPr>
                <w:sz w:val="20"/>
                <w:szCs w:val="20"/>
                <w:color w:val="auto"/>
              </w:rPr>
            </w:pPr>
          </w:p>
        </w:tc>
        <w:tc>
          <w:tcPr>
            <w:tcW w:w="1660" w:type="dxa"/>
            <w:vAlign w:val="bottom"/>
            <w:tcBorders>
              <w:right w:val="single" w:sz="8" w:color="auto"/>
            </w:tcBorders>
            <w:gridSpan w:val="2"/>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560" w:type="dxa"/>
            <w:vAlign w:val="bottom"/>
          </w:tcPr>
          <w:p>
            <w:pPr>
              <w:spacing w:after="0"/>
              <w:rPr>
                <w:sz w:val="20"/>
                <w:szCs w:val="20"/>
                <w:color w:val="auto"/>
              </w:rPr>
            </w:pPr>
          </w:p>
        </w:tc>
        <w:tc>
          <w:tcPr>
            <w:tcW w:w="1220" w:type="dxa"/>
            <w:vAlign w:val="bottom"/>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6,</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6"/>
        </w:trPr>
        <w:tc>
          <w:tcPr>
            <w:tcW w:w="5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5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Borders>
              <w:right w:val="single" w:sz="8" w:color="auto"/>
            </w:tcBorders>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560" w:type="dxa"/>
            <w:vAlign w:val="bottom"/>
          </w:tcPr>
          <w:p>
            <w:pPr>
              <w:spacing w:after="0"/>
              <w:rPr>
                <w:sz w:val="20"/>
                <w:szCs w:val="20"/>
                <w:color w:val="auto"/>
              </w:rPr>
            </w:pPr>
          </w:p>
        </w:tc>
        <w:tc>
          <w:tcPr>
            <w:tcW w:w="122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0"/>
                <w:szCs w:val="20"/>
                <w:color w:val="auto"/>
              </w:rPr>
            </w:pPr>
          </w:p>
        </w:tc>
        <w:tc>
          <w:tcPr>
            <w:tcW w:w="1060" w:type="dxa"/>
            <w:vAlign w:val="bottom"/>
          </w:tcPr>
          <w:p>
            <w:pPr>
              <w:jc w:val="center"/>
              <w:ind w:right="412"/>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5"/>
        </w:trPr>
        <w:tc>
          <w:tcPr>
            <w:tcW w:w="5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debt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(126)</w:t>
            </w:r>
          </w:p>
        </w:tc>
      </w:tr>
      <w:tr>
        <w:trPr>
          <w:trHeight w:val="26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Skydance credit facility</w:t>
            </w:r>
          </w:p>
        </w:tc>
        <w:tc>
          <w:tcPr>
            <w:tcW w:w="400" w:type="dxa"/>
            <w:vAlign w:val="bottom"/>
          </w:tcPr>
          <w:p>
            <w:pPr>
              <w:spacing w:after="0"/>
              <w:rPr>
                <w:sz w:val="23"/>
                <w:szCs w:val="23"/>
                <w:color w:val="auto"/>
              </w:rPr>
            </w:pPr>
          </w:p>
        </w:tc>
        <w:tc>
          <w:tcPr>
            <w:tcW w:w="1260" w:type="dxa"/>
            <w:vAlign w:val="bottom"/>
            <w:tcBorders>
              <w:right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(720)</w:t>
            </w:r>
          </w:p>
        </w:tc>
        <w:tc>
          <w:tcPr>
            <w:tcW w:w="560" w:type="dxa"/>
            <w:vAlign w:val="bottom"/>
          </w:tcPr>
          <w:p>
            <w:pPr>
              <w:spacing w:after="0"/>
              <w:rPr>
                <w:sz w:val="23"/>
                <w:szCs w:val="23"/>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on preferred stock</w:t>
            </w:r>
          </w:p>
        </w:tc>
        <w:tc>
          <w:tcPr>
            <w:tcW w:w="400" w:type="dxa"/>
            <w:vAlign w:val="bottom"/>
          </w:tcPr>
          <w:p>
            <w:pPr>
              <w:spacing w:after="0"/>
              <w:rPr>
                <w:sz w:val="23"/>
                <w:szCs w:val="23"/>
                <w:color w:val="auto"/>
              </w:rPr>
            </w:pPr>
          </w:p>
        </w:tc>
        <w:tc>
          <w:tcPr>
            <w:tcW w:w="1260" w:type="dxa"/>
            <w:vAlign w:val="bottom"/>
            <w:tcBorders>
              <w:right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3"/>
                <w:szCs w:val="23"/>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(29)</w:t>
            </w:r>
          </w:p>
        </w:tc>
      </w:tr>
      <w:tr>
        <w:trPr>
          <w:trHeight w:val="26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400" w:type="dxa"/>
            <w:vAlign w:val="bottom"/>
          </w:tcPr>
          <w:p>
            <w:pPr>
              <w:spacing w:after="0"/>
              <w:rPr>
                <w:sz w:val="23"/>
                <w:szCs w:val="23"/>
                <w:color w:val="auto"/>
              </w:rPr>
            </w:pPr>
          </w:p>
        </w:tc>
        <w:tc>
          <w:tcPr>
            <w:tcW w:w="1260" w:type="dxa"/>
            <w:vAlign w:val="bottom"/>
            <w:tcBorders>
              <w:right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(90)</w:t>
            </w:r>
          </w:p>
        </w:tc>
        <w:tc>
          <w:tcPr>
            <w:tcW w:w="560" w:type="dxa"/>
            <w:vAlign w:val="bottom"/>
          </w:tcPr>
          <w:p>
            <w:pPr>
              <w:spacing w:after="0"/>
              <w:rPr>
                <w:sz w:val="23"/>
                <w:szCs w:val="23"/>
                <w:color w:val="auto"/>
              </w:rPr>
            </w:pP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23"/>
                <w:szCs w:val="23"/>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(139)</w:t>
            </w:r>
          </w:p>
        </w:tc>
      </w:tr>
      <w:tr>
        <w:trPr>
          <w:trHeight w:val="24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payroll taxes in lieu of issuing shares for</w:t>
            </w:r>
          </w:p>
        </w:tc>
        <w:tc>
          <w:tcPr>
            <w:tcW w:w="40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1"/>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20"/>
                <w:szCs w:val="20"/>
                <w:color w:val="auto"/>
              </w:rPr>
            </w:pPr>
          </w:p>
        </w:tc>
        <w:tc>
          <w:tcPr>
            <w:tcW w:w="1260" w:type="dxa"/>
            <w:vAlign w:val="bottom"/>
            <w:tcBorders>
              <w:right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(92)</w:t>
            </w:r>
          </w:p>
        </w:tc>
        <w:tc>
          <w:tcPr>
            <w:tcW w:w="560" w:type="dxa"/>
            <w:vAlign w:val="bottom"/>
          </w:tcPr>
          <w:p>
            <w:pPr>
              <w:spacing w:after="0"/>
              <w:rPr>
                <w:sz w:val="20"/>
                <w:szCs w:val="20"/>
                <w:color w:val="auto"/>
              </w:rPr>
            </w:pP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tcPr>
          <w:p>
            <w:pPr>
              <w:spacing w:after="0"/>
              <w:rPr>
                <w:sz w:val="20"/>
                <w:szCs w:val="20"/>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(60)</w:t>
            </w:r>
          </w:p>
        </w:tc>
      </w:tr>
      <w:tr>
        <w:trPr>
          <w:trHeight w:val="26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to noncontrolling interests</w:t>
            </w:r>
          </w:p>
        </w:tc>
        <w:tc>
          <w:tcPr>
            <w:tcW w:w="400" w:type="dxa"/>
            <w:vAlign w:val="bottom"/>
          </w:tcPr>
          <w:p>
            <w:pPr>
              <w:spacing w:after="0"/>
              <w:rPr>
                <w:sz w:val="23"/>
                <w:szCs w:val="23"/>
                <w:color w:val="auto"/>
              </w:rPr>
            </w:pPr>
          </w:p>
        </w:tc>
        <w:tc>
          <w:tcPr>
            <w:tcW w:w="1260" w:type="dxa"/>
            <w:vAlign w:val="bottom"/>
            <w:tcBorders>
              <w:right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spacing w:after="0"/>
              <w:rPr>
                <w:sz w:val="23"/>
                <w:szCs w:val="23"/>
                <w:color w:val="auto"/>
              </w:rPr>
            </w:pP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tcPr>
          <w:p>
            <w:pPr>
              <w:spacing w:after="0"/>
              <w:rPr>
                <w:sz w:val="23"/>
                <w:szCs w:val="23"/>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(127)</w:t>
            </w:r>
          </w:p>
        </w:tc>
      </w:tr>
      <w:tr>
        <w:trPr>
          <w:trHeight w:val="26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400" w:type="dxa"/>
            <w:vAlign w:val="bottom"/>
          </w:tcPr>
          <w:p>
            <w:pPr>
              <w:spacing w:after="0"/>
              <w:rPr>
                <w:sz w:val="23"/>
                <w:szCs w:val="23"/>
                <w:color w:val="auto"/>
              </w:rPr>
            </w:pPr>
          </w:p>
        </w:tc>
        <w:tc>
          <w:tcPr>
            <w:tcW w:w="1260" w:type="dxa"/>
            <w:vAlign w:val="bottom"/>
            <w:tcBorders>
              <w:right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23"/>
                <w:szCs w:val="23"/>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(26)</w:t>
            </w:r>
          </w:p>
        </w:tc>
      </w:tr>
      <w:tr>
        <w:trPr>
          <w:trHeight w:val="26"/>
        </w:trPr>
        <w:tc>
          <w:tcPr>
            <w:tcW w:w="5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 used for financing activities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(911)</w:t>
            </w: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(159)</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(507)</w:t>
            </w:r>
          </w:p>
        </w:tc>
      </w:tr>
      <w:tr>
        <w:trPr>
          <w:trHeight w:val="32"/>
        </w:trPr>
        <w:tc>
          <w:tcPr>
            <w:tcW w:w="5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680"/>
          </w:cols>
          <w:pgMar w:left="320" w:top="590" w:right="89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Dividends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Common Stock Dividends</w:t>
      </w:r>
    </w:p>
    <w:p>
      <w:pPr>
        <w:spacing w:after="0" w:line="168"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9"/>
          <w:szCs w:val="19"/>
          <w:color w:val="auto"/>
        </w:rPr>
        <w:t>The following table presents dividends declared per share and total dividends for Paramount Skydance Corporation Class B Common Stock for the Successor period and Paramount Global’s Class A and Class B Common Stock for the Predecessor periods.</w:t>
      </w:r>
    </w:p>
    <w:p>
      <w:pPr>
        <w:spacing w:after="0" w:line="107" w:lineRule="exact"/>
        <w:rPr>
          <w:sz w:val="20"/>
          <w:szCs w:val="20"/>
          <w:color w:val="auto"/>
        </w:rPr>
      </w:pPr>
    </w:p>
    <w:tbl>
      <w:tblPr>
        <w:tblLayout w:type="fixed"/>
        <w:tblInd w:w="1140" w:type="dxa"/>
        <w:tblCellMar>
          <w:top w:w="0" w:type="dxa"/>
          <w:left w:w="0" w:type="dxa"/>
          <w:bottom w:w="0" w:type="dxa"/>
          <w:right w:w="0" w:type="dxa"/>
        </w:tblCellMar>
      </w:tblPr>
      <w:tr>
        <w:trPr>
          <w:trHeight w:val="258"/>
        </w:trPr>
        <w:tc>
          <w:tcPr>
            <w:tcW w:w="20" w:type="dxa"/>
            <w:vAlign w:val="bottom"/>
            <w:tcBorders>
              <w:top w:val="single" w:sz="8" w:color="auto"/>
            </w:tcBorders>
          </w:tcPr>
          <w:p>
            <w:pPr>
              <w:spacing w:after="0"/>
              <w:rPr>
                <w:sz w:val="22"/>
                <w:szCs w:val="22"/>
                <w:color w:val="auto"/>
              </w:rPr>
            </w:pPr>
          </w:p>
        </w:tc>
        <w:tc>
          <w:tcPr>
            <w:tcW w:w="272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50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680" w:type="dxa"/>
            <w:vAlign w:val="bottom"/>
            <w:gridSpan w:val="2"/>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4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Borders>
              <w:right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680" w:type="dxa"/>
            <w:vAlign w:val="bottom"/>
            <w:gridSpan w:val="2"/>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6"/>
                <w:szCs w:val="16"/>
                <w:b w:val="1"/>
                <w:bCs w:val="1"/>
                <w:color w:val="auto"/>
              </w:rPr>
              <w:t>6,</w:t>
            </w:r>
          </w:p>
        </w:tc>
        <w:tc>
          <w:tcPr>
            <w:tcW w:w="14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32"/>
        </w:trPr>
        <w:tc>
          <w:tcPr>
            <w:tcW w:w="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37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20" w:type="dxa"/>
            <w:vAlign w:val="bottom"/>
            <w:tcBorders>
              <w:bottom w:val="single" w:sz="8" w:color="auto"/>
            </w:tcBorders>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7"/>
              </w:rPr>
              <w:t>Class A and Class B Common Stock</w:t>
            </w: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common stock dividends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8"/>
                <w:szCs w:val="18"/>
                <w:color w:val="auto"/>
              </w:rPr>
              <w:t>114</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Mandatory Convertible Preferred Stock</w:t>
      </w:r>
    </w:p>
    <w:p>
      <w:pPr>
        <w:spacing w:after="0" w:line="15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During the first quarter of 2024, the final dividend on Paramount Global’s 5.75% Series A Mandatory Convertible Preferred Stock was declared, at a rate of $1.4375 per share, resulting in total dividends of $14 million, which were paid on April 1,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Capital Structure</w:t>
      </w:r>
    </w:p>
    <w:p>
      <w:pPr>
        <w:spacing w:after="0" w:line="157"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following table sets forth our debt, which was recorded at its fair value on the closing date of the Transactions and the NAI Transaction on August 7, 2025.</w:t>
      </w:r>
    </w:p>
    <w:p>
      <w:pPr>
        <w:spacing w:after="0" w:line="132" w:lineRule="exact"/>
        <w:rPr>
          <w:sz w:val="20"/>
          <w:szCs w:val="20"/>
          <w:color w:val="auto"/>
        </w:rPr>
      </w:pPr>
    </w:p>
    <w:tbl>
      <w:tblPr>
        <w:tblLayout w:type="fixed"/>
        <w:tblInd w:w="680" w:type="dxa"/>
        <w:tblCellMar>
          <w:top w:w="0" w:type="dxa"/>
          <w:left w:w="0" w:type="dxa"/>
          <w:bottom w:w="0" w:type="dxa"/>
          <w:right w:w="0" w:type="dxa"/>
        </w:tblCellMar>
      </w:tblPr>
      <w:tr>
        <w:trPr>
          <w:trHeight w:val="292"/>
        </w:trPr>
        <w:tc>
          <w:tcPr>
            <w:tcW w:w="556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right w:val="single" w:sz="8" w:color="auto"/>
            </w:tcBorders>
          </w:tcPr>
          <w:p>
            <w:pPr>
              <w:jc w:val="center"/>
              <w:ind w:right="532"/>
              <w:spacing w:after="0"/>
              <w:rPr>
                <w:sz w:val="20"/>
                <w:szCs w:val="20"/>
                <w:color w:val="auto"/>
              </w:rPr>
            </w:pPr>
            <w:r>
              <w:rPr>
                <w:rFonts w:ascii="Times New Roman" w:cs="Times New Roman" w:eastAsia="Times New Roman" w:hAnsi="Times New Roman"/>
                <w:sz w:val="18"/>
                <w:szCs w:val="18"/>
                <w:b w:val="1"/>
                <w:bCs w:val="1"/>
                <w:color w:val="auto"/>
                <w:w w:val="93"/>
              </w:rPr>
              <w:t xml:space="preserve">Successor </w:t>
            </w:r>
            <w:r>
              <w:rPr>
                <w:rFonts w:ascii="Times New Roman" w:cs="Times New Roman" w:eastAsia="Times New Roman" w:hAnsi="Times New Roman"/>
                <w:sz w:val="22"/>
                <w:szCs w:val="22"/>
                <w:color w:val="auto"/>
                <w:w w:val="93"/>
                <w:vertAlign w:val="superscript"/>
              </w:rPr>
              <w:t>(a)</w:t>
            </w: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jc w:val="center"/>
              <w:ind w:right="512"/>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r>
      <w:tr>
        <w:trPr>
          <w:trHeight w:val="233"/>
        </w:trPr>
        <w:tc>
          <w:tcPr>
            <w:tcW w:w="5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Borders>
              <w:right w:val="single" w:sz="8" w:color="auto"/>
            </w:tcBorders>
          </w:tcPr>
          <w:p>
            <w:pPr>
              <w:jc w:val="center"/>
              <w:ind w:right="532"/>
              <w:spacing w:after="0"/>
              <w:rPr>
                <w:sz w:val="20"/>
                <w:szCs w:val="20"/>
                <w:color w:val="auto"/>
              </w:rPr>
            </w:pPr>
            <w:r>
              <w:rPr>
                <w:rFonts w:ascii="Times New Roman" w:cs="Times New Roman" w:eastAsia="Times New Roman" w:hAnsi="Times New Roman"/>
                <w:sz w:val="18"/>
                <w:szCs w:val="18"/>
                <w:b w:val="1"/>
                <w:bCs w:val="1"/>
                <w:color w:val="auto"/>
                <w:w w:val="94"/>
              </w:rPr>
              <w:t>At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Pr>
          <w:p>
            <w:pPr>
              <w:jc w:val="center"/>
              <w:ind w:right="512"/>
              <w:spacing w:after="0"/>
              <w:rPr>
                <w:sz w:val="20"/>
                <w:szCs w:val="20"/>
                <w:color w:val="auto"/>
              </w:rPr>
            </w:pPr>
            <w:r>
              <w:rPr>
                <w:rFonts w:ascii="Times New Roman" w:cs="Times New Roman" w:eastAsia="Times New Roman" w:hAnsi="Times New Roman"/>
                <w:sz w:val="18"/>
                <w:szCs w:val="18"/>
                <w:b w:val="1"/>
                <w:bCs w:val="1"/>
                <w:color w:val="auto"/>
                <w:w w:val="94"/>
              </w:rPr>
              <w:t>At</w:t>
            </w:r>
          </w:p>
        </w:tc>
      </w:tr>
      <w:tr>
        <w:trPr>
          <w:trHeight w:val="265"/>
        </w:trPr>
        <w:tc>
          <w:tcPr>
            <w:tcW w:w="5560" w:type="dxa"/>
            <w:vAlign w:val="bottom"/>
          </w:tcPr>
          <w:p>
            <w:pPr>
              <w:spacing w:after="0"/>
              <w:rPr>
                <w:sz w:val="23"/>
                <w:szCs w:val="23"/>
                <w:color w:val="auto"/>
              </w:rPr>
            </w:pPr>
          </w:p>
        </w:tc>
        <w:tc>
          <w:tcPr>
            <w:tcW w:w="21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December 31, 2025</w:t>
            </w:r>
          </w:p>
        </w:tc>
        <w:tc>
          <w:tcPr>
            <w:tcW w:w="80" w:type="dxa"/>
            <w:vAlign w:val="bottom"/>
          </w:tcPr>
          <w:p>
            <w:pPr>
              <w:spacing w:after="0"/>
              <w:rPr>
                <w:sz w:val="23"/>
                <w:szCs w:val="23"/>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r>
      <w:tr>
        <w:trPr>
          <w:trHeight w:val="25"/>
        </w:trPr>
        <w:tc>
          <w:tcPr>
            <w:tcW w:w="5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debt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12,038</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12,868</w:t>
            </w:r>
          </w:p>
        </w:tc>
      </w:tr>
      <w:tr>
        <w:trPr>
          <w:trHeight w:val="26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Junior debt</w:t>
            </w:r>
          </w:p>
        </w:tc>
        <w:tc>
          <w:tcPr>
            <w:tcW w:w="580" w:type="dxa"/>
            <w:vAlign w:val="bottom"/>
          </w:tcPr>
          <w:p>
            <w:pPr>
              <w:spacing w:after="0"/>
              <w:rPr>
                <w:sz w:val="23"/>
                <w:szCs w:val="23"/>
                <w:color w:val="auto"/>
              </w:rPr>
            </w:pPr>
          </w:p>
        </w:tc>
        <w:tc>
          <w:tcPr>
            <w:tcW w:w="1560" w:type="dxa"/>
            <w:vAlign w:val="bottom"/>
            <w:tcBorders>
              <w:right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1,617</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1,633</w:t>
            </w:r>
          </w:p>
        </w:tc>
      </w:tr>
      <w:tr>
        <w:trPr>
          <w:trHeight w:val="26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under finance leases</w:t>
            </w:r>
          </w:p>
        </w:tc>
        <w:tc>
          <w:tcPr>
            <w:tcW w:w="580" w:type="dxa"/>
            <w:vAlign w:val="bottom"/>
          </w:tcPr>
          <w:p>
            <w:pPr>
              <w:spacing w:after="0"/>
              <w:rPr>
                <w:sz w:val="23"/>
                <w:szCs w:val="23"/>
                <w:color w:val="auto"/>
              </w:rPr>
            </w:pPr>
          </w:p>
        </w:tc>
        <w:tc>
          <w:tcPr>
            <w:tcW w:w="1560" w:type="dxa"/>
            <w:vAlign w:val="bottom"/>
            <w:tcBorders>
              <w:right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5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2"/>
                <w:szCs w:val="22"/>
                <w:color w:val="auto"/>
                <w:vertAlign w:val="superscript"/>
              </w:rPr>
              <w:t>(b)</w:t>
            </w:r>
          </w:p>
        </w:tc>
        <w:tc>
          <w:tcPr>
            <w:tcW w:w="580" w:type="dxa"/>
            <w:vAlign w:val="bottom"/>
          </w:tcPr>
          <w:p>
            <w:pPr>
              <w:spacing w:after="0"/>
              <w:rPr>
                <w:sz w:val="23"/>
                <w:szCs w:val="23"/>
                <w:color w:val="auto"/>
              </w:rPr>
            </w:pPr>
          </w:p>
        </w:tc>
        <w:tc>
          <w:tcPr>
            <w:tcW w:w="1560" w:type="dxa"/>
            <w:vAlign w:val="bottom"/>
            <w:tcBorders>
              <w:right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13,658</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14,501</w:t>
            </w:r>
          </w:p>
        </w:tc>
      </w:tr>
      <w:tr>
        <w:trPr>
          <w:trHeight w:val="231"/>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current portion</w:t>
            </w:r>
          </w:p>
        </w:tc>
        <w:tc>
          <w:tcPr>
            <w:tcW w:w="580" w:type="dxa"/>
            <w:vAlign w:val="bottom"/>
          </w:tcPr>
          <w:p>
            <w:pPr>
              <w:spacing w:after="0"/>
              <w:rPr>
                <w:sz w:val="20"/>
                <w:szCs w:val="20"/>
                <w:color w:val="auto"/>
              </w:rPr>
            </w:pPr>
          </w:p>
        </w:tc>
        <w:tc>
          <w:tcPr>
            <w:tcW w:w="1560" w:type="dxa"/>
            <w:vAlign w:val="bottom"/>
            <w:tcBorders>
              <w:right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5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13,225</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14,501</w:t>
            </w:r>
          </w:p>
        </w:tc>
      </w:tr>
      <w:tr>
        <w:trPr>
          <w:trHeight w:val="32"/>
        </w:trPr>
        <w:tc>
          <w:tcPr>
            <w:tcW w:w="5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132" w:lineRule="exact"/>
        <w:rPr>
          <w:sz w:val="20"/>
          <w:szCs w:val="20"/>
          <w:color w:val="auto"/>
        </w:rPr>
      </w:pPr>
    </w:p>
    <w:p>
      <w:pPr>
        <w:jc w:val="both"/>
        <w:ind w:left="720" w:right="440" w:hanging="237"/>
        <w:spacing w:after="0" w:line="258" w:lineRule="auto"/>
        <w:tabs>
          <w:tab w:leader="none" w:pos="698"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pushdown of the Ultimate Parent’s basis, our debt was recorded at fair value, which resulted in a decrease to our total debt balance of $898 million, reflecting the reversal of a net unamortized discount of $390 million and unamortized deferred financing fees of $71 million, and a reduction of $1.36 billion to adjust our debt to its fair value. The adjustments to fair value for each of our senior and junior debt issuances are being amortized over the remaining term of the applicable issuance within interest expense.</w:t>
      </w:r>
    </w:p>
    <w:p>
      <w:pPr>
        <w:spacing w:after="0" w:line="30" w:lineRule="exact"/>
        <w:rPr>
          <w:rFonts w:ascii="Times New Roman" w:cs="Times New Roman" w:eastAsia="Times New Roman" w:hAnsi="Times New Roman"/>
          <w:sz w:val="16"/>
          <w:szCs w:val="16"/>
          <w:color w:val="auto"/>
        </w:rPr>
      </w:pPr>
    </w:p>
    <w:p>
      <w:pPr>
        <w:jc w:val="both"/>
        <w:ind w:left="720" w:right="440" w:hanging="237"/>
        <w:spacing w:after="0" w:line="266" w:lineRule="auto"/>
        <w:tabs>
          <w:tab w:leader="none" w:pos="748"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2025 (Successor), our senior and junior debt balances were net of unamortized fair value adjustments totaling $1.32 billion. At December 31, 2024 (Predecessor), the senior and junior debt balances included a net unamortized discount of $401 million and unamortized deferred financing costs of $74 million. The face value of our total debt at both December 31, 2025 (Successor) and December 31, 2024 (Predecessor) was $14.98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Senior Debt</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At December 31, 2025 (Successor), our senior debt was comprised of senior notes and debentures due between 2026 and 2050 with interest rates ranging from 2.90% to 7.875%.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January 2026, we repaid our $347 million of 4.0% senior notes at maturity.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fourth quarter of 2024 (Predecessor), we redeemed our $126 million of outstanding 4.75% senior notes due in 2025 at par.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Junior Debt</w:t>
      </w:r>
    </w:p>
    <w:p>
      <w:pPr>
        <w:spacing w:after="0" w:line="11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At December 31, 2025 (Successor), our junior debt was comprised of $628 million 6.25% junior subordinated debentures due 2057 and $989 million 6.375% junior subordinated debentures due 2062.</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6.25% junior subordinated debentures accrue interest at the stated fixed rate until February 28, 2027, on which date the rate will switch to a floating rate. Under the terms of the debentures the floating rate is based on three-month LIBOR plus 3.899%, reset quarterly, however, with the phasing out of LIBOR and the passage of the Adjustable Interest Rate (LIBOR) Act, signed into law on March 15, 2022, it is expected that the 6.25% junior subordinated debentures due 2057 will, upon switching to a floating rate, bear interest at a replacement rate based on three-month CME Term Secured Overnight Financing Rate (SOFR). These debentures can be called by us at par at any time after the expiration of the fixed-rate period.</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interest rate on the 6.375% junior subordinated debentures will reset on March 30, 2027, and every five years thereafter to a fixed rate equal to the 5-year Treasury Rate (as defined pursuant to the terms of the debentures) plus a spread of 3.999% from March 30, 2027, 4.249% from March 30, 2032 and 4.999% from March 30, 2047. These debentures can be called by us at par plus a make whole premium any time before March 30, 2027, or at par on March 30, 2027 or on any interest payment date thereafter.</w:t>
      </w:r>
    </w:p>
    <w:p>
      <w:pPr>
        <w:spacing w:after="0" w:line="2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subordination and extended term, as well as an interest deferral option of our junior subordinated debentures provide significant credit protection measures for senior creditors and, as a result of these features, the debentures received a 50% equity credit by Standard &amp; Poor’s Rating Services, Fitch Ratings Inc., and Moody’s Investors Service,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Supplemental Guarantor Financial Information</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Paramount Global is a 100% owned subsidiary of Paramount Skydance Corporation. Upon the closing of the Transactions, Paramount Skydance Corporation provided a full and unconditional parent guarantee of Paramount Global’s senior and junior debt. None of Paramount Skydance Corporation’s other subsidiaries are guarantors of Paramount Global’s debt.</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tables below present summarized standalone financial information for Paramount Skydance Corporation, the parent guarantor, and Paramount Global, the issuer (jointly the “Obligor Group”) on a combined basis after elimination of intercompany transactions and balances, and do not include nonguarantor and nonissuer subsidiaries. This summarized financial information has been prepared and presented pursuant to the Securities and Exchange Commission Regulation S-X Rule 13-01, “Financial Disclosures about Guarantors and Issuers of Guaranteed Securities” and is not intended to present the financial position or results of operations of the Obligor Group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1189990</wp:posOffset>
            </wp:positionH>
            <wp:positionV relativeFrom="paragraph">
              <wp:posOffset>100965</wp:posOffset>
            </wp:positionV>
            <wp:extent cx="47707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70755" cy="17145"/>
                    </a:xfrm>
                    <a:prstGeom prst="rect">
                      <a:avLst/>
                    </a:prstGeom>
                    <a:noFill/>
                  </pic:spPr>
                </pic:pic>
              </a:graphicData>
            </a:graphic>
          </wp:anchor>
        </w:drawing>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221"/>
        </w:trPr>
        <w:tc>
          <w:tcPr>
            <w:tcW w:w="40" w:type="dxa"/>
            <w:vAlign w:val="bottom"/>
          </w:tcPr>
          <w:p>
            <w:pPr>
              <w:spacing w:after="0"/>
              <w:rPr>
                <w:sz w:val="19"/>
                <w:szCs w:val="19"/>
                <w:color w:val="auto"/>
              </w:rPr>
            </w:pPr>
          </w:p>
        </w:tc>
        <w:tc>
          <w:tcPr>
            <w:tcW w:w="562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6"/>
                <w:szCs w:val="16"/>
                <w:b w:val="1"/>
                <w:bCs w:val="1"/>
                <w:color w:val="auto"/>
              </w:rPr>
              <w:t>Summarized Statement of Operations</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493"/>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40" w:type="dxa"/>
            <w:vAlign w:val="bottom"/>
          </w:tcPr>
          <w:p>
            <w:pPr>
              <w:spacing w:after="0"/>
              <w:rPr>
                <w:sz w:val="20"/>
                <w:szCs w:val="20"/>
                <w:color w:val="auto"/>
              </w:rPr>
            </w:pPr>
          </w:p>
        </w:tc>
      </w:tr>
      <w:tr>
        <w:trPr>
          <w:trHeight w:val="196"/>
        </w:trPr>
        <w:tc>
          <w:tcPr>
            <w:tcW w:w="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 August 7 -</w:t>
            </w:r>
          </w:p>
        </w:tc>
        <w:tc>
          <w:tcPr>
            <w:tcW w:w="4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40" w:type="dxa"/>
            <w:vAlign w:val="bottom"/>
          </w:tcPr>
          <w:p>
            <w:pPr>
              <w:spacing w:after="0"/>
              <w:rPr>
                <w:sz w:val="18"/>
                <w:szCs w:val="18"/>
                <w:color w:val="auto"/>
              </w:rPr>
            </w:pPr>
          </w:p>
        </w:tc>
      </w:tr>
      <w:tr>
        <w:trPr>
          <w:trHeight w:val="31"/>
        </w:trPr>
        <w:tc>
          <w:tcPr>
            <w:tcW w:w="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3"/>
        </w:trPr>
        <w:tc>
          <w:tcPr>
            <w:tcW w:w="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center"/>
              <w:ind w:right="493"/>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 w:type="dxa"/>
            <w:vAlign w:val="bottom"/>
          </w:tcPr>
          <w:p>
            <w:pPr>
              <w:spacing w:after="0"/>
              <w:rPr>
                <w:sz w:val="20"/>
                <w:szCs w:val="20"/>
                <w:color w:val="auto"/>
              </w:rPr>
            </w:pPr>
          </w:p>
        </w:tc>
      </w:tr>
      <w:tr>
        <w:trPr>
          <w:trHeight w:val="25"/>
        </w:trPr>
        <w:tc>
          <w:tcPr>
            <w:tcW w:w="4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3"/>
        </w:trPr>
        <w:tc>
          <w:tcPr>
            <w:tcW w:w="4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20"/>
                <w:szCs w:val="20"/>
                <w:color w:val="auto"/>
              </w:rPr>
            </w:pPr>
          </w:p>
        </w:tc>
      </w:tr>
      <w:tr>
        <w:trPr>
          <w:trHeight w:val="265"/>
        </w:trPr>
        <w:tc>
          <w:tcPr>
            <w:tcW w:w="4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(306)</w:t>
            </w:r>
          </w:p>
        </w:tc>
        <w:tc>
          <w:tcPr>
            <w:tcW w:w="40" w:type="dxa"/>
            <w:vAlign w:val="bottom"/>
          </w:tcPr>
          <w:p>
            <w:pPr>
              <w:spacing w:after="0"/>
              <w:rPr>
                <w:sz w:val="23"/>
                <w:szCs w:val="23"/>
                <w:color w:val="auto"/>
              </w:rPr>
            </w:pPr>
          </w:p>
        </w:tc>
      </w:tr>
      <w:tr>
        <w:trPr>
          <w:trHeight w:val="265"/>
        </w:trPr>
        <w:tc>
          <w:tcPr>
            <w:tcW w:w="4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interest</w:t>
            </w: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(132)</w:t>
            </w:r>
          </w:p>
        </w:tc>
        <w:tc>
          <w:tcPr>
            <w:tcW w:w="40" w:type="dxa"/>
            <w:vAlign w:val="bottom"/>
          </w:tcPr>
          <w:p>
            <w:pPr>
              <w:spacing w:after="0"/>
              <w:rPr>
                <w:sz w:val="23"/>
                <w:szCs w:val="23"/>
                <w:color w:val="auto"/>
              </w:rPr>
            </w:pPr>
          </w:p>
        </w:tc>
      </w:tr>
      <w:tr>
        <w:trPr>
          <w:trHeight w:val="265"/>
        </w:trPr>
        <w:tc>
          <w:tcPr>
            <w:tcW w:w="4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(546)</w:t>
            </w:r>
          </w:p>
        </w:tc>
        <w:tc>
          <w:tcPr>
            <w:tcW w:w="40" w:type="dxa"/>
            <w:vAlign w:val="bottom"/>
          </w:tcPr>
          <w:p>
            <w:pPr>
              <w:spacing w:after="0"/>
              <w:rPr>
                <w:sz w:val="23"/>
                <w:szCs w:val="23"/>
                <w:color w:val="auto"/>
              </w:rPr>
            </w:pPr>
          </w:p>
        </w:tc>
      </w:tr>
      <w:tr>
        <w:trPr>
          <w:trHeight w:val="72"/>
        </w:trPr>
        <w:tc>
          <w:tcPr>
            <w:tcW w:w="40" w:type="dxa"/>
            <w:vAlign w:val="bottom"/>
          </w:tcPr>
          <w:p>
            <w:pPr>
              <w:spacing w:after="0"/>
              <w:rPr>
                <w:sz w:val="6"/>
                <w:szCs w:val="6"/>
                <w:color w:val="auto"/>
              </w:rPr>
            </w:pPr>
          </w:p>
        </w:tc>
        <w:tc>
          <w:tcPr>
            <w:tcW w:w="56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r>
        <w:trPr>
          <w:trHeight w:val="258"/>
        </w:trPr>
        <w:tc>
          <w:tcPr>
            <w:tcW w:w="40" w:type="dxa"/>
            <w:vAlign w:val="bottom"/>
            <w:tcBorders>
              <w:bottom w:val="single" w:sz="8" w:color="auto"/>
            </w:tcBorders>
          </w:tcPr>
          <w:p>
            <w:pPr>
              <w:spacing w:after="0"/>
              <w:rPr>
                <w:sz w:val="22"/>
                <w:szCs w:val="22"/>
                <w:color w:val="auto"/>
              </w:rPr>
            </w:pPr>
          </w:p>
        </w:tc>
        <w:tc>
          <w:tcPr>
            <w:tcW w:w="56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r>
      <w:tr>
        <w:trPr>
          <w:trHeight w:val="232"/>
        </w:trPr>
        <w:tc>
          <w:tcPr>
            <w:tcW w:w="4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16"/>
                <w:szCs w:val="16"/>
                <w:b w:val="1"/>
                <w:bCs w:val="1"/>
                <w:color w:val="auto"/>
              </w:rPr>
              <w:t>Summarized Balance Sheet</w:t>
            </w: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232"/>
        </w:trPr>
        <w:tc>
          <w:tcPr>
            <w:tcW w:w="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0" w:type="dxa"/>
            <w:vAlign w:val="bottom"/>
            <w:tcBorders>
              <w:bottom w:val="single" w:sz="8" w:color="auto"/>
            </w:tcBorders>
          </w:tcPr>
          <w:p>
            <w:pPr>
              <w:spacing w:after="0"/>
              <w:rPr>
                <w:sz w:val="20"/>
                <w:szCs w:val="20"/>
                <w:color w:val="auto"/>
              </w:rPr>
            </w:pPr>
          </w:p>
        </w:tc>
      </w:tr>
      <w:tr>
        <w:trPr>
          <w:trHeight w:val="220"/>
        </w:trPr>
        <w:tc>
          <w:tcPr>
            <w:tcW w:w="4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40" w:type="dxa"/>
            <w:vAlign w:val="bottom"/>
          </w:tcPr>
          <w:p>
            <w:pPr>
              <w:spacing w:after="0"/>
              <w:rPr>
                <w:sz w:val="19"/>
                <w:szCs w:val="19"/>
                <w:color w:val="auto"/>
              </w:rPr>
            </w:pPr>
          </w:p>
        </w:tc>
      </w:tr>
      <w:tr>
        <w:trPr>
          <w:trHeight w:val="250"/>
        </w:trPr>
        <w:tc>
          <w:tcPr>
            <w:tcW w:w="40" w:type="dxa"/>
            <w:vAlign w:val="bottom"/>
            <w:tcBorders>
              <w:bottom w:val="single" w:sz="8" w:color="auto"/>
            </w:tcBorders>
          </w:tcPr>
          <w:p>
            <w:pPr>
              <w:spacing w:after="0"/>
              <w:rPr>
                <w:sz w:val="21"/>
                <w:szCs w:val="21"/>
                <w:color w:val="auto"/>
              </w:rPr>
            </w:pPr>
          </w:p>
        </w:tc>
        <w:tc>
          <w:tcPr>
            <w:tcW w:w="56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40" w:type="dxa"/>
            <w:vAlign w:val="bottom"/>
            <w:tcBorders>
              <w:bottom w:val="single" w:sz="8" w:color="auto"/>
            </w:tcBorders>
          </w:tcPr>
          <w:p>
            <w:pPr>
              <w:spacing w:after="0"/>
              <w:rPr>
                <w:sz w:val="21"/>
                <w:szCs w:val="21"/>
                <w:color w:val="auto"/>
              </w:rPr>
            </w:pPr>
          </w:p>
        </w:tc>
      </w:tr>
      <w:tr>
        <w:trPr>
          <w:trHeight w:val="24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1,350</w:t>
            </w:r>
          </w:p>
        </w:tc>
        <w:tc>
          <w:tcPr>
            <w:tcW w:w="40" w:type="dxa"/>
            <w:vAlign w:val="bottom"/>
          </w:tcPr>
          <w:p>
            <w:pPr>
              <w:spacing w:after="0"/>
              <w:rPr>
                <w:sz w:val="20"/>
                <w:szCs w:val="20"/>
                <w:color w:val="auto"/>
              </w:rPr>
            </w:pPr>
          </w:p>
        </w:tc>
      </w:tr>
      <w:tr>
        <w:trPr>
          <w:trHeight w:val="265"/>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293</w:t>
            </w:r>
          </w:p>
        </w:tc>
        <w:tc>
          <w:tcPr>
            <w:tcW w:w="40" w:type="dxa"/>
            <w:vAlign w:val="bottom"/>
          </w:tcPr>
          <w:p>
            <w:pPr>
              <w:spacing w:after="0"/>
              <w:rPr>
                <w:sz w:val="23"/>
                <w:szCs w:val="23"/>
                <w:color w:val="auto"/>
              </w:rPr>
            </w:pPr>
          </w:p>
        </w:tc>
      </w:tr>
      <w:tr>
        <w:trPr>
          <w:trHeight w:val="265"/>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current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432</w:t>
            </w:r>
          </w:p>
        </w:tc>
        <w:tc>
          <w:tcPr>
            <w:tcW w:w="40" w:type="dxa"/>
            <w:vAlign w:val="bottom"/>
          </w:tcPr>
          <w:p>
            <w:pPr>
              <w:spacing w:after="0"/>
              <w:rPr>
                <w:sz w:val="23"/>
                <w:szCs w:val="23"/>
                <w:color w:val="auto"/>
              </w:rPr>
            </w:pPr>
          </w:p>
        </w:tc>
      </w:tr>
      <w:tr>
        <w:trPr>
          <w:trHeight w:val="265"/>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664</w:t>
            </w:r>
          </w:p>
        </w:tc>
        <w:tc>
          <w:tcPr>
            <w:tcW w:w="40" w:type="dxa"/>
            <w:vAlign w:val="bottom"/>
          </w:tcPr>
          <w:p>
            <w:pPr>
              <w:spacing w:after="0"/>
              <w:rPr>
                <w:sz w:val="23"/>
                <w:szCs w:val="23"/>
                <w:color w:val="auto"/>
              </w:rPr>
            </w:pPr>
          </w:p>
        </w:tc>
      </w:tr>
      <w:tr>
        <w:trPr>
          <w:trHeight w:val="265"/>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13,223</w:t>
            </w:r>
          </w:p>
        </w:tc>
        <w:tc>
          <w:tcPr>
            <w:tcW w:w="40" w:type="dxa"/>
            <w:vAlign w:val="bottom"/>
          </w:tcPr>
          <w:p>
            <w:pPr>
              <w:spacing w:after="0"/>
              <w:rPr>
                <w:sz w:val="23"/>
                <w:szCs w:val="23"/>
                <w:color w:val="auto"/>
              </w:rPr>
            </w:pPr>
          </w:p>
        </w:tc>
      </w:tr>
      <w:tr>
        <w:trPr>
          <w:trHeight w:val="265"/>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2,222</w:t>
            </w:r>
          </w:p>
        </w:tc>
        <w:tc>
          <w:tcPr>
            <w:tcW w:w="40" w:type="dxa"/>
            <w:vAlign w:val="bottom"/>
          </w:tcPr>
          <w:p>
            <w:pPr>
              <w:spacing w:after="0"/>
              <w:rPr>
                <w:sz w:val="23"/>
                <w:szCs w:val="23"/>
                <w:color w:val="auto"/>
              </w:rPr>
            </w:pPr>
          </w:p>
        </w:tc>
      </w:tr>
      <w:tr>
        <w:trPr>
          <w:trHeight w:val="265"/>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payable to nonguarantor subsidiaries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975</w:t>
            </w:r>
          </w:p>
        </w:tc>
        <w:tc>
          <w:tcPr>
            <w:tcW w:w="40" w:type="dxa"/>
            <w:vAlign w:val="bottom"/>
          </w:tcPr>
          <w:p>
            <w:pPr>
              <w:spacing w:after="0"/>
              <w:rPr>
                <w:sz w:val="23"/>
                <w:szCs w:val="23"/>
                <w:color w:val="auto"/>
              </w:rPr>
            </w:pPr>
          </w:p>
        </w:tc>
      </w:tr>
      <w:tr>
        <w:trPr>
          <w:trHeight w:val="72"/>
        </w:trPr>
        <w:tc>
          <w:tcPr>
            <w:tcW w:w="40" w:type="dxa"/>
            <w:vAlign w:val="bottom"/>
            <w:tcBorders>
              <w:bottom w:val="single" w:sz="8" w:color="auto"/>
            </w:tcBorders>
          </w:tcPr>
          <w:p>
            <w:pPr>
              <w:spacing w:after="0"/>
              <w:rPr>
                <w:sz w:val="6"/>
                <w:szCs w:val="6"/>
                <w:color w:val="auto"/>
              </w:rPr>
            </w:pPr>
          </w:p>
        </w:tc>
        <w:tc>
          <w:tcPr>
            <w:tcW w:w="56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Commercial Paper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both December 31, 2025 (Successor) and December 31, 2024 (Predecessor), we had no outstanding commercial paper borrowings.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Credit Facility</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On August 7, 2025, in connection with the closing of the Transactions and pursuant to the August 2024 amendment to the Credit Facility (which is further described below), Paramount Skydance Corporation entered into a joinder agreement pursuant to which it joined Paramount Global’s revolving credit facility (the “Credit Facility”). The Credit Facility provides for a $3.50 billion commitment until January 2027, at which point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commitment will be reduced to $3.44 billion through maturity in January 2028.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into. The benchmark rate for loans denominated in U.S. dollars is Term SOFR, and for loans denominated in euros, sterling and yen is based on EURIBOR, SONIA and TIBOR, respectively. At December 31, 2025, we had no borrowings outstanding under the Credit Facility and the availability under the Credit Facility was $3.50 billion.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Credit Facility has one principal financial covenant which sets a maximum Consolidated Total Leverage Ratio (“Leverage Ratio”) at the end of each quarter. The maximum Leverage Ratio was 4.75x for the quarter ended December 31, 2025 and will decrease to 4.5x for the quarter ending March 31, 2026, and will remain at this level until maturity. The Leverage Ratio reflects the ratio of our Consolidated Indebtedness, net of unrestricted cash and cash equivalents at the end of a quarter, to our Consolidated EBITDA (each as defined in the credit agreement) for the trailing twelve-month period. In May 2025, Paramount Global entered into an amendment to the Credit Facility, which increased the maximum amount of unrestricted cash and cash equivalents that can be netted against Consolidated Indebtedness, in the calculation of the Leverage Ratio, from $1.50 billion to $3.0 billion and amended the definition of Consolidated EBITDA to include an additional add-back (which is capped at 15% of Consolidated EBITDA after giving effect to such add-back) for cash items associated with provisions for restructuring or other business optimization programs, litigation and environmental reserves and losses on the disposition of businesses. We met the covenant as of December 31, 2025.</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The Credit Facility also includes a provision that the occurrence of a change of control will be an event of default that would give the lenders the right to accelerate any outstanding loans and terminate their commitments. In August 2024, Paramount Global entered into amendments to the Credit Facility and the $1.9 billion standby letter of credit facility (see </w:t>
      </w:r>
      <w:r>
        <w:rPr>
          <w:rFonts w:ascii="Times New Roman" w:cs="Times New Roman" w:eastAsia="Times New Roman" w:hAnsi="Times New Roman"/>
          <w:sz w:val="19"/>
          <w:szCs w:val="19"/>
          <w:i w:val="1"/>
          <w:iCs w:val="1"/>
          <w:color w:val="auto"/>
        </w:rPr>
        <w:t>Guarantees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Letters of Credit and Surety Bonds</w:t>
      </w:r>
      <w:r>
        <w:rPr>
          <w:rFonts w:ascii="Times New Roman" w:cs="Times New Roman" w:eastAsia="Times New Roman" w:hAnsi="Times New Roman"/>
          <w:sz w:val="19"/>
          <w:szCs w:val="19"/>
          <w:color w:val="auto"/>
        </w:rPr>
        <w:t>), which, among other things, revised the change of control provision and related definitions to reflect the ownership structure of the Company after giving effect to the Transactions and the NAI Transaction. These amendments became operative upon closing of the Transactions.</w:t>
      </w:r>
    </w:p>
    <w:p>
      <w:pPr>
        <w:spacing w:after="0" w:line="2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Upon the closing of the Transactions, Paramount Skydance Corporation entered into guarantee agreements providing for a full and unconditional parent guarantee of Paramount Global’s obligations with respect to any commercial paper borrowings incurred, and in accordance with the August 2024 amendment to the Credit Facility, a full and unconditional parent guarantee of Paramount Global’s obligations under the Credit Agreement went into effect.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Bank Borrowings</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At both December 31, 2025 (Successor) and December 31, 2024 (Predecessor), there were no outstanding bank borrowings under Miramax’s $50 million credit facility that matures in November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Guarantees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Letters of Credit and Surety Bonds</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At December 31, 2025, we had outstanding letters of credit and surety bonds of $235 million that were not recorded on the Consolidated Balance Sheet, as well as a $1.9 billion standby letter of credit facility. In accordance with the contractual requirements of one of our commitments, the letter of credit outstanding under this facility increases and decreases consistent with the related contractual commitment. The amount outstanding was zero at December 31, 2025 and $1.82 billion in January 2026. Letters of credit and surety bonds are primarily used as security against non-performance in the normal course of business under contractual requirements of certain of our commitments. The standby letter of credit facility, which matures in May 2027, is subject to provisions similar to the Credit Facility, including the same principal financial covenant (see </w:t>
      </w:r>
      <w:r>
        <w:rPr>
          <w:rFonts w:ascii="Times New Roman" w:cs="Times New Roman" w:eastAsia="Times New Roman" w:hAnsi="Times New Roman"/>
          <w:sz w:val="19"/>
          <w:szCs w:val="19"/>
          <w:i w:val="1"/>
          <w:iCs w:val="1"/>
          <w:color w:val="auto"/>
        </w:rPr>
        <w:t>Credit Facility</w:t>
      </w:r>
      <w:r>
        <w:rPr>
          <w:rFonts w:ascii="Times New Roman" w:cs="Times New Roman" w:eastAsia="Times New Roman" w:hAnsi="Times New Roman"/>
          <w:sz w:val="19"/>
          <w:szCs w:val="19"/>
          <w:color w:val="auto"/>
        </w:rPr>
        <w:t xml:space="preserve">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the course of our business, we both provide and receive indemnities that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Estimates</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preparation of our financial statements in conformity with generally accepted accounting principles requires management to make estimates, judgments and assumptions that affect the reported amounts of assets and liabilities, disclosure of contingent assets and liabilities as of the date of the financial statements and the reported amount of revenues and expenses during the reporting period. On an ongoing basis, we evaluate these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revenues and expenses that are not readily apparent from other sources. Actual results may differ from these estimates under different assumptions.</w:t>
      </w:r>
    </w:p>
    <w:p>
      <w:pPr>
        <w:spacing w:after="0" w:line="200" w:lineRule="exact"/>
        <w:rPr>
          <w:sz w:val="20"/>
          <w:szCs w:val="20"/>
          <w:color w:val="auto"/>
        </w:rPr>
      </w:pPr>
    </w:p>
    <w:p>
      <w:pPr>
        <w:spacing w:after="0" w:line="2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consider the following accounting policies to be the most critical as they are important to our financial condition and results of operations, and require significant judgment and estimates on the part of management in their application. The risks and uncertainties involved in applying our critical accounting policies are provided below. Unless otherwise noted, we applied our critical accounting policies and estimation methods consistently in all material respects and for all periods presented, and have discussed such policies with our Audit Committee. For a summary of our significant accounting policies, see Note 1 to the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Pushdown of Ultimate Parent’s Basis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At the time Paramount Global and Skydance became subsidiaries of Paramount Skydance Corporation, the Ellison Family controlled both Paramount Global and Skydance, and as a result, this transaction has been accounted for as a transaction between entities under common control. As a transaction between entities under common control, the net assets were combined at the Ultimate Parent’s basis, which for Paramount Global was deemed to be the estimated fair value as of August 7, 2025, the date of the closing of the NAI Transaction, which was the point at which the Ellison Family obtained control of Paramount Global. As a result, the net assets of Paramount Global were recorded at their estimated fair value as of this date. Since the net assets of Skydance were already at the Ultimate Parent’s basis, no adjustment to the fair value of net assets was necessary, and Skydance was combined with Paramount Global’s net assets at the Ultimate Parent’s basis as of this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allocation of the Ultimate Parent’s basis as of August 7, 2025 to Paramount Global’s assets, liabilities and noncontrolling interests requires the use of significant judgments to determine the inputs used to calculate the estimated fair values, including long-term projections, discount rates, royalty rates, and decay rates. These fair value estimates may differ based upon the finalization of appraisals and other valuation analyses, which are expected no later than one year from the Closing Date. Refer to Note 2 to the consolidated financial statements for additional discussion of the valuation methodologies used to calculate the preliminary estimated fair values.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Revenue Recognition</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Revenue is recognized when control of a good or service is transferred to a customer in an amount that reflects the consideration we expect to be entitled to in exchange for those goods or services. Judgments are made in determining the timing of revenue recognition for certain contracts containing bundled advertising sales or bundled content licenses. See Note 1 to the consolidated financial statements for our revenue recognition accounting policies.</w:t>
      </w:r>
    </w:p>
    <w:p>
      <w:pPr>
        <w:spacing w:after="0" w:line="1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Advertising Revenues</w:t>
      </w:r>
      <w:r>
        <w:rPr>
          <w:rFonts w:ascii="Times New Roman" w:cs="Times New Roman" w:eastAsia="Times New Roman" w:hAnsi="Times New Roman"/>
          <w:sz w:val="19"/>
          <w:szCs w:val="19"/>
          <w:color w:val="auto"/>
        </w:rPr>
        <w:t>—Advertising revenues are recognized when the advertising spots are aired on television or streamed or displayed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digital platforms. For advertising contracts that include a guarantee to deliver a targeted audience rating or number of impressions, the delivery of the advertising spots that achieve the guarantee represents the performance obligation to be satisfied over time and revenues are recognized based on the proportion of the audience rating or impressions delivered to the total guaranteed in the contract. To the extent the amounts billed exceed the amount of revenue recognized, such excess is deferred until the guaranteed audience ratings or impressions are delivered.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Affiliate Revenues</w:t>
      </w:r>
      <w:r>
        <w:rPr>
          <w:rFonts w:ascii="Times New Roman" w:cs="Times New Roman" w:eastAsia="Times New Roman" w:hAnsi="Times New Roman"/>
          <w:sz w:val="19"/>
          <w:szCs w:val="19"/>
          <w:color w:val="auto"/>
        </w:rPr>
        <w:t>—The performance obligation for our affiliate agreements is a license to our programming provided through the continuous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delivery of live linear feeds and, for agreements with certain distributors, also includes a license to programming for video-on-demand viewing. Affiliate revenues are recognized over the term of the agreement as we satisfy our performance obligation by continuously providing our customer with the right to use our programming. For agreements that provide for a variable fee, revenues are determined each month based on an agreed upon contractual rate applied to the number of subscribers to our customer’s service. For agreements that provide for a fixed fee, revenues are recognized based on the relative fair value of the content provided over the term of the agreement. These agreements primarily include agreements with television stations affiliated with the CBS Television Network (“network affiliates”) for which fair value is determined based on the fair value of the network affiliate’s service and the value of our programming.</w:t>
      </w:r>
    </w:p>
    <w:p>
      <w:pPr>
        <w:spacing w:after="0" w:line="1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Content Licensing Revenues</w:t>
      </w:r>
      <w:r>
        <w:rPr>
          <w:rFonts w:ascii="Times New Roman" w:cs="Times New Roman" w:eastAsia="Times New Roman" w:hAnsi="Times New Roman"/>
          <w:sz w:val="19"/>
          <w:szCs w:val="19"/>
          <w:color w:val="auto"/>
        </w:rPr>
        <w:t>—For licenses of exhibition rights for internally-produced programming, each individual episode or film delivered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represents a separate performance obligation and revenues are recognized when the episode or film is made available to the licensee for exhibition and the license period has begun. For license agreements that include delivery of content on one or more dates for a fixed fee, consideration is allocated based on the relative value of each episode or film, which is determined based on licenses for comparable content within the marketplace.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Film and Television Production and Programming Costs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Costs incurred to produce television programs and feature films are capitalized when incurred and amortized over the projected life of each television program or feature film. The costs incurred to acquire television series and feature film programming rights, including advances, are capitalized when the license period has begun and the program is accepted and available for airing. The costs of programming rights licensed under multi-year sports programming agreements are capitalized if the rights payments are made before the related economic benefit has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6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been received. Licensed programming rights, including rights for sports programming, are expensed over the shorter of the license period or the period in which an economic benefit is expected to be derived.</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categorize our capitalized production and programming costs based on the expected predominant monetization strategy throughout the life of the content. Our programming that is expected to be predominantly monetized through its initial distribution on third-party platforms is considered individually monetized and our programming that is expected to be predominantly monetized on our networks and streaming services or through licensing together with other programming is considered to be monetized as part of a film group. The predominant monetization strategy is determined when capitalization of production costs commences and is reassessed if there is a significant change to the expected future monetization strategy. This reassessment will include an assessment of the monetization strategy throughout the entire life of the programming.</w:t>
      </w:r>
    </w:p>
    <w:p>
      <w:pPr>
        <w:spacing w:after="0" w:line="200" w:lineRule="exact"/>
        <w:rPr>
          <w:sz w:val="20"/>
          <w:szCs w:val="20"/>
          <w:color w:val="auto"/>
        </w:rPr>
      </w:pP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For internally-produced television programs and feature films that are predominantly monetized on an individual basis, we use an individual-film-forecast computation method to amortize capitalized production costs and to accrue estimated liabilities for participations and residuals over the applicable title’s life cycle based upon the ratio of current period revenues to estimated remaining total gross revenues to be earned (“Ultimate Revenues”) for each title. Management’s judgment is required in estimating Ultimate Revenues and the costs to be incurred throughout the life of each television program or feature film. These estimates are used to determine the timing of amortization of capitalized production costs and expensing of participation and residual costs.</w:t>
      </w:r>
    </w:p>
    <w:p>
      <w:pPr>
        <w:spacing w:after="0" w:line="20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For television programming, our estimate of Ultimate Revenues includes revenues to be earned within 10 years from the delivery of the first episode, or, if still in production, five years from the delivery of the most recent episode, if later. These estimates are based on the past performance of similar television programs in a market, the performance in the initial markets and future firm commitments to license programs.</w:t>
      </w:r>
    </w:p>
    <w:p>
      <w:pPr>
        <w:spacing w:after="0" w:line="200" w:lineRule="exact"/>
        <w:rPr>
          <w:sz w:val="20"/>
          <w:szCs w:val="20"/>
          <w:color w:val="auto"/>
        </w:rPr>
      </w:pP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For feature films, our estimate of Ultimate Revenues includes revenues from all sources that are estimated to be earned within 10 years from the date of a film’s initial release. Prior to the release of feature films, we estimate Ultimate Revenues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For films intended for theatrical release, we believe the performance during the theatrical exhibition is the most sensitive factor affecting our estimate of Ultimate Revenues as subsequent markets have historically exhibited a high correlation to theatrical performance. Upon a film’s initial release, we update our estimate of Ultimate Revenues based on actual and expected future performance. Our estimates of revenues from succeeding windows and markets are revised based on historical relationships to theatrical performance and an analysis of current market trends. We also review and revise estimates of Ultimate Revenue and participation costs as of each reporting date to reflect the most current available information.</w:t>
      </w:r>
    </w:p>
    <w:p>
      <w:pPr>
        <w:spacing w:after="0" w:line="19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For acquired television and film libraries, our estimate of Ultimate Revenues includes revenues to be earned within 20 years from the date of acquisition.</w:t>
      </w:r>
    </w:p>
    <w:p>
      <w:pPr>
        <w:spacing w:after="0" w:line="1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For programming that is predominantly monetized as part of a film group, capitalized costs are amortized based on an estimate of the timing of our usage of and benefit from such programming. Such estimates require management’s judgment and include consideration of factors such as expected revenues to be derived from the programming, the expected number of future airings, and, for licensed programming, the length of the license period. If initial airings are expected to generate higher revenues, an accelerated method of amortization is used.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These estimates are periodically reviewed and updated based on information available throughout the contractual term or life of each program.</w:t>
      </w:r>
    </w:p>
    <w:p>
      <w:pPr>
        <w:spacing w:after="0" w:line="2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For content that is predominantly monetized on an individual basis, a television program or feature film is tested for impairment when events or circumstances indicate that its fair value may be less than its unamortized cost. If the result of the impairment test indicates that the carrying value exceeds the estimated fair value, an impairment charge will then be recorded for the amount of the difference. Content that is predominantly monetized within a film group is assessed for impairment at the film group level and would similarly be tested for impairment if circumstances indicate that the fair value of the film group is less than its unamortized costs. A change in the monetization strategy of content, whether monetized individually or as part of a film group, will result in a reassessment of the predominant monetization strategy and may trigger an assessment of the content for impairment. Any resulting impairment test will be performed either at the individual level or at the film group level where the future cash flows will be generated. In addition, unamortized costs for internally-produced or licensed programming that has been abandoned are written off.</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Goodwill Impairment Tests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Our goodwill of $1.6 billion at December 31, 2025 was primarily established as a result of the NAI Transaction, which required the net assets of Paramount Global to be recorded at the Ultimate Parent’s basis on August 7, 2025. We perform a fair value-based impairment test of goodwill on an annual basis, and also between annual tests if an event occurs or if circumstances change that would more likely than not reduce the fair value of a reporting unit below its carrying value. Goodwill is tested for impairment at the reporting unit level, which is an operating segment, or one level below an operating segment (also known as a component). We aggregate components into a single reporting unit if they share similar economic characteristics. At December 31, 2025, we had four reporting units.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is comprised of two reporting units with $249 million of goodwill at December 31, 2025. The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is comprised of one reporting unit, which is an aggregation of the Paramount+ and Pluto TV components, and had $1.27 billion of goodwill at December 31, 2025. The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is comprised of one reporting unit with $79 million of goodwill at December 31, 2025.</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i w:val="1"/>
          <w:iCs w:val="1"/>
          <w:color w:val="auto"/>
        </w:rPr>
        <w:t>2025 Annual Impairment Test (Successor)</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For the 2025 annual impairment test, we performed qualitative assessments for all of our reporting units with goodwill balances. For each reporting unit, we weighed the relative impact of reporting-unit-specific, industry, and macroeconomic factors, and considered changes in each since the estimated fair values of the reporting units were determined in connection with the pushdown of the Ultimate Parent's basis as of August 7, 2025. The reporting unit specific factors that were considered included updated financial forecasts, actual performance and changes to the reporting units’ carrying amounts. We also considered significant industry trends and developments, as well as macroeconomic and market factors, including changes in interest rates and changes in our market capitalization.</w:t>
      </w:r>
    </w:p>
    <w:p>
      <w:pPr>
        <w:spacing w:after="0" w:line="19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Considering the aggregation of all relevant factors, including the proximity to the August 7, 2025 valuation, we concluded that it is not more likely than not that the fair values of our reporting units are less than their respective carrying values. Therefore, performing a quantitative impairment test for these reporting units was unnecessary.</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Certain future events and circumstances, including deterioration of market conditions, increases in interest rates, and unfavorable impacts to the projections used in the valuations for our reporting units discussed above, including from changes in consumer behavior, a decrease in audience acceptance of our content and platforms, and delays or difficulties in achieving our profitability goals for our streaming services, could cause the fair values of these reporting units to fall below their respective carrying values and a noncash impairment charge would be required.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Such a charge could have a material effect on the Consolidated Statement of Operations and Consolidated Balance Sheet.</w:t>
      </w:r>
    </w:p>
    <w:p>
      <w:pPr>
        <w:spacing w:after="0" w:line="2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i w:val="1"/>
          <w:iCs w:val="1"/>
          <w:color w:val="auto"/>
        </w:rPr>
        <w:t>2024 Impairment Tests (Predecessor)</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the second quarter of 2024, we performed an impairment test for our Cable Networks reporting unit and recorded a goodwill impairment charge of $5.98 billion, which represented the goodwill balance of the reporting unit prior to the impairment test. The estimated fair value of our Cable Networks reporting unit was based on the discounted cash flow method. The discounted cash flow method, which estimates fair value based on the present value of future cash flows, requires us to make various assumptions regarding the timing and amount of these cash flows, including growth rates, operating margins and capital expenditures for a projection period, plus the terminal value of the business at the end of the projection period. The assumptions about future cash flows were based on our internal forecasts of the applicable reporting unit, which incorporated our long-term business plans and historical trends. The terminal value was estimated using a long-term growth rate, which was based on expected trends and projections for the relevant industry. A discount rate was determined for the reporting unit based on the risks of achieving the future cash flows, including risks applicable to the industry and market as a whole, as well as the capital structure of comparable entities. For the impairment test of our Cable Networks reporting unit, we utilized a discount rate of 11% and a terminal value that was based on a long-term growth rate of (3)%.</w:t>
      </w:r>
    </w:p>
    <w:p>
      <w:pPr>
        <w:spacing w:after="0" w:line="200" w:lineRule="exact"/>
        <w:rPr>
          <w:sz w:val="20"/>
          <w:szCs w:val="20"/>
          <w:color w:val="auto"/>
        </w:rPr>
      </w:pP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fair values of the remaining reporting units exceeded their respective carrying values and therefore no impairment charge was required. All of our reporting units, except for one, had fair values that exceeded their respective carrying values by less than 10%. The other reporting unit had a fair value that exceeded its carrying value by a significant amount. The estimated fair value of our CBS Entertainment reporting unit, which exceeded its carrying value by 4%, was based on both the discounted cash flow method and the traded values of comparable businesses utilizing an OIBDA multiple. The estimated fair value of our Paramount+ reporting unit, which exceeded its carrying value by 5%, was based on the traded and transaction values of comparable businesses utilizing revenue multiples. The estimated fair value of our Pluto TV reporting unit, which exceeded its carrying value by 4%, was based on the traded and transaction values of comparable businesses utilizing revenue multiples.</w:t>
      </w:r>
    </w:p>
    <w:p>
      <w:pPr>
        <w:spacing w:after="0" w:line="200" w:lineRule="exact"/>
        <w:rPr>
          <w:sz w:val="20"/>
          <w:szCs w:val="20"/>
          <w:color w:val="auto"/>
        </w:rPr>
      </w:pPr>
    </w:p>
    <w:p>
      <w:pPr>
        <w:spacing w:after="0" w:line="2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For the 2024 annual impairment test, we performed qualitative assessments for all of our reporting units with goodwill balances. For each reporting unit, we considered changes in the reporting-unit-specific industry, and macroeconomic factors since the second quarter quantitative impairment tests. Considering the aggregation of all relevant factors, we concluded that it is not more likely than not that the fair values of our reporting units are less than their respective carrying values. Therefore, performing a quantitative impairment test for these reporting units was unnecessary.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FCC Licenses—Change in Accounting Estimate</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FCC licenses have historically been classified as indefinite-lived intangible assets. However, as a result of sustained declines in industry projections, including in long-term growth rate assumptions, we reassessed this classification and determined that FCC licenses would be classified as finite-lived intangible assets. Accordingly, during the third quarter of 2025, we began amortizing FCC licenses on a straight-line basis over a period of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6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years. As of December 31, 2025 (Successor), the unamortized FCC licenses balance was $2.47 billion, which was included within “Intangible assets, net” on the Consolidated Balance Sheet.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FCC Licenses—Impairment Tests (Predecessor)</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During each of the Predecessor periods presented we had 14 television markets with FCC licenses book values. We performed fair value-based impairment tests at the geographic market level on an annual basis, and also between annual tests if an event occurred or if circumstances changed that indicated that it was more likely than not that the fair value of FCC licenses in a certain market or markets were below their respective carrying values. We consider each geographic market, which is comprised of all of our television stations within that geographic market, to be a single unit of accounting because the FCC licenses at this level represent their highest and best use.</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Quantitative impairment tests for our FCC licenses were performed using the Greenfield Discounted Cash Flow Method (“Greenfield Method”), which estimates the fair values of the licenses by valuing a hypothetical start-up station in the relevant market by adding discounted cash flows over a five-year build-up period to a residual value. The assumptions for the build-up period included industry projections of overall market revenues; the start-up station’s operating costs and capital expenditures, which were based on both industry and internal data; and average market share. The discount rate was determined based on the industry and market-based risk of achieving the projected cash flows, and the residual value was calculated using a long-term growth rate, which was based on projected long-range inflation and industry projections.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Interim Impairment Tests</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During 2025 and 2024, we performed interim quantitative impairment tests in each of the below quarters. The number of markets tested, assumptions used in the Greenfield Method, and resulting impairments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3"/>
        </w:trPr>
        <w:tc>
          <w:tcPr>
            <w:tcW w:w="22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Test Period</w:t>
            </w:r>
          </w:p>
        </w:tc>
        <w:tc>
          <w:tcPr>
            <w:tcW w:w="20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Markets Tested</w:t>
            </w:r>
          </w:p>
        </w:tc>
        <w:tc>
          <w:tcPr>
            <w:tcW w:w="1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5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Growth Rate</w:t>
            </w:r>
          </w:p>
        </w:tc>
        <w:tc>
          <w:tcPr>
            <w:tcW w:w="17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Markets Impaired</w:t>
            </w:r>
          </w:p>
        </w:tc>
        <w:tc>
          <w:tcPr>
            <w:tcW w:w="420" w:type="dxa"/>
            <w:vAlign w:val="bottom"/>
          </w:tcPr>
          <w:p>
            <w:pPr>
              <w:spacing w:after="0"/>
              <w:rPr>
                <w:sz w:val="20"/>
                <w:szCs w:val="20"/>
                <w:color w:val="auto"/>
              </w:rPr>
            </w:pPr>
          </w:p>
        </w:tc>
        <w:tc>
          <w:tcPr>
            <w:tcW w:w="14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Impairment</w:t>
            </w:r>
          </w:p>
        </w:tc>
      </w:tr>
      <w:tr>
        <w:trPr>
          <w:trHeight w:val="25"/>
        </w:trPr>
        <w:tc>
          <w:tcPr>
            <w:tcW w:w="2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2025</w:t>
            </w:r>
          </w:p>
        </w:tc>
        <w:tc>
          <w:tcPr>
            <w:tcW w:w="204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88"/>
              </w:rPr>
              <w:t>6</w:t>
            </w:r>
          </w:p>
        </w:tc>
        <w:tc>
          <w:tcPr>
            <w:tcW w:w="1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7.50 %</w:t>
            </w: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c>
          <w:tcPr>
            <w:tcW w:w="17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157</w:t>
            </w:r>
          </w:p>
        </w:tc>
      </w:tr>
      <w:tr>
        <w:trPr>
          <w:trHeight w:val="26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 2024</w:t>
            </w:r>
          </w:p>
        </w:tc>
        <w:tc>
          <w:tcPr>
            <w:tcW w:w="204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9"/>
              </w:rPr>
              <w:t>14</w:t>
            </w:r>
          </w:p>
        </w:tc>
        <w:tc>
          <w:tcPr>
            <w:tcW w:w="1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7.50 %</w:t>
            </w: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c>
          <w:tcPr>
            <w:tcW w:w="17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104</w:t>
            </w:r>
          </w:p>
        </w:tc>
      </w:tr>
      <w:tr>
        <w:trPr>
          <w:trHeight w:val="26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2024</w:t>
            </w:r>
          </w:p>
        </w:tc>
        <w:tc>
          <w:tcPr>
            <w:tcW w:w="204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88"/>
              </w:rPr>
              <w:t>8</w:t>
            </w:r>
          </w:p>
        </w:tc>
        <w:tc>
          <w:tcPr>
            <w:tcW w:w="1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8 %</w:t>
            </w: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15</w:t>
            </w:r>
          </w:p>
        </w:tc>
      </w:tr>
      <w:tr>
        <w:trPr>
          <w:trHeight w:val="32"/>
        </w:trPr>
        <w:tc>
          <w:tcPr>
            <w:tcW w:w="2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i w:val="1"/>
          <w:iCs w:val="1"/>
          <w:color w:val="auto"/>
        </w:rPr>
        <w:t>Annual Impairment Test (Predecessor)</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For the 2024 annual impairment test, qualitative assessments were performed for nine television markets that we estimated had an aggregate fair value of FCC licenses that significantly exceeded their respective carrying values. For each market, we weighed the relative impact of market-specific and macroeconomic factors as well as the changes in these factors and their impact on discount rates and growth rates since our last quantitative test. The market-specific factors considered included recent projections by geographic market from both independent and internal sources for revenue and operating costs, as well as average market share. Based on the qualitative assessments, we concluded that it is not more likely than not that the fair values of the FCC licenses in each of these television markets were less than their respective carrying values. Therefore, performing a quantitative impairment test on these markets was unnecessary.</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We performed a quantitative impairment test for the FCC licenses in the remaining five markets. The annual impairment tests indicated that the estimated fair values of FCC licenses in each of the markets were below their respective carrying values. Accordingly, we recorded an impairment charge of $22 million during the fourth quarter of 2024 to write down the carrying values of these FCC licenses. This impairment charge was primarily the result of updated market data. The discount rate and the long-term growth rate used in the annual test were 7.5%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 respectively.</w:t>
      </w:r>
    </w:p>
    <w:p>
      <w:pPr>
        <w:spacing w:after="0" w:line="23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 addition, in 2024 we performed a quantitative impairment test for our Australian broadcast licenses using the Greenfield Method, which indicated that the estimated fair value of these licenses was lower than their carrying value. Accordingly, we recorded an impairment charge of $8 million to write down the carrying value of these licenses to $13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Legal Matters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Estimates of liabilities related to legal issues and predecessor operations, including asbestos and environmental matters, require significant judgments by management. We record an accrual for a loss contingency when it is both probable that a liability has been incurred and when the amount of the loss can be reasonably estimated. It is difficult to predict long-term future asbestos liabilities as events and circumstances may impact the estimate. The reasonably estimable period for our long-term asbestos liability is 10 years, which we determined in consultation with a third-party firm with expertise in estimating asbestos liability and is due to the inherent uncertainties in the tort litigation system. Our estimated asbestos liability is based upon many factors, including the number of outstanding claims, estimated average cost per claim, the breakdown of claims by disease type, historic claim filings, costs per claim of resolution and the filing of new claims, and is assessed in consultation with the third</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party firm. Changes in circumstances in future periods could cause our actual liabilities for asbestos and/or environmental matters to be higher or lower than our current accrual</w:t>
      </w:r>
      <w:r>
        <w:rPr>
          <w:rFonts w:ascii="Times New Roman" w:cs="Times New Roman" w:eastAsia="Times New Roman" w:hAnsi="Times New Roman"/>
          <w:sz w:val="17"/>
          <w:szCs w:val="17"/>
          <w:color w:val="auto"/>
        </w:rPr>
        <w:t>s</w:t>
      </w:r>
      <w:r>
        <w:rPr>
          <w:rFonts w:ascii="Times New Roman" w:cs="Times New Roman" w:eastAsia="Times New Roman" w:hAnsi="Times New Roman"/>
          <w:sz w:val="19"/>
          <w:szCs w:val="19"/>
          <w:color w:val="auto"/>
        </w:rPr>
        <w:t>. We will continue to evaluate our estimates and update our accruals as needed.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Pensions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Pension benefit obligations and net periodic pension costs are calculated using many actuarial assumptions. Two key assumptions used in accounting for pension liabilities and expenses are the discount rate and expected rate of return on plan assets. The discount rate is determined based on the yield on a portfolio of high quality bonds, constructed to provide cash flows necessary to meet our pension plans’ expected future benefit payments, as determined for the accumulated benefit obligation. The expected return on plan assets assumption is derived using the current and expected asset allocation of the pension plan assets and considering historical as well as expected returns on various classes of plan assets. A 25 basis point change in the discount rate would result in an estimated change to the accumulated benefit obligation of approximately $77 million and approximately $4 million to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6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pension expense. A decrease in the expected rate of return on plan assets would increase pension expense. The estimated impact of a 25 basis point change in the expected rate of return on plan assets is a change of approximately $6 million to 2026 pension expense.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Income Taxes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We are subject to income taxes in both the U.S. and numerous foreign jurisdictions. Significant judgment is required in determining the worldwide provision for income taxes and evaluating our income tax positions. When recording an interim worldwide provision for income taxes, an estimated effective tax rate for the year is applied to interim operating results. In the event there is a significant or unusual item recognized in the quarterly operating results, the tax attributable to that item is separately calculated and recorded in the same quarter. Deferred tax assets and liabilities are recognized for the estimated future tax effects of temporary differences between the financial statement carrying amounts and their respective tax basis. Deferred tax assets and liabilities are measured using enacted tax rates expected to apply to taxable income in the year in which the temporary differences are expected to be reversed. We evaluate the realizability of deferred tax assets and establish a valuation allowance when it is more likely than not that all or a portion of deferred tax assets will not be realized. While valuation allowances can require significant judgment, we believe the valuation allowance of $625 million at December 31, 2025 properly reduces our deferred tax assets to the amount that is more likely than not to be realized.</w:t>
      </w: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 number of years may elapse before a tax return containing tax matters for which a reserve has been established is audited and finally resolved. For positions taken in a previously filed tax return or expected to be taken in a future tax return, we evaluate each position to determine whether it is more likely than not that the tax position will be sustained upon examination, based on the technical merits of the position. A tax position that meets the more-likely-than-not recognition threshold is subject to a measurement assessment to determine the amount of benefit to be recognized in the Consolidated Statement of Operations and the appropriate reserve to establish, if any. If a tax position does not meet the more-likely-than-not recognition threshold, a tax reserve is established and no benefit is recognized. We evaluate our uncertain tax positions quarterly based on many factors, including changes in tax laws and interpretations, information received from tax authorities, and other changes in facts and circumstances. Our income tax returns are routinely audited by U.S. federal and state as well as foreign tax authorities. While it is often difficult to predict the final outcome or the timing of resolution of any particular tax matter, we believe that the reserve for uncertain tax positions of $431 million at December 31, 2025 is properly recorded.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Market Risk</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are exposed to fluctuations in foreign currency exchange rates and interest rates and use derivative financial instruments to manage this exposure. In accordance with our policy, we do not use derivative instruments unless there is an underlying exposure and, therefore, we do not hold or enter into derivative financial instruments for speculative trading purposes.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Foreign Exchange Risk</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conduct business in various countries outside the U.S., resulting in exposure to movements in foreign exchange rates when translating from the foreign local currency to the U.S. dollar. In order to manage this exposure for currencies such as the British pound, the euro, the Canadian dollar and the Australian dollar, we enter into foreign currency forward contracts for periods generally up to 24 months. We designate forward contracts used to hedge committed and forecasted foreign currency transactions, including future production costs and programming obligations, as cash flow hedges. Gains or losses on the effective portion of designated cash flow hedges are initially recorded in other comprehensive income (loss) and reclassified to the statement of operations when the hedged item is recognized. We also enter into non-designated forward contracts to hedge non-U.S. dollar denominated assets, liabilities, and cash flows. The change in fair value of the non-designated contracts is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“Other items, net” on the Consolidated Statements of Operations. We manage the use of foreign exchange derivatives centrally.</w:t>
      </w:r>
    </w:p>
    <w:p>
      <w:pPr>
        <w:spacing w:after="0" w:line="2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During 2024, Paramount Global entered into a foreign currency option contract to mitigate the exchange rate risk of the Indian rupee-denominated sale of our interest in Viacom18. The option contract had a notional amount of 42.86 billion Indian rupees and was settled upon closing of the transaction in November 2024. Changes in the fair value of this hedge, which was a loss of $5 million for the year ended December 31, 2024, were recognized in “Other items, net” on the Consolidated Statement of Operations.</w:t>
      </w:r>
    </w:p>
    <w:p>
      <w:pPr>
        <w:spacing w:after="0" w:line="2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At December 31, 2025 (Successor) and December 31, 2024 (Predecessor), the notional amount of all foreign currency contracts was $3.14 billion and $2.75 billion, respectively. For 2025 (Successor), $2.74 billion related to future production costs and $407 million related to our foreign currency assets and liabilities. For 2024 (Predecessor), $2.39 billion related to future production costs and $358 million related to our foreign currency assets and liabilities.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Interest Risk</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Interest rates on future long-term debt issuances are exposed to risk related to movements in long-term interest rates. Interest rate hedges may be used to modify this exposure at our discretion. There were no interest rate hedges outstanding at December 31, 2025 (Successor) or 2024 (Predecessor), but in the future we may use derivatives to manage our exposure to interest rates.</w:t>
      </w:r>
    </w:p>
    <w:p>
      <w:pPr>
        <w:spacing w:after="0" w:line="18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At December 31, 2025, the carrying value of our outstanding notes and debentures was $13.65 billion and the fair value was $13.2 billion. A 1% increase or decrease in interest rates would decrease or increase the fair value of our notes and debentures by approximately $742 million and $315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Credit Risk</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We continually monitor our positions with, and credit quality of, the financial institutions that are counterparties to our financial instruments. We are exposed to credit loss in the event of nonperformance by the counterparties to the agreements. However, we do not anticipate nonperformance by the counterparties.</w:t>
      </w:r>
    </w:p>
    <w:p>
      <w:pPr>
        <w:spacing w:after="0" w:line="17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Our receivables do not represent significant concentrations of credit risk at December 31, 2025 (Successor) or 2024 (Predecessor), due to the wide variety of customers, markets and geographic areas to which our products and services are sold.</w:t>
      </w:r>
    </w:p>
    <w:p>
      <w:pPr>
        <w:spacing w:after="0" w:line="126" w:lineRule="exact"/>
        <w:rPr>
          <w:sz w:val="20"/>
          <w:szCs w:val="20"/>
          <w:color w:val="auto"/>
        </w:rPr>
      </w:pPr>
    </w:p>
    <w:p>
      <w:pPr>
        <w:ind w:right="3100"/>
        <w:spacing w:after="0" w:line="451" w:lineRule="auto"/>
        <w:rPr>
          <w:sz w:val="20"/>
          <w:szCs w:val="20"/>
          <w:color w:val="auto"/>
        </w:rPr>
      </w:pPr>
      <w:r>
        <w:rPr>
          <w:rFonts w:ascii="Times New Roman" w:cs="Times New Roman" w:eastAsia="Times New Roman" w:hAnsi="Times New Roman"/>
          <w:sz w:val="19"/>
          <w:szCs w:val="19"/>
          <w:b w:val="1"/>
          <w:bCs w:val="1"/>
          <w:color w:val="auto"/>
        </w:rPr>
        <w:t xml:space="preserve">Recently Adopted Accounting Pronouncements and Accounting Pronouncements Not Yet Adopted </w:t>
      </w:r>
      <w:r>
        <w:rPr>
          <w:rFonts w:ascii="Times New Roman" w:cs="Times New Roman" w:eastAsia="Times New Roman" w:hAnsi="Times New Roman"/>
          <w:sz w:val="19"/>
          <w:szCs w:val="19"/>
          <w:color w:val="auto"/>
        </w:rPr>
        <w:t>See Note 1 to the consolidated financial statements.</w:t>
      </w:r>
    </w:p>
    <w:p>
      <w:pPr>
        <w:spacing w:after="0"/>
        <w:rPr>
          <w:sz w:val="20"/>
          <w:szCs w:val="20"/>
          <w:color w:val="auto"/>
        </w:rPr>
      </w:pPr>
      <w:r>
        <w:rPr>
          <w:rFonts w:ascii="Times New Roman" w:cs="Times New Roman" w:eastAsia="Times New Roman" w:hAnsi="Times New Roman"/>
          <w:sz w:val="19"/>
          <w:szCs w:val="19"/>
          <w:b w:val="1"/>
          <w:bCs w:val="1"/>
          <w:color w:val="auto"/>
        </w:rPr>
        <w:t>Legal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See </w:t>
      </w: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 xml:space="preserve"> section in Note 18 to the consolidated financial statements.</w:t>
      </w:r>
    </w:p>
    <w:p>
      <w:pPr>
        <w:spacing w:after="0" w:line="28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7A.</w:t>
      </w:r>
      <w:r>
        <w:rPr>
          <w:sz w:val="20"/>
          <w:szCs w:val="20"/>
          <w:color w:val="auto"/>
        </w:rPr>
        <w:tab/>
      </w:r>
      <w:r>
        <w:rPr>
          <w:rFonts w:ascii="Times New Roman" w:cs="Times New Roman" w:eastAsia="Times New Roman" w:hAnsi="Times New Roman"/>
          <w:sz w:val="19"/>
          <w:szCs w:val="19"/>
          <w:b w:val="1"/>
          <w:bCs w:val="1"/>
          <w:i w:val="1"/>
          <w:iCs w:val="1"/>
          <w:color w:val="auto"/>
        </w:rPr>
        <w:t>Quantitative and Qualitative Disclosures About Market Risk.</w:t>
      </w:r>
    </w:p>
    <w:p>
      <w:pPr>
        <w:spacing w:after="0" w:line="27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Information required by this item is presented in “Item 7. Management’s Discussion and Analysis of Results of Operations and Financial Condition—Market Risk.”</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62" w:name="page63"/>
    <w:bookmarkEnd w:id="62"/>
    <w:p>
      <w:pPr>
        <w:ind w:left="80"/>
        <w:spacing w:after="0"/>
        <w:tabs>
          <w:tab w:leader="none" w:pos="1160" w:val="left"/>
        </w:tabs>
        <w:rPr>
          <w:sz w:val="20"/>
          <w:szCs w:val="20"/>
          <w:color w:val="auto"/>
        </w:rPr>
      </w:pPr>
      <w:r>
        <w:rPr>
          <w:rFonts w:ascii="Times New Roman" w:cs="Times New Roman" w:eastAsia="Times New Roman" w:hAnsi="Times New Roman"/>
          <w:sz w:val="19"/>
          <w:szCs w:val="19"/>
          <w:b w:val="1"/>
          <w:bCs w:val="1"/>
          <w:color w:val="auto"/>
        </w:rPr>
        <w:t>Item 8.</w:t>
      </w:r>
      <w:r>
        <w:rPr>
          <w:sz w:val="20"/>
          <w:szCs w:val="20"/>
          <w:color w:val="auto"/>
        </w:rPr>
        <w:tab/>
      </w:r>
      <w:r>
        <w:rPr>
          <w:rFonts w:ascii="Times New Roman" w:cs="Times New Roman" w:eastAsia="Times New Roman" w:hAnsi="Times New Roman"/>
          <w:sz w:val="19"/>
          <w:szCs w:val="19"/>
          <w:b w:val="1"/>
          <w:bCs w:val="1"/>
          <w:i w:val="1"/>
          <w:iCs w:val="1"/>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INDEX TO FINANCIAL STATEMENTS AND SCHEDULE</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The following Consolidated Financial Statements and schedule of the registrant and its subsidiaries are submitted herewith as part of this report:</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gridSpan w:val="2"/>
          </w:tcPr>
          <w:p>
            <w:pPr>
              <w:jc w:val="center"/>
              <w:ind w:right="500"/>
              <w:spacing w:after="0"/>
              <w:rPr>
                <w:sz w:val="20"/>
                <w:szCs w:val="20"/>
                <w:color w:val="auto"/>
              </w:rPr>
            </w:pPr>
            <w:r>
              <w:rPr>
                <w:rFonts w:ascii="Times New Roman" w:cs="Times New Roman" w:eastAsia="Times New Roman" w:hAnsi="Times New Roman"/>
                <w:sz w:val="19"/>
                <w:szCs w:val="19"/>
                <w:color w:val="auto"/>
                <w:w w:val="86"/>
              </w:rPr>
              <w:t>Page</w:t>
            </w:r>
          </w:p>
        </w:tc>
        <w:tc>
          <w:tcPr>
            <w:tcW w:w="0" w:type="dxa"/>
            <w:vAlign w:val="bottom"/>
          </w:tcPr>
          <w:p>
            <w:pPr>
              <w:spacing w:after="0"/>
              <w:rPr>
                <w:sz w:val="1"/>
                <w:szCs w:val="1"/>
                <w:color w:val="auto"/>
              </w:rPr>
            </w:pPr>
          </w:p>
        </w:tc>
      </w:tr>
      <w:tr>
        <w:trPr>
          <w:trHeight w:val="35"/>
        </w:trPr>
        <w:tc>
          <w:tcPr>
            <w:tcW w:w="9840" w:type="dxa"/>
            <w:vAlign w:val="bottom"/>
            <w:gridSpan w:val="11"/>
            <w:vMerge w:val="restart"/>
          </w:tcPr>
          <w:p>
            <w:pPr>
              <w:spacing w:after="0"/>
              <w:rPr>
                <w:sz w:val="20"/>
                <w:szCs w:val="20"/>
                <w:color w:val="auto"/>
              </w:rPr>
            </w:pPr>
            <w:r>
              <w:rPr>
                <w:rFonts w:ascii="Times New Roman" w:cs="Times New Roman" w:eastAsia="Times New Roman" w:hAnsi="Times New Roman"/>
                <w:sz w:val="19"/>
                <w:szCs w:val="19"/>
                <w:color w:val="auto"/>
              </w:rPr>
              <w:t>Item 15(a)(1) Financial Statements:</w:t>
            </w: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840" w:type="dxa"/>
            <w:vAlign w:val="bottom"/>
            <w:gridSpan w:val="11"/>
            <w:vMerge w:val="continue"/>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1.</w:t>
            </w:r>
          </w:p>
        </w:tc>
        <w:tc>
          <w:tcPr>
            <w:tcW w:w="8960" w:type="dxa"/>
            <w:vAlign w:val="bottom"/>
            <w:gridSpan w:val="10"/>
          </w:tcPr>
          <w:p>
            <w:pPr>
              <w:spacing w:after="0"/>
              <w:rPr>
                <w:sz w:val="20"/>
                <w:szCs w:val="20"/>
                <w:color w:val="auto"/>
              </w:rPr>
            </w:pPr>
            <w:r>
              <w:rPr>
                <w:rFonts w:ascii="Times New Roman" w:cs="Times New Roman" w:eastAsia="Times New Roman" w:hAnsi="Times New Roman"/>
                <w:sz w:val="19"/>
                <w:szCs w:val="19"/>
                <w:color w:val="0000FF"/>
              </w:rPr>
              <w:t>Management’s Report on Internal Control Over Financial Reporting</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II-47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2.</w:t>
            </w:r>
          </w:p>
        </w:tc>
        <w:tc>
          <w:tcPr>
            <w:tcW w:w="8960" w:type="dxa"/>
            <w:vAlign w:val="bottom"/>
            <w:gridSpan w:val="10"/>
          </w:tcPr>
          <w:p>
            <w:pPr>
              <w:spacing w:after="0"/>
              <w:rPr>
                <w:sz w:val="20"/>
                <w:szCs w:val="20"/>
                <w:color w:val="auto"/>
              </w:rPr>
            </w:pPr>
            <w:r>
              <w:rPr>
                <w:rFonts w:ascii="Times New Roman" w:cs="Times New Roman" w:eastAsia="Times New Roman" w:hAnsi="Times New Roman"/>
                <w:sz w:val="19"/>
                <w:szCs w:val="19"/>
                <w:color w:val="0000FF"/>
              </w:rPr>
              <w:t xml:space="preserve">Report of Independent Registered Public Accounting Firm </w:t>
            </w:r>
            <w:r>
              <w:rPr>
                <w:rFonts w:ascii="Times New Roman" w:cs="Times New Roman" w:eastAsia="Times New Roman" w:hAnsi="Times New Roman"/>
                <w:sz w:val="19"/>
                <w:szCs w:val="19"/>
                <w:color w:val="000000"/>
              </w:rPr>
              <w:t>(PCAOB ID: 238)</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II-48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3.</w:t>
            </w:r>
          </w:p>
        </w:tc>
        <w:tc>
          <w:tcPr>
            <w:tcW w:w="8960" w:type="dxa"/>
            <w:vAlign w:val="bottom"/>
            <w:gridSpan w:val="10"/>
          </w:tcPr>
          <w:p>
            <w:pPr>
              <w:spacing w:after="0"/>
              <w:rPr>
                <w:sz w:val="20"/>
                <w:szCs w:val="20"/>
                <w:color w:val="auto"/>
              </w:rPr>
            </w:pPr>
            <w:r>
              <w:rPr>
                <w:rFonts w:ascii="Times New Roman" w:cs="Times New Roman" w:eastAsia="Times New Roman" w:hAnsi="Times New Roman"/>
                <w:sz w:val="19"/>
                <w:szCs w:val="19"/>
                <w:color w:val="0000FF"/>
              </w:rPr>
              <w:t xml:space="preserve">Report of Independent Registered Public Accounting Firm </w:t>
            </w:r>
            <w:r>
              <w:rPr>
                <w:rFonts w:ascii="Times New Roman" w:cs="Times New Roman" w:eastAsia="Times New Roman" w:hAnsi="Times New Roman"/>
                <w:sz w:val="19"/>
                <w:szCs w:val="19"/>
                <w:color w:val="000000"/>
              </w:rPr>
              <w:t>(PCAOB ID: 238)</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II-52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w:t>
            </w:r>
          </w:p>
        </w:tc>
        <w:tc>
          <w:tcPr>
            <w:tcW w:w="3040" w:type="dxa"/>
            <w:vAlign w:val="bottom"/>
            <w:gridSpan w:val="3"/>
          </w:tcPr>
          <w:p>
            <w:pPr>
              <w:spacing w:after="0"/>
              <w:rPr>
                <w:sz w:val="20"/>
                <w:szCs w:val="20"/>
                <w:color w:val="auto"/>
              </w:rPr>
            </w:pPr>
            <w:r>
              <w:rPr>
                <w:rFonts w:ascii="Times New Roman" w:cs="Times New Roman" w:eastAsia="Times New Roman" w:hAnsi="Times New Roman"/>
                <w:sz w:val="19"/>
                <w:szCs w:val="19"/>
                <w:color w:val="0000FF"/>
              </w:rPr>
              <w:t>Consolidated Statements of Operations</w:t>
            </w:r>
          </w:p>
        </w:tc>
        <w:tc>
          <w:tcPr>
            <w:tcW w:w="1500" w:type="dxa"/>
            <w:vAlign w:val="bottom"/>
            <w:gridSpan w:val="5"/>
          </w:tcPr>
          <w:p>
            <w:pPr>
              <w:spacing w:after="0"/>
              <w:rPr>
                <w:sz w:val="23"/>
                <w:szCs w:val="23"/>
                <w:color w:val="auto"/>
              </w:rPr>
            </w:pPr>
          </w:p>
        </w:tc>
        <w:tc>
          <w:tcPr>
            <w:tcW w:w="4420" w:type="dxa"/>
            <w:vAlign w:val="bottom"/>
            <w:gridSpan w:val="2"/>
          </w:tcPr>
          <w:p>
            <w:pPr>
              <w:spacing w:after="0"/>
              <w:rPr>
                <w:sz w:val="23"/>
                <w:szCs w:val="23"/>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II-54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5.</w:t>
            </w:r>
          </w:p>
        </w:tc>
        <w:tc>
          <w:tcPr>
            <w:tcW w:w="4040" w:type="dxa"/>
            <w:vAlign w:val="bottom"/>
            <w:gridSpan w:val="7"/>
          </w:tcPr>
          <w:p>
            <w:pPr>
              <w:spacing w:after="0"/>
              <w:rPr>
                <w:sz w:val="20"/>
                <w:szCs w:val="20"/>
                <w:color w:val="auto"/>
              </w:rPr>
            </w:pPr>
            <w:r>
              <w:rPr>
                <w:rFonts w:ascii="Times New Roman" w:cs="Times New Roman" w:eastAsia="Times New Roman" w:hAnsi="Times New Roman"/>
                <w:sz w:val="19"/>
                <w:szCs w:val="19"/>
                <w:color w:val="0000FF"/>
              </w:rPr>
              <w:t>Consolidated Statements of Comprehensive Income</w:t>
            </w:r>
          </w:p>
        </w:tc>
        <w:tc>
          <w:tcPr>
            <w:tcW w:w="4920" w:type="dxa"/>
            <w:vAlign w:val="bottom"/>
            <w:gridSpan w:val="3"/>
          </w:tcPr>
          <w:p>
            <w:pPr>
              <w:spacing w:after="0"/>
              <w:rPr>
                <w:sz w:val="23"/>
                <w:szCs w:val="23"/>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II-55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6.</w:t>
            </w:r>
          </w:p>
        </w:tc>
        <w:tc>
          <w:tcPr>
            <w:tcW w:w="2260" w:type="dxa"/>
            <w:vAlign w:val="bottom"/>
          </w:tcPr>
          <w:p>
            <w:pPr>
              <w:spacing w:after="0"/>
              <w:rPr>
                <w:sz w:val="20"/>
                <w:szCs w:val="20"/>
                <w:color w:val="auto"/>
              </w:rPr>
            </w:pPr>
            <w:r>
              <w:rPr>
                <w:rFonts w:ascii="Times New Roman" w:cs="Times New Roman" w:eastAsia="Times New Roman" w:hAnsi="Times New Roman"/>
                <w:sz w:val="19"/>
                <w:szCs w:val="19"/>
                <w:color w:val="0000FF"/>
              </w:rPr>
              <w:t>Consolidated Balance Sheets</w:t>
            </w:r>
          </w:p>
        </w:tc>
        <w:tc>
          <w:tcPr>
            <w:tcW w:w="1780" w:type="dxa"/>
            <w:vAlign w:val="bottom"/>
            <w:gridSpan w:val="6"/>
          </w:tcPr>
          <w:p>
            <w:pPr>
              <w:spacing w:after="0"/>
              <w:rPr>
                <w:sz w:val="23"/>
                <w:szCs w:val="23"/>
                <w:color w:val="auto"/>
              </w:rPr>
            </w:pPr>
          </w:p>
        </w:tc>
        <w:tc>
          <w:tcPr>
            <w:tcW w:w="4920" w:type="dxa"/>
            <w:vAlign w:val="bottom"/>
            <w:gridSpan w:val="3"/>
          </w:tcPr>
          <w:p>
            <w:pPr>
              <w:spacing w:after="0"/>
              <w:rPr>
                <w:sz w:val="23"/>
                <w:szCs w:val="23"/>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7.</w:t>
            </w:r>
          </w:p>
        </w:tc>
        <w:tc>
          <w:tcPr>
            <w:tcW w:w="3100" w:type="dxa"/>
            <w:vAlign w:val="bottom"/>
            <w:gridSpan w:val="4"/>
          </w:tcPr>
          <w:p>
            <w:pPr>
              <w:spacing w:after="0"/>
              <w:rPr>
                <w:sz w:val="20"/>
                <w:szCs w:val="20"/>
                <w:color w:val="auto"/>
              </w:rPr>
            </w:pPr>
            <w:r>
              <w:rPr>
                <w:rFonts w:ascii="Times New Roman" w:cs="Times New Roman" w:eastAsia="Times New Roman" w:hAnsi="Times New Roman"/>
                <w:sz w:val="19"/>
                <w:szCs w:val="19"/>
                <w:color w:val="0000FF"/>
              </w:rPr>
              <w:t>Consolidated Statements of Cash Flows</w:t>
            </w:r>
          </w:p>
        </w:tc>
        <w:tc>
          <w:tcPr>
            <w:tcW w:w="5860" w:type="dxa"/>
            <w:vAlign w:val="bottom"/>
            <w:gridSpan w:val="6"/>
          </w:tcPr>
          <w:p>
            <w:pPr>
              <w:spacing w:after="0"/>
              <w:rPr>
                <w:sz w:val="23"/>
                <w:szCs w:val="23"/>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II-57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8.</w:t>
            </w:r>
          </w:p>
        </w:tc>
        <w:tc>
          <w:tcPr>
            <w:tcW w:w="8960" w:type="dxa"/>
            <w:vAlign w:val="bottom"/>
            <w:gridSpan w:val="10"/>
          </w:tcPr>
          <w:p>
            <w:pPr>
              <w:spacing w:after="0"/>
              <w:rPr>
                <w:sz w:val="20"/>
                <w:szCs w:val="20"/>
                <w:color w:val="auto"/>
              </w:rPr>
            </w:pPr>
            <w:r>
              <w:rPr>
                <w:rFonts w:ascii="Times New Roman" w:cs="Times New Roman" w:eastAsia="Times New Roman" w:hAnsi="Times New Roman"/>
                <w:sz w:val="19"/>
                <w:szCs w:val="19"/>
                <w:color w:val="0000FF"/>
              </w:rPr>
              <w:t>Consolidated Statements of Stockholders’ Equity</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II-58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9.</w:t>
            </w:r>
          </w:p>
        </w:tc>
        <w:tc>
          <w:tcPr>
            <w:tcW w:w="3400" w:type="dxa"/>
            <w:vAlign w:val="bottom"/>
            <w:gridSpan w:val="5"/>
          </w:tcPr>
          <w:p>
            <w:pPr>
              <w:spacing w:after="0"/>
              <w:rPr>
                <w:sz w:val="20"/>
                <w:szCs w:val="20"/>
                <w:color w:val="auto"/>
              </w:rPr>
            </w:pPr>
            <w:r>
              <w:rPr>
                <w:rFonts w:ascii="Times New Roman" w:cs="Times New Roman" w:eastAsia="Times New Roman" w:hAnsi="Times New Roman"/>
                <w:sz w:val="19"/>
                <w:szCs w:val="19"/>
                <w:color w:val="0000FF"/>
              </w:rPr>
              <w:t>Notes to Consolidated Financial Statements</w:t>
            </w:r>
          </w:p>
        </w:tc>
        <w:tc>
          <w:tcPr>
            <w:tcW w:w="420" w:type="dxa"/>
            <w:vAlign w:val="bottom"/>
          </w:tcPr>
          <w:p>
            <w:pPr>
              <w:spacing w:after="0"/>
              <w:rPr>
                <w:sz w:val="23"/>
                <w:szCs w:val="23"/>
                <w:color w:val="auto"/>
              </w:rPr>
            </w:pPr>
          </w:p>
        </w:tc>
        <w:tc>
          <w:tcPr>
            <w:tcW w:w="5140" w:type="dxa"/>
            <w:vAlign w:val="bottom"/>
            <w:gridSpan w:val="4"/>
          </w:tcPr>
          <w:p>
            <w:pPr>
              <w:spacing w:after="0"/>
              <w:rPr>
                <w:sz w:val="23"/>
                <w:szCs w:val="23"/>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II-59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560" w:type="dxa"/>
            <w:vAlign w:val="bottom"/>
            <w:gridSpan w:val="5"/>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840" w:type="dxa"/>
            <w:vAlign w:val="bottom"/>
            <w:gridSpan w:val="11"/>
          </w:tcPr>
          <w:p>
            <w:pPr>
              <w:spacing w:after="0"/>
              <w:rPr>
                <w:sz w:val="20"/>
                <w:szCs w:val="20"/>
                <w:color w:val="auto"/>
              </w:rPr>
            </w:pPr>
            <w:r>
              <w:rPr>
                <w:rFonts w:ascii="Times New Roman" w:cs="Times New Roman" w:eastAsia="Times New Roman" w:hAnsi="Times New Roman"/>
                <w:sz w:val="19"/>
                <w:szCs w:val="19"/>
                <w:color w:val="auto"/>
              </w:rPr>
              <w:t>Item 15(a)(2) Financial Statement Schedule:</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80" w:type="dxa"/>
            <w:vAlign w:val="bottom"/>
          </w:tcPr>
          <w:p>
            <w:pPr>
              <w:spacing w:after="0"/>
              <w:rPr>
                <w:sz w:val="21"/>
                <w:szCs w:val="21"/>
                <w:color w:val="auto"/>
              </w:rPr>
            </w:pPr>
          </w:p>
        </w:tc>
        <w:tc>
          <w:tcPr>
            <w:tcW w:w="8960" w:type="dxa"/>
            <w:vAlign w:val="bottom"/>
            <w:gridSpan w:val="10"/>
          </w:tcPr>
          <w:p>
            <w:pPr>
              <w:spacing w:after="0"/>
              <w:rPr>
                <w:sz w:val="20"/>
                <w:szCs w:val="20"/>
                <w:color w:val="auto"/>
              </w:rPr>
            </w:pPr>
            <w:r>
              <w:rPr>
                <w:rFonts w:ascii="Times New Roman" w:cs="Times New Roman" w:eastAsia="Times New Roman" w:hAnsi="Times New Roman"/>
                <w:sz w:val="19"/>
                <w:szCs w:val="19"/>
                <w:color w:val="0000FF"/>
              </w:rPr>
              <w:t>II. Valuation and Qualifying Accounts</w:t>
            </w:r>
          </w:p>
        </w:tc>
        <w:tc>
          <w:tcPr>
            <w:tcW w:w="560" w:type="dxa"/>
            <w:vAlign w:val="bottom"/>
          </w:tcPr>
          <w:p>
            <w:pPr>
              <w:spacing w:after="0"/>
              <w:rPr>
                <w:sz w:val="21"/>
                <w:szCs w:val="21"/>
                <w:color w:val="auto"/>
              </w:rPr>
            </w:pPr>
          </w:p>
        </w:tc>
        <w:tc>
          <w:tcPr>
            <w:tcW w:w="820" w:type="dxa"/>
            <w:vAlign w:val="bottom"/>
            <w:gridSpan w:val="2"/>
          </w:tcPr>
          <w:p>
            <w:pPr>
              <w:jc w:val="center"/>
              <w:ind w:right="560"/>
              <w:spacing w:after="0"/>
              <w:rPr>
                <w:sz w:val="20"/>
                <w:szCs w:val="20"/>
                <w:color w:val="auto"/>
              </w:rPr>
            </w:pPr>
            <w:r>
              <w:rPr>
                <w:rFonts w:ascii="Times New Roman" w:cs="Times New Roman" w:eastAsia="Times New Roman" w:hAnsi="Times New Roman"/>
                <w:sz w:val="19"/>
                <w:szCs w:val="19"/>
                <w:color w:val="421BFF"/>
                <w:w w:val="98"/>
              </w:rPr>
              <w:t>F-1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All other Schedules are omitted since the required information is not present or is not present in amounts sufficient to require submission of the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Management is responsible for establishing and maintaining adequate internal control over financial reporting and for the effectiveness of internal control over financial reporting, as such term is defined in Rule 13a-15(f) or Rule 15d-15(f) of the Exchange Act. Paramount Skydance Corporation and its subsidiaries’ (the “Company”) internal control over financial reporting includes those policies and procedures that</w:t>
      </w:r>
    </w:p>
    <w:p>
      <w:pPr>
        <w:spacing w:after="0" w:line="1" w:lineRule="exact"/>
        <w:rPr>
          <w:sz w:val="20"/>
          <w:szCs w:val="20"/>
          <w:color w:val="auto"/>
        </w:rPr>
      </w:pPr>
    </w:p>
    <w:p>
      <w:pPr>
        <w:ind w:left="300" w:hanging="294"/>
        <w:spacing w:after="0"/>
        <w:tabs>
          <w:tab w:leader="none" w:pos="3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pertain to the maintenance of records that, in reasonable detail, accurately and fairly reflect the transactions and disposition of assets;</w:t>
      </w:r>
    </w:p>
    <w:p>
      <w:pPr>
        <w:spacing w:after="0" w:line="14" w:lineRule="exact"/>
        <w:rPr>
          <w:rFonts w:ascii="Times New Roman" w:cs="Times New Roman" w:eastAsia="Times New Roman" w:hAnsi="Times New Roman"/>
          <w:sz w:val="19"/>
          <w:szCs w:val="19"/>
          <w:color w:val="auto"/>
        </w:rPr>
      </w:pPr>
    </w:p>
    <w:p>
      <w:pPr>
        <w:ind w:left="300" w:hanging="294"/>
        <w:spacing w:after="0"/>
        <w:tabs>
          <w:tab w:leader="none" w:pos="3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reasonable assurance that transactions are recorded as necessary to permit preparation of financial statements in accordance with</w:t>
      </w:r>
    </w:p>
    <w:p>
      <w:pPr>
        <w:spacing w:after="0" w:line="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generally accepted accounting principles, and that receipts and expenditures are being made only in accordance with authorizations of management and the directors of the Company; and (c)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Management conducted an evaluation of the effectiveness of the Company’s internal control over financial reporting as of December 31, 2025 based on the framework set forth in </w:t>
      </w:r>
      <w:r>
        <w:rPr>
          <w:rFonts w:ascii="Times New Roman" w:cs="Times New Roman" w:eastAsia="Times New Roman" w:hAnsi="Times New Roman"/>
          <w:sz w:val="19"/>
          <w:szCs w:val="19"/>
          <w:i w:val="1"/>
          <w:iCs w:val="1"/>
          <w:color w:val="auto"/>
        </w:rPr>
        <w:t>Internal Control—Integrated Framework (2013)</w:t>
      </w:r>
      <w:r>
        <w:rPr>
          <w:rFonts w:ascii="Times New Roman" w:cs="Times New Roman" w:eastAsia="Times New Roman" w:hAnsi="Times New Roman"/>
          <w:sz w:val="19"/>
          <w:szCs w:val="19"/>
          <w:color w:val="auto"/>
        </w:rPr>
        <w:t xml:space="preserve"> issued by the Committee of Sponsoring Organizations of the Treadway Commission. Based on this evaluation, management concluded that the Company’s internal control over financial reporting was effective as of December 31, 2025.</w:t>
      </w:r>
    </w:p>
    <w:p>
      <w:pPr>
        <w:spacing w:after="0" w:line="20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effectiveness of our internal control over financial reporting as of December 31, 2025 has been audited by PricewaterhouseCoopers LLP, an independent registered public accounting firm, as stated in its report which is included herein.</w:t>
      </w:r>
    </w:p>
    <w:p>
      <w:pPr>
        <w:spacing w:after="0" w:line="11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9"/>
          <w:szCs w:val="19"/>
          <w:b w:val="1"/>
          <w:bCs w:val="1"/>
          <w:color w:val="auto"/>
        </w:rPr>
        <w:t>PARAMOUNT SKYDANCE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53"/>
        </w:trPr>
        <w:tc>
          <w:tcPr>
            <w:tcW w:w="280" w:type="dxa"/>
            <w:vAlign w:val="bottom"/>
          </w:tcPr>
          <w:p>
            <w:pPr>
              <w:spacing w:after="0"/>
              <w:rPr>
                <w:sz w:val="20"/>
                <w:szCs w:val="20"/>
                <w:color w:val="auto"/>
              </w:rPr>
            </w:pPr>
            <w:r>
              <w:rPr>
                <w:rFonts w:ascii="Times New Roman" w:cs="Times New Roman" w:eastAsia="Times New Roman" w:hAnsi="Times New Roman"/>
                <w:sz w:val="19"/>
                <w:szCs w:val="19"/>
                <w:color w:val="auto"/>
                <w:w w:val="94"/>
              </w:rPr>
              <w:t>By:</w:t>
            </w:r>
          </w:p>
        </w:tc>
        <w:tc>
          <w:tcPr>
            <w:tcW w:w="43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 David Ellison</w:t>
            </w:r>
          </w:p>
        </w:tc>
      </w:tr>
      <w:tr>
        <w:trPr>
          <w:trHeight w:val="35"/>
        </w:trPr>
        <w:tc>
          <w:tcPr>
            <w:tcW w:w="28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r>
      <w:tr>
        <w:trPr>
          <w:trHeight w:val="220"/>
        </w:trPr>
        <w:tc>
          <w:tcPr>
            <w:tcW w:w="28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David Ellison</w:t>
            </w:r>
          </w:p>
        </w:tc>
      </w:tr>
      <w:tr>
        <w:trPr>
          <w:trHeight w:val="255"/>
        </w:trPr>
        <w:tc>
          <w:tcPr>
            <w:tcW w:w="280" w:type="dxa"/>
            <w:vAlign w:val="bottom"/>
          </w:tcPr>
          <w:p>
            <w:pPr>
              <w:spacing w:after="0"/>
              <w:rPr>
                <w:sz w:val="22"/>
                <w:szCs w:val="22"/>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rPr>
              <w:t>Chairman and Chief Executive Officer</w:t>
            </w:r>
          </w:p>
        </w:tc>
      </w:tr>
      <w:tr>
        <w:trPr>
          <w:trHeight w:val="821"/>
        </w:trPr>
        <w:tc>
          <w:tcPr>
            <w:tcW w:w="280" w:type="dxa"/>
            <w:vAlign w:val="bottom"/>
          </w:tcPr>
          <w:p>
            <w:pPr>
              <w:spacing w:after="0"/>
              <w:rPr>
                <w:sz w:val="20"/>
                <w:szCs w:val="20"/>
                <w:color w:val="auto"/>
              </w:rPr>
            </w:pPr>
            <w:r>
              <w:rPr>
                <w:rFonts w:ascii="Times New Roman" w:cs="Times New Roman" w:eastAsia="Times New Roman" w:hAnsi="Times New Roman"/>
                <w:sz w:val="19"/>
                <w:szCs w:val="19"/>
                <w:color w:val="auto"/>
                <w:w w:val="94"/>
              </w:rPr>
              <w:t>By:</w:t>
            </w:r>
          </w:p>
        </w:tc>
        <w:tc>
          <w:tcPr>
            <w:tcW w:w="43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 Dennis Cinelli</w:t>
            </w:r>
          </w:p>
        </w:tc>
      </w:tr>
      <w:tr>
        <w:trPr>
          <w:trHeight w:val="35"/>
        </w:trPr>
        <w:tc>
          <w:tcPr>
            <w:tcW w:w="28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r>
      <w:tr>
        <w:trPr>
          <w:trHeight w:val="220"/>
        </w:trPr>
        <w:tc>
          <w:tcPr>
            <w:tcW w:w="28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Dennis Cinelli</w:t>
            </w:r>
          </w:p>
        </w:tc>
      </w:tr>
      <w:tr>
        <w:trPr>
          <w:trHeight w:val="255"/>
        </w:trPr>
        <w:tc>
          <w:tcPr>
            <w:tcW w:w="280" w:type="dxa"/>
            <w:vAlign w:val="bottom"/>
          </w:tcPr>
          <w:p>
            <w:pPr>
              <w:spacing w:after="0"/>
              <w:rPr>
                <w:sz w:val="22"/>
                <w:szCs w:val="22"/>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rPr>
              <w:t>Chief Financial Officer</w:t>
            </w:r>
          </w:p>
        </w:tc>
      </w:tr>
      <w:tr>
        <w:trPr>
          <w:trHeight w:val="822"/>
        </w:trPr>
        <w:tc>
          <w:tcPr>
            <w:tcW w:w="280" w:type="dxa"/>
            <w:vAlign w:val="bottom"/>
          </w:tcPr>
          <w:p>
            <w:pPr>
              <w:spacing w:after="0"/>
              <w:rPr>
                <w:sz w:val="20"/>
                <w:szCs w:val="20"/>
                <w:color w:val="auto"/>
              </w:rPr>
            </w:pPr>
            <w:r>
              <w:rPr>
                <w:rFonts w:ascii="Times New Roman" w:cs="Times New Roman" w:eastAsia="Times New Roman" w:hAnsi="Times New Roman"/>
                <w:sz w:val="19"/>
                <w:szCs w:val="19"/>
                <w:color w:val="auto"/>
                <w:w w:val="94"/>
              </w:rPr>
              <w:t>By:</w:t>
            </w:r>
          </w:p>
        </w:tc>
        <w:tc>
          <w:tcPr>
            <w:tcW w:w="43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 Katherine Gill-Charest</w:t>
            </w:r>
          </w:p>
        </w:tc>
      </w:tr>
      <w:tr>
        <w:trPr>
          <w:trHeight w:val="35"/>
        </w:trPr>
        <w:tc>
          <w:tcPr>
            <w:tcW w:w="28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r>
      <w:tr>
        <w:trPr>
          <w:trHeight w:val="220"/>
        </w:trPr>
        <w:tc>
          <w:tcPr>
            <w:tcW w:w="28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Katherine Gill-Charest</w:t>
            </w:r>
          </w:p>
        </w:tc>
      </w:tr>
      <w:tr>
        <w:trPr>
          <w:trHeight w:val="238"/>
        </w:trPr>
        <w:tc>
          <w:tcPr>
            <w:tcW w:w="28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rPr>
              <w:t>Executive Vice President, Controller and</w:t>
            </w:r>
          </w:p>
        </w:tc>
      </w:tr>
      <w:tr>
        <w:trPr>
          <w:trHeight w:val="255"/>
        </w:trPr>
        <w:tc>
          <w:tcPr>
            <w:tcW w:w="280" w:type="dxa"/>
            <w:vAlign w:val="bottom"/>
          </w:tcPr>
          <w:p>
            <w:pPr>
              <w:spacing w:after="0"/>
              <w:rPr>
                <w:sz w:val="22"/>
                <w:szCs w:val="22"/>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64" w:name="page65"/>
    <w:bookmarkEnd w:id="64"/>
    <w:p>
      <w:pPr>
        <w:ind w:right="3180" w:firstLine="3187"/>
        <w:spacing w:after="0" w:line="304"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To the Board of Directors and Stockholders of Paramount Skydance Corporation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We have audited the accompanying consolidated balance sheet of Paramount Skydance Corporation and its subsidiaries (Successor) (the "Company") as of December 31, 2025, and the related consolidated statements of operations, of comprehensive income, of stockholders’ equity and of cash flows for the period from August 7, 2025 to December 31, 2025, including the related notes and financial statement schedule listed in the accompanying index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9"/>
          <w:szCs w:val="19"/>
          <w:i w:val="1"/>
          <w:iCs w:val="1"/>
          <w:color w:val="auto"/>
        </w:rPr>
        <w:t>Internal Control - Integrated Framework</w:t>
      </w:r>
      <w:r>
        <w:rPr>
          <w:rFonts w:ascii="Times New Roman" w:cs="Times New Roman" w:eastAsia="Times New Roman" w:hAnsi="Times New Roman"/>
          <w:sz w:val="19"/>
          <w:szCs w:val="19"/>
          <w:color w:val="auto"/>
        </w:rPr>
        <w:t xml:space="preserve"> (2013) issued by the Committee of Sponsoring Organizations of the Treadway Commission (COSO).</w:t>
      </w:r>
    </w:p>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In our opinion, the consolidated financial statements referred to above present fairly, in all material respects, the financial position of the Company as of December 31, 2025, and the results of its operations and its cash flows for the period from August 7, 2025 to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9"/>
          <w:szCs w:val="19"/>
          <w:i w:val="1"/>
          <w:iCs w:val="1"/>
          <w:color w:val="auto"/>
        </w:rPr>
        <w:t xml:space="preserve">Internal Control - Integrated Framework </w:t>
      </w:r>
      <w:r>
        <w:rPr>
          <w:rFonts w:ascii="Times New Roman" w:cs="Times New Roman" w:eastAsia="Times New Roman" w:hAnsi="Times New Roman"/>
          <w:sz w:val="19"/>
          <w:szCs w:val="19"/>
          <w:color w:val="auto"/>
        </w:rPr>
        <w:t>(2013) issued by the COSO.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for Opinions</w:t>
      </w:r>
    </w:p>
    <w:p>
      <w:pPr>
        <w:spacing w:after="0" w:line="2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PCAOB.</w:t>
      </w:r>
    </w:p>
    <w:p>
      <w:pPr>
        <w:spacing w:after="0" w:line="23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9"/>
          <w:szCs w:val="19"/>
          <w:b w:val="1"/>
          <w:bCs w:val="1"/>
          <w:i w:val="1"/>
          <w:iCs w:val="1"/>
          <w:color w:val="auto"/>
        </w:rPr>
        <w:t>Definition and Limitations of Internal Control over Financial Reporting</w:t>
      </w:r>
    </w:p>
    <w:p>
      <w:pPr>
        <w:spacing w:after="0" w:line="2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Critical Audit Matters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Accounting for the change in control and valuation of certain trade names and affiliate relationships</w:t>
      </w:r>
    </w:p>
    <w:p>
      <w:pPr>
        <w:spacing w:after="0" w:line="2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As described in Notes 1 and 2 to the consolidated financial statements, on August 7, 2025, pursuant to a purchase and sale agreement dated July 7, 2024, certain affiliates of investors in Skydance Media, LLC (“Skydance”), comprised of entities controlled by the Ellison Family, and affiliates of RedBird Capital Partners (collectively the “NAI Equity Investors”), purchased all of the outstanding equity interests of Paramount Global’s controlling stockholder, National Amusements, Inc. (“NAI”) from the shareholders of NAI (the “NAI Transaction”). Also on August 7, 2025, following the completion of the NAI Transaction and pursuant to the Transaction Agreement dated as of July 7, 2024, Paramount Global and Skydance became wholly-owned subsidiaries of Paramount Skydance Corporation (the “Transactions”). The NAI Transaction resulted in a change in control of the Company’s Predecessor, Paramount Global, that established a new accounting basis, which reflects the estimated fair value of Paramount Global as indicated by the NAI Transaction and the Transactions. As a result, the net assets of Paramount Global were recorded at their fair value as of August 7, 2025, which included $1.5 billion of trade names and $1 billion of affiliate relationship assets. The fair value of the trade names was estimated by management using the relief from royalty valuation method and the fair value of the affiliate relationships was estimated by management using the multi-period excess earnings method. Significant judgments in these valuations included long-term projections, discount rates and royalty rates. The Company’s consolidated financial statements and footnote disclosures are presented in distinct periods to indicate the pushdown of the Ultimate Parent’s basis.</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principal consideration for our determination that accounting for the change in control and valuation of certain trade names and affiliate relationships is a critical audit matter are (1) the significant judgment by management when (a) determining the accounting treatment for the change in control and pushdown of the ultimate parent’s basis to the consolidated financial statements and (b) developing the fair value estimates of certain trade names and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66" w:name="page67"/>
    <w:bookmarkEnd w:id="66"/>
    <w:p>
      <w:pPr>
        <w:jc w:val="both"/>
        <w:spacing w:after="0" w:line="269" w:lineRule="auto"/>
        <w:rPr>
          <w:sz w:val="20"/>
          <w:szCs w:val="20"/>
          <w:color w:val="auto"/>
        </w:rPr>
      </w:pPr>
      <w:r>
        <w:rPr>
          <w:rFonts w:ascii="Times New Roman" w:cs="Times New Roman" w:eastAsia="Times New Roman" w:hAnsi="Times New Roman"/>
          <w:sz w:val="19"/>
          <w:szCs w:val="19"/>
          <w:color w:val="auto"/>
        </w:rPr>
        <w:t>affiliate relationships as of the transaction date; (2) a high degree of auditor judgment, subjectivity and effort in performing procedures and evaluating (a) management’s accounting for the change in control and pushdown of the ultimate parent’s basis, and (b) management’s significant assumptions related to long-term projections, royalty rates and discount rates; and (3) the audit effort involved the use of professionals with specialized skill and knowledge.</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the accounting for the change in control and pushdown of the ultimate parent’s basis, including controls over management’s valuation of certain trade names and affiliate relationships as of the transaction date. These procedures also included, among others, (i) evaluating the facts and circumstances considered by management in determining the appropriate accounting treatment for the change in control and pushdown of the ultimate parent’s basis as of the transaction date, (ii) testing management’s process for developing the fair value estimates of certain trade names and affiliate relationships, (iii) evaluating the appropriateness of the relief-from-royalty method and multi-period excess earnings method used by management, (iv) testing the completeness and accuracy of the underlying data used in the valuation methods, and (v) evaluating the reasonableness of the significant assumptions used by management related to long-term projections, discount rates and royalty rates. Evaluating management’s assumptions related to long-term projections involved considering (i) the current and past performance of Paramount Global; (ii) the consistency with external market and industry data; and (iii) whether the assumptions were consistent with other areas of the audit. Professionals with specialized skill and knowledge were used to assist in evaluating (i) the appropriateness of the relief from royalty and multi-period excess earnings methods and (ii) the reasonableness of the discount rate and royalty rate assumptions.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Amortization of Certain Internally-Produced Television Programming Costs</w:t>
      </w:r>
    </w:p>
    <w:p>
      <w:pPr>
        <w:spacing w:after="0" w:line="2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As described in Notes 1 and 4 to the consolidated financial statements, programming that is expected to be predominantly monetized through its initial distribution on third-party platforms is considered individually monetized and programming that is expected to be predominantly monetized on the Company's networks and streaming services or through licensing together with other programming, is considered to be monetized as part of a film group. The Company's amortization of internally-produced television and film programming costs with individual monetization and film group monetization was $3.0 billion for the period from August 7, 2025 to December 31, 2025, a majority of which is attributable to the amortization of certain internally-produced television programming costs. For internally-produced television programs that are predominantly monetized on an individual basis, management uses an individual-film-forecast computation method to amortize capitalized production costs over the applicable title’s life cycle based upon the ratio of current period revenues to estimated remaining total gross revenues to be earned (“Ultimate Revenues”) for each title. For internally-produced television programming that is predominantly monetized as part of a film group, capitalized costs are amortized based on management’s estimate of the timing of the Company’s usage of and benefit from such programming.</w:t>
      </w:r>
    </w:p>
    <w:p>
      <w:pPr>
        <w:spacing w:after="0" w:line="200" w:lineRule="exact"/>
        <w:rPr>
          <w:sz w:val="20"/>
          <w:szCs w:val="20"/>
          <w:color w:val="auto"/>
        </w:rPr>
      </w:pP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principal consideration for our determination that performing procedures relating to amortization of certain internally-produced television programming costs is a critical audit matter is a high degree of auditor effort in performing procedures related to the amortization of certain internally-produced television programming costs monetized individually and as part of a film group.</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the amortization of certain internally-produced television programming costs. These procedures also included, among others (i) recalculating the amortization of certain internally-produced television programming costs on a sample basis and (ii) evaluating, on a test basis, whether the method used to amortize certain internally-produced television programming costs is reasonable by considering either a) information related to past performance of similar television programs in a market, the performance in the initial markets, and future firm commitments to license programs, or b) information related to estimated timing of the usage of content.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67" w:name="page68"/>
    <w:bookmarkEnd w:id="67"/>
    <w:p>
      <w:pPr>
        <w:spacing w:after="0" w:line="300" w:lineRule="auto"/>
        <w:rPr>
          <w:sz w:val="20"/>
          <w:szCs w:val="20"/>
          <w:color w:val="auto"/>
        </w:rPr>
      </w:pPr>
      <w:r>
        <w:rPr>
          <w:rFonts w:ascii="Times New Roman" w:cs="Times New Roman" w:eastAsia="Times New Roman" w:hAnsi="Times New Roman"/>
          <w:sz w:val="19"/>
          <w:szCs w:val="19"/>
          <w:color w:val="auto"/>
        </w:rPr>
        <w:t>Procedures were also performed to test the completeness and accuracy of management's data used in the amortization of certain internally-produced television programming costs.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PricewaterhouseCoopers LLP</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w:t>
      </w:r>
    </w:p>
    <w:p>
      <w:pPr>
        <w:spacing w:after="0" w:line="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auto"/>
        </w:rPr>
        <w:t>February 25, 2026</w:t>
      </w:r>
      <w:r>
        <w:rPr>
          <w:rFonts w:ascii="Georgia" w:cs="Georgia" w:eastAsia="Georgia" w:hAnsi="Georgia"/>
          <w:sz w:val="17"/>
          <w:szCs w:val="17"/>
          <w:color w:val="auto"/>
        </w:rPr>
        <w:t>,</w:t>
      </w:r>
      <w:r>
        <w:rPr>
          <w:rFonts w:ascii="Times New Roman" w:cs="Times New Roman" w:eastAsia="Times New Roman" w:hAnsi="Times New Roman"/>
          <w:sz w:val="19"/>
          <w:szCs w:val="19"/>
          <w:color w:val="auto"/>
        </w:rPr>
        <w:t xml:space="preserve"> except with respect to our opinion on the consolidated financial statements insofar as it relates to the change in composition of reportable segments discussed in Note 1, as to which the date is May 13, 2026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or its predecessor’s auditor since 1970.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68" w:name="page69"/>
    <w:bookmarkEnd w:id="68"/>
    <w:p>
      <w:pPr>
        <w:ind w:right="3180" w:firstLine="3187"/>
        <w:spacing w:after="0" w:line="304"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To the Board of Directors and Stockholders of Paramount Skydance Corporation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Opinions on the Financial Statements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 of Paramount Global and its subsidiaries (Predecessor) (the “Company”) as of December 31, 2024 and the related consolidated statements of operations, of comprehensive income, of stockholders’ equity and of cash flows for the period from January 1, 2025 to August 6, 2025, and for each of the two years in the period ended December 31, 2024, including the related notes and financial statement schedule listed in the accompanying index (collectively referred to as the "consolidated financial statements"). In our opinion, the consolidated financial statements referred to above present fairly, in all material respects, the financial position of the Company as of December 31, 2024, and the results of its operations and its cash flows for the period from January 1, 2025 to August 6, 2025, and for each of the two years in the period ended December 31, 2024 in conformity with accounting principles generally accepted in the United States of America.</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for Opinion</w:t>
      </w:r>
    </w:p>
    <w:p>
      <w:pPr>
        <w:spacing w:after="0" w:line="2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Critical Audit Matters</w:t>
      </w:r>
    </w:p>
    <w:p>
      <w:pPr>
        <w:spacing w:after="0" w:line="2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Amortization of Certain Internally-Produced Television Programming Costs</w:t>
      </w:r>
    </w:p>
    <w:p>
      <w:pPr>
        <w:spacing w:after="0" w:line="26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As described in Notes 1 and 4 to the consolidated financial statements, programming that is expected to be predominantly monetized through its initial distribution on third-party platforms is considered individually monetized and programming that is expected to be predominantly monetized on the Company's networks and streaming services or through licensing together with other programming, is considered to be monetized as part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69" w:name="page70"/>
    <w:bookmarkEnd w:id="69"/>
    <w:p>
      <w:pPr>
        <w:jc w:val="both"/>
        <w:spacing w:after="0" w:line="263" w:lineRule="auto"/>
        <w:rPr>
          <w:sz w:val="20"/>
          <w:szCs w:val="20"/>
          <w:color w:val="auto"/>
        </w:rPr>
      </w:pPr>
      <w:r>
        <w:rPr>
          <w:rFonts w:ascii="Times New Roman" w:cs="Times New Roman" w:eastAsia="Times New Roman" w:hAnsi="Times New Roman"/>
          <w:sz w:val="19"/>
          <w:szCs w:val="19"/>
          <w:color w:val="auto"/>
        </w:rPr>
        <w:t>a film group. The Company's amortization of internally-produced television and film programming costs with individual monetization and film group monetization was $4.0 billion for the period from January 1, 2025 to August 6, 2025, a majority of which is attributable to the amortization of certain internally-produced television programming costs. For internally-produced television programs that are predominantly monetized on an individual basis, management uses an individual-film-forecast computation method to amortize capitalized production costs over the applicable title’s life cycle based upon the ratio of current period revenues to estimated remaining total gross revenues to be earned (“Ultimate Revenues”) for each title. For internally-produced television programming that is predominantly monetized as part of a film group, capitalized costs are amortized based on management’s estimate of the timing of the Company’s usage of and benefit from such programming.</w:t>
      </w:r>
    </w:p>
    <w:p>
      <w:pPr>
        <w:spacing w:after="0" w:line="1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principal consideration for our determination that performing procedures relating to amortization of certain internally-produced television programming costs is a critical audit matter is a high degree of auditor effort in performing procedures related to the amortization of certain internally-produced television programming costs monetized individually and as part of a film group.</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among others (i) recalculating the amortization of certain internally-produced television programming costs on a sample basis and (ii) evaluating, on a test basis, whether the method used to amortize certain internally-produced television programming costs is reasonable by considering either a) information related to past performance of similar television programs in a market, the performance in the initial markets, and future firm commitments to license programs, or b) information related to estimated timing of the usage of content. Procedures were also performed to test the completeness and accuracy of management's data used in the amortization of certain internally-produced television programming costs.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PricewaterhouseCoopers LLP</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or its predecessor’s auditor since 1970.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70" w:name="page71"/>
    <w:bookmarkEnd w:id="70"/>
    <w:p>
      <w:pPr>
        <w:ind w:left="22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5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millions, except per share amounts)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9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Borders>
              <w:right w:val="single" w:sz="8" w:color="auto"/>
            </w:tcBorders>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220" w:type="dxa"/>
            <w:vAlign w:val="bottom"/>
          </w:tcPr>
          <w:p>
            <w:pPr>
              <w:spacing w:after="0"/>
              <w:rPr>
                <w:sz w:val="14"/>
                <w:szCs w:val="14"/>
                <w:color w:val="auto"/>
              </w:rPr>
            </w:pPr>
          </w:p>
        </w:tc>
        <w:tc>
          <w:tcPr>
            <w:tcW w:w="112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Borders>
              <w:right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August 7 -</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1 - August</w:t>
            </w:r>
          </w:p>
        </w:tc>
        <w:tc>
          <w:tcPr>
            <w:tcW w:w="240" w:type="dxa"/>
            <w:vAlign w:val="bottom"/>
          </w:tcPr>
          <w:p>
            <w:pPr>
              <w:spacing w:after="0"/>
              <w:rPr>
                <w:sz w:val="14"/>
                <w:szCs w:val="14"/>
                <w:color w:val="auto"/>
              </w:rPr>
            </w:pPr>
          </w:p>
        </w:tc>
        <w:tc>
          <w:tcPr>
            <w:tcW w:w="2420" w:type="dxa"/>
            <w:vAlign w:val="bottom"/>
            <w:gridSpan w:val="3"/>
            <w:vMerge w:val="restart"/>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right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1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6,</w:t>
            </w:r>
          </w:p>
        </w:tc>
        <w:tc>
          <w:tcPr>
            <w:tcW w:w="240" w:type="dxa"/>
            <w:vAlign w:val="bottom"/>
          </w:tcPr>
          <w:p>
            <w:pPr>
              <w:spacing w:after="0"/>
              <w:rPr>
                <w:sz w:val="16"/>
                <w:szCs w:val="16"/>
                <w:color w:val="auto"/>
              </w:rPr>
            </w:pPr>
          </w:p>
        </w:tc>
        <w:tc>
          <w:tcPr>
            <w:tcW w:w="24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Borders>
              <w:right w:val="single" w:sz="8" w:color="auto"/>
            </w:tcBorders>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1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12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5"/>
                <w:szCs w:val="15"/>
                <w:color w:val="auto"/>
              </w:rPr>
            </w:pPr>
          </w:p>
        </w:tc>
        <w:tc>
          <w:tcPr>
            <w:tcW w:w="9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12,269</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16,622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29,213</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29,652</w:t>
            </w:r>
          </w:p>
        </w:tc>
        <w:tc>
          <w:tcPr>
            <w:tcW w:w="0" w:type="dxa"/>
            <w:vAlign w:val="bottom"/>
          </w:tcPr>
          <w:p>
            <w:pPr>
              <w:spacing w:after="0"/>
              <w:rPr>
                <w:sz w:val="1"/>
                <w:szCs w:val="1"/>
                <w:color w:val="auto"/>
              </w:rPr>
            </w:pPr>
          </w:p>
        </w:tc>
      </w:tr>
      <w:tr>
        <w:trPr>
          <w:trHeight w:val="38"/>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4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8,408</w:t>
            </w:r>
          </w:p>
        </w:tc>
        <w:tc>
          <w:tcPr>
            <w:tcW w:w="22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11,287</w:t>
            </w:r>
          </w:p>
        </w:tc>
        <w:tc>
          <w:tcPr>
            <w:tcW w:w="24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19,437</w:t>
            </w:r>
          </w:p>
        </w:tc>
        <w:tc>
          <w:tcPr>
            <w:tcW w:w="360" w:type="dxa"/>
            <w:vAlign w:val="bottom"/>
          </w:tcPr>
          <w:p>
            <w:pPr>
              <w:spacing w:after="0"/>
              <w:rPr>
                <w:sz w:val="19"/>
                <w:szCs w:val="19"/>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20,017</w:t>
            </w:r>
          </w:p>
        </w:tc>
        <w:tc>
          <w:tcPr>
            <w:tcW w:w="0" w:type="dxa"/>
            <w:vAlign w:val="bottom"/>
          </w:tcPr>
          <w:p>
            <w:pPr>
              <w:spacing w:after="0"/>
              <w:rPr>
                <w:sz w:val="1"/>
                <w:szCs w:val="1"/>
                <w:color w:val="auto"/>
              </w:rPr>
            </w:pPr>
          </w:p>
        </w:tc>
      </w:tr>
      <w:tr>
        <w:trPr>
          <w:trHeight w:val="225"/>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Programming charges</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1,118</w:t>
            </w:r>
          </w:p>
        </w:tc>
        <w:tc>
          <w:tcPr>
            <w:tcW w:w="360" w:type="dxa"/>
            <w:vAlign w:val="bottom"/>
          </w:tcPr>
          <w:p>
            <w:pPr>
              <w:spacing w:after="0"/>
              <w:rPr>
                <w:sz w:val="19"/>
                <w:szCs w:val="19"/>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2,371</w:t>
            </w:r>
          </w:p>
        </w:tc>
        <w:tc>
          <w:tcPr>
            <w:tcW w:w="0" w:type="dxa"/>
            <w:vAlign w:val="bottom"/>
          </w:tcPr>
          <w:p>
            <w:pPr>
              <w:spacing w:after="0"/>
              <w:rPr>
                <w:sz w:val="1"/>
                <w:szCs w:val="1"/>
                <w:color w:val="auto"/>
              </w:rPr>
            </w:pPr>
          </w:p>
        </w:tc>
      </w:tr>
      <w:tr>
        <w:trPr>
          <w:trHeight w:val="225"/>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2,594</w:t>
            </w:r>
          </w:p>
        </w:tc>
        <w:tc>
          <w:tcPr>
            <w:tcW w:w="22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3,526</w:t>
            </w:r>
          </w:p>
        </w:tc>
        <w:tc>
          <w:tcPr>
            <w:tcW w:w="24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6,658</w:t>
            </w:r>
          </w:p>
        </w:tc>
        <w:tc>
          <w:tcPr>
            <w:tcW w:w="360" w:type="dxa"/>
            <w:vAlign w:val="bottom"/>
          </w:tcPr>
          <w:p>
            <w:pPr>
              <w:spacing w:after="0"/>
              <w:rPr>
                <w:sz w:val="19"/>
                <w:szCs w:val="19"/>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7,245</w:t>
            </w:r>
          </w:p>
        </w:tc>
        <w:tc>
          <w:tcPr>
            <w:tcW w:w="0" w:type="dxa"/>
            <w:vAlign w:val="bottom"/>
          </w:tcPr>
          <w:p>
            <w:pPr>
              <w:spacing w:after="0"/>
              <w:rPr>
                <w:sz w:val="1"/>
                <w:szCs w:val="1"/>
                <w:color w:val="auto"/>
              </w:rPr>
            </w:pPr>
          </w:p>
        </w:tc>
      </w:tr>
      <w:tr>
        <w:trPr>
          <w:trHeight w:val="225"/>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590</w:t>
            </w:r>
          </w:p>
        </w:tc>
        <w:tc>
          <w:tcPr>
            <w:tcW w:w="22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204</w:t>
            </w:r>
          </w:p>
        </w:tc>
        <w:tc>
          <w:tcPr>
            <w:tcW w:w="24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392</w:t>
            </w:r>
          </w:p>
        </w:tc>
        <w:tc>
          <w:tcPr>
            <w:tcW w:w="360" w:type="dxa"/>
            <w:vAlign w:val="bottom"/>
          </w:tcPr>
          <w:p>
            <w:pPr>
              <w:spacing w:after="0"/>
              <w:rPr>
                <w:sz w:val="19"/>
                <w:szCs w:val="19"/>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225"/>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charges</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157</w:t>
            </w:r>
          </w:p>
        </w:tc>
        <w:tc>
          <w:tcPr>
            <w:tcW w:w="24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6,130</w:t>
            </w:r>
          </w:p>
        </w:tc>
        <w:tc>
          <w:tcPr>
            <w:tcW w:w="360" w:type="dxa"/>
            <w:vAlign w:val="bottom"/>
          </w:tcPr>
          <w:p>
            <w:pPr>
              <w:spacing w:after="0"/>
              <w:rPr>
                <w:sz w:val="19"/>
                <w:szCs w:val="19"/>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25"/>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Restructuring, transaction-related items and other corporate matters</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731</w:t>
            </w:r>
          </w:p>
        </w:tc>
        <w:tc>
          <w:tcPr>
            <w:tcW w:w="22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454</w:t>
            </w:r>
          </w:p>
        </w:tc>
        <w:tc>
          <w:tcPr>
            <w:tcW w:w="24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747</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38"/>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9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40" w:type="dxa"/>
            <w:vAlign w:val="bottom"/>
          </w:tcPr>
          <w:p>
            <w:pPr>
              <w:spacing w:after="0"/>
              <w:rPr>
                <w:sz w:val="15"/>
                <w:szCs w:val="15"/>
                <w:color w:val="auto"/>
              </w:rPr>
            </w:pPr>
          </w:p>
        </w:tc>
        <w:tc>
          <w:tcPr>
            <w:tcW w:w="120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12,364</w:t>
            </w:r>
          </w:p>
        </w:tc>
        <w:tc>
          <w:tcPr>
            <w:tcW w:w="22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15,628</w:t>
            </w:r>
          </w:p>
        </w:tc>
        <w:tc>
          <w:tcPr>
            <w:tcW w:w="24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34,482</w:t>
            </w:r>
          </w:p>
        </w:tc>
        <w:tc>
          <w:tcPr>
            <w:tcW w:w="36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30,103</w:t>
            </w:r>
          </w:p>
        </w:tc>
        <w:tc>
          <w:tcPr>
            <w:tcW w:w="0" w:type="dxa"/>
            <w:vAlign w:val="bottom"/>
          </w:tcPr>
          <w:p>
            <w:pPr>
              <w:spacing w:after="0"/>
              <w:rPr>
                <w:sz w:val="1"/>
                <w:szCs w:val="1"/>
                <w:color w:val="auto"/>
              </w:rPr>
            </w:pPr>
          </w:p>
        </w:tc>
      </w:tr>
      <w:tr>
        <w:trPr>
          <w:trHeight w:val="225"/>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dispositions</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40" w:type="dxa"/>
            <w:vAlign w:val="bottom"/>
          </w:tcPr>
          <w:p>
            <w:pPr>
              <w:spacing w:after="0"/>
              <w:rPr>
                <w:sz w:val="15"/>
                <w:szCs w:val="15"/>
                <w:color w:val="auto"/>
              </w:rPr>
            </w:pPr>
          </w:p>
        </w:tc>
        <w:tc>
          <w:tcPr>
            <w:tcW w:w="120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(95)</w:t>
            </w:r>
          </w:p>
        </w:tc>
        <w:tc>
          <w:tcPr>
            <w:tcW w:w="22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1,029</w:t>
            </w:r>
          </w:p>
        </w:tc>
        <w:tc>
          <w:tcPr>
            <w:tcW w:w="24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(5,269)</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225"/>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(366)</w:t>
            </w:r>
          </w:p>
        </w:tc>
        <w:tc>
          <w:tcPr>
            <w:tcW w:w="220" w:type="dxa"/>
            <w:vAlign w:val="bottom"/>
          </w:tcPr>
          <w:p>
            <w:pPr>
              <w:spacing w:after="0"/>
              <w:rPr>
                <w:sz w:val="19"/>
                <w:szCs w:val="19"/>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(516)</w:t>
            </w:r>
          </w:p>
        </w:tc>
        <w:tc>
          <w:tcPr>
            <w:tcW w:w="240" w:type="dxa"/>
            <w:vAlign w:val="bottom"/>
          </w:tcPr>
          <w:p>
            <w:pPr>
              <w:spacing w:after="0"/>
              <w:rPr>
                <w:sz w:val="19"/>
                <w:szCs w:val="19"/>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(860)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225"/>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64</w:t>
            </w:r>
          </w:p>
        </w:tc>
        <w:tc>
          <w:tcPr>
            <w:tcW w:w="22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83</w:t>
            </w:r>
          </w:p>
        </w:tc>
        <w:tc>
          <w:tcPr>
            <w:tcW w:w="24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151</w:t>
            </w:r>
          </w:p>
        </w:tc>
        <w:tc>
          <w:tcPr>
            <w:tcW w:w="360" w:type="dxa"/>
            <w:vAlign w:val="bottom"/>
          </w:tcPr>
          <w:p>
            <w:pPr>
              <w:spacing w:after="0"/>
              <w:rPr>
                <w:sz w:val="19"/>
                <w:szCs w:val="19"/>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225"/>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from investments</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w:t>
            </w:r>
          </w:p>
        </w:tc>
        <w:tc>
          <w:tcPr>
            <w:tcW w:w="360" w:type="dxa"/>
            <w:vAlign w:val="bottom"/>
          </w:tcPr>
          <w:p>
            <w:pPr>
              <w:spacing w:after="0"/>
              <w:rPr>
                <w:sz w:val="19"/>
                <w:szCs w:val="19"/>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25"/>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extinguishment of debt</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25"/>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items, net</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Pr>
          <w:p>
            <w:pPr>
              <w:spacing w:after="0"/>
              <w:rPr>
                <w:sz w:val="19"/>
                <w:szCs w:val="19"/>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(92)</w:t>
            </w:r>
          </w:p>
        </w:tc>
        <w:tc>
          <w:tcPr>
            <w:tcW w:w="240" w:type="dxa"/>
            <w:vAlign w:val="bottom"/>
          </w:tcPr>
          <w:p>
            <w:pPr>
              <w:spacing w:after="0"/>
              <w:rPr>
                <w:sz w:val="19"/>
                <w:szCs w:val="19"/>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(182)</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38"/>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from continuing operations before income taxes and equity</w:t>
            </w:r>
          </w:p>
        </w:tc>
        <w:tc>
          <w:tcPr>
            <w:tcW w:w="140" w:type="dxa"/>
            <w:vAlign w:val="bottom"/>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 loss of investee companies</w:t>
            </w:r>
          </w:p>
        </w:tc>
        <w:tc>
          <w:tcPr>
            <w:tcW w:w="140" w:type="dxa"/>
            <w:vAlign w:val="bottom"/>
          </w:tcPr>
          <w:p>
            <w:pPr>
              <w:spacing w:after="0"/>
              <w:rPr>
                <w:sz w:val="15"/>
                <w:szCs w:val="15"/>
                <w:color w:val="auto"/>
              </w:rPr>
            </w:pPr>
          </w:p>
        </w:tc>
        <w:tc>
          <w:tcPr>
            <w:tcW w:w="120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(476)</w:t>
            </w:r>
          </w:p>
        </w:tc>
        <w:tc>
          <w:tcPr>
            <w:tcW w:w="22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504</w:t>
            </w:r>
          </w:p>
        </w:tc>
        <w:tc>
          <w:tcPr>
            <w:tcW w:w="24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(6,177)</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225"/>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from income taxes</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79</w:t>
            </w:r>
          </w:p>
        </w:tc>
        <w:tc>
          <w:tcPr>
            <w:tcW w:w="24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305</w:t>
            </w:r>
          </w:p>
        </w:tc>
        <w:tc>
          <w:tcPr>
            <w:tcW w:w="360" w:type="dxa"/>
            <w:vAlign w:val="bottom"/>
          </w:tcPr>
          <w:p>
            <w:pPr>
              <w:spacing w:after="0"/>
              <w:rPr>
                <w:sz w:val="19"/>
                <w:szCs w:val="19"/>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225"/>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loss of investee companies, net of tax</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9"/>
                <w:szCs w:val="19"/>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(171)</w:t>
            </w:r>
          </w:p>
        </w:tc>
        <w:tc>
          <w:tcPr>
            <w:tcW w:w="240" w:type="dxa"/>
            <w:vAlign w:val="bottom"/>
          </w:tcPr>
          <w:p>
            <w:pPr>
              <w:spacing w:after="0"/>
              <w:rPr>
                <w:sz w:val="19"/>
                <w:szCs w:val="19"/>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(291)</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38"/>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140" w:type="dxa"/>
            <w:vAlign w:val="bottom"/>
          </w:tcPr>
          <w:p>
            <w:pPr>
              <w:spacing w:after="0"/>
              <w:rPr>
                <w:sz w:val="15"/>
                <w:szCs w:val="15"/>
                <w:color w:val="auto"/>
              </w:rPr>
            </w:pPr>
          </w:p>
        </w:tc>
        <w:tc>
          <w:tcPr>
            <w:tcW w:w="120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(540)</w:t>
            </w:r>
          </w:p>
        </w:tc>
        <w:tc>
          <w:tcPr>
            <w:tcW w:w="22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412</w:t>
            </w:r>
          </w:p>
        </w:tc>
        <w:tc>
          <w:tcPr>
            <w:tcW w:w="24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(6,163)</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0" w:type="dxa"/>
            <w:vAlign w:val="bottom"/>
          </w:tcPr>
          <w:p>
            <w:pPr>
              <w:spacing w:after="0"/>
              <w:rPr>
                <w:sz w:val="1"/>
                <w:szCs w:val="1"/>
                <w:color w:val="auto"/>
              </w:rPr>
            </w:pPr>
          </w:p>
        </w:tc>
      </w:tr>
      <w:tr>
        <w:trPr>
          <w:trHeight w:val="225"/>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from discontinued operations, net of tax</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w:t>
            </w:r>
          </w:p>
        </w:tc>
        <w:tc>
          <w:tcPr>
            <w:tcW w:w="360" w:type="dxa"/>
            <w:vAlign w:val="bottom"/>
          </w:tcPr>
          <w:p>
            <w:pPr>
              <w:spacing w:after="0"/>
              <w:rPr>
                <w:sz w:val="19"/>
                <w:szCs w:val="19"/>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38"/>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(Parent and noncontrolling interests)</w:t>
            </w:r>
          </w:p>
        </w:tc>
        <w:tc>
          <w:tcPr>
            <w:tcW w:w="140" w:type="dxa"/>
            <w:vAlign w:val="bottom"/>
          </w:tcPr>
          <w:p>
            <w:pPr>
              <w:spacing w:after="0"/>
              <w:rPr>
                <w:sz w:val="15"/>
                <w:szCs w:val="15"/>
                <w:color w:val="auto"/>
              </w:rPr>
            </w:pPr>
          </w:p>
        </w:tc>
        <w:tc>
          <w:tcPr>
            <w:tcW w:w="120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(540)</w:t>
            </w:r>
          </w:p>
        </w:tc>
        <w:tc>
          <w:tcPr>
            <w:tcW w:w="22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412</w:t>
            </w:r>
          </w:p>
        </w:tc>
        <w:tc>
          <w:tcPr>
            <w:tcW w:w="24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(6,149)</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225"/>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noncontrolling interests</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(46)</w:t>
            </w:r>
          </w:p>
        </w:tc>
        <w:tc>
          <w:tcPr>
            <w:tcW w:w="220" w:type="dxa"/>
            <w:vAlign w:val="bottom"/>
          </w:tcPr>
          <w:p>
            <w:pPr>
              <w:spacing w:after="0"/>
              <w:rPr>
                <w:sz w:val="19"/>
                <w:szCs w:val="19"/>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(447)</w:t>
            </w:r>
          </w:p>
        </w:tc>
        <w:tc>
          <w:tcPr>
            <w:tcW w:w="240" w:type="dxa"/>
            <w:vAlign w:val="bottom"/>
          </w:tcPr>
          <w:p>
            <w:pPr>
              <w:spacing w:after="0"/>
              <w:rPr>
                <w:sz w:val="19"/>
                <w:szCs w:val="19"/>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38"/>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Parent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(586)</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(6,190)</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44"/>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attributable to Parent:</w:t>
            </w:r>
          </w:p>
        </w:tc>
        <w:tc>
          <w:tcPr>
            <w:tcW w:w="14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(586)</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(6,204)</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0" w:type="dxa"/>
            <w:vAlign w:val="bottom"/>
          </w:tcPr>
          <w:p>
            <w:pPr>
              <w:spacing w:after="0"/>
              <w:rPr>
                <w:sz w:val="1"/>
                <w:szCs w:val="1"/>
                <w:color w:val="auto"/>
              </w:rPr>
            </w:pPr>
          </w:p>
        </w:tc>
      </w:tr>
      <w:tr>
        <w:trPr>
          <w:trHeight w:val="225"/>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 from discontinued operations, net of tax</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w:t>
            </w:r>
          </w:p>
        </w:tc>
        <w:tc>
          <w:tcPr>
            <w:tcW w:w="360" w:type="dxa"/>
            <w:vAlign w:val="bottom"/>
          </w:tcPr>
          <w:p>
            <w:pPr>
              <w:spacing w:after="0"/>
              <w:rPr>
                <w:sz w:val="19"/>
                <w:szCs w:val="19"/>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38"/>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attributable to Parent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(586)</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(6,190)</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44"/>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net loss per common share attributable to Parent:</w:t>
            </w:r>
          </w:p>
        </w:tc>
        <w:tc>
          <w:tcPr>
            <w:tcW w:w="14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(.05)</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(9.36)</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25"/>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 from discontinued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.02</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25"/>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(.05)</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(9.34)</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33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loss per common share attributable to Parent:</w:t>
            </w:r>
          </w:p>
        </w:tc>
        <w:tc>
          <w:tcPr>
            <w:tcW w:w="14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(.05)</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(9.36)</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25"/>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 from discontinued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.02</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25"/>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(.05)</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(9.34)</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33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4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1,102</w:t>
            </w:r>
          </w:p>
        </w:tc>
        <w:tc>
          <w:tcPr>
            <w:tcW w:w="22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674</w:t>
            </w:r>
          </w:p>
        </w:tc>
        <w:tc>
          <w:tcPr>
            <w:tcW w:w="24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664</w:t>
            </w:r>
          </w:p>
        </w:tc>
        <w:tc>
          <w:tcPr>
            <w:tcW w:w="360" w:type="dxa"/>
            <w:vAlign w:val="bottom"/>
          </w:tcPr>
          <w:p>
            <w:pPr>
              <w:spacing w:after="0"/>
              <w:rPr>
                <w:sz w:val="19"/>
                <w:szCs w:val="19"/>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225"/>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Pr>
          <w:p>
            <w:pPr>
              <w:spacing w:after="0"/>
              <w:rPr>
                <w:sz w:val="19"/>
                <w:szCs w:val="19"/>
                <w:color w:val="auto"/>
              </w:rPr>
            </w:pPr>
          </w:p>
        </w:tc>
        <w:tc>
          <w:tcPr>
            <w:tcW w:w="1200" w:type="dxa"/>
            <w:vAlign w:val="bottom"/>
            <w:tcBorders>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1,102</w:t>
            </w:r>
          </w:p>
        </w:tc>
        <w:tc>
          <w:tcPr>
            <w:tcW w:w="22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674</w:t>
            </w:r>
          </w:p>
        </w:tc>
        <w:tc>
          <w:tcPr>
            <w:tcW w:w="24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664</w:t>
            </w:r>
          </w:p>
        </w:tc>
        <w:tc>
          <w:tcPr>
            <w:tcW w:w="360" w:type="dxa"/>
            <w:vAlign w:val="bottom"/>
          </w:tcPr>
          <w:p>
            <w:pPr>
              <w:spacing w:after="0"/>
              <w:rPr>
                <w:sz w:val="19"/>
                <w:szCs w:val="19"/>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44"/>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60"/>
          </w:cols>
          <w:pgMar w:left="820" w:top="749" w:right="819" w:bottom="1440" w:gutter="0" w:footer="0" w:header="0"/>
        </w:sectPr>
      </w:pPr>
    </w:p>
    <w:bookmarkStart w:id="71" w:name="page72"/>
    <w:bookmarkEnd w:id="71"/>
    <w:p>
      <w:pPr>
        <w:ind w:left="20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5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9"/>
          <w:szCs w:val="19"/>
          <w:b w:val="1"/>
          <w:bCs w:val="1"/>
          <w:color w:val="auto"/>
        </w:rPr>
        <w:t>CONSOLIDATED STATEMENTS OF COMPREHENSIVE INCOME (LOSS)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right w:val="single" w:sz="8" w:color="auto"/>
            </w:tcBorders>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280" w:type="dxa"/>
            <w:vAlign w:val="bottom"/>
          </w:tcPr>
          <w:p>
            <w:pPr>
              <w:spacing w:after="0"/>
              <w:rPr>
                <w:sz w:val="3"/>
                <w:szCs w:val="3"/>
                <w:color w:val="auto"/>
              </w:rPr>
            </w:pPr>
          </w:p>
        </w:tc>
        <w:tc>
          <w:tcPr>
            <w:tcW w:w="1500" w:type="dxa"/>
            <w:vAlign w:val="bottom"/>
            <w:tcBorders>
              <w:bottom w:val="single" w:sz="8" w:color="auto"/>
              <w:right w:val="single" w:sz="8" w:color="auto"/>
            </w:tcBorders>
            <w:gridSpan w:val="2"/>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4280" w:type="dxa"/>
            <w:vAlign w:val="bottom"/>
          </w:tcPr>
          <w:p>
            <w:pPr>
              <w:spacing w:after="0"/>
              <w:rPr>
                <w:sz w:val="14"/>
                <w:szCs w:val="14"/>
                <w:color w:val="auto"/>
              </w:rPr>
            </w:pPr>
          </w:p>
        </w:tc>
        <w:tc>
          <w:tcPr>
            <w:tcW w:w="1500" w:type="dxa"/>
            <w:vAlign w:val="bottom"/>
            <w:tcBorders>
              <w:right w:val="single" w:sz="8" w:color="auto"/>
            </w:tcBorders>
            <w:gridSpan w:val="2"/>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Period From August 7</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 January</w:t>
            </w:r>
          </w:p>
        </w:tc>
        <w:tc>
          <w:tcPr>
            <w:tcW w:w="200" w:type="dxa"/>
            <w:vAlign w:val="bottom"/>
          </w:tcPr>
          <w:p>
            <w:pPr>
              <w:spacing w:after="0"/>
              <w:rPr>
                <w:sz w:val="14"/>
                <w:szCs w:val="14"/>
                <w:color w:val="auto"/>
              </w:rPr>
            </w:pPr>
          </w:p>
        </w:tc>
        <w:tc>
          <w:tcPr>
            <w:tcW w:w="2400" w:type="dxa"/>
            <w:vAlign w:val="bottom"/>
            <w:gridSpan w:val="3"/>
            <w:vMerge w:val="restart"/>
          </w:tcPr>
          <w:p>
            <w:pPr>
              <w:jc w:val="right"/>
              <w:ind w:right="30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7"/>
        </w:trPr>
        <w:tc>
          <w:tcPr>
            <w:tcW w:w="4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1 - August 6,</w:t>
            </w: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right w:val="single" w:sz="8" w:color="auto"/>
            </w:tcBorders>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1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6"/>
                <w:szCs w:val="16"/>
                <w:color w:val="auto"/>
              </w:rPr>
            </w:pPr>
          </w:p>
        </w:tc>
        <w:tc>
          <w:tcPr>
            <w:tcW w:w="11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92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4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2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(Parent and noncontrolling interests)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(540)</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(6,149)</w:t>
            </w:r>
          </w:p>
        </w:tc>
        <w:tc>
          <w:tcPr>
            <w:tcW w:w="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38"/>
        </w:trPr>
        <w:tc>
          <w:tcPr>
            <w:tcW w:w="4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20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Cumulative translation adjustments</w:t>
            </w:r>
          </w:p>
        </w:tc>
        <w:tc>
          <w:tcPr>
            <w:tcW w:w="200" w:type="dxa"/>
            <w:vAlign w:val="bottom"/>
          </w:tcPr>
          <w:p>
            <w:pPr>
              <w:spacing w:after="0"/>
              <w:rPr>
                <w:sz w:val="19"/>
                <w:szCs w:val="19"/>
                <w:color w:val="auto"/>
              </w:rPr>
            </w:pPr>
          </w:p>
        </w:tc>
        <w:tc>
          <w:tcPr>
            <w:tcW w:w="1300" w:type="dxa"/>
            <w:vAlign w:val="bottom"/>
            <w:tcBorders>
              <w:right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41</w:t>
            </w:r>
          </w:p>
        </w:tc>
        <w:tc>
          <w:tcPr>
            <w:tcW w:w="340" w:type="dxa"/>
            <w:vAlign w:val="bottom"/>
          </w:tcPr>
          <w:p>
            <w:pPr>
              <w:spacing w:after="0"/>
              <w:rPr>
                <w:sz w:val="19"/>
                <w:szCs w:val="19"/>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116</w:t>
            </w:r>
          </w:p>
        </w:tc>
        <w:tc>
          <w:tcPr>
            <w:tcW w:w="200" w:type="dxa"/>
            <w:vAlign w:val="bottom"/>
          </w:tcPr>
          <w:p>
            <w:pPr>
              <w:spacing w:after="0"/>
              <w:rPr>
                <w:sz w:val="19"/>
                <w:szCs w:val="19"/>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(156)</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225"/>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 to net actuarial loss and prior service costs</w:t>
            </w:r>
          </w:p>
        </w:tc>
        <w:tc>
          <w:tcPr>
            <w:tcW w:w="200" w:type="dxa"/>
            <w:vAlign w:val="bottom"/>
          </w:tcPr>
          <w:p>
            <w:pPr>
              <w:spacing w:after="0"/>
              <w:rPr>
                <w:sz w:val="19"/>
                <w:szCs w:val="19"/>
                <w:color w:val="auto"/>
              </w:rPr>
            </w:pPr>
          </w:p>
        </w:tc>
        <w:tc>
          <w:tcPr>
            <w:tcW w:w="1300" w:type="dxa"/>
            <w:vAlign w:val="bottom"/>
            <w:tcBorders>
              <w:right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19</w:t>
            </w:r>
          </w:p>
        </w:tc>
        <w:tc>
          <w:tcPr>
            <w:tcW w:w="340" w:type="dxa"/>
            <w:vAlign w:val="bottom"/>
          </w:tcPr>
          <w:p>
            <w:pPr>
              <w:spacing w:after="0"/>
              <w:rPr>
                <w:sz w:val="19"/>
                <w:szCs w:val="19"/>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105</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37"/>
        </w:trPr>
        <w:tc>
          <w:tcPr>
            <w:tcW w:w="4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2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(Parent and noncontrolling interests)</w:t>
            </w:r>
          </w:p>
        </w:tc>
        <w:tc>
          <w:tcPr>
            <w:tcW w:w="200" w:type="dxa"/>
            <w:vAlign w:val="bottom"/>
          </w:tcPr>
          <w:p>
            <w:pPr>
              <w:spacing w:after="0"/>
              <w:rPr>
                <w:sz w:val="15"/>
                <w:szCs w:val="15"/>
                <w:color w:val="auto"/>
              </w:rPr>
            </w:pPr>
          </w:p>
        </w:tc>
        <w:tc>
          <w:tcPr>
            <w:tcW w:w="1300" w:type="dxa"/>
            <w:vAlign w:val="bottom"/>
            <w:tcBorders>
              <w:right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60</w:t>
            </w:r>
          </w:p>
        </w:tc>
        <w:tc>
          <w:tcPr>
            <w:tcW w:w="34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141</w:t>
            </w:r>
          </w:p>
        </w:tc>
        <w:tc>
          <w:tcPr>
            <w:tcW w:w="20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(51)</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25"/>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from discontinued operations</w:t>
            </w:r>
          </w:p>
        </w:tc>
        <w:tc>
          <w:tcPr>
            <w:tcW w:w="200" w:type="dxa"/>
            <w:vAlign w:val="bottom"/>
          </w:tcPr>
          <w:p>
            <w:pPr>
              <w:spacing w:after="0"/>
              <w:rPr>
                <w:sz w:val="19"/>
                <w:szCs w:val="19"/>
                <w:color w:val="auto"/>
              </w:rPr>
            </w:pPr>
          </w:p>
        </w:tc>
        <w:tc>
          <w:tcPr>
            <w:tcW w:w="1300" w:type="dxa"/>
            <w:vAlign w:val="bottom"/>
            <w:tcBorders>
              <w:right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38"/>
        </w:trPr>
        <w:tc>
          <w:tcPr>
            <w:tcW w:w="4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00" w:type="dxa"/>
            <w:vAlign w:val="bottom"/>
          </w:tcPr>
          <w:p>
            <w:pPr>
              <w:spacing w:after="0"/>
              <w:rPr>
                <w:sz w:val="15"/>
                <w:szCs w:val="15"/>
                <w:color w:val="auto"/>
              </w:rPr>
            </w:pPr>
          </w:p>
        </w:tc>
        <w:tc>
          <w:tcPr>
            <w:tcW w:w="1300" w:type="dxa"/>
            <w:vAlign w:val="bottom"/>
            <w:tcBorders>
              <w:right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(480)</w:t>
            </w:r>
          </w:p>
        </w:tc>
        <w:tc>
          <w:tcPr>
            <w:tcW w:w="34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553</w:t>
            </w:r>
          </w:p>
        </w:tc>
        <w:tc>
          <w:tcPr>
            <w:tcW w:w="20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(6,200)</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214"/>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Comprehensive income attributable to</w:t>
            </w:r>
          </w:p>
        </w:tc>
        <w:tc>
          <w:tcPr>
            <w:tcW w:w="2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00" w:type="dxa"/>
            <w:vAlign w:val="bottom"/>
          </w:tcPr>
          <w:p>
            <w:pPr>
              <w:spacing w:after="0"/>
              <w:rPr>
                <w:sz w:val="15"/>
                <w:szCs w:val="15"/>
                <w:color w:val="auto"/>
              </w:rPr>
            </w:pPr>
          </w:p>
        </w:tc>
        <w:tc>
          <w:tcPr>
            <w:tcW w:w="1300" w:type="dxa"/>
            <w:vAlign w:val="bottom"/>
            <w:tcBorders>
              <w:right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47</w:t>
            </w:r>
          </w:p>
        </w:tc>
        <w:tc>
          <w:tcPr>
            <w:tcW w:w="34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448</w:t>
            </w:r>
          </w:p>
        </w:tc>
        <w:tc>
          <w:tcPr>
            <w:tcW w:w="20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38</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38"/>
        </w:trPr>
        <w:tc>
          <w:tcPr>
            <w:tcW w:w="4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 attributable to Parent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right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(527)</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(6,238)</w:t>
            </w:r>
          </w:p>
        </w:tc>
        <w:tc>
          <w:tcPr>
            <w:tcW w:w="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44"/>
        </w:trPr>
        <w:tc>
          <w:tcPr>
            <w:tcW w:w="4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840"/>
          </w:cols>
          <w:pgMar w:left="1020" w:top="749" w:right="1039" w:bottom="1440" w:gutter="0" w:footer="0" w:header="0"/>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320" w:type="dxa"/>
            <w:vAlign w:val="bottom"/>
            <w:tcBorders>
              <w:top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right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5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r>
      <w:tr>
        <w:trPr>
          <w:trHeight w:val="220"/>
        </w:trPr>
        <w:tc>
          <w:tcPr>
            <w:tcW w:w="6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tcBorders>
              <w:right w:val="single" w:sz="8" w:color="auto"/>
            </w:tcBorders>
          </w:tcPr>
          <w:p>
            <w:pPr>
              <w:jc w:val="right"/>
              <w:ind w:right="901"/>
              <w:spacing w:after="0"/>
              <w:rPr>
                <w:sz w:val="20"/>
                <w:szCs w:val="20"/>
                <w:color w:val="auto"/>
              </w:rPr>
            </w:pPr>
            <w:r>
              <w:rPr>
                <w:rFonts w:ascii="Times New Roman" w:cs="Times New Roman" w:eastAsia="Times New Roman" w:hAnsi="Times New Roman"/>
                <w:sz w:val="16"/>
                <w:szCs w:val="16"/>
                <w:b w:val="1"/>
                <w:bCs w:val="1"/>
                <w:color w:val="auto"/>
              </w:rPr>
              <w:t>At</w:t>
            </w:r>
          </w:p>
        </w:tc>
        <w:tc>
          <w:tcPr>
            <w:tcW w:w="500" w:type="dxa"/>
            <w:vAlign w:val="bottom"/>
          </w:tcPr>
          <w:p>
            <w:pPr>
              <w:spacing w:after="0"/>
              <w:rPr>
                <w:sz w:val="19"/>
                <w:szCs w:val="19"/>
                <w:color w:val="auto"/>
              </w:rPr>
            </w:pPr>
          </w:p>
        </w:tc>
        <w:tc>
          <w:tcPr>
            <w:tcW w:w="1260" w:type="dxa"/>
            <w:vAlign w:val="bottom"/>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4"/>
              </w:rPr>
              <w:t>At</w:t>
            </w:r>
          </w:p>
        </w:tc>
      </w:tr>
      <w:tr>
        <w:trPr>
          <w:trHeight w:val="250"/>
        </w:trPr>
        <w:tc>
          <w:tcPr>
            <w:tcW w:w="6320" w:type="dxa"/>
            <w:vAlign w:val="bottom"/>
            <w:tcBorders>
              <w:bottom w:val="single" w:sz="8" w:color="auto"/>
            </w:tcBorders>
          </w:tcPr>
          <w:p>
            <w:pPr>
              <w:spacing w:after="0"/>
              <w:rPr>
                <w:sz w:val="21"/>
                <w:szCs w:val="21"/>
                <w:color w:val="auto"/>
              </w:rPr>
            </w:pPr>
          </w:p>
        </w:tc>
        <w:tc>
          <w:tcPr>
            <w:tcW w:w="2020" w:type="dxa"/>
            <w:vAlign w:val="bottom"/>
            <w:tcBorders>
              <w:bottom w:val="single" w:sz="8" w:color="auto"/>
              <w:right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760" w:type="dxa"/>
            <w:vAlign w:val="bottom"/>
            <w:tcBorders>
              <w:bottom w:val="single" w:sz="8" w:color="auto"/>
            </w:tcBorders>
            <w:gridSpan w:val="2"/>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20"/>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2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52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8"/>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3,274</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2,661</w:t>
            </w:r>
          </w:p>
        </w:tc>
      </w:tr>
      <w:tr>
        <w:trPr>
          <w:trHeight w:val="238"/>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Receivables, net</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6,615</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6,920</w:t>
            </w:r>
          </w:p>
        </w:tc>
      </w:tr>
      <w:tr>
        <w:trPr>
          <w:trHeight w:val="239"/>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Programming and other inventory</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1,461</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1,429</w:t>
            </w:r>
          </w:p>
        </w:tc>
      </w:tr>
      <w:tr>
        <w:trPr>
          <w:trHeight w:val="250"/>
        </w:trPr>
        <w:tc>
          <w:tcPr>
            <w:tcW w:w="6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520" w:type="dxa"/>
            <w:vAlign w:val="bottom"/>
            <w:tcBorders>
              <w:bottom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1,970</w:t>
            </w: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1,532</w:t>
            </w:r>
          </w:p>
        </w:tc>
      </w:tr>
      <w:tr>
        <w:trPr>
          <w:trHeight w:val="232"/>
        </w:trPr>
        <w:tc>
          <w:tcPr>
            <w:tcW w:w="63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52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13,320</w:t>
            </w: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12,542</w:t>
            </w:r>
          </w:p>
        </w:tc>
      </w:tr>
      <w:tr>
        <w:trPr>
          <w:trHeight w:val="220"/>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20" w:type="dxa"/>
            <w:vAlign w:val="bottom"/>
          </w:tcPr>
          <w:p>
            <w:pPr>
              <w:spacing w:after="0"/>
              <w:rPr>
                <w:sz w:val="19"/>
                <w:szCs w:val="19"/>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2,195</w:t>
            </w:r>
          </w:p>
        </w:tc>
        <w:tc>
          <w:tcPr>
            <w:tcW w:w="500" w:type="dxa"/>
            <w:vAlign w:val="bottom"/>
          </w:tcPr>
          <w:p>
            <w:pPr>
              <w:spacing w:after="0"/>
              <w:rPr>
                <w:sz w:val="19"/>
                <w:szCs w:val="19"/>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1,566</w:t>
            </w:r>
          </w:p>
        </w:tc>
      </w:t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Programming and other inventory</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15,028</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13,924</w:t>
            </w:r>
          </w:p>
        </w:tc>
      </w:t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1,600</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10,508</w:t>
            </w:r>
          </w:p>
        </w:tc>
      </w:tr>
      <w:tr>
        <w:trPr>
          <w:trHeight w:val="239"/>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6,238</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2,406</w:t>
            </w:r>
          </w:p>
        </w:tc>
      </w:t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1,126</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1,012</w:t>
            </w:r>
          </w:p>
        </w:tc>
      </w:t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1,282</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1,386</w:t>
            </w:r>
          </w:p>
        </w:tc>
      </w:tr>
      <w:tr>
        <w:trPr>
          <w:trHeight w:val="250"/>
        </w:trPr>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520" w:type="dxa"/>
            <w:vAlign w:val="bottom"/>
            <w:tcBorders>
              <w:bottom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2,553</w:t>
            </w: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2,828</w:t>
            </w:r>
          </w:p>
        </w:tc>
      </w:tr>
      <w:tr>
        <w:trPr>
          <w:trHeight w:val="245"/>
        </w:trPr>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5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43,342</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46,172</w:t>
            </w:r>
          </w:p>
        </w:tc>
      </w:tr>
      <w:tr>
        <w:trPr>
          <w:trHeight w:val="220"/>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52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52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8"/>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906</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953</w:t>
            </w:r>
          </w:p>
        </w:tc>
      </w:tr>
      <w:tr>
        <w:trPr>
          <w:trHeight w:val="238"/>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2,077</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2,199</w:t>
            </w:r>
          </w:p>
        </w:tc>
      </w:tr>
      <w:tr>
        <w:trPr>
          <w:trHeight w:val="239"/>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Participants’ share and royalties payable</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2,646</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2,574</w:t>
            </w:r>
          </w:p>
        </w:tc>
      </w:tr>
      <w:tr>
        <w:trPr>
          <w:trHeight w:val="238"/>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programming and production costs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1,832</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1,720</w:t>
            </w:r>
          </w:p>
        </w:tc>
      </w:tr>
      <w:tr>
        <w:trPr>
          <w:trHeight w:val="238"/>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revenues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1,355</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825</w:t>
            </w:r>
          </w:p>
        </w:tc>
      </w:tr>
      <w:tr>
        <w:trPr>
          <w:trHeight w:val="239"/>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Debt</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433</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6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20" w:type="dxa"/>
            <w:vAlign w:val="bottom"/>
            <w:tcBorders>
              <w:bottom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1,350</w:t>
            </w: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1,360</w:t>
            </w:r>
          </w:p>
        </w:tc>
      </w:tr>
      <w:tr>
        <w:trPr>
          <w:trHeight w:val="232"/>
        </w:trPr>
        <w:tc>
          <w:tcPr>
            <w:tcW w:w="63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52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10,599</w:t>
            </w: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9,631</w:t>
            </w:r>
          </w:p>
        </w:tc>
      </w:tr>
      <w:tr>
        <w:trPr>
          <w:trHeight w:val="220"/>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520" w:type="dxa"/>
            <w:vAlign w:val="bottom"/>
          </w:tcPr>
          <w:p>
            <w:pPr>
              <w:spacing w:after="0"/>
              <w:rPr>
                <w:sz w:val="19"/>
                <w:szCs w:val="19"/>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13,225</w:t>
            </w:r>
          </w:p>
        </w:tc>
        <w:tc>
          <w:tcPr>
            <w:tcW w:w="500" w:type="dxa"/>
            <w:vAlign w:val="bottom"/>
          </w:tcPr>
          <w:p>
            <w:pPr>
              <w:spacing w:after="0"/>
              <w:rPr>
                <w:sz w:val="19"/>
                <w:szCs w:val="19"/>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14,501</w:t>
            </w:r>
          </w:p>
        </w:tc>
      </w:tr>
      <w:tr>
        <w:trPr>
          <w:trHeight w:val="239"/>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Participants’ share and royalties payable</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1,361</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1,310</w:t>
            </w:r>
          </w:p>
        </w:tc>
      </w:t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Pension and postretirement benefit obligations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1,185</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1,226</w:t>
            </w:r>
          </w:p>
        </w:tc>
      </w:tr>
      <w:tr>
        <w:trPr>
          <w:trHeight w:val="239"/>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liabilities, net</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85</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34</w:t>
            </w:r>
          </w:p>
        </w:tc>
      </w:t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1,150</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1,048</w:t>
            </w:r>
          </w:p>
        </w:tc>
      </w:t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Programming obligations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400</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260</w:t>
            </w:r>
          </w:p>
        </w:tc>
      </w:tr>
      <w:tr>
        <w:trPr>
          <w:trHeight w:val="239"/>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2,450</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1,380</w:t>
            </w:r>
          </w:p>
        </w:tc>
      </w:tr>
      <w:tr>
        <w:trPr>
          <w:trHeight w:val="291"/>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52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2"/>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Parent stockholders’ equity:</w:t>
            </w:r>
          </w:p>
        </w:tc>
        <w:tc>
          <w:tcPr>
            <w:tcW w:w="52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Class A Common Stock, par value $.001 per share; 55 shares authorized;</w:t>
            </w:r>
          </w:p>
        </w:tc>
        <w:tc>
          <w:tcPr>
            <w:tcW w:w="52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8"/>
        </w:trPr>
        <w:tc>
          <w:tcPr>
            <w:tcW w:w="6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32 (2025) and 41 (2024) shares issued</w:t>
            </w:r>
          </w:p>
        </w:tc>
        <w:tc>
          <w:tcPr>
            <w:tcW w:w="520" w:type="dxa"/>
            <w:vAlign w:val="bottom"/>
          </w:tcPr>
          <w:p>
            <w:pPr>
              <w:spacing w:after="0"/>
              <w:rPr>
                <w:sz w:val="18"/>
                <w:szCs w:val="18"/>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Class B Common Stock, par value $.001 per share; 5,500 (2025) and 5,000 (2024)</w:t>
            </w:r>
          </w:p>
        </w:tc>
        <w:tc>
          <w:tcPr>
            <w:tcW w:w="52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8"/>
        </w:trPr>
        <w:tc>
          <w:tcPr>
            <w:tcW w:w="6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shares authorized; 1,076 (2025) and 1,133 (2024) shares issued</w:t>
            </w:r>
          </w:p>
        </w:tc>
        <w:tc>
          <w:tcPr>
            <w:tcW w:w="520" w:type="dxa"/>
            <w:vAlign w:val="bottom"/>
          </w:tcPr>
          <w:p>
            <w:pPr>
              <w:spacing w:after="0"/>
              <w:rPr>
                <w:sz w:val="18"/>
                <w:szCs w:val="18"/>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w:t>
            </w:r>
          </w:p>
        </w:tc>
        <w:tc>
          <w:tcPr>
            <w:tcW w:w="500" w:type="dxa"/>
            <w:vAlign w:val="bottom"/>
          </w:tcPr>
          <w:p>
            <w:pPr>
              <w:spacing w:after="0"/>
              <w:rPr>
                <w:sz w:val="18"/>
                <w:szCs w:val="18"/>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w:t>
            </w:r>
          </w:p>
        </w:tc>
      </w:tr>
      <w:tr>
        <w:trPr>
          <w:trHeight w:val="239"/>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13,386</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33,394</w:t>
            </w:r>
          </w:p>
        </w:tc>
      </w:tr>
      <w:tr>
        <w:trPr>
          <w:trHeight w:val="238"/>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Treasury stock, at cost; — (2025) and 503 (2024) shares of Class B Common Stock</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(22,958)</w:t>
            </w:r>
          </w:p>
        </w:tc>
      </w:tr>
      <w:tr>
        <w:trPr>
          <w:trHeight w:val="239"/>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(1,753)</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7,487</w:t>
            </w:r>
          </w:p>
        </w:tc>
      </w:tr>
      <w:tr>
        <w:trPr>
          <w:trHeight w:val="250"/>
        </w:trPr>
        <w:tc>
          <w:tcPr>
            <w:tcW w:w="6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520" w:type="dxa"/>
            <w:vAlign w:val="bottom"/>
            <w:tcBorders>
              <w:bottom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59</w:t>
            </w: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(1,604)</w:t>
            </w:r>
          </w:p>
        </w:tc>
      </w:tr>
      <w:tr>
        <w:trPr>
          <w:trHeight w:val="220"/>
        </w:trPr>
        <w:tc>
          <w:tcPr>
            <w:tcW w:w="6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Parent stockholders’ equity</w:t>
            </w:r>
          </w:p>
        </w:tc>
        <w:tc>
          <w:tcPr>
            <w:tcW w:w="520" w:type="dxa"/>
            <w:vAlign w:val="bottom"/>
          </w:tcPr>
          <w:p>
            <w:pPr>
              <w:spacing w:after="0"/>
              <w:rPr>
                <w:sz w:val="19"/>
                <w:szCs w:val="19"/>
                <w:color w:val="auto"/>
              </w:rPr>
            </w:pPr>
          </w:p>
        </w:tc>
        <w:tc>
          <w:tcPr>
            <w:tcW w:w="1500" w:type="dxa"/>
            <w:vAlign w:val="bottom"/>
            <w:tcBorders>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11,693</w:t>
            </w:r>
          </w:p>
        </w:tc>
        <w:tc>
          <w:tcPr>
            <w:tcW w:w="500" w:type="dxa"/>
            <w:vAlign w:val="bottom"/>
          </w:tcPr>
          <w:p>
            <w:pPr>
              <w:spacing w:after="0"/>
              <w:rPr>
                <w:sz w:val="19"/>
                <w:szCs w:val="19"/>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16,320</w:t>
            </w:r>
          </w:p>
        </w:tc>
      </w:tr>
      <w:tr>
        <w:trPr>
          <w:trHeight w:val="250"/>
        </w:trPr>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520" w:type="dxa"/>
            <w:vAlign w:val="bottom"/>
            <w:tcBorders>
              <w:bottom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1,194</w:t>
            </w: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462</w:t>
            </w:r>
          </w:p>
        </w:tc>
      </w:tr>
      <w:tr>
        <w:trPr>
          <w:trHeight w:val="232"/>
        </w:trPr>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52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12,887</w:t>
            </w: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16,782</w:t>
            </w:r>
          </w:p>
        </w:tc>
      </w:tr>
      <w:tr>
        <w:trPr>
          <w:trHeight w:val="245"/>
        </w:trPr>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5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right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43,342</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46,172</w:t>
            </w:r>
          </w:p>
        </w:tc>
      </w:tr>
    </w:tbl>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0100"/>
          </w:cols>
          <w:pgMar w:left="900" w:top="749" w:right="899" w:bottom="1440" w:gutter="0" w:footer="0" w:header="0"/>
        </w:sect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76835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00"/>
          </w:cols>
          <w:pgMar w:left="900" w:top="749" w:right="899" w:bottom="1440" w:gutter="0" w:footer="0" w:header="0"/>
          <w:type w:val="continuous"/>
        </w:sectPr>
      </w:pPr>
    </w:p>
    <w:bookmarkStart w:id="73" w:name="page74"/>
    <w:bookmarkEnd w:id="73"/>
    <w:p>
      <w:pPr>
        <w:ind w:left="26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5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6500" w:type="dxa"/>
            <w:vAlign w:val="bottom"/>
          </w:tcPr>
          <w:p>
            <w:pPr>
              <w:spacing w:after="0"/>
              <w:rPr>
                <w:sz w:val="3"/>
                <w:szCs w:val="3"/>
                <w:color w:val="auto"/>
              </w:rPr>
            </w:pPr>
          </w:p>
        </w:tc>
        <w:tc>
          <w:tcPr>
            <w:tcW w:w="1240" w:type="dxa"/>
            <w:vAlign w:val="bottom"/>
            <w:tcBorders>
              <w:bottom w:val="single" w:sz="8" w:color="auto"/>
              <w:right w:val="single" w:sz="8" w:color="auto"/>
            </w:tcBorders>
            <w:gridSpan w:val="2"/>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500" w:type="dxa"/>
            <w:vAlign w:val="bottom"/>
          </w:tcPr>
          <w:p>
            <w:pPr>
              <w:spacing w:after="0"/>
              <w:rPr>
                <w:sz w:val="14"/>
                <w:szCs w:val="14"/>
                <w:color w:val="auto"/>
              </w:rPr>
            </w:pPr>
          </w:p>
        </w:tc>
        <w:tc>
          <w:tcPr>
            <w:tcW w:w="1240" w:type="dxa"/>
            <w:vAlign w:val="bottom"/>
            <w:tcBorders>
              <w:right w:val="single" w:sz="8" w:color="auto"/>
            </w:tcBorders>
            <w:gridSpan w:val="2"/>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118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right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August 7 -</w:t>
            </w:r>
          </w:p>
        </w:tc>
        <w:tc>
          <w:tcPr>
            <w:tcW w:w="118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January 1 -</w:t>
            </w:r>
          </w:p>
        </w:tc>
        <w:tc>
          <w:tcPr>
            <w:tcW w:w="280" w:type="dxa"/>
            <w:vAlign w:val="bottom"/>
          </w:tcPr>
          <w:p>
            <w:pPr>
              <w:spacing w:after="0"/>
              <w:rPr>
                <w:sz w:val="14"/>
                <w:szCs w:val="14"/>
                <w:color w:val="auto"/>
              </w:rPr>
            </w:pPr>
          </w:p>
        </w:tc>
        <w:tc>
          <w:tcPr>
            <w:tcW w:w="1900" w:type="dxa"/>
            <w:vAlign w:val="bottom"/>
            <w:gridSpan w:val="3"/>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6"/>
        </w:trPr>
        <w:tc>
          <w:tcPr>
            <w:tcW w:w="6500" w:type="dxa"/>
            <w:vAlign w:val="bottom"/>
          </w:tcPr>
          <w:p>
            <w:pPr>
              <w:spacing w:after="0"/>
              <w:rPr>
                <w:sz w:val="16"/>
                <w:szCs w:val="16"/>
                <w:color w:val="auto"/>
              </w:rPr>
            </w:pPr>
          </w:p>
        </w:tc>
        <w:tc>
          <w:tcPr>
            <w:tcW w:w="1240" w:type="dxa"/>
            <w:vAlign w:val="bottom"/>
            <w:tcBorders>
              <w:right w:val="single" w:sz="8" w:color="auto"/>
            </w:tcBorders>
            <w:gridSpan w:val="2"/>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84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8"/>
              </w:rPr>
              <w:t>August 6,</w:t>
            </w:r>
          </w:p>
        </w:tc>
        <w:tc>
          <w:tcPr>
            <w:tcW w:w="280" w:type="dxa"/>
            <w:vAlign w:val="bottom"/>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right w:val="single" w:sz="8" w:color="auto"/>
            </w:tcBorders>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40" w:type="dxa"/>
            <w:vAlign w:val="bottom"/>
          </w:tcPr>
          <w:p>
            <w:pPr>
              <w:spacing w:after="0"/>
              <w:rPr>
                <w:sz w:val="15"/>
                <w:szCs w:val="15"/>
                <w:color w:val="auto"/>
              </w:rPr>
            </w:pPr>
          </w:p>
        </w:tc>
        <w:tc>
          <w:tcPr>
            <w:tcW w:w="84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5"/>
                <w:szCs w:val="15"/>
                <w:color w:val="auto"/>
              </w:rPr>
            </w:pPr>
          </w:p>
        </w:tc>
        <w:tc>
          <w:tcPr>
            <w:tcW w:w="8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6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4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(Parent and noncontrolling interests)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(540)</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412</w:t>
            </w:r>
          </w:p>
        </w:tc>
        <w:tc>
          <w:tcPr>
            <w:tcW w:w="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(6,149)</w:t>
            </w:r>
          </w:p>
        </w:tc>
        <w:tc>
          <w:tcPr>
            <w:tcW w:w="3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225"/>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earnings from discontinued operations, net of tax</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w:t>
            </w:r>
          </w:p>
        </w:tc>
        <w:tc>
          <w:tcPr>
            <w:tcW w:w="300" w:type="dxa"/>
            <w:vAlign w:val="bottom"/>
          </w:tcPr>
          <w:p>
            <w:pPr>
              <w:spacing w:after="0"/>
              <w:rPr>
                <w:sz w:val="19"/>
                <w:szCs w:val="19"/>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38"/>
        </w:trPr>
        <w:tc>
          <w:tcPr>
            <w:tcW w:w="6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40" w:type="dxa"/>
            <w:vAlign w:val="bottom"/>
          </w:tcPr>
          <w:p>
            <w:pPr>
              <w:spacing w:after="0"/>
              <w:rPr>
                <w:sz w:val="15"/>
                <w:szCs w:val="15"/>
                <w:color w:val="auto"/>
              </w:rPr>
            </w:pPr>
          </w:p>
        </w:tc>
        <w:tc>
          <w:tcPr>
            <w:tcW w:w="1000" w:type="dxa"/>
            <w:vAlign w:val="bottom"/>
            <w:tcBorders>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(540)</w:t>
            </w:r>
          </w:p>
        </w:tc>
        <w:tc>
          <w:tcPr>
            <w:tcW w:w="340" w:type="dxa"/>
            <w:vAlign w:val="bottom"/>
          </w:tcPr>
          <w:p>
            <w:pPr>
              <w:spacing w:after="0"/>
              <w:rPr>
                <w:sz w:val="15"/>
                <w:szCs w:val="15"/>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412</w:t>
            </w:r>
          </w:p>
        </w:tc>
        <w:tc>
          <w:tcPr>
            <w:tcW w:w="28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(6,163)</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0" w:type="dxa"/>
            <w:vAlign w:val="bottom"/>
          </w:tcPr>
          <w:p>
            <w:pPr>
              <w:spacing w:after="0"/>
              <w:rPr>
                <w:sz w:val="1"/>
                <w:szCs w:val="1"/>
                <w:color w:val="auto"/>
              </w:rPr>
            </w:pPr>
          </w:p>
        </w:tc>
      </w:tr>
      <w:tr>
        <w:trPr>
          <w:trHeight w:val="214"/>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earnings (loss) from continuing operations to net cash flow provided by</w:t>
            </w:r>
          </w:p>
        </w:tc>
        <w:tc>
          <w:tcPr>
            <w:tcW w:w="2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operating activities:</w:t>
            </w:r>
          </w:p>
        </w:tc>
        <w:tc>
          <w:tcPr>
            <w:tcW w:w="24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Programming charges</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41</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1,118</w:t>
            </w:r>
          </w:p>
        </w:tc>
        <w:tc>
          <w:tcPr>
            <w:tcW w:w="300" w:type="dxa"/>
            <w:vAlign w:val="bottom"/>
          </w:tcPr>
          <w:p>
            <w:pPr>
              <w:spacing w:after="0"/>
              <w:rPr>
                <w:sz w:val="19"/>
                <w:szCs w:val="19"/>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2,371</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590</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204</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392</w:t>
            </w:r>
          </w:p>
        </w:tc>
        <w:tc>
          <w:tcPr>
            <w:tcW w:w="300" w:type="dxa"/>
            <w:vAlign w:val="bottom"/>
          </w:tcPr>
          <w:p>
            <w:pPr>
              <w:spacing w:after="0"/>
              <w:rPr>
                <w:sz w:val="19"/>
                <w:szCs w:val="19"/>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charges</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157</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6,130</w:t>
            </w:r>
          </w:p>
        </w:tc>
        <w:tc>
          <w:tcPr>
            <w:tcW w:w="300" w:type="dxa"/>
            <w:vAlign w:val="bottom"/>
          </w:tcPr>
          <w:p>
            <w:pPr>
              <w:spacing w:after="0"/>
              <w:rPr>
                <w:sz w:val="19"/>
                <w:szCs w:val="19"/>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content costs and participation and residuals expense</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6,026</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8,045</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13,888</w:t>
            </w:r>
          </w:p>
        </w:tc>
        <w:tc>
          <w:tcPr>
            <w:tcW w:w="300" w:type="dxa"/>
            <w:vAlign w:val="bottom"/>
          </w:tcPr>
          <w:p>
            <w:pPr>
              <w:spacing w:after="0"/>
              <w:rPr>
                <w:sz w:val="19"/>
                <w:szCs w:val="19"/>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14,713</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benefit</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(115)</w:t>
            </w:r>
          </w:p>
        </w:tc>
        <w:tc>
          <w:tcPr>
            <w:tcW w:w="340" w:type="dxa"/>
            <w:vAlign w:val="bottom"/>
          </w:tcPr>
          <w:p>
            <w:pPr>
              <w:spacing w:after="0"/>
              <w:rPr>
                <w:sz w:val="19"/>
                <w:szCs w:val="19"/>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(401)</w:t>
            </w:r>
          </w:p>
        </w:tc>
        <w:tc>
          <w:tcPr>
            <w:tcW w:w="280" w:type="dxa"/>
            <w:vAlign w:val="bottom"/>
          </w:tcPr>
          <w:p>
            <w:pPr>
              <w:spacing w:after="0"/>
              <w:rPr>
                <w:sz w:val="19"/>
                <w:szCs w:val="19"/>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(630)</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160</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113</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245</w:t>
            </w:r>
          </w:p>
        </w:tc>
        <w:tc>
          <w:tcPr>
            <w:tcW w:w="300" w:type="dxa"/>
            <w:vAlign w:val="bottom"/>
          </w:tcPr>
          <w:p>
            <w:pPr>
              <w:spacing w:after="0"/>
              <w:rPr>
                <w:sz w:val="19"/>
                <w:szCs w:val="19"/>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dispositions</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(35)</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loss from investments</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40</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17</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extinguishment of debt</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in loss of investee companies, net of tax and distributions</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105</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179</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304</w:t>
            </w:r>
          </w:p>
        </w:tc>
        <w:tc>
          <w:tcPr>
            <w:tcW w:w="300" w:type="dxa"/>
            <w:vAlign w:val="bottom"/>
          </w:tcPr>
          <w:p>
            <w:pPr>
              <w:spacing w:after="0"/>
              <w:rPr>
                <w:sz w:val="19"/>
                <w:szCs w:val="19"/>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assets and liabilities</w:t>
            </w:r>
          </w:p>
        </w:tc>
        <w:tc>
          <w:tcPr>
            <w:tcW w:w="24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(Increase) decrease in receivables</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(340)</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1,296</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548</w:t>
            </w:r>
          </w:p>
        </w:tc>
        <w:tc>
          <w:tcPr>
            <w:tcW w:w="300" w:type="dxa"/>
            <w:vAlign w:val="bottom"/>
          </w:tcPr>
          <w:p>
            <w:pPr>
              <w:spacing w:after="0"/>
              <w:rPr>
                <w:sz w:val="19"/>
                <w:szCs w:val="19"/>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225"/>
        </w:trPr>
        <w:tc>
          <w:tcPr>
            <w:tcW w:w="6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Increase in inventory and related program, participation, and residuals liabilities</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(5,955)</w:t>
            </w:r>
          </w:p>
        </w:tc>
        <w:tc>
          <w:tcPr>
            <w:tcW w:w="340" w:type="dxa"/>
            <w:vAlign w:val="bottom"/>
          </w:tcPr>
          <w:p>
            <w:pPr>
              <w:spacing w:after="0"/>
              <w:rPr>
                <w:sz w:val="19"/>
                <w:szCs w:val="19"/>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(9,094)</w:t>
            </w:r>
          </w:p>
        </w:tc>
        <w:tc>
          <w:tcPr>
            <w:tcW w:w="280" w:type="dxa"/>
            <w:vAlign w:val="bottom"/>
          </w:tcPr>
          <w:p>
            <w:pPr>
              <w:spacing w:after="0"/>
              <w:rPr>
                <w:sz w:val="19"/>
                <w:szCs w:val="19"/>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(15,812)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(15,518)</w:t>
            </w:r>
          </w:p>
        </w:tc>
        <w:tc>
          <w:tcPr>
            <w:tcW w:w="0" w:type="dxa"/>
            <w:vAlign w:val="bottom"/>
          </w:tcPr>
          <w:p>
            <w:pPr>
              <w:spacing w:after="0"/>
              <w:rPr>
                <w:sz w:val="1"/>
                <w:szCs w:val="1"/>
                <w:color w:val="auto"/>
              </w:rPr>
            </w:pPr>
          </w:p>
        </w:tc>
      </w:tr>
      <w:tr>
        <w:trPr>
          <w:trHeight w:val="225"/>
        </w:trPr>
        <w:tc>
          <w:tcPr>
            <w:tcW w:w="6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Increase (decrease) in accounts payable and other liabilities</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514</w:t>
            </w:r>
          </w:p>
        </w:tc>
        <w:tc>
          <w:tcPr>
            <w:tcW w:w="340" w:type="dxa"/>
            <w:vAlign w:val="bottom"/>
          </w:tcPr>
          <w:p>
            <w:pPr>
              <w:spacing w:after="0"/>
              <w:rPr>
                <w:sz w:val="19"/>
                <w:szCs w:val="19"/>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(831)</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324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0" w:type="dxa"/>
            <w:vAlign w:val="bottom"/>
          </w:tcPr>
          <w:p>
            <w:pPr>
              <w:spacing w:after="0"/>
              <w:rPr>
                <w:sz w:val="1"/>
                <w:szCs w:val="1"/>
                <w:color w:val="auto"/>
              </w:rPr>
            </w:pPr>
          </w:p>
        </w:tc>
      </w:tr>
      <w:tr>
        <w:trPr>
          <w:trHeight w:val="225"/>
        </w:trPr>
        <w:tc>
          <w:tcPr>
            <w:tcW w:w="6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(Decrease) increase in pension and postretirement benefit obligations</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(97)</w:t>
            </w:r>
          </w:p>
        </w:tc>
        <w:tc>
          <w:tcPr>
            <w:tcW w:w="340" w:type="dxa"/>
            <w:vAlign w:val="bottom"/>
          </w:tcPr>
          <w:p>
            <w:pPr>
              <w:spacing w:after="0"/>
              <w:rPr>
                <w:sz w:val="19"/>
                <w:szCs w:val="19"/>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(111)</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25"/>
        </w:trPr>
        <w:tc>
          <w:tcPr>
            <w:tcW w:w="6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Increase in income taxes</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121</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141</w:t>
            </w:r>
          </w:p>
        </w:tc>
        <w:tc>
          <w:tcPr>
            <w:tcW w:w="300" w:type="dxa"/>
            <w:vAlign w:val="bottom"/>
          </w:tcPr>
          <w:p>
            <w:pPr>
              <w:spacing w:after="0"/>
              <w:rPr>
                <w:sz w:val="19"/>
                <w:szCs w:val="19"/>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51</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109</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227</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38"/>
        </w:trPr>
        <w:tc>
          <w:tcPr>
            <w:tcW w:w="6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provided by operating activities from continuing operations</w:t>
            </w:r>
          </w:p>
        </w:tc>
        <w:tc>
          <w:tcPr>
            <w:tcW w:w="240" w:type="dxa"/>
            <w:vAlign w:val="bottom"/>
          </w:tcPr>
          <w:p>
            <w:pPr>
              <w:spacing w:after="0"/>
              <w:rPr>
                <w:sz w:val="15"/>
                <w:szCs w:val="15"/>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485</w:t>
            </w:r>
          </w:p>
        </w:tc>
        <w:tc>
          <w:tcPr>
            <w:tcW w:w="340" w:type="dxa"/>
            <w:vAlign w:val="bottom"/>
          </w:tcPr>
          <w:p>
            <w:pPr>
              <w:spacing w:after="0"/>
              <w:rPr>
                <w:sz w:val="15"/>
                <w:szCs w:val="15"/>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164</w:t>
            </w:r>
          </w:p>
        </w:tc>
        <w:tc>
          <w:tcPr>
            <w:tcW w:w="280" w:type="dxa"/>
            <w:vAlign w:val="bottom"/>
          </w:tcPr>
          <w:p>
            <w:pPr>
              <w:spacing w:after="0"/>
              <w:rPr>
                <w:sz w:val="15"/>
                <w:szCs w:val="15"/>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752</w:t>
            </w:r>
          </w:p>
        </w:tc>
        <w:tc>
          <w:tcPr>
            <w:tcW w:w="30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38"/>
        </w:trPr>
        <w:tc>
          <w:tcPr>
            <w:tcW w:w="6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provided by operating activities from discontinued operations</w:t>
            </w:r>
          </w:p>
        </w:tc>
        <w:tc>
          <w:tcPr>
            <w:tcW w:w="240" w:type="dxa"/>
            <w:vAlign w:val="bottom"/>
          </w:tcPr>
          <w:p>
            <w:pPr>
              <w:spacing w:after="0"/>
              <w:rPr>
                <w:sz w:val="15"/>
                <w:szCs w:val="15"/>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37"/>
        </w:trPr>
        <w:tc>
          <w:tcPr>
            <w:tcW w:w="6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provided by operating activities</w:t>
            </w:r>
          </w:p>
        </w:tc>
        <w:tc>
          <w:tcPr>
            <w:tcW w:w="240" w:type="dxa"/>
            <w:vAlign w:val="bottom"/>
          </w:tcPr>
          <w:p>
            <w:pPr>
              <w:spacing w:after="0"/>
              <w:rPr>
                <w:sz w:val="15"/>
                <w:szCs w:val="15"/>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485</w:t>
            </w:r>
          </w:p>
        </w:tc>
        <w:tc>
          <w:tcPr>
            <w:tcW w:w="340" w:type="dxa"/>
            <w:vAlign w:val="bottom"/>
          </w:tcPr>
          <w:p>
            <w:pPr>
              <w:spacing w:after="0"/>
              <w:rPr>
                <w:sz w:val="15"/>
                <w:szCs w:val="15"/>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164</w:t>
            </w:r>
          </w:p>
        </w:tc>
        <w:tc>
          <w:tcPr>
            <w:tcW w:w="280" w:type="dxa"/>
            <w:vAlign w:val="bottom"/>
          </w:tcPr>
          <w:p>
            <w:pPr>
              <w:spacing w:after="0"/>
              <w:rPr>
                <w:sz w:val="15"/>
                <w:szCs w:val="15"/>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752</w:t>
            </w:r>
          </w:p>
        </w:tc>
        <w:tc>
          <w:tcPr>
            <w:tcW w:w="30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38"/>
        </w:trPr>
        <w:tc>
          <w:tcPr>
            <w:tcW w:w="6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4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(33)</w:t>
            </w:r>
          </w:p>
        </w:tc>
        <w:tc>
          <w:tcPr>
            <w:tcW w:w="340" w:type="dxa"/>
            <w:vAlign w:val="bottom"/>
          </w:tcPr>
          <w:p>
            <w:pPr>
              <w:spacing w:after="0"/>
              <w:rPr>
                <w:sz w:val="19"/>
                <w:szCs w:val="19"/>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(205)</w:t>
            </w:r>
          </w:p>
        </w:tc>
        <w:tc>
          <w:tcPr>
            <w:tcW w:w="280" w:type="dxa"/>
            <w:vAlign w:val="bottom"/>
          </w:tcPr>
          <w:p>
            <w:pPr>
              <w:spacing w:after="0"/>
              <w:rPr>
                <w:sz w:val="19"/>
                <w:szCs w:val="19"/>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(326)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(162)</w:t>
            </w:r>
          </w:p>
        </w:tc>
        <w:tc>
          <w:tcPr>
            <w:tcW w:w="340" w:type="dxa"/>
            <w:vAlign w:val="bottom"/>
          </w:tcPr>
          <w:p>
            <w:pPr>
              <w:spacing w:after="0"/>
              <w:rPr>
                <w:sz w:val="19"/>
                <w:szCs w:val="19"/>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(134)</w:t>
            </w:r>
          </w:p>
        </w:tc>
        <w:tc>
          <w:tcPr>
            <w:tcW w:w="280" w:type="dxa"/>
            <w:vAlign w:val="bottom"/>
          </w:tcPr>
          <w:p>
            <w:pPr>
              <w:spacing w:after="0"/>
              <w:rPr>
                <w:sz w:val="19"/>
                <w:szCs w:val="19"/>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(263)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(60)</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dispositions</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95</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66</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554</w:t>
            </w:r>
          </w:p>
        </w:tc>
        <w:tc>
          <w:tcPr>
            <w:tcW w:w="300" w:type="dxa"/>
            <w:vAlign w:val="bottom"/>
          </w:tcPr>
          <w:p>
            <w:pPr>
              <w:spacing w:after="0"/>
              <w:rPr>
                <w:sz w:val="19"/>
                <w:szCs w:val="19"/>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19"/>
                <w:szCs w:val="19"/>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8"/>
        </w:trPr>
        <w:tc>
          <w:tcPr>
            <w:tcW w:w="6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used for investing activities from continuing operations</w:t>
            </w:r>
          </w:p>
        </w:tc>
        <w:tc>
          <w:tcPr>
            <w:tcW w:w="240" w:type="dxa"/>
            <w:vAlign w:val="bottom"/>
          </w:tcPr>
          <w:p>
            <w:pPr>
              <w:spacing w:after="0"/>
              <w:rPr>
                <w:sz w:val="15"/>
                <w:szCs w:val="15"/>
                <w:color w:val="auto"/>
              </w:rPr>
            </w:pPr>
          </w:p>
        </w:tc>
        <w:tc>
          <w:tcPr>
            <w:tcW w:w="1000" w:type="dxa"/>
            <w:vAlign w:val="bottom"/>
            <w:tcBorders>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(160)</w:t>
            </w:r>
          </w:p>
        </w:tc>
        <w:tc>
          <w:tcPr>
            <w:tcW w:w="34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(276)</w:t>
            </w:r>
          </w:p>
        </w:tc>
        <w:tc>
          <w:tcPr>
            <w:tcW w:w="28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(43)</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38"/>
        </w:trPr>
        <w:tc>
          <w:tcPr>
            <w:tcW w:w="6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provided by investing activities from discontinued operations</w:t>
            </w:r>
          </w:p>
        </w:tc>
        <w:tc>
          <w:tcPr>
            <w:tcW w:w="240" w:type="dxa"/>
            <w:vAlign w:val="bottom"/>
          </w:tcPr>
          <w:p>
            <w:pPr>
              <w:spacing w:after="0"/>
              <w:rPr>
                <w:sz w:val="15"/>
                <w:szCs w:val="15"/>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55</w:t>
            </w:r>
          </w:p>
        </w:tc>
        <w:tc>
          <w:tcPr>
            <w:tcW w:w="30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1,524</w:t>
            </w:r>
          </w:p>
        </w:tc>
        <w:tc>
          <w:tcPr>
            <w:tcW w:w="0" w:type="dxa"/>
            <w:vAlign w:val="bottom"/>
          </w:tcPr>
          <w:p>
            <w:pPr>
              <w:spacing w:after="0"/>
              <w:rPr>
                <w:sz w:val="1"/>
                <w:szCs w:val="1"/>
                <w:color w:val="auto"/>
              </w:rPr>
            </w:pPr>
          </w:p>
        </w:tc>
      </w:tr>
      <w:tr>
        <w:trPr>
          <w:trHeight w:val="38"/>
        </w:trPr>
        <w:tc>
          <w:tcPr>
            <w:tcW w:w="6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(used for) provided by investing activities</w:t>
            </w:r>
          </w:p>
        </w:tc>
        <w:tc>
          <w:tcPr>
            <w:tcW w:w="240" w:type="dxa"/>
            <w:vAlign w:val="bottom"/>
          </w:tcPr>
          <w:p>
            <w:pPr>
              <w:spacing w:after="0"/>
              <w:rPr>
                <w:sz w:val="15"/>
                <w:szCs w:val="15"/>
                <w:color w:val="auto"/>
              </w:rPr>
            </w:pPr>
          </w:p>
        </w:tc>
        <w:tc>
          <w:tcPr>
            <w:tcW w:w="1000" w:type="dxa"/>
            <w:vAlign w:val="bottom"/>
            <w:tcBorders>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(160)</w:t>
            </w:r>
          </w:p>
        </w:tc>
        <w:tc>
          <w:tcPr>
            <w:tcW w:w="34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(276)</w:t>
            </w:r>
          </w:p>
        </w:tc>
        <w:tc>
          <w:tcPr>
            <w:tcW w:w="280" w:type="dxa"/>
            <w:vAlign w:val="bottom"/>
          </w:tcPr>
          <w:p>
            <w:pPr>
              <w:spacing w:after="0"/>
              <w:rPr>
                <w:sz w:val="15"/>
                <w:szCs w:val="15"/>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w:t>
            </w:r>
          </w:p>
        </w:tc>
        <w:tc>
          <w:tcPr>
            <w:tcW w:w="30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942</w:t>
            </w:r>
          </w:p>
        </w:tc>
        <w:tc>
          <w:tcPr>
            <w:tcW w:w="0" w:type="dxa"/>
            <w:vAlign w:val="bottom"/>
          </w:tcPr>
          <w:p>
            <w:pPr>
              <w:spacing w:after="0"/>
              <w:rPr>
                <w:sz w:val="1"/>
                <w:szCs w:val="1"/>
                <w:color w:val="auto"/>
              </w:rPr>
            </w:pPr>
          </w:p>
        </w:tc>
      </w:tr>
      <w:tr>
        <w:trPr>
          <w:trHeight w:val="38"/>
        </w:trPr>
        <w:tc>
          <w:tcPr>
            <w:tcW w:w="6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4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debt</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Skydance credit facility</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(720)</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paid on preferred stock</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paid on common stock</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(90)</w:t>
            </w:r>
          </w:p>
        </w:tc>
        <w:tc>
          <w:tcPr>
            <w:tcW w:w="340" w:type="dxa"/>
            <w:vAlign w:val="bottom"/>
          </w:tcPr>
          <w:p>
            <w:pPr>
              <w:spacing w:after="0"/>
              <w:rPr>
                <w:sz w:val="19"/>
                <w:szCs w:val="19"/>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(101)</w:t>
            </w:r>
          </w:p>
        </w:tc>
        <w:tc>
          <w:tcPr>
            <w:tcW w:w="280" w:type="dxa"/>
            <w:vAlign w:val="bottom"/>
          </w:tcPr>
          <w:p>
            <w:pPr>
              <w:spacing w:after="0"/>
              <w:rPr>
                <w:sz w:val="19"/>
                <w:szCs w:val="19"/>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payroll taxes in lieu of issuing shares for stock-based compensation</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(92)</w:t>
            </w:r>
          </w:p>
        </w:tc>
        <w:tc>
          <w:tcPr>
            <w:tcW w:w="340" w:type="dxa"/>
            <w:vAlign w:val="bottom"/>
          </w:tcPr>
          <w:p>
            <w:pPr>
              <w:spacing w:after="0"/>
              <w:rPr>
                <w:sz w:val="19"/>
                <w:szCs w:val="19"/>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(26)</w:t>
            </w:r>
          </w:p>
        </w:tc>
        <w:tc>
          <w:tcPr>
            <w:tcW w:w="280" w:type="dxa"/>
            <w:vAlign w:val="bottom"/>
          </w:tcPr>
          <w:p>
            <w:pPr>
              <w:spacing w:after="0"/>
              <w:rPr>
                <w:sz w:val="19"/>
                <w:szCs w:val="19"/>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(60)</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to noncontrolling interests</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tcPr>
          <w:p>
            <w:pPr>
              <w:spacing w:after="0"/>
              <w:rPr>
                <w:sz w:val="19"/>
                <w:szCs w:val="19"/>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(32)</w:t>
            </w:r>
          </w:p>
        </w:tc>
        <w:tc>
          <w:tcPr>
            <w:tcW w:w="280" w:type="dxa"/>
            <w:vAlign w:val="bottom"/>
          </w:tcPr>
          <w:p>
            <w:pPr>
              <w:spacing w:after="0"/>
              <w:rPr>
                <w:sz w:val="19"/>
                <w:szCs w:val="19"/>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(127)</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2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38"/>
        </w:trPr>
        <w:tc>
          <w:tcPr>
            <w:tcW w:w="6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used for financing activities</w:t>
            </w:r>
          </w:p>
        </w:tc>
        <w:tc>
          <w:tcPr>
            <w:tcW w:w="240" w:type="dxa"/>
            <w:vAlign w:val="bottom"/>
          </w:tcPr>
          <w:p>
            <w:pPr>
              <w:spacing w:after="0"/>
              <w:rPr>
                <w:sz w:val="15"/>
                <w:szCs w:val="15"/>
                <w:color w:val="auto"/>
              </w:rPr>
            </w:pPr>
          </w:p>
        </w:tc>
        <w:tc>
          <w:tcPr>
            <w:tcW w:w="1000" w:type="dxa"/>
            <w:vAlign w:val="bottom"/>
            <w:tcBorders>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(911)</w:t>
            </w:r>
          </w:p>
        </w:tc>
        <w:tc>
          <w:tcPr>
            <w:tcW w:w="34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(159)</w:t>
            </w:r>
          </w:p>
        </w:tc>
        <w:tc>
          <w:tcPr>
            <w:tcW w:w="28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(507)</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0" w:type="dxa"/>
            <w:vAlign w:val="bottom"/>
          </w:tcPr>
          <w:p>
            <w:pPr>
              <w:spacing w:after="0"/>
              <w:rPr>
                <w:sz w:val="1"/>
                <w:szCs w:val="1"/>
                <w:color w:val="auto"/>
              </w:rPr>
            </w:pPr>
          </w:p>
        </w:tc>
      </w:tr>
      <w:tr>
        <w:trPr>
          <w:trHeight w:val="37"/>
        </w:trPr>
        <w:tc>
          <w:tcPr>
            <w:tcW w:w="6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40" w:type="dxa"/>
            <w:vAlign w:val="bottom"/>
          </w:tcPr>
          <w:p>
            <w:pPr>
              <w:spacing w:after="0"/>
              <w:rPr>
                <w:sz w:val="15"/>
                <w:szCs w:val="15"/>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tcPr>
          <w:p>
            <w:pPr>
              <w:spacing w:after="0"/>
              <w:rPr>
                <w:sz w:val="15"/>
                <w:szCs w:val="15"/>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70</w:t>
            </w:r>
          </w:p>
        </w:tc>
        <w:tc>
          <w:tcPr>
            <w:tcW w:w="28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(56)</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8"/>
        </w:trPr>
        <w:tc>
          <w:tcPr>
            <w:tcW w:w="6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40" w:type="dxa"/>
            <w:vAlign w:val="bottom"/>
          </w:tcPr>
          <w:p>
            <w:pPr>
              <w:spacing w:after="0"/>
              <w:rPr>
                <w:sz w:val="15"/>
                <w:szCs w:val="15"/>
                <w:color w:val="auto"/>
              </w:rPr>
            </w:pPr>
          </w:p>
        </w:tc>
        <w:tc>
          <w:tcPr>
            <w:tcW w:w="1000" w:type="dxa"/>
            <w:vAlign w:val="bottom"/>
            <w:tcBorders>
              <w:right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(577)</w:t>
            </w:r>
          </w:p>
        </w:tc>
        <w:tc>
          <w:tcPr>
            <w:tcW w:w="34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(201)</w:t>
            </w:r>
          </w:p>
        </w:tc>
        <w:tc>
          <w:tcPr>
            <w:tcW w:w="280" w:type="dxa"/>
            <w:vAlign w:val="bottom"/>
          </w:tcPr>
          <w:p>
            <w:pPr>
              <w:spacing w:after="0"/>
              <w:rPr>
                <w:sz w:val="15"/>
                <w:szCs w:val="15"/>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201</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225"/>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 (Note 19)</w:t>
            </w:r>
          </w:p>
        </w:tc>
        <w:tc>
          <w:tcPr>
            <w:tcW w:w="240" w:type="dxa"/>
            <w:vAlign w:val="bottom"/>
          </w:tcPr>
          <w:p>
            <w:pPr>
              <w:spacing w:after="0"/>
              <w:rPr>
                <w:sz w:val="19"/>
                <w:szCs w:val="19"/>
                <w:color w:val="auto"/>
              </w:rPr>
            </w:pP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3,851</w:t>
            </w:r>
          </w:p>
        </w:tc>
        <w:tc>
          <w:tcPr>
            <w:tcW w:w="340" w:type="dxa"/>
            <w:vAlign w:val="bottom"/>
          </w:tcPr>
          <w:p>
            <w:pPr>
              <w:spacing w:after="0"/>
              <w:rPr>
                <w:sz w:val="19"/>
                <w:szCs w:val="19"/>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2,661</w:t>
            </w:r>
          </w:p>
        </w:tc>
        <w:tc>
          <w:tcPr>
            <w:tcW w:w="280" w:type="dxa"/>
            <w:vAlign w:val="bottom"/>
          </w:tcPr>
          <w:p>
            <w:pPr>
              <w:spacing w:after="0"/>
              <w:rPr>
                <w:sz w:val="19"/>
                <w:szCs w:val="19"/>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2,460</w:t>
            </w:r>
          </w:p>
        </w:tc>
        <w:tc>
          <w:tcPr>
            <w:tcW w:w="300" w:type="dxa"/>
            <w:vAlign w:val="bottom"/>
          </w:tcPr>
          <w:p>
            <w:pPr>
              <w:spacing w:after="0"/>
              <w:rPr>
                <w:sz w:val="19"/>
                <w:szCs w:val="19"/>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2,885</w:t>
            </w:r>
          </w:p>
        </w:tc>
        <w:tc>
          <w:tcPr>
            <w:tcW w:w="0" w:type="dxa"/>
            <w:vAlign w:val="bottom"/>
          </w:tcPr>
          <w:p>
            <w:pPr>
              <w:spacing w:after="0"/>
              <w:rPr>
                <w:sz w:val="1"/>
                <w:szCs w:val="1"/>
                <w:color w:val="auto"/>
              </w:rPr>
            </w:pPr>
          </w:p>
        </w:tc>
      </w:tr>
      <w:tr>
        <w:trPr>
          <w:trHeight w:val="38"/>
        </w:trPr>
        <w:tc>
          <w:tcPr>
            <w:tcW w:w="6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 (Note 19)</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3,274</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2,460</w:t>
            </w:r>
          </w:p>
        </w:tc>
        <w:tc>
          <w:tcPr>
            <w:tcW w:w="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2,661</w:t>
            </w:r>
          </w:p>
        </w:tc>
        <w:tc>
          <w:tcPr>
            <w:tcW w:w="3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2,460</w:t>
            </w:r>
          </w:p>
        </w:tc>
        <w:tc>
          <w:tcPr>
            <w:tcW w:w="0" w:type="dxa"/>
            <w:vAlign w:val="bottom"/>
          </w:tcPr>
          <w:p>
            <w:pPr>
              <w:spacing w:after="0"/>
              <w:rPr>
                <w:sz w:val="1"/>
                <w:szCs w:val="1"/>
                <w:color w:val="auto"/>
              </w:rPr>
            </w:pPr>
          </w:p>
        </w:tc>
      </w:tr>
      <w:tr>
        <w:trPr>
          <w:trHeight w:val="44"/>
        </w:trPr>
        <w:tc>
          <w:tcPr>
            <w:tcW w:w="6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69215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400" w:top="749" w:right="399" w:bottom="1440" w:gutter="0" w:footer="0" w:header="0"/>
        </w:sectPr>
      </w:pPr>
    </w:p>
    <w:bookmarkStart w:id="74" w:name="page75"/>
    <w:bookmarkEnd w:id="74"/>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2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5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r>
      <w:tr>
        <w:trPr>
          <w:trHeight w:val="159"/>
        </w:trPr>
        <w:tc>
          <w:tcPr>
            <w:tcW w:w="1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Class A and B</w:t>
            </w:r>
          </w:p>
        </w:tc>
        <w:tc>
          <w:tcPr>
            <w:tcW w:w="82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center"/>
              <w:ind w:right="189"/>
              <w:spacing w:after="0" w:line="15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400" w:type="dxa"/>
            <w:vAlign w:val="bottom"/>
          </w:tcPr>
          <w:p>
            <w:pPr>
              <w:spacing w:after="0"/>
              <w:rPr>
                <w:sz w:val="13"/>
                <w:szCs w:val="13"/>
                <w:color w:val="auto"/>
              </w:rPr>
            </w:pPr>
          </w:p>
        </w:tc>
        <w:tc>
          <w:tcPr>
            <w:tcW w:w="880" w:type="dxa"/>
            <w:vAlign w:val="bottom"/>
          </w:tcPr>
          <w:p>
            <w:pPr>
              <w:jc w:val="right"/>
              <w:ind w:right="389"/>
              <w:spacing w:after="0" w:line="15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Paramount</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2"/>
        </w:trPr>
        <w:tc>
          <w:tcPr>
            <w:tcW w:w="1580" w:type="dxa"/>
            <w:vAlign w:val="bottom"/>
          </w:tcPr>
          <w:p>
            <w:pPr>
              <w:spacing w:after="0"/>
              <w:rPr>
                <w:sz w:val="14"/>
                <w:szCs w:val="14"/>
                <w:color w:val="auto"/>
              </w:rPr>
            </w:pPr>
          </w:p>
        </w:tc>
        <w:tc>
          <w:tcPr>
            <w:tcW w:w="12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80" w:type="dxa"/>
            <w:vAlign w:val="bottom"/>
          </w:tcPr>
          <w:p>
            <w:pPr>
              <w:spacing w:after="0"/>
              <w:rPr>
                <w:sz w:val="14"/>
                <w:szCs w:val="14"/>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88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(Accumulated</w:t>
            </w:r>
          </w:p>
        </w:tc>
        <w:tc>
          <w:tcPr>
            <w:tcW w:w="128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1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4"/>
                <w:szCs w:val="14"/>
                <w:color w:val="auto"/>
              </w:rPr>
            </w:pPr>
          </w:p>
        </w:tc>
        <w:tc>
          <w:tcPr>
            <w:tcW w:w="5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158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980" w:type="dxa"/>
            <w:vAlign w:val="bottom"/>
            <w:gridSpan w:val="2"/>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6"/>
                <w:szCs w:val="16"/>
                <w:color w:val="auto"/>
              </w:rPr>
            </w:pPr>
          </w:p>
        </w:tc>
        <w:tc>
          <w:tcPr>
            <w:tcW w:w="6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9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340" w:type="dxa"/>
            <w:vAlign w:val="bottom"/>
          </w:tcPr>
          <w:p>
            <w:pPr>
              <w:spacing w:after="0"/>
              <w:rPr>
                <w:sz w:val="16"/>
                <w:szCs w:val="16"/>
                <w:color w:val="auto"/>
              </w:rPr>
            </w:pPr>
          </w:p>
        </w:tc>
        <w:tc>
          <w:tcPr>
            <w:tcW w:w="82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38"/>
        </w:trPr>
        <w:tc>
          <w:tcPr>
            <w:tcW w:w="1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81"/>
        </w:trPr>
        <w:tc>
          <w:tcPr>
            <w:tcW w:w="158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8"/>
        </w:trPr>
        <w:tc>
          <w:tcPr>
            <w:tcW w:w="1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67"/>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86"/>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650</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33,063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(22,958)</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14,737</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(1,807)</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23,036</w:t>
            </w:r>
          </w:p>
        </w:tc>
        <w:tc>
          <w:tcPr>
            <w:tcW w:w="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570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23,606</w:t>
            </w:r>
          </w:p>
        </w:tc>
      </w:tr>
      <w:tr>
        <w:trPr>
          <w:trHeight w:val="21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8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activity and other</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spacing w:after="0"/>
              <w:rPr>
                <w:sz w:val="15"/>
                <w:szCs w:val="15"/>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147</w:t>
            </w:r>
          </w:p>
        </w:tc>
        <w:tc>
          <w:tcPr>
            <w:tcW w:w="200" w:type="dxa"/>
            <w:vAlign w:val="bottom"/>
          </w:tcPr>
          <w:p>
            <w:pPr>
              <w:spacing w:after="0"/>
              <w:rPr>
                <w:sz w:val="15"/>
                <w:szCs w:val="15"/>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19</w:t>
            </w:r>
          </w:p>
        </w:tc>
        <w:tc>
          <w:tcPr>
            <w:tcW w:w="400" w:type="dxa"/>
            <w:vAlign w:val="bottom"/>
          </w:tcPr>
          <w:p>
            <w:pPr>
              <w:spacing w:after="0"/>
              <w:rPr>
                <w:sz w:val="15"/>
                <w:szCs w:val="15"/>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166</w:t>
            </w:r>
          </w:p>
        </w:tc>
        <w:tc>
          <w:tcPr>
            <w:tcW w:w="460" w:type="dxa"/>
            <w:vAlign w:val="bottom"/>
          </w:tcPr>
          <w:p>
            <w:pPr>
              <w:spacing w:after="0"/>
              <w:rPr>
                <w:sz w:val="15"/>
                <w:szCs w:val="15"/>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9"/>
                <w:szCs w:val="19"/>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(58)</w:t>
            </w:r>
          </w:p>
        </w:tc>
        <w:tc>
          <w:tcPr>
            <w:tcW w:w="400" w:type="dxa"/>
            <w:vAlign w:val="bottom"/>
          </w:tcPr>
          <w:p>
            <w:pPr>
              <w:spacing w:after="0"/>
              <w:rPr>
                <w:sz w:val="19"/>
                <w:szCs w:val="19"/>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(58)</w:t>
            </w:r>
          </w:p>
        </w:tc>
        <w:tc>
          <w:tcPr>
            <w:tcW w:w="460" w:type="dxa"/>
            <w:vAlign w:val="bottom"/>
          </w:tcPr>
          <w:p>
            <w:pPr>
              <w:spacing w:after="0"/>
              <w:rPr>
                <w:sz w:val="19"/>
                <w:szCs w:val="19"/>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dividends</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9"/>
                <w:szCs w:val="19"/>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(261)</w:t>
            </w:r>
          </w:p>
        </w:tc>
        <w:tc>
          <w:tcPr>
            <w:tcW w:w="400" w:type="dxa"/>
            <w:vAlign w:val="bottom"/>
          </w:tcPr>
          <w:p>
            <w:pPr>
              <w:spacing w:after="0"/>
              <w:rPr>
                <w:sz w:val="19"/>
                <w:szCs w:val="19"/>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(261)</w:t>
            </w:r>
          </w:p>
        </w:tc>
        <w:tc>
          <w:tcPr>
            <w:tcW w:w="460" w:type="dxa"/>
            <w:vAlign w:val="bottom"/>
          </w:tcPr>
          <w:p>
            <w:pPr>
              <w:spacing w:after="0"/>
              <w:rPr>
                <w:sz w:val="19"/>
                <w:szCs w:val="19"/>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9"/>
                <w:szCs w:val="19"/>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7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(81)</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9"/>
                <w:szCs w:val="19"/>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(608)</w:t>
            </w:r>
          </w:p>
        </w:tc>
        <w:tc>
          <w:tcPr>
            <w:tcW w:w="400" w:type="dxa"/>
            <w:vAlign w:val="bottom"/>
          </w:tcPr>
          <w:p>
            <w:pPr>
              <w:spacing w:after="0"/>
              <w:rPr>
                <w:sz w:val="19"/>
                <w:szCs w:val="19"/>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(608)</w:t>
            </w:r>
          </w:p>
        </w:tc>
        <w:tc>
          <w:tcPr>
            <w:tcW w:w="460" w:type="dxa"/>
            <w:vAlign w:val="bottom"/>
          </w:tcPr>
          <w:p>
            <w:pPr>
              <w:spacing w:after="0"/>
              <w:rPr>
                <w:sz w:val="19"/>
                <w:szCs w:val="19"/>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32</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r>
      <w:tr>
        <w:trPr>
          <w:trHeight w:val="21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8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251</w:t>
            </w:r>
          </w:p>
        </w:tc>
        <w:tc>
          <w:tcPr>
            <w:tcW w:w="340" w:type="dxa"/>
            <w:vAlign w:val="bottom"/>
          </w:tcPr>
          <w:p>
            <w:pPr>
              <w:spacing w:after="0"/>
              <w:rPr>
                <w:sz w:val="15"/>
                <w:szCs w:val="15"/>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251</w:t>
            </w:r>
          </w:p>
        </w:tc>
        <w:tc>
          <w:tcPr>
            <w:tcW w:w="460" w:type="dxa"/>
            <w:vAlign w:val="bottom"/>
          </w:tcPr>
          <w:p>
            <w:pPr>
              <w:spacing w:after="0"/>
              <w:rPr>
                <w:sz w:val="15"/>
                <w:szCs w:val="15"/>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38"/>
        </w:trPr>
        <w:tc>
          <w:tcPr>
            <w:tcW w:w="1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67"/>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86"/>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653</w:t>
            </w:r>
          </w:p>
        </w:tc>
        <w:tc>
          <w:tcPr>
            <w:tcW w:w="360" w:type="dxa"/>
            <w:vAlign w:val="bottom"/>
          </w:tcPr>
          <w:p>
            <w:pPr>
              <w:spacing w:after="0"/>
              <w:rPr>
                <w:sz w:val="16"/>
                <w:szCs w:val="16"/>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33,210</w:t>
            </w:r>
          </w:p>
        </w:tc>
        <w:tc>
          <w:tcPr>
            <w:tcW w:w="20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(22,958)</w:t>
            </w:r>
          </w:p>
        </w:tc>
        <w:tc>
          <w:tcPr>
            <w:tcW w:w="220" w:type="dxa"/>
            <w:vAlign w:val="bottom"/>
          </w:tcPr>
          <w:p>
            <w:pPr>
              <w:spacing w:after="0"/>
              <w:rPr>
                <w:sz w:val="16"/>
                <w:szCs w:val="16"/>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13,829</w:t>
            </w:r>
          </w:p>
        </w:tc>
        <w:tc>
          <w:tcPr>
            <w:tcW w:w="400" w:type="dxa"/>
            <w:vAlign w:val="bottom"/>
          </w:tcPr>
          <w:p>
            <w:pPr>
              <w:spacing w:after="0"/>
              <w:rPr>
                <w:sz w:val="16"/>
                <w:szCs w:val="16"/>
                <w:color w:val="auto"/>
              </w:rPr>
            </w:pP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(1,556)</w:t>
            </w:r>
          </w:p>
        </w:tc>
        <w:tc>
          <w:tcPr>
            <w:tcW w:w="340" w:type="dxa"/>
            <w:vAlign w:val="bottom"/>
          </w:tcPr>
          <w:p>
            <w:pPr>
              <w:spacing w:after="0"/>
              <w:rPr>
                <w:sz w:val="16"/>
                <w:szCs w:val="16"/>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22,526</w:t>
            </w:r>
          </w:p>
        </w:tc>
        <w:tc>
          <w:tcPr>
            <w:tcW w:w="460" w:type="dxa"/>
            <w:vAlign w:val="bottom"/>
          </w:tcPr>
          <w:p>
            <w:pPr>
              <w:spacing w:after="0"/>
              <w:rPr>
                <w:sz w:val="16"/>
                <w:szCs w:val="16"/>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524</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23,050</w:t>
            </w:r>
          </w:p>
        </w:tc>
      </w:tr>
      <w:tr>
        <w:trPr>
          <w:trHeight w:val="21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8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activity</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360" w:type="dxa"/>
            <w:vAlign w:val="bottom"/>
          </w:tcPr>
          <w:p>
            <w:pPr>
              <w:spacing w:after="0"/>
              <w:rPr>
                <w:sz w:val="15"/>
                <w:szCs w:val="15"/>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184</w:t>
            </w:r>
          </w:p>
        </w:tc>
        <w:tc>
          <w:tcPr>
            <w:tcW w:w="200" w:type="dxa"/>
            <w:vAlign w:val="bottom"/>
          </w:tcPr>
          <w:p>
            <w:pPr>
              <w:spacing w:after="0"/>
              <w:rPr>
                <w:sz w:val="15"/>
                <w:szCs w:val="15"/>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184</w:t>
            </w:r>
          </w:p>
        </w:tc>
        <w:tc>
          <w:tcPr>
            <w:tcW w:w="460" w:type="dxa"/>
            <w:vAlign w:val="bottom"/>
          </w:tcPr>
          <w:p>
            <w:pPr>
              <w:spacing w:after="0"/>
              <w:rPr>
                <w:sz w:val="15"/>
                <w:szCs w:val="15"/>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conversion</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360" w:type="dxa"/>
            <w:vAlign w:val="bottom"/>
          </w:tcPr>
          <w:p>
            <w:pPr>
              <w:spacing w:after="0"/>
              <w:rPr>
                <w:sz w:val="19"/>
                <w:szCs w:val="19"/>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9"/>
                <w:szCs w:val="19"/>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9"/>
                <w:szCs w:val="19"/>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w:t>
            </w:r>
          </w:p>
        </w:tc>
        <w:tc>
          <w:tcPr>
            <w:tcW w:w="400" w:type="dxa"/>
            <w:vAlign w:val="bottom"/>
          </w:tcPr>
          <w:p>
            <w:pPr>
              <w:spacing w:after="0"/>
              <w:rPr>
                <w:sz w:val="19"/>
                <w:szCs w:val="19"/>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(14)</w:t>
            </w:r>
          </w:p>
        </w:tc>
        <w:tc>
          <w:tcPr>
            <w:tcW w:w="460" w:type="dxa"/>
            <w:vAlign w:val="bottom"/>
          </w:tcPr>
          <w:p>
            <w:pPr>
              <w:spacing w:after="0"/>
              <w:rPr>
                <w:sz w:val="19"/>
                <w:szCs w:val="19"/>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dividends</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9"/>
                <w:szCs w:val="19"/>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(138)</w:t>
            </w:r>
          </w:p>
        </w:tc>
        <w:tc>
          <w:tcPr>
            <w:tcW w:w="400" w:type="dxa"/>
            <w:vAlign w:val="bottom"/>
          </w:tcPr>
          <w:p>
            <w:pPr>
              <w:spacing w:after="0"/>
              <w:rPr>
                <w:sz w:val="19"/>
                <w:szCs w:val="19"/>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(138)</w:t>
            </w:r>
          </w:p>
        </w:tc>
        <w:tc>
          <w:tcPr>
            <w:tcW w:w="460" w:type="dxa"/>
            <w:vAlign w:val="bottom"/>
          </w:tcPr>
          <w:p>
            <w:pPr>
              <w:spacing w:after="0"/>
              <w:rPr>
                <w:sz w:val="19"/>
                <w:szCs w:val="19"/>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9"/>
                <w:szCs w:val="19"/>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7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(100)</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9"/>
                <w:szCs w:val="19"/>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(6,190)</w:t>
            </w:r>
          </w:p>
        </w:tc>
        <w:tc>
          <w:tcPr>
            <w:tcW w:w="400" w:type="dxa"/>
            <w:vAlign w:val="bottom"/>
          </w:tcPr>
          <w:p>
            <w:pPr>
              <w:spacing w:after="0"/>
              <w:rPr>
                <w:sz w:val="19"/>
                <w:szCs w:val="19"/>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(6,190)</w:t>
            </w:r>
          </w:p>
        </w:tc>
        <w:tc>
          <w:tcPr>
            <w:tcW w:w="460" w:type="dxa"/>
            <w:vAlign w:val="bottom"/>
          </w:tcPr>
          <w:p>
            <w:pPr>
              <w:spacing w:after="0"/>
              <w:rPr>
                <w:sz w:val="19"/>
                <w:szCs w:val="19"/>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(6,149)</w:t>
            </w:r>
          </w:p>
        </w:tc>
      </w:tr>
      <w:tr>
        <w:trPr>
          <w:trHeight w:val="21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8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(48)</w:t>
            </w:r>
          </w:p>
        </w:tc>
        <w:tc>
          <w:tcPr>
            <w:tcW w:w="340" w:type="dxa"/>
            <w:vAlign w:val="bottom"/>
          </w:tcPr>
          <w:p>
            <w:pPr>
              <w:spacing w:after="0"/>
              <w:rPr>
                <w:sz w:val="15"/>
                <w:szCs w:val="15"/>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(48)</w:t>
            </w:r>
          </w:p>
        </w:tc>
        <w:tc>
          <w:tcPr>
            <w:tcW w:w="460" w:type="dxa"/>
            <w:vAlign w:val="bottom"/>
          </w:tcPr>
          <w:p>
            <w:pPr>
              <w:spacing w:after="0"/>
              <w:rPr>
                <w:sz w:val="15"/>
                <w:szCs w:val="15"/>
                <w:color w:val="auto"/>
              </w:rPr>
            </w:pPr>
          </w:p>
        </w:tc>
        <w:tc>
          <w:tcPr>
            <w:tcW w:w="7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38"/>
        </w:trPr>
        <w:tc>
          <w:tcPr>
            <w:tcW w:w="1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67"/>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86"/>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671</w:t>
            </w:r>
          </w:p>
        </w:tc>
        <w:tc>
          <w:tcPr>
            <w:tcW w:w="360" w:type="dxa"/>
            <w:vAlign w:val="bottom"/>
          </w:tcPr>
          <w:p>
            <w:pPr>
              <w:spacing w:after="0"/>
              <w:rPr>
                <w:sz w:val="16"/>
                <w:szCs w:val="16"/>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33,394</w:t>
            </w:r>
          </w:p>
        </w:tc>
        <w:tc>
          <w:tcPr>
            <w:tcW w:w="20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(22,958)</w:t>
            </w:r>
          </w:p>
        </w:tc>
        <w:tc>
          <w:tcPr>
            <w:tcW w:w="220" w:type="dxa"/>
            <w:vAlign w:val="bottom"/>
          </w:tcPr>
          <w:p>
            <w:pPr>
              <w:spacing w:after="0"/>
              <w:rPr>
                <w:sz w:val="16"/>
                <w:szCs w:val="16"/>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7,487</w:t>
            </w:r>
          </w:p>
        </w:tc>
        <w:tc>
          <w:tcPr>
            <w:tcW w:w="400" w:type="dxa"/>
            <w:vAlign w:val="bottom"/>
          </w:tcPr>
          <w:p>
            <w:pPr>
              <w:spacing w:after="0"/>
              <w:rPr>
                <w:sz w:val="16"/>
                <w:szCs w:val="16"/>
                <w:color w:val="auto"/>
              </w:rPr>
            </w:pP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(1,604)</w:t>
            </w:r>
          </w:p>
        </w:tc>
        <w:tc>
          <w:tcPr>
            <w:tcW w:w="340" w:type="dxa"/>
            <w:vAlign w:val="bottom"/>
          </w:tcPr>
          <w:p>
            <w:pPr>
              <w:spacing w:after="0"/>
              <w:rPr>
                <w:sz w:val="16"/>
                <w:szCs w:val="16"/>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16,320</w:t>
            </w:r>
          </w:p>
        </w:tc>
        <w:tc>
          <w:tcPr>
            <w:tcW w:w="460" w:type="dxa"/>
            <w:vAlign w:val="bottom"/>
          </w:tcPr>
          <w:p>
            <w:pPr>
              <w:spacing w:after="0"/>
              <w:rPr>
                <w:sz w:val="16"/>
                <w:szCs w:val="16"/>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462</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16,782</w:t>
            </w:r>
          </w:p>
        </w:tc>
      </w:tr>
      <w:tr>
        <w:trPr>
          <w:trHeight w:val="21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8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activity</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spacing w:after="0"/>
              <w:rPr>
                <w:sz w:val="15"/>
                <w:szCs w:val="15"/>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85</w:t>
            </w:r>
          </w:p>
        </w:tc>
        <w:tc>
          <w:tcPr>
            <w:tcW w:w="200" w:type="dxa"/>
            <w:vAlign w:val="bottom"/>
          </w:tcPr>
          <w:p>
            <w:pPr>
              <w:spacing w:after="0"/>
              <w:rPr>
                <w:sz w:val="15"/>
                <w:szCs w:val="15"/>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85</w:t>
            </w:r>
          </w:p>
        </w:tc>
        <w:tc>
          <w:tcPr>
            <w:tcW w:w="460" w:type="dxa"/>
            <w:vAlign w:val="bottom"/>
          </w:tcPr>
          <w:p>
            <w:pPr>
              <w:spacing w:after="0"/>
              <w:rPr>
                <w:sz w:val="15"/>
                <w:szCs w:val="15"/>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dividends</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9"/>
                <w:szCs w:val="19"/>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(70)</w:t>
            </w:r>
          </w:p>
        </w:tc>
        <w:tc>
          <w:tcPr>
            <w:tcW w:w="400" w:type="dxa"/>
            <w:vAlign w:val="bottom"/>
          </w:tcPr>
          <w:p>
            <w:pPr>
              <w:spacing w:after="0"/>
              <w:rPr>
                <w:sz w:val="19"/>
                <w:szCs w:val="19"/>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(70)</w:t>
            </w:r>
          </w:p>
        </w:tc>
        <w:tc>
          <w:tcPr>
            <w:tcW w:w="460" w:type="dxa"/>
            <w:vAlign w:val="bottom"/>
          </w:tcPr>
          <w:p>
            <w:pPr>
              <w:spacing w:after="0"/>
              <w:rPr>
                <w:sz w:val="19"/>
                <w:szCs w:val="19"/>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9"/>
                <w:szCs w:val="19"/>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7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(37)</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9"/>
                <w:szCs w:val="19"/>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(35)</w:t>
            </w:r>
          </w:p>
        </w:tc>
        <w:tc>
          <w:tcPr>
            <w:tcW w:w="400" w:type="dxa"/>
            <w:vAlign w:val="bottom"/>
          </w:tcPr>
          <w:p>
            <w:pPr>
              <w:spacing w:after="0"/>
              <w:rPr>
                <w:sz w:val="19"/>
                <w:szCs w:val="19"/>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(35)</w:t>
            </w:r>
          </w:p>
        </w:tc>
        <w:tc>
          <w:tcPr>
            <w:tcW w:w="460" w:type="dxa"/>
            <w:vAlign w:val="bottom"/>
          </w:tcPr>
          <w:p>
            <w:pPr>
              <w:spacing w:after="0"/>
              <w:rPr>
                <w:sz w:val="19"/>
                <w:szCs w:val="19"/>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447</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r>
      <w:tr>
        <w:trPr>
          <w:trHeight w:val="21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8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140</w:t>
            </w:r>
          </w:p>
        </w:tc>
        <w:tc>
          <w:tcPr>
            <w:tcW w:w="340" w:type="dxa"/>
            <w:vAlign w:val="bottom"/>
          </w:tcPr>
          <w:p>
            <w:pPr>
              <w:spacing w:after="0"/>
              <w:rPr>
                <w:sz w:val="15"/>
                <w:szCs w:val="15"/>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140</w:t>
            </w:r>
          </w:p>
        </w:tc>
        <w:tc>
          <w:tcPr>
            <w:tcW w:w="460" w:type="dxa"/>
            <w:vAlign w:val="bottom"/>
          </w:tcPr>
          <w:p>
            <w:pPr>
              <w:spacing w:after="0"/>
              <w:rPr>
                <w:sz w:val="15"/>
                <w:szCs w:val="15"/>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1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treasury</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84"/>
        </w:trPr>
        <w:tc>
          <w:tcPr>
            <w:tcW w:w="1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(Note 13)</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(22,958)</w:t>
            </w:r>
          </w:p>
        </w:tc>
        <w:tc>
          <w:tcPr>
            <w:tcW w:w="200" w:type="dxa"/>
            <w:vAlign w:val="bottom"/>
          </w:tcPr>
          <w:p>
            <w:pPr>
              <w:spacing w:after="0"/>
              <w:rPr>
                <w:sz w:val="15"/>
                <w:szCs w:val="15"/>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22,958</w:t>
            </w:r>
          </w:p>
        </w:tc>
        <w:tc>
          <w:tcPr>
            <w:tcW w:w="220" w:type="dxa"/>
            <w:vAlign w:val="bottom"/>
          </w:tcPr>
          <w:p>
            <w:pPr>
              <w:spacing w:after="0"/>
              <w:rPr>
                <w:sz w:val="15"/>
                <w:szCs w:val="15"/>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1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67"/>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August 6, 2025</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86"/>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674</w:t>
            </w:r>
          </w:p>
        </w:tc>
        <w:tc>
          <w:tcPr>
            <w:tcW w:w="360" w:type="dxa"/>
            <w:vAlign w:val="bottom"/>
          </w:tcPr>
          <w:p>
            <w:pPr>
              <w:spacing w:after="0"/>
              <w:rPr>
                <w:sz w:val="16"/>
                <w:szCs w:val="16"/>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10,521</w:t>
            </w:r>
          </w:p>
        </w:tc>
        <w:tc>
          <w:tcPr>
            <w:tcW w:w="200" w:type="dxa"/>
            <w:vAlign w:val="bottom"/>
          </w:tcPr>
          <w:p>
            <w:pPr>
              <w:spacing w:after="0"/>
              <w:rPr>
                <w:sz w:val="16"/>
                <w:szCs w:val="16"/>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7,382</w:t>
            </w:r>
          </w:p>
        </w:tc>
        <w:tc>
          <w:tcPr>
            <w:tcW w:w="400" w:type="dxa"/>
            <w:vAlign w:val="bottom"/>
          </w:tcPr>
          <w:p>
            <w:pPr>
              <w:spacing w:after="0"/>
              <w:rPr>
                <w:sz w:val="16"/>
                <w:szCs w:val="16"/>
                <w:color w:val="auto"/>
              </w:rPr>
            </w:pPr>
          </w:p>
        </w:tc>
        <w:tc>
          <w:tcPr>
            <w:tcW w:w="8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(1,464)</w:t>
            </w:r>
          </w:p>
        </w:tc>
        <w:tc>
          <w:tcPr>
            <w:tcW w:w="340" w:type="dxa"/>
            <w:vAlign w:val="bottom"/>
          </w:tcPr>
          <w:p>
            <w:pPr>
              <w:spacing w:after="0"/>
              <w:rPr>
                <w:sz w:val="16"/>
                <w:szCs w:val="16"/>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16,440</w:t>
            </w:r>
          </w:p>
        </w:tc>
        <w:tc>
          <w:tcPr>
            <w:tcW w:w="460" w:type="dxa"/>
            <w:vAlign w:val="bottom"/>
          </w:tcPr>
          <w:p>
            <w:pPr>
              <w:spacing w:after="0"/>
              <w:rPr>
                <w:sz w:val="16"/>
                <w:szCs w:val="16"/>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873</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17,313</w:t>
            </w:r>
          </w:p>
        </w:tc>
      </w:tr>
      <w:tr>
        <w:trPr>
          <w:trHeight w:val="44"/>
        </w:trPr>
        <w:tc>
          <w:tcPr>
            <w:tcW w:w="1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76"/>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Paramount</w:t>
            </w: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Global’s basis (Note 2)</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(344)</w:t>
            </w:r>
          </w:p>
        </w:tc>
        <w:tc>
          <w:tcPr>
            <w:tcW w:w="200" w:type="dxa"/>
            <w:vAlign w:val="bottom"/>
          </w:tcPr>
          <w:p>
            <w:pPr>
              <w:spacing w:after="0"/>
              <w:rPr>
                <w:sz w:val="15"/>
                <w:szCs w:val="15"/>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(7,382)</w:t>
            </w:r>
          </w:p>
        </w:tc>
        <w:tc>
          <w:tcPr>
            <w:tcW w:w="400" w:type="dxa"/>
            <w:vAlign w:val="bottom"/>
          </w:tcPr>
          <w:p>
            <w:pPr>
              <w:spacing w:after="0"/>
              <w:rPr>
                <w:sz w:val="15"/>
                <w:szCs w:val="15"/>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1,464</w:t>
            </w:r>
          </w:p>
        </w:tc>
        <w:tc>
          <w:tcPr>
            <w:tcW w:w="340" w:type="dxa"/>
            <w:vAlign w:val="bottom"/>
          </w:tcPr>
          <w:p>
            <w:pPr>
              <w:spacing w:after="0"/>
              <w:rPr>
                <w:sz w:val="15"/>
                <w:szCs w:val="15"/>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(6,262)</w:t>
            </w:r>
          </w:p>
        </w:tc>
        <w:tc>
          <w:tcPr>
            <w:tcW w:w="460" w:type="dxa"/>
            <w:vAlign w:val="bottom"/>
          </w:tcPr>
          <w:p>
            <w:pPr>
              <w:spacing w:after="0"/>
              <w:rPr>
                <w:sz w:val="15"/>
                <w:szCs w:val="15"/>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278</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(5,984)</w:t>
            </w:r>
          </w:p>
        </w:tc>
      </w:tr>
      <w:tr>
        <w:trPr>
          <w:trHeight w:val="21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PIPE Transaction</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8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 13)</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108</w:t>
            </w:r>
          </w:p>
        </w:tc>
        <w:tc>
          <w:tcPr>
            <w:tcW w:w="360" w:type="dxa"/>
            <w:vAlign w:val="bottom"/>
          </w:tcPr>
          <w:p>
            <w:pPr>
              <w:spacing w:after="0"/>
              <w:rPr>
                <w:sz w:val="15"/>
                <w:szCs w:val="15"/>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1,517</w:t>
            </w:r>
          </w:p>
        </w:tc>
        <w:tc>
          <w:tcPr>
            <w:tcW w:w="200" w:type="dxa"/>
            <w:vAlign w:val="bottom"/>
          </w:tcPr>
          <w:p>
            <w:pPr>
              <w:spacing w:after="0"/>
              <w:rPr>
                <w:sz w:val="15"/>
                <w:szCs w:val="15"/>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1,517</w:t>
            </w:r>
          </w:p>
        </w:tc>
        <w:tc>
          <w:tcPr>
            <w:tcW w:w="460" w:type="dxa"/>
            <w:vAlign w:val="bottom"/>
          </w:tcPr>
          <w:p>
            <w:pPr>
              <w:spacing w:after="0"/>
              <w:rPr>
                <w:sz w:val="15"/>
                <w:szCs w:val="15"/>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 of Skydance</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314</w:t>
            </w:r>
          </w:p>
        </w:tc>
        <w:tc>
          <w:tcPr>
            <w:tcW w:w="360" w:type="dxa"/>
            <w:vAlign w:val="bottom"/>
          </w:tcPr>
          <w:p>
            <w:pPr>
              <w:spacing w:after="0"/>
              <w:rPr>
                <w:sz w:val="19"/>
                <w:szCs w:val="19"/>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9"/>
                <w:szCs w:val="19"/>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1,589</w:t>
            </w:r>
          </w:p>
        </w:tc>
        <w:tc>
          <w:tcPr>
            <w:tcW w:w="20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(1,167)</w:t>
            </w:r>
          </w:p>
        </w:tc>
        <w:tc>
          <w:tcPr>
            <w:tcW w:w="400" w:type="dxa"/>
            <w:vAlign w:val="bottom"/>
          </w:tcPr>
          <w:p>
            <w:pPr>
              <w:spacing w:after="0"/>
              <w:rPr>
                <w:sz w:val="19"/>
                <w:szCs w:val="19"/>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422</w:t>
            </w:r>
          </w:p>
        </w:tc>
        <w:tc>
          <w:tcPr>
            <w:tcW w:w="460" w:type="dxa"/>
            <w:vAlign w:val="bottom"/>
          </w:tcPr>
          <w:p>
            <w:pPr>
              <w:spacing w:after="0"/>
              <w:rPr>
                <w:sz w:val="19"/>
                <w:szCs w:val="19"/>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r>
      <w:tr>
        <w:trPr>
          <w:trHeight w:val="90"/>
        </w:trPr>
        <w:tc>
          <w:tcPr>
            <w:tcW w:w="15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r>
      <w:tr>
        <w:trPr>
          <w:trHeight w:val="207"/>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August 7, 2025</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86"/>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1,096</w:t>
            </w:r>
          </w:p>
        </w:tc>
        <w:tc>
          <w:tcPr>
            <w:tcW w:w="360" w:type="dxa"/>
            <w:vAlign w:val="bottom"/>
          </w:tcPr>
          <w:p>
            <w:pPr>
              <w:spacing w:after="0"/>
              <w:rPr>
                <w:sz w:val="16"/>
                <w:szCs w:val="16"/>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13,283</w:t>
            </w:r>
          </w:p>
        </w:tc>
        <w:tc>
          <w:tcPr>
            <w:tcW w:w="200" w:type="dxa"/>
            <w:vAlign w:val="bottom"/>
          </w:tcPr>
          <w:p>
            <w:pPr>
              <w:spacing w:after="0"/>
              <w:rPr>
                <w:sz w:val="16"/>
                <w:szCs w:val="16"/>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(1,167)</w:t>
            </w:r>
          </w:p>
        </w:tc>
        <w:tc>
          <w:tcPr>
            <w:tcW w:w="400" w:type="dxa"/>
            <w:vAlign w:val="bottom"/>
          </w:tcPr>
          <w:p>
            <w:pPr>
              <w:spacing w:after="0"/>
              <w:rPr>
                <w:sz w:val="16"/>
                <w:szCs w:val="16"/>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12,117</w:t>
            </w:r>
          </w:p>
        </w:tc>
        <w:tc>
          <w:tcPr>
            <w:tcW w:w="460" w:type="dxa"/>
            <w:vAlign w:val="bottom"/>
          </w:tcPr>
          <w:p>
            <w:pPr>
              <w:spacing w:after="0"/>
              <w:rPr>
                <w:sz w:val="16"/>
                <w:szCs w:val="16"/>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1,151</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13,268</w:t>
            </w:r>
          </w:p>
        </w:tc>
      </w:tr>
      <w:tr>
        <w:trPr>
          <w:trHeight w:val="21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8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activity and other</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spacing w:after="0"/>
              <w:rPr>
                <w:sz w:val="15"/>
                <w:szCs w:val="15"/>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5"/>
                <w:szCs w:val="15"/>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100</w:t>
            </w:r>
          </w:p>
        </w:tc>
        <w:tc>
          <w:tcPr>
            <w:tcW w:w="460" w:type="dxa"/>
            <w:vAlign w:val="bottom"/>
          </w:tcPr>
          <w:p>
            <w:pPr>
              <w:spacing w:after="0"/>
              <w:rPr>
                <w:sz w:val="15"/>
                <w:szCs w:val="15"/>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dividends</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9"/>
                <w:szCs w:val="19"/>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(114)</w:t>
            </w:r>
          </w:p>
        </w:tc>
        <w:tc>
          <w:tcPr>
            <w:tcW w:w="20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(114)</w:t>
            </w:r>
          </w:p>
        </w:tc>
        <w:tc>
          <w:tcPr>
            <w:tcW w:w="460" w:type="dxa"/>
            <w:vAlign w:val="bottom"/>
          </w:tcPr>
          <w:p>
            <w:pPr>
              <w:spacing w:after="0"/>
              <w:rPr>
                <w:sz w:val="19"/>
                <w:szCs w:val="19"/>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(Note 13)</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360" w:type="dxa"/>
            <w:vAlign w:val="bottom"/>
          </w:tcPr>
          <w:p>
            <w:pPr>
              <w:spacing w:after="0"/>
              <w:rPr>
                <w:sz w:val="19"/>
                <w:szCs w:val="19"/>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9"/>
                <w:szCs w:val="19"/>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117</w:t>
            </w:r>
          </w:p>
        </w:tc>
        <w:tc>
          <w:tcPr>
            <w:tcW w:w="20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117</w:t>
            </w:r>
          </w:p>
        </w:tc>
        <w:tc>
          <w:tcPr>
            <w:tcW w:w="460" w:type="dxa"/>
            <w:vAlign w:val="bottom"/>
          </w:tcPr>
          <w:p>
            <w:pPr>
              <w:spacing w:after="0"/>
              <w:rPr>
                <w:sz w:val="19"/>
                <w:szCs w:val="19"/>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9"/>
                <w:szCs w:val="19"/>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7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9"/>
                <w:szCs w:val="19"/>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(586)</w:t>
            </w:r>
          </w:p>
        </w:tc>
        <w:tc>
          <w:tcPr>
            <w:tcW w:w="400" w:type="dxa"/>
            <w:vAlign w:val="bottom"/>
          </w:tcPr>
          <w:p>
            <w:pPr>
              <w:spacing w:after="0"/>
              <w:rPr>
                <w:sz w:val="19"/>
                <w:szCs w:val="19"/>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(586)</w:t>
            </w:r>
          </w:p>
        </w:tc>
        <w:tc>
          <w:tcPr>
            <w:tcW w:w="460" w:type="dxa"/>
            <w:vAlign w:val="bottom"/>
          </w:tcPr>
          <w:p>
            <w:pPr>
              <w:spacing w:after="0"/>
              <w:rPr>
                <w:sz w:val="19"/>
                <w:szCs w:val="19"/>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46</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r>
      <w:tr>
        <w:trPr>
          <w:trHeight w:val="21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8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59</w:t>
            </w:r>
          </w:p>
        </w:tc>
        <w:tc>
          <w:tcPr>
            <w:tcW w:w="340" w:type="dxa"/>
            <w:vAlign w:val="bottom"/>
          </w:tcPr>
          <w:p>
            <w:pPr>
              <w:spacing w:after="0"/>
              <w:rPr>
                <w:sz w:val="15"/>
                <w:szCs w:val="15"/>
                <w:color w:val="auto"/>
              </w:rPr>
            </w:pP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59</w:t>
            </w:r>
          </w:p>
        </w:tc>
        <w:tc>
          <w:tcPr>
            <w:tcW w:w="460" w:type="dxa"/>
            <w:vAlign w:val="bottom"/>
          </w:tcPr>
          <w:p>
            <w:pPr>
              <w:spacing w:after="0"/>
              <w:rPr>
                <w:sz w:val="15"/>
                <w:szCs w:val="15"/>
                <w:color w:val="auto"/>
              </w:rPr>
            </w:pP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37"/>
        </w:trPr>
        <w:tc>
          <w:tcPr>
            <w:tcW w:w="1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67"/>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86"/>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1,108</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13,386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(1,753)</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59</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11,693</w:t>
            </w:r>
          </w:p>
        </w:tc>
        <w:tc>
          <w:tcPr>
            <w:tcW w:w="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1,194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12,887</w:t>
            </w:r>
          </w:p>
        </w:tc>
      </w:tr>
      <w:tr>
        <w:trPr>
          <w:trHeight w:val="44"/>
        </w:trPr>
        <w:tc>
          <w:tcPr>
            <w:tcW w:w="1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bl>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DESCRIPTION OF BUSINESS, BASIS OF PRESENTATION AND SUMMARY OF SIGNIFICANT ACCOUNTING POLICIES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Description of Business</w:t>
      </w:r>
      <w:r>
        <w:rPr>
          <w:rFonts w:ascii="Times New Roman" w:cs="Times New Roman" w:eastAsia="Times New Roman" w:hAnsi="Times New Roman"/>
          <w:sz w:val="19"/>
          <w:szCs w:val="19"/>
          <w:color w:val="auto"/>
        </w:rPr>
        <w:t>—Paramount Skydance Corporation is a global media and entertainment company with a portfolio that includes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Paramount Pictures, Paramount Television, CBS, CBS News, CBS Sports, Nickelodeon, MTV, BET, Comedy Central, Showtime, Paramount+, Pluto TV, and Skydance's animation, interactive/games, and sports divisions. During 2025, the Company was comprised of three segments: </w:t>
      </w:r>
      <w:r>
        <w:rPr>
          <w:rFonts w:ascii="Times New Roman" w:cs="Times New Roman" w:eastAsia="Times New Roman" w:hAnsi="Times New Roman"/>
          <w:sz w:val="19"/>
          <w:szCs w:val="19"/>
          <w:i w:val="1"/>
          <w:iCs w:val="1"/>
          <w:color w:val="auto"/>
        </w:rPr>
        <w:t>TV</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Media</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Direct-to-Consumer</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i w:val="1"/>
          <w:iCs w:val="1"/>
          <w:color w:val="auto"/>
        </w:rPr>
        <w:t xml:space="preserve"> Filmed Entertainment</w:t>
      </w:r>
      <w:r>
        <w:rPr>
          <w:rFonts w:ascii="Times New Roman" w:cs="Times New Roman" w:eastAsia="Times New Roman" w:hAnsi="Times New Roman"/>
          <w:sz w:val="19"/>
          <w:szCs w:val="19"/>
          <w:color w:val="auto"/>
        </w:rPr>
        <w:t>. In the first quarter of 2026, we transitioned our reporting structure into three new</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segments: Studios, Direct-to-Consumer, and TV Media and began reporting under this new structure in our Quarterly Report on Form 10-Q for the first quarter of 2026. Under the new segment structure, our </w:t>
      </w:r>
      <w:r>
        <w:rPr>
          <w:rFonts w:ascii="Times New Roman" w:cs="Times New Roman" w:eastAsia="Times New Roman" w:hAnsi="Times New Roman"/>
          <w:sz w:val="19"/>
          <w:szCs w:val="19"/>
          <w:i w:val="1"/>
          <w:iCs w:val="1"/>
          <w:color w:val="auto"/>
        </w:rPr>
        <w:t>Studios</w:t>
      </w:r>
      <w:r>
        <w:rPr>
          <w:rFonts w:ascii="Times New Roman" w:cs="Times New Roman" w:eastAsia="Times New Roman" w:hAnsi="Times New Roman"/>
          <w:sz w:val="19"/>
          <w:szCs w:val="19"/>
          <w:color w:val="auto"/>
        </w:rPr>
        <w:t xml:space="preserve"> segment reflects the combination of the historical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with the historical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studio operations, consolidating our content creation activities. Additionally, our premium cable channel, Paramount+ with Showtime, which was previously under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is now managed under the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(see Note 17).</w:t>
      </w:r>
    </w:p>
    <w:p>
      <w:pPr>
        <w:spacing w:after="0" w:line="200" w:lineRule="exact"/>
        <w:rPr>
          <w:sz w:val="20"/>
          <w:szCs w:val="20"/>
          <w:color w:val="auto"/>
        </w:rPr>
      </w:pPr>
    </w:p>
    <w:p>
      <w:pPr>
        <w:spacing w:after="0" w:line="20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References to “Paramount,” the “Company,” “we,” “us” and “our” refer to Paramount Skydance Corporation and its consolidated subsidiaries, unless the context otherwise requires.</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The NAI Transaction</w:t>
      </w:r>
      <w:r>
        <w:rPr>
          <w:rFonts w:ascii="Times New Roman" w:cs="Times New Roman" w:eastAsia="Times New Roman" w:hAnsi="Times New Roman"/>
          <w:sz w:val="19"/>
          <w:szCs w:val="19"/>
          <w:color w:val="auto"/>
        </w:rPr>
        <w:t>—On August 7, 2025 (the “Closing Date”), pursuant to a purchase and sale agreement dated July 7, 2024, certain affiliates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investors in Skydance Media, LLC (“Skydance”), comprised of entities controlled by the Ellison Family (as defined below), and affiliates of RedBird Capital Partners (collectively the “NAI Equity Investors”), purchased all of the outstanding equity interests of Paramount Global’s controlling stockholder, National Amusements, Inc. (“NAI”) from the shareholders of NAI (the “NAI Transaction”).</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The Transactions</w:t>
      </w:r>
      <w:r>
        <w:rPr>
          <w:rFonts w:ascii="Times New Roman" w:cs="Times New Roman" w:eastAsia="Times New Roman" w:hAnsi="Times New Roman"/>
          <w:sz w:val="19"/>
          <w:szCs w:val="19"/>
          <w:color w:val="auto"/>
        </w:rPr>
        <w:t>—Also on the Closing Date, following the completion of the NAI Transaction and pursuant to the Transaction Agreement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dated as of July 7, 2024, Paramount Global and Skydance became wholly-owned subsidiaries of Paramount Skydance Corporation (the transactions contemplated by the Transaction Agreement, the “Transactions”). Paramount Skydance Corporation, formerly known as New Pluto Global, Inc., was formed on June 3, 2024, to consummate the Transactions and was a wholly-owned direct subsidiary of Paramount Global until, through a series of mergers, it became the holding company of Paramount Global and Skydance as part of the Transactions.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Concurrent with the NAI Transaction, the NAI Equity Investors and certain other affiliates of investors in Skydance made an investment of $6.0 billion into Paramount Skydance Corporation (the “PIPE Transaction”) in exchange for 400 million newly issued shares of Class B common stock of Paramount Skydance Corporation (“Paramount Skydance Corporation Class B Common Stock”) for a purchase price of $15.00 per share, and the NAI Equity Investors also received warrants to purchase 200 million shares of Paramount Skydance Corporation Class B Common Stock at an initial exercise price of $30.50 per share (subject to customary anti-dilution adjustments), which expire five years after issuance. $4.45 billion of the PIPE Transaction investment was used to fund the cash-stock election discussed below and $1.52 billion of cash was provided to the Company.</w:t>
      </w:r>
    </w:p>
    <w:p>
      <w:pPr>
        <w:spacing w:after="0" w:line="200" w:lineRule="exact"/>
        <w:rPr>
          <w:sz w:val="20"/>
          <w:szCs w:val="20"/>
          <w:color w:val="auto"/>
        </w:rPr>
      </w:pPr>
    </w:p>
    <w:p>
      <w:pPr>
        <w:spacing w:after="0" w:line="2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Transactions also included: (1) a transaction pursuant to which each outstanding Skydance membership unit held by Skydance investors and each Skydance Phantom Unit was converted into the right to receive the applicable portion of 316.7 million shares of Paramount Skydance Corporation Class B Common Stock (313.8 million shares after reduction in connection with certain tax withholding requirements), and (2) a cash-stock election offered to holders of Paramount Global common stock pursuant to which (a) shares of Paramount Global Class A Common Stock held by stockholders other than NAI or its subsidiaries were converted, at the stockholders’ election, into the right to receive either $23.00 in cash (“Class A Cash Consideration”) or 1.5333 shares of Paramount Skydance Corporation Class B Common Stock (“Class A Stock Consideration”), and (b)</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76" w:name="page77"/>
    <w:bookmarkEnd w:id="76"/>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shares of Paramount Global Class B Common Stock held by stockholders other than NAI or its subsidiaries, the NAI Equity Investors and certain other affiliates of investors in Skydance referred to above were converted, at the stockholders’ election, into the right to receive either $15.00 in cash (“Class B Cash Consideration”), subject to proration, or one share of Paramount Skydance Corporation Class B Common Stock (“Class B Stock Consideration”). The shares of Paramount Class A Common Stock held by NAI and its subsidiaries converted into shares of Class A common stock, par value $0.001 per share. Shares of Paramount Global Class A Common Stock for which elections to receive Class A Cash Consideration or Class A Stock Consideration were not made or were validly revoked were automatically converted into Class A Stock Consideration. Shares of Paramount Global Class B Common Stock for which elections to receive Class B Cash Consideration were not made or were validly revoked were converted automatically into one share of Paramount Skydance Corporation Class B Common Stock. See Note 13.</w:t>
      </w:r>
    </w:p>
    <w:p>
      <w:pPr>
        <w:spacing w:after="0" w:line="2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Shares of Paramount Skydance Corporation Class B Common Stock now trade on the Nasdaq Stock Market LLC (“Nasdaq”) under the ticker symbol “PSKY.” All shares of Paramount Global Class A Common Stock and Class B Common Stock have been delisted from Nasdaq and have been cancelled and cease to exist.</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Holders of shares of Class A common stock of Paramount Skydance Corporation (“Paramount Skydance Corporation Class A Common Stock”) are entitled to one vote per share with respect to all matters on which the holders of Paramount Skydance Corporation common stock are entitled to vote. Holders of Paramount Skydance Corporation Class B Common Stock do not have voting rights. Following the closing of the Transactions and the NAI Transaction, NAI, which was renamed Harbor Lights Entertainment, Inc., and its subsidiaries held 100.0% of the Paramount Skydance Corporation Class A Common Stock. Accordingly, entities controlled by the Ellison Family (as defined below) indirectly hold approximately 77.5% of the Paramount Skydance Corporation Class A Common Stock through their collective approximate 77.5% ownership interest in Harbor Lights Entertainment, Inc., and as a result the Ellison Family is the controlling stockholder of Paramount. For the purpose of determining the controlling ownership of Paramount, the Ellison family is comprised of Lawrence Ellison and David Ellison (the “Ellison Family”). David Ellison is the son of Lawrence Ellison, and Lawrence Ellison and David Ellison are accordingly considered immediate family members. The Ellison Family either individually or through ownership of various entities are collectively the ultimate parent of Paramount (“Ultimate Parent”).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Pushdown of Ultimate Parent’s Basis</w:t>
      </w:r>
      <w:r>
        <w:rPr>
          <w:rFonts w:ascii="Times New Roman" w:cs="Times New Roman" w:eastAsia="Times New Roman" w:hAnsi="Times New Roman"/>
          <w:sz w:val="19"/>
          <w:szCs w:val="19"/>
          <w:color w:val="auto"/>
        </w:rPr>
        <w:t>—At the time Paramount Global and Skydance became subsidiaries of Paramount Skydance Corporation,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Ellison Family controlled both Paramount Global and Skydance, and as a result, this transaction has been accounted for as a transaction between entities under common control. As a transaction between entities under common control, the net assets were combined at the Ultimate Parent’s basis, which for Paramount Global was deemed to be the estimated fair value as of August 7, 2025, the date of the closing of the NAI Transaction, which was the point at which the Ellison Family obtained control of Paramount Global (see Note 2). As a result, the net assets of Paramount Global were recorded at their fair value as of this date. Since the net assets of Skydance were already at the Ultimate Parent’s basis, no adjustment to the fair value of net assets was necessary, and Skydance was combined with Paramount Global’s net assets at the Ultimate Parent’s basis as of this date.</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consolidated financial statements and footnote disclosures are presented in distinct periods to indicate the pushdown of the Ultimate Parent’s basis, which resulted in a new basis of accounting. The periods prior to the closing of the Transactions include only Paramount Global and are identified as “Predecessor,” and the periods beginning on August 7, 2025 reflect Paramount Skydance Corporation and are identified as “Successor.” Due to the application of pushdown accounting, the results of operations, financial position and cash flows are not comparable between the Successor and Predecessor periods. Paramount Global has been identified as the predecessor entity to Paramount Skydance Corporation based on the relative size and fair value of Paramount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77" w:name="page78"/>
    <w:bookmarkEnd w:id="77"/>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Global and Skydance, and the fact that Paramount Global was an existing publicly traded company prior to the completion of the Transactions. No single factor was the sole determinant in the overall conclusion that Paramount Global is the predecessor; rather all factors were considered in arriving at such conclusion.</w:t>
      </w:r>
    </w:p>
    <w:p>
      <w:pPr>
        <w:spacing w:after="0" w:line="19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i w:val="1"/>
          <w:iCs w:val="1"/>
          <w:color w:val="auto"/>
        </w:rPr>
        <w:t>Warner Bros. Offer</w:t>
      </w:r>
      <w:r>
        <w:rPr>
          <w:rFonts w:ascii="Times New Roman" w:cs="Times New Roman" w:eastAsia="Times New Roman" w:hAnsi="Times New Roman"/>
          <w:sz w:val="19"/>
          <w:szCs w:val="19"/>
          <w:color w:val="auto"/>
        </w:rPr>
        <w:t>—On December 8, 2025, we announced a cash tender offer for all of the outstanding shares of Series A Common Stock, par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value $0.01 per share (the “Warner Bros. Shares”), of Warner Bros. Discovery, Inc., a Delaware corporation (“Warner Bros.”), at $30.00 per Warner Bros. Share (the “Offer”).</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Offer is subject to several conditions and is scheduled to expire on March 2, 2026, unless further extended. On December 22, 2025, we amended the Offer to include an irrevocable personal guarantee from Lawrence Ellison of the equity financing for the Offer and any damages payable by us. On February 10, 2026, we further amended the Offer to provide for a $0.25 per Warner Bros. Share in cash ticking fee for every quarter the transaction does not close beyond December 31, 2026, and a prepayment of the $2.8 billion termination fee payable by Warner Bros. to Netflix, Inc., a Delaware corporation (“Netflix”), upon termination of the merger agreement between Warner Bros. and Netflix. On January 22, 2026, we filed preliminary proxy materials with the U.S. Securities and Exchange Commission (“SEC”) to solicit Warner Bros. stockholders to vote against the Netflix transaction and related proposals at the special meeting of Warner Bros. stockholders, and on February 17, 2026, we filed definitive proxy materials related thereto.</w:t>
      </w:r>
    </w:p>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On February 24, 2026, we submitted a revised proposal to the Warner Bros. Board that included an increased purchase price of $31.00 per Warner Bros. Share, accelerated the timing of the daily ticking fee of $0.25 per Warner Bros. Share per quarter to commence after September 30, 2026, and increased the regulatory termination fee payable by us to $7.0 billion if the transaction does not close due to regulatory matters. On the same date, the Warner Bros. Board determined that our revised proposal could reasonably be expected to lead to a “Company Superior Proposal” as defined in the Netflix merger agreement, although no final determination has been made as to whether our proposal is superior to the Netflix merger.</w:t>
      </w:r>
    </w:p>
    <w:p>
      <w:pPr>
        <w:spacing w:after="0" w:line="36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We have secured commitments for debt financing of up to $57.5 billion and equity commitments from entities controlled by the Ellison Family and affiliates of RedBird Capital Partners of $46.6 billion.</w:t>
      </w:r>
    </w:p>
    <w:p>
      <w:pPr>
        <w:spacing w:after="0" w:line="18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i w:val="1"/>
          <w:iCs w:val="1"/>
          <w:color w:val="auto"/>
        </w:rPr>
        <w:t>Discontinued Operations</w:t>
      </w:r>
      <w:r>
        <w:rPr>
          <w:rFonts w:ascii="Times New Roman" w:cs="Times New Roman" w:eastAsia="Times New Roman" w:hAnsi="Times New Roman"/>
          <w:sz w:val="19"/>
          <w:szCs w:val="19"/>
          <w:color w:val="auto"/>
        </w:rPr>
        <w:t>—Simon &amp; Schuster, which was sold during the fourth quarter of 2023 (Predecessor), is presented as a discontinued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operation in our consolidated financial statements for all periods presented (see Note 19).</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Principles of Consolidation</w:t>
      </w:r>
      <w:r>
        <w:rPr>
          <w:rFonts w:ascii="Times New Roman" w:cs="Times New Roman" w:eastAsia="Times New Roman" w:hAnsi="Times New Roman"/>
          <w:sz w:val="19"/>
          <w:szCs w:val="19"/>
          <w:color w:val="auto"/>
        </w:rPr>
        <w:t>—The consolidated financial statements include the accounts of the Predecessor or Successor for the applicable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periods, and their subsidiaries in which a controlling interest is maintained and variable interest entities (“VIEs”) where we are considered the primary beneficiary, after the elimination of intercompany transactions. Controlling interest is determined by majority ownership interest and the absence of substantive third party participating rights. Investments over which we have a significant influence, without a controlling interest, are accounted for under the equity method. For these investments, our proportionate share of net earnings or loss of the entity is recorded in “Equity in loss of investee companies, net of tax” on the Consolidated Statements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Reclassifications</w:t>
      </w:r>
      <w:r>
        <w:rPr>
          <w:rFonts w:ascii="Times New Roman" w:cs="Times New Roman" w:eastAsia="Times New Roman" w:hAnsi="Times New Roman"/>
          <w:sz w:val="19"/>
          <w:szCs w:val="19"/>
          <w:color w:val="auto"/>
        </w:rPr>
        <w:t>—Certain amounts reported for prior periods have been reclassified to conform to the current year’s presentation.</w:t>
      </w: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i w:val="1"/>
          <w:iCs w:val="1"/>
          <w:color w:val="auto"/>
        </w:rPr>
        <w:t>Use of Estimates</w:t>
      </w:r>
      <w:r>
        <w:rPr>
          <w:rFonts w:ascii="Times New Roman" w:cs="Times New Roman" w:eastAsia="Times New Roman" w:hAnsi="Times New Roman"/>
          <w:sz w:val="19"/>
          <w:szCs w:val="19"/>
          <w:color w:val="auto"/>
        </w:rPr>
        <w:t>—The preparation of our financial statements in conformity with accounting principles generally accepted in the United States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(“U.S. GAAP” or “GAAP”) requires management to make estimates, judgments and assumptions that affect the reported amounts of assets and liabilities, the disclosures of contingent assets and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78" w:name="page79"/>
    <w:bookmarkEnd w:id="78"/>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liabilities as of the date of the financial statements, and the reported amounts of revenues and expenses during the periods presented.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vary from these estimates under different assumptions or conditions.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i w:val="1"/>
          <w:iCs w:val="1"/>
          <w:color w:val="auto"/>
        </w:rPr>
        <w:t>Business Combinations</w:t>
      </w:r>
      <w:r>
        <w:rPr>
          <w:rFonts w:ascii="Times New Roman" w:cs="Times New Roman" w:eastAsia="Times New Roman" w:hAnsi="Times New Roman"/>
          <w:sz w:val="19"/>
          <w:szCs w:val="19"/>
          <w:color w:val="auto"/>
        </w:rPr>
        <w:t>—We generally account for business combinations using the acquisition method of accounting. Under the acquisition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method, once control is obtained of a business, 100% of the assets, liabilities and certain contingent liabilities acquired, as well as amounts attributed to noncontrolling interests, are recorded at fair value. Any transaction costs are expensed as incurred.</w:t>
      </w:r>
    </w:p>
    <w:p>
      <w:pPr>
        <w:spacing w:after="0" w:line="17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i w:val="1"/>
          <w:iCs w:val="1"/>
          <w:color w:val="auto"/>
        </w:rPr>
        <w:t>Cash and Cash Equivalents</w:t>
      </w:r>
      <w:r>
        <w:rPr>
          <w:rFonts w:ascii="Times New Roman" w:cs="Times New Roman" w:eastAsia="Times New Roman" w:hAnsi="Times New Roman"/>
          <w:sz w:val="19"/>
          <w:szCs w:val="19"/>
          <w:color w:val="auto"/>
        </w:rPr>
        <w:t>—Cash and cash equivalents consist of cash on hand and highly liquid investments with maturities of three months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less at the date of purchase, including money market funds, U.S. Treasury bills, and bank time deposits.</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i w:val="1"/>
          <w:iCs w:val="1"/>
          <w:color w:val="auto"/>
        </w:rPr>
        <w:t>Programming Inventory</w:t>
      </w:r>
      <w:r>
        <w:rPr>
          <w:rFonts w:ascii="Times New Roman" w:cs="Times New Roman" w:eastAsia="Times New Roman" w:hAnsi="Times New Roman"/>
          <w:sz w:val="19"/>
          <w:szCs w:val="19"/>
          <w:color w:val="auto"/>
        </w:rPr>
        <w:t>—We produce and acquire rights to programming to exhibit on our broadcast and cable networks, streaming services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broadcast television stations, and in theaters. We also produce programming for third parties. Costs for internally-produced and licensed programming inventory, including prepayments for such costs, are recorded within the non-current portion of “Programming and other inventory” on the Consolidated Balance Sheets. Prepayments for the rights to air sporting and other live events that are expected to be expensed over the next 12 months are classified within the current portion of “Programming and other inventory” on the Consolidated Balance Sheets.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Costs incurred to produce television programs and feature films (which include direct production costs, production overhead, acquisition costs and development costs) are capitalized when incurred and amortized over the projected life of each television program or feature film. Costs incurred to acquire television series and feature film programming rights, including advances, are capitalized when the license period has begun and the program is accepted and available for airing and amortized over the shorter of the license period or the period in which an economic benefit is expected to be derived.</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addition, production inventory is reduced by contributions from co-production partners, as applicable, and tax incentives earned for qualified production spending in certain U.S. states and international locations. As a result, the benefit of these items will be recognized through reduced amortization over the life of the related content. Included in “Prepaid expenses and other current assets” and “Other assets” on the Consolidated Balance Sheet at December 31, 2025 (Successor) were receivables for production tax incentives of $0.9 billion and $1.2 billion, respectively.</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categorize our capitalized production and programming costs based on the expected predominant monetization strategy throughout the life of the content. Our programming that is expected to be predominantly monetized through its initial distribution on third-party platforms is considered individually monetized and our programming that is expected to be predominantly monetized on our networks and streaming services or through licensing together with other programming, is considered to be monetized as part of a film group. The predominant monetization strategy is determined when capitalization of production costs commences and is reassessed if there is a significant change to the expected future monetization strategy. This reassessment will include an assessment of the monetization strategy throughout the entire life of the programming.</w:t>
      </w:r>
    </w:p>
    <w:p>
      <w:pPr>
        <w:spacing w:after="0" w:line="200" w:lineRule="exact"/>
        <w:rPr>
          <w:sz w:val="20"/>
          <w:szCs w:val="20"/>
          <w:color w:val="auto"/>
        </w:rPr>
      </w:pPr>
    </w:p>
    <w:p>
      <w:pPr>
        <w:spacing w:after="0" w:line="24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For internally-produced television programs and feature films that are predominantly monetized on an individual basis, we use an individual-film-forecast computation method to amortize capitalized production costs and to</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79" w:name="page80"/>
    <w:bookmarkEnd w:id="79"/>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accrue estimated liabilities for participations and residuals over the applicable title’s life cycle based upon the ratio of current period revenues to estimated remaining total gross revenues to be earned (“Ultimate Revenues”) for each title. The estimate of Ultimate Revenues impacts the timing of amortization of capitalized production costs and expensing of participations and residual costs.</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For television programming, our estimate of Ultimate Revenues includes revenues to be earned within 10 years from the delivery of the first episode, or, if still in production, five years from the delivery of the most recent episode, if later. These estimates are based on the past performance of similar television programs in a market, the performance in the initial markets and future firm commitments to license programs.</w:t>
      </w:r>
    </w:p>
    <w:p>
      <w:pPr>
        <w:spacing w:after="0" w:line="200" w:lineRule="exact"/>
        <w:rPr>
          <w:sz w:val="20"/>
          <w:szCs w:val="20"/>
          <w:color w:val="auto"/>
        </w:rPr>
      </w:pP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For feature films, our estimate of Ultimate Revenues includes revenues from all sources that are estimated to be earned within 10 years from the date of a film’s initial release. Prior to the release of feature films, we estimate Ultimate Revenues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Upon a film’s initial release, we update our estimate of Ultimate Revenues based on actual and expected future performance. Our estimates of revenues from succeeding windows and markets are revised based on historical relationships to theatrical performance and an analysis of current market trends. For acquired television and film libraries, our estimate of Ultimate Revenues includes revenues to be earned within 20 years from the date of acquisition. Ultimate Revenue estimates are periodically reviewed and adjustments, if any, will result in changes to inventory amortization rates and estimated accruals for residuals and participations.</w:t>
      </w:r>
    </w:p>
    <w:p>
      <w:pPr>
        <w:spacing w:after="0" w:line="20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Film development costs that have not been set for production are expensed within three years unless they are abandoned earlier, in which case these projects are written down to their estimated fair value in the period the decision to abandon the project is determined.</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Game development costs are capitalized once the game reaches technological feasibility and amortized upon its release over the expected life of the game. Unamortized capitalized game development costs are reported in “Programming and other inventory” on the Consolidated Balance Sheets.</w:t>
      </w:r>
    </w:p>
    <w:p>
      <w:pPr>
        <w:spacing w:after="0" w:line="200" w:lineRule="exact"/>
        <w:rPr>
          <w:sz w:val="20"/>
          <w:szCs w:val="20"/>
          <w:color w:val="auto"/>
        </w:rPr>
      </w:pP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For programming that is predominantly monetized as part of a film group, capitalized costs are amortized based on an estimate of the timing of our usage of and benefit from such programming. The costs of programming rights licensed under multi-year sports programming agreements are capitalized if the rights payments are made before the related economic benefit has been received and amortized over the period in which an economic benefit is expected to be derived based on the relative value of the events broadcast by us during a period in relation to the estimated total value of the events over the term of the sports programming agreement.</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For content that is predominantly monetized on an individual basis, a television program or feature film is tested for impairment when events or circumstances indicate that its fair value may be less than its unamortized cost. Content that is predominantly monetized within a film group is assessed for impairment at the film group level and would similarly be tested for impairment if circumstances indicate that the fair value of the film group is less than its unamortized costs. If the carrying value of a film group or individual television program or feature film exceeds the estimated fair value, an impairment charge will then be recorded in the amount of the difference. A change in the monetization strategy of content, whether monetized individually or as part of a film group, will result in a reassessment of the predominant monetization strategy and may trigger an assessment of the content for impairment. Any resulting impairment test will be performed either at the individual level or at the film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80" w:name="page81"/>
    <w:bookmarkEnd w:id="80"/>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level where the future cash flows will be generated, as appropriate. In addition, unamortized costs for internally-produced or licensed programming that has been abandoned are written off.</w:t>
      </w:r>
    </w:p>
    <w:p>
      <w:pPr>
        <w:spacing w:after="0" w:line="1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Television and feature film programming and production costs, including inventory amortization, development costs, residuals and participations and impairment charges that occur as part of our normal operations are included within “Operating expenses” on the Consolidated Statements of Operations.</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the fourth quarter of 2025 (Successor), in connection with a review of our content portfolio following the closing of the Transactions, we decided to abandon certain Skydance content, principally development projects, and accordingly recorded programming charges. In 2024 and 2023 (Predecessor), we incurred programming charges as a result of major strategic changes to our content strategy. These programming charges are included within “Programming charges” on the Consolidated Statements of Operations (see Note 4).</w:t>
      </w:r>
    </w:p>
    <w:p>
      <w:pPr>
        <w:spacing w:after="0" w:line="18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i w:val="1"/>
          <w:iCs w:val="1"/>
          <w:color w:val="auto"/>
        </w:rPr>
        <w:t>Property and Equipment</w:t>
      </w:r>
      <w:r>
        <w:rPr>
          <w:rFonts w:ascii="Times New Roman" w:cs="Times New Roman" w:eastAsia="Times New Roman" w:hAnsi="Times New Roman"/>
          <w:sz w:val="19"/>
          <w:szCs w:val="19"/>
          <w:color w:val="auto"/>
        </w:rPr>
        <w:t>—Property and equipment is stated at cost. Depreciation is calculated using the straight-line method over estimated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useful lives as follows:</w:t>
      </w:r>
    </w:p>
    <w:p>
      <w:pPr>
        <w:spacing w:after="0" w:line="115"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Buildings and building improvements</w:t>
            </w:r>
          </w:p>
        </w:tc>
        <w:tc>
          <w:tcPr>
            <w:tcW w:w="3760" w:type="dxa"/>
            <w:vAlign w:val="bottom"/>
          </w:tcPr>
          <w:p>
            <w:pPr>
              <w:jc w:val="center"/>
              <w:ind w:left="1003"/>
              <w:spacing w:after="0"/>
              <w:rPr>
                <w:sz w:val="20"/>
                <w:szCs w:val="20"/>
                <w:color w:val="auto"/>
              </w:rPr>
            </w:pPr>
            <w:r>
              <w:rPr>
                <w:rFonts w:ascii="Times New Roman" w:cs="Times New Roman" w:eastAsia="Times New Roman" w:hAnsi="Times New Roman"/>
                <w:sz w:val="19"/>
                <w:szCs w:val="19"/>
                <w:color w:val="auto"/>
              </w:rPr>
              <w:t>10 to 40 years</w:t>
            </w:r>
          </w:p>
        </w:tc>
      </w:tr>
      <w:tr>
        <w:trPr>
          <w:trHeight w:val="292"/>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Leasehold improvements</w:t>
            </w:r>
          </w:p>
        </w:tc>
        <w:tc>
          <w:tcPr>
            <w:tcW w:w="3760" w:type="dxa"/>
            <w:vAlign w:val="bottom"/>
          </w:tcPr>
          <w:p>
            <w:pPr>
              <w:jc w:val="center"/>
              <w:ind w:left="1003"/>
              <w:spacing w:after="0"/>
              <w:rPr>
                <w:sz w:val="20"/>
                <w:szCs w:val="20"/>
                <w:color w:val="auto"/>
              </w:rPr>
            </w:pPr>
            <w:r>
              <w:rPr>
                <w:rFonts w:ascii="Times New Roman" w:cs="Times New Roman" w:eastAsia="Times New Roman" w:hAnsi="Times New Roman"/>
                <w:sz w:val="19"/>
                <w:szCs w:val="19"/>
                <w:color w:val="auto"/>
              </w:rPr>
              <w:t>Shorter of lease term or useful life</w:t>
            </w:r>
          </w:p>
        </w:tc>
      </w:tr>
      <w:tr>
        <w:trPr>
          <w:trHeight w:val="292"/>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Equipment and other (including finance leases)</w:t>
            </w:r>
          </w:p>
        </w:tc>
        <w:tc>
          <w:tcPr>
            <w:tcW w:w="3760" w:type="dxa"/>
            <w:vAlign w:val="bottom"/>
          </w:tcPr>
          <w:p>
            <w:pPr>
              <w:jc w:val="center"/>
              <w:ind w:left="983"/>
              <w:spacing w:after="0"/>
              <w:rPr>
                <w:sz w:val="20"/>
                <w:szCs w:val="20"/>
                <w:color w:val="auto"/>
              </w:rPr>
            </w:pPr>
            <w:r>
              <w:rPr>
                <w:rFonts w:ascii="Times New Roman" w:cs="Times New Roman" w:eastAsia="Times New Roman" w:hAnsi="Times New Roman"/>
                <w:sz w:val="19"/>
                <w:szCs w:val="19"/>
                <w:color w:val="auto"/>
              </w:rPr>
              <w:t>3 to 20 years</w:t>
            </w:r>
          </w:p>
        </w:tc>
      </w:tr>
    </w:tbl>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Costs associated with repairs and maintenance of property and equipment are expensed as incurred.</w:t>
      </w:r>
    </w:p>
    <w:p>
      <w:pPr>
        <w:spacing w:after="0" w:line="2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i w:val="1"/>
          <w:iCs w:val="1"/>
          <w:color w:val="auto"/>
        </w:rPr>
        <w:t>Investments</w:t>
      </w:r>
      <w:r>
        <w:rPr>
          <w:rFonts w:ascii="Times New Roman" w:cs="Times New Roman" w:eastAsia="Times New Roman" w:hAnsi="Times New Roman"/>
          <w:sz w:val="19"/>
          <w:szCs w:val="19"/>
          <w:color w:val="auto"/>
        </w:rPr>
        <w:t>—Investments over which we have a significant influence, without a controlling interest, are accounted for under the equity method.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Equity investments for which we have no significant influence are measured at fair value where a readily determinable fair value exists. Equity investments that do not have a readily determinable fair value are measured at cost less impairment, if any, and adjusted for observable price changes. Gains and losses resulting from changes in the fair value of equity investments are recorded in “Gain (loss) from investments” on the Consolidated Statements of Operations. We monitor our investments for impairment and reduce the carrying value of the investment if we determine that an impairment charge is required based on qualitative and quantitative information. Our investments are included in “Other assets” on the Consolidated Balance Sheets.</w:t>
      </w:r>
    </w:p>
    <w:p>
      <w:pPr>
        <w:spacing w:after="0" w:line="2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Change in Accounting Estimate—</w:t>
      </w:r>
      <w:r>
        <w:rPr>
          <w:rFonts w:ascii="Times New Roman" w:cs="Times New Roman" w:eastAsia="Times New Roman" w:hAnsi="Times New Roman"/>
          <w:sz w:val="19"/>
          <w:szCs w:val="19"/>
          <w:color w:val="auto"/>
        </w:rPr>
        <w:t>FCC licenses were historically classified as indefinite-lived intangible assets. However, as a result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sustained declines in industry projections, including in long-term growth rate assumptions, during the third quarter of 2025 we reassessed this classification and determined that FCC licenses would be classified as finite-lived intangible assets. Accordingly, we began amortizing FCC licenses on a straight-line basis over a period of 30 years. As of December 31, 2025 (Successor), the unamortized FCC licenses balance was $2.47 billion, which was included within “Intangible assets, net” on the Consolidated Balance Sheet.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Impairment of Long-Lived Assets</w:t>
      </w:r>
      <w:r>
        <w:rPr>
          <w:rFonts w:ascii="Times New Roman" w:cs="Times New Roman" w:eastAsia="Times New Roman" w:hAnsi="Times New Roman"/>
          <w:sz w:val="19"/>
          <w:szCs w:val="19"/>
          <w:color w:val="auto"/>
        </w:rPr>
        <w:t>—We assess our long-lived assets, including finite-lived intangible assets, for impairment whenever there is 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indication that the carrying amount of the asset group may not be recoverable. Recoverability of these asset groups is determined by comparing the forecasted undiscounted cash flows expected to be generated by these asset groups to their net carrying value. If the carrying value is not recoverable, the amount of impairment charge, if any, is measured by the difference between the net carrying value and the estimated fair value of the assets. Intangible assets with finite lives, which as of December 31, 2025 (Successor) primarily consist of FCC licenses, trade names, affiliate relationships, and subscriber relationships are amortized using the straight-line method over their estimated useful lives, which range from 2 to 30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81" w:name="page82"/>
    <w:bookmarkEnd w:id="81"/>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Goodwill </w:t>
      </w:r>
      <w:r>
        <w:rPr>
          <w:rFonts w:ascii="Times New Roman" w:cs="Times New Roman" w:eastAsia="Times New Roman" w:hAnsi="Times New Roman"/>
          <w:sz w:val="19"/>
          <w:szCs w:val="19"/>
          <w:color w:val="auto"/>
        </w:rPr>
        <w:t>—Goodwill is allocated to various reporting units, which are at or one level below our operating segments. Goodwill is not amortized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but tested for impairment on an annual basis and between annual tests if events occur or circumstances change that would more likely than not reduce the fair value of the reporting unit below its carrying amount. If the carrying value of the reporting unit exceeds its fair value, an impairment charge is recognized (see Note 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i w:val="1"/>
          <w:iCs w:val="1"/>
          <w:color w:val="auto"/>
        </w:rPr>
        <w:t>Guarantees</w:t>
      </w:r>
      <w:r>
        <w:rPr>
          <w:rFonts w:ascii="Times New Roman" w:cs="Times New Roman" w:eastAsia="Times New Roman" w:hAnsi="Times New Roman"/>
          <w:sz w:val="19"/>
          <w:szCs w:val="19"/>
          <w:color w:val="auto"/>
        </w:rPr>
        <w:t>—At the inception of a guarantee, we recognize a liability for the fair value of an obligation assumed by issuing the guarantee.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related liability is subsequently reduced as utilized or extinguished and increased if there is a probable loss associated with the guarantee which exceeds the value of the recorded liability.</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i w:val="1"/>
          <w:iCs w:val="1"/>
          <w:color w:val="auto"/>
        </w:rPr>
        <w:t>Treasury Stock</w:t>
      </w:r>
      <w:r>
        <w:rPr>
          <w:rFonts w:ascii="Times New Roman" w:cs="Times New Roman" w:eastAsia="Times New Roman" w:hAnsi="Times New Roman"/>
          <w:sz w:val="19"/>
          <w:szCs w:val="19"/>
          <w:color w:val="auto"/>
        </w:rPr>
        <w:t>—Treasury stock is accounted for using the cost method. Retirements of treasury stock are reflected as a reduction to additional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paid-in capital.</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i w:val="1"/>
          <w:iCs w:val="1"/>
          <w:color w:val="auto"/>
        </w:rPr>
        <w:t>Fair Value Measurements</w:t>
      </w:r>
      <w:r>
        <w:rPr>
          <w:rFonts w:ascii="Times New Roman" w:cs="Times New Roman" w:eastAsia="Times New Roman" w:hAnsi="Times New Roman"/>
          <w:sz w:val="19"/>
          <w:szCs w:val="19"/>
          <w:color w:val="auto"/>
        </w:rPr>
        <w:t>—Fair value is defined as the price that would be received to sell an asset or paid to transfer a liability in an orderly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transaction between market participants. The framework for measuring fair value provides a hierarchy that prioritizes the inputs to valuation techniques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 liability. Certain assets and liabilities, including foreign currency hedges and deferred compensation liabilities, are measured and recorded at fair value on a recurring basis. Other assets and liabilities, including television and film production costs, lease assets, goodwill, intangible assets, and equity-method investments, are recorded at fair value only if an impairment charge is recognized. Impairment charges, if applicable, are generally determined using discounted cash flows, which is a Level 3 valuation technique.</w:t>
      </w:r>
    </w:p>
    <w:p>
      <w:pPr>
        <w:spacing w:after="0" w:line="200" w:lineRule="exact"/>
        <w:rPr>
          <w:sz w:val="20"/>
          <w:szCs w:val="20"/>
          <w:color w:val="auto"/>
        </w:rPr>
      </w:pPr>
    </w:p>
    <w:p>
      <w:pPr>
        <w:spacing w:after="0" w:line="2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i w:val="1"/>
          <w:iCs w:val="1"/>
          <w:color w:val="auto"/>
        </w:rPr>
        <w:t>Derivative Financial Instruments</w:t>
      </w:r>
      <w:r>
        <w:rPr>
          <w:rFonts w:ascii="Times New Roman" w:cs="Times New Roman" w:eastAsia="Times New Roman" w:hAnsi="Times New Roman"/>
          <w:sz w:val="19"/>
          <w:szCs w:val="19"/>
          <w:color w:val="auto"/>
        </w:rPr>
        <w:t>—Derivative financial instruments are recorded on the Consolidated Balance Sheets as assets or liabilities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measured at fair value. For derivatives designated as hedges of the fair value of assets or liabilities, the changes in fair value of both the derivatives and the hedged items are recorded in “Other items, net” on the Consolidated Statements of Operations. For derivatives designated as cash flow hedges, the effective portion of the changes in fair value of the derivatives is recorded in “Accumulated other comprehensive income (loss)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on the Consolidated Balance Sheets and subsequently recognized in net earnings when the hedged items are recognized.</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Pension and Postretirement Benefits</w:t>
      </w:r>
      <w:r>
        <w:rPr>
          <w:rFonts w:ascii="Times New Roman" w:cs="Times New Roman" w:eastAsia="Times New Roman" w:hAnsi="Times New Roman"/>
          <w:sz w:val="19"/>
          <w:szCs w:val="19"/>
          <w:color w:val="auto"/>
        </w:rPr>
        <w:t>—The service cost component of net benefit cost for our pension and postretirement benefits is recorded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same line items on the Consolidated Statements of Operations as other compensation costs of the related employees. All of the other components of net benefit cost are presented separately from the service cost component and below the subtotal of operating income in “Other items, net” on the Consolidated Statements of Operations.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9"/>
          <w:szCs w:val="19"/>
          <w:i w:val="1"/>
          <w:iCs w:val="1"/>
          <w:color w:val="auto"/>
        </w:rPr>
        <w:t>Other Liabilities</w:t>
      </w:r>
      <w:r>
        <w:rPr>
          <w:rFonts w:ascii="Times New Roman" w:cs="Times New Roman" w:eastAsia="Times New Roman" w:hAnsi="Times New Roman"/>
          <w:sz w:val="19"/>
          <w:szCs w:val="19"/>
          <w:color w:val="auto"/>
        </w:rPr>
        <w:t>—Other liabilities consist primarily of the noncurrent portion of residual liabilities of previously disposed businesses, long-term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income tax liabilities, deferred compensation and other employee benefit accruals.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82" w:name="page83"/>
    <w:bookmarkEnd w:id="82"/>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Revenues</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Advertising Revenues</w:t>
      </w:r>
      <w:r>
        <w:rPr>
          <w:rFonts w:ascii="Times New Roman" w:cs="Times New Roman" w:eastAsia="Times New Roman" w:hAnsi="Times New Roman"/>
          <w:sz w:val="19"/>
          <w:szCs w:val="19"/>
          <w:color w:val="auto"/>
        </w:rPr>
        <w:t>—Advertising revenues are recognized when the advertising spots are aired on television or streamed or displayed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digital platforms. Advertising spots are typically sold as part of advertising campaigns consisting of multiple commercial units. If a contract includes a guarantee to deliver a targeted audience rating or number of impressions, the delivery of the advertising spots that achieve the guarantee represents the performance obligation to be satisfied over time and revenues are recognized based on the proportion of the audience rating or impressions delivered to the total guaranteed in the contract. Audience ratings and impressions are determined based on data provided by independent third-party companies. To the extent the amounts billed exceed the amount of revenue recognized, such excess is deferred until the guaranteed audience ratings or impressions are delivered. For contracts that do not include impressions guarantees, the individual advertising spots are the performance obligation and consideration is allocated among the individual advertising spots based on relative standalone selling price. Advertising contracts, which are generally short-term, are billed monthly, with payments due shortly after the invoice date.</w:t>
      </w:r>
    </w:p>
    <w:p>
      <w:pPr>
        <w:spacing w:after="0" w:line="200" w:lineRule="exact"/>
        <w:rPr>
          <w:sz w:val="20"/>
          <w:szCs w:val="20"/>
          <w:color w:val="auto"/>
        </w:rPr>
      </w:pPr>
    </w:p>
    <w:p>
      <w:pPr>
        <w:spacing w:after="0" w:line="2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i w:val="1"/>
          <w:iCs w:val="1"/>
          <w:color w:val="auto"/>
        </w:rPr>
        <w:t>Affiliate and Subscription Revenues</w:t>
      </w:r>
      <w:r>
        <w:rPr>
          <w:rFonts w:ascii="Times New Roman" w:cs="Times New Roman" w:eastAsia="Times New Roman" w:hAnsi="Times New Roman"/>
          <w:sz w:val="19"/>
          <w:szCs w:val="19"/>
          <w:color w:val="auto"/>
        </w:rPr>
        <w:t>—Affiliate and subscription revenues are principally comprised of affiliate fees we receive from distributors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their carriage of our cable networks (“cable affiliate fees”) and television stations (“retransmission fees”); affiliate fees received from third-party television stations for their affiliation with the CBS Television Network (“reverse compensation”); and subscription fees for our subscription streaming services. Costs incurred for advertising, marketing and other services provided to us by cable, satellite and other distributors that are in exchange for a distinct service are recorded as expenses. If a distinct service is not received, such costs are recorded as a reduction to revenues.</w:t>
      </w: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performance obligation for our affiliate agreements is a license to our programming provided through the continuous delivery of live linear feeds and, for agreements with certain distributors, also includes a license to programming for video-on-demand viewing. Affiliate revenues are recognized over the term of the agreement as we satisfy our performance obligation by continuously providing our customer with the right to use our programming. For agreements that provide for a variable fee, revenues are determined each month based on an agreed upon contractual rate applied to the number of subscribers to our customer’s service. For agreements that provide for a fixed fee, revenues are recognized based on the relative fair value of the content provided over the term of the agreement. These agreements primarily include agreements with television stations affiliated with the CBS Television Network (“network affiliates”) for which fair value is determined based on the fair value of the network affiliate’s service and the value of our programming. For affiliate revenues, payments are generally due monthly. Subscription revenues to our streaming services are recognized evenly over the subscription period.</w:t>
      </w:r>
    </w:p>
    <w:p>
      <w:pPr>
        <w:spacing w:after="0" w:line="19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i w:val="1"/>
          <w:iCs w:val="1"/>
          <w:color w:val="auto"/>
        </w:rPr>
        <w:t>Theatrical Revenues</w:t>
      </w:r>
      <w:r>
        <w:rPr>
          <w:rFonts w:ascii="Times New Roman" w:cs="Times New Roman" w:eastAsia="Times New Roman" w:hAnsi="Times New Roman"/>
          <w:sz w:val="19"/>
          <w:szCs w:val="19"/>
          <w:color w:val="auto"/>
        </w:rPr>
        <w:t>—Theatrical revenue is earned from the theatrical distribution of our films during the exhibition period. Under these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arrangements, revenues are recognized based on sales to the end customer.</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i w:val="1"/>
          <w:iCs w:val="1"/>
          <w:color w:val="auto"/>
        </w:rPr>
        <w:t>Licensing and Other Revenues</w:t>
      </w:r>
      <w:r>
        <w:rPr>
          <w:rFonts w:ascii="Times New Roman" w:cs="Times New Roman" w:eastAsia="Times New Roman" w:hAnsi="Times New Roman"/>
          <w:sz w:val="19"/>
          <w:szCs w:val="19"/>
          <w:color w:val="auto"/>
        </w:rPr>
        <w:t>—Licensing and other revenues are principally comprised of fees from the licensing of the rights to exhibit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internally-produced television and film programming on various platforms in the secondary market after its initial exhibition on our owned or third-party platforms; license fees from content produced or distributed for third parties; home entertainment revenues, which primarily include revenues from the viewing of our content on a transactional basis through transactional video-on-demand (TVOD) and electronic sell-through services; fees from the use of our trademarks and brands for consumer products, recreation and live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83" w:name="page84"/>
    <w:bookmarkEnd w:id="83"/>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events; revenues from games and other interactive content; and revenues from studio rentals and production services.</w:t>
      </w:r>
    </w:p>
    <w:p>
      <w:pPr>
        <w:spacing w:after="0" w:line="2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For licenses of exhibition rights for internally-produced programming, each individual episode or film delivered represents a separate performance obligation and revenues are recognized when the episode or film is made available to the licensee for exhibition and the license period has begun. For license agreements that include delivery of content on one or more dates for a fixed fee, consideration is allocated based on the relative value of each episode or film, which is determined based on licenses for comparable content within the marketplace. Agreements to license programming are often long term, with collection terms ranging from one to five years.</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When payment is due from a customer more than one year before or after revenue is recognized, we consider the contract to contain a significant financing component and the transaction price is adjusted for the effects of the time value of money. We do not adjust the transaction price for the time value of money if payment is expected within one year of recognizing revenues.</w:t>
      </w:r>
    </w:p>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also license our programming to distributors of transactional video-on-demand and similar services. Under these arrangements, our performance obligation is the delivery of our content to such distributors who then license our content to the end customer. Our revenues are determined each month based on a contractual rate applied to the number of licenses to the distributors’ end customers. Similarly, revenues earned from electronic sell-through services are recognized as each program is downloaded by the end customer.</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Revenues associated with the licensing of our brands for consumer products, recreation, interactive games, and live events are generally determined based on contractual royalty rates applied to sales reported by the licensees. For consumer products and recreation arrangements that include minimum guaranteed consideration, revenue is recognized as sales occur by the licensee, if the sales-based consideration is expected to exceed the minimum guarantee, or ratably if it is not expected to exceed the minimum guarantee. For live events, we recognize revenue when the event is held.</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earn revenues from the distribution of content on behalf of third parties. We also have arrangements for the distribution or sale of our content by third parties. Under such arrangements, we determine whether revenues should be recognized based on the gross amount of consideration received from the customer or the net amount of revenue we retain after payment to the third party producer or distributor, based on an assessment of which party controls the good or service being transferred.</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Revenue Allowances</w:t>
      </w:r>
      <w:r>
        <w:rPr>
          <w:rFonts w:ascii="Times New Roman" w:cs="Times New Roman" w:eastAsia="Times New Roman" w:hAnsi="Times New Roman"/>
          <w:sz w:val="19"/>
          <w:szCs w:val="19"/>
          <w:color w:val="auto"/>
        </w:rPr>
        <w:t>—Reserves for accounts receivable reflect our expected credit losses, which are estimated based on historical experience,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 well as current and expected economic conditions and industry trends. Our allowance for credit losses was $10 million and $125 million at December 31, 2025 (Successor) and December 31, 2024 (Predecessor), respectively. The reduction to the allowance resulted from the adjustment of accounts receivable to its fair value at August 7, 2025 (see Note 2). The provision for doubtful accounts charged to expense was $10 million for the Successor period from August 7 - December 31, 2025 and $6 million, $39 million and $26 million for the Predecessor period from January 1 - August 6, 2025, and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84" w:name="page85"/>
    <w:bookmarkEnd w:id="84"/>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Contract Liabilities</w:t>
      </w:r>
      <w:r>
        <w:rPr>
          <w:rFonts w:ascii="Times New Roman" w:cs="Times New Roman" w:eastAsia="Times New Roman" w:hAnsi="Times New Roman"/>
          <w:sz w:val="19"/>
          <w:szCs w:val="19"/>
          <w:color w:val="auto"/>
        </w:rPr>
        <w:t>—A contract liability is recorded when consideration is received from a customer prior to fully satisfying a performance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obligation in a contract. Our contract liabilities primarily consist of cash received related to advertising arrangements for which the required audience rating or impressions have not been delivered; consumer products arrangements with minimum guarantees; and content licensing arrangements under which the content has not yet been made available to the customer. These contract liabilities will be recognized as revenues when control of the related product or service is transferred to the customer. Contract liabilities are included within “Deferred revenues” and “Other liabilities” on the Consolidated Balance Sheets.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Collaborative Arrangements</w:t>
      </w:r>
      <w:r>
        <w:rPr>
          <w:rFonts w:ascii="Times New Roman" w:cs="Times New Roman" w:eastAsia="Times New Roman" w:hAnsi="Times New Roman"/>
          <w:sz w:val="19"/>
          <w:szCs w:val="19"/>
          <w:color w:val="auto"/>
        </w:rPr>
        <w:t>—Collaborative arrangements primarily consist of joint efforts with third parties to produce and distribute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programming such as television series and live sporting events, including the agreement between us and Turner Broadcasting System, Inc. to telecast the </w:t>
      </w:r>
      <w:r>
        <w:rPr>
          <w:rFonts w:ascii="Times New Roman" w:cs="Times New Roman" w:eastAsia="Times New Roman" w:hAnsi="Times New Roman"/>
          <w:sz w:val="19"/>
          <w:szCs w:val="19"/>
          <w:i w:val="1"/>
          <w:iCs w:val="1"/>
          <w:color w:val="auto"/>
        </w:rPr>
        <w:t>NCAA Division I Men’s Basketball Championship</w:t>
      </w:r>
      <w:r>
        <w:rPr>
          <w:rFonts w:ascii="Times New Roman" w:cs="Times New Roman" w:eastAsia="Times New Roman" w:hAnsi="Times New Roman"/>
          <w:sz w:val="19"/>
          <w:szCs w:val="19"/>
          <w:color w:val="auto"/>
        </w:rPr>
        <w:t xml:space="preserve"> (the “NCAA Tournament”), which runs through 2032. In connection with this agreement for the NCAA Tournament, advertisements aired on the CBS Television Network are recorded as revenues and our share of the program rights fees and other operating costs are recorded as operating expenses.</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also enter into collaborative arrangements with other studios to jointly finance and distribute film and television programming, under which each partner is responsible for distribution of the program in specific territories or distribution windows. Under these arrangements, our share of costs for co-productions are initially capitalized as programming inventory and amortized over the estimated economic life of the program. In such arrangements where we have distribution rights, all proceeds generated from such distribution are recorded as revenues and any participation profits due to third party collaborators are recorded as participation expenses. In co-production arrangements where third party collaborators have distribution rights, our net participating profits are recorded as revenues.</w:t>
      </w:r>
    </w:p>
    <w:p>
      <w:pPr>
        <w:spacing w:after="0" w:line="19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Amounts attributable to transactions arising from collaborative arrangements between participants were not material to the consolidated financial statements for any period presented.</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Leases</w:t>
      </w:r>
      <w:r>
        <w:rPr>
          <w:rFonts w:ascii="Times New Roman" w:cs="Times New Roman" w:eastAsia="Times New Roman" w:hAnsi="Times New Roman"/>
          <w:sz w:val="19"/>
          <w:szCs w:val="19"/>
          <w:color w:val="auto"/>
        </w:rPr>
        <w:t>—Our leases are principally comprised of operating leases for office space, equipment, satellite transponders and studio facilities. We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determine that a contract contains a lease if we obtain substantially all of the economic benefits of, and the right to direct the use of, an asset identified in the contract. For leases with terms greater than 12 months, we record a right-of-use asset and a lease liability representing the present value of future lease payments. The discount rate used to measure the lease asset and liability is determined at the beginning of the lease term using the rate implicit in the lease, if readily determinable, or our collateralized incremental borrowing rate. For those contracts that include fixed rental payments for both the use of the asset (“lease costs”) as well as for other occupancy or service costs relating to the asset (“non-lease costs”), we generally include both the lease costs and non-lease costs in the measurement of the lease asset and liability. We also own buildings and production facilities where we lease space to lessees.</w:t>
      </w: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leases generally have remaining terms of up to 13 years and often contain renewal options to extend the lease for periods of generally up to 10 years. For leases that contain renewal options, we include the renewal period in the lease term if it is reasonably certain that the option will be exercised. Lease expense and income for our operating leases are recognized on a straight-line basis over the lease term, with the exception of variable lease costs, which are expensed as incurred, and leases of assets used in the production of programming, which are capitalized in programming assets and amortized over the projected useful life of the related programming.</w:t>
      </w:r>
    </w:p>
    <w:p>
      <w:pPr>
        <w:spacing w:after="0" w:line="20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i w:val="1"/>
          <w:iCs w:val="1"/>
          <w:color w:val="auto"/>
        </w:rPr>
        <w:t>Advertising and Marketing</w:t>
      </w:r>
      <w:r>
        <w:rPr>
          <w:rFonts w:ascii="Times New Roman" w:cs="Times New Roman" w:eastAsia="Times New Roman" w:hAnsi="Times New Roman"/>
          <w:sz w:val="19"/>
          <w:szCs w:val="19"/>
          <w:color w:val="auto"/>
        </w:rPr>
        <w:t>—Advertising and marketing costs are expensed as incurred. We incurred total advertising and marketing expenses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$1.20 billion for the period from August 7 - December 31, 2025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85" w:name="page86"/>
    <w:bookmarkEnd w:id="85"/>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(Successor) and $1.49 billion for the period from January 1 - August 6, 2025, $2.80 billion in 2024 (Predecessor) and $3.25 billion in 2023 (Predecessor).</w:t>
      </w:r>
    </w:p>
    <w:p>
      <w:pPr>
        <w:spacing w:after="0" w:line="15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i w:val="1"/>
          <w:iCs w:val="1"/>
          <w:color w:val="auto"/>
        </w:rPr>
        <w:t>Interest</w:t>
      </w:r>
      <w:r>
        <w:rPr>
          <w:rFonts w:ascii="Times New Roman" w:cs="Times New Roman" w:eastAsia="Times New Roman" w:hAnsi="Times New Roman"/>
          <w:sz w:val="19"/>
          <w:szCs w:val="19"/>
          <w:color w:val="auto"/>
        </w:rPr>
        <w:t>—Costs associated with the refinancing or issuance of debt, as well as debt discounts or premiums, are recorded as interest over the 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the related debt.</w:t>
      </w:r>
    </w:p>
    <w:p>
      <w:pPr>
        <w:spacing w:after="0" w:line="1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i w:val="1"/>
          <w:iCs w:val="1"/>
          <w:color w:val="auto"/>
        </w:rPr>
        <w:t>Income Taxes</w:t>
      </w:r>
      <w:r>
        <w:rPr>
          <w:rFonts w:ascii="Times New Roman" w:cs="Times New Roman" w:eastAsia="Times New Roman" w:hAnsi="Times New Roman"/>
          <w:sz w:val="19"/>
          <w:szCs w:val="19"/>
          <w:color w:val="auto"/>
        </w:rPr>
        <w:t>—The provision for/benefit from income taxes includes federal, state, local, and foreign taxes. We recognize the tax on global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intangible low-taxed income, a U.S. tax on certain income earned by our foreign subsidiaries, within the provision for income taxes as a period cost when incurred. Deferred tax assets and liabilities are recognized for the estimated future tax effects of temporary differences between the financial statement carrying amounts and their respective tax basis. Deferred tax assets and liabilities are measured using enacted tax rates expected to apply to taxable income in the year in which the temporary differences are expected to be reversed. We evaluate the realizability of deferred tax assets and establish a valuation allowance when it is more likely than not that all or a portion of deferred tax assets will not be realized. Deferred tax assets and deferred tax liabilities are classified as noncurrent on the Consolidated Balance Sheets.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For tax positions taken in a previously filed tax return or expected to be taken in a future tax return, we evaluate each position to determine whether it is more likely than not that the tax position will be sustained upon examination, based on the technical merits of the position. A tax position that meets the more-likely-than-not recognition threshold is subject to a measurement assessment to determine the amount of benefit to recognize in the Consolidated Statement of Operations and the appropriate reserve to establish, if any. If a tax position does not meet the more-likely-than-not recognition threshold, a tax reserve is established and no benefit is recognized. A number of years may elapse before a tax return containing tax matters for which a reserve has been established is audited and finally resolved. We recognize interest and penalty charges related to the reserve for uncertain tax positions as income tax expense.</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Foreign Currency Translation and Transactions</w:t>
      </w:r>
      <w:r>
        <w:rPr>
          <w:rFonts w:ascii="Times New Roman" w:cs="Times New Roman" w:eastAsia="Times New Roman" w:hAnsi="Times New Roman"/>
          <w:sz w:val="19"/>
          <w:szCs w:val="19"/>
          <w:color w:val="auto"/>
        </w:rPr>
        <w:t>—Assets and liabilities of subsidiaries with a functional currency other than the U.S. Dollar 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translated into U.S. Dollars at foreign exchange rates in effect at the balance sheet date, while results of operations are translated at average foreign exchange rates for the respective periods. The resulting translation gains and losses are included as a separate component of stockholders’ equity in “Accumulated other comprehensive income (loss)” on the Consolidated Balance Sheets. Argentina has been designated as a highly inflationary economy during all periods presented. Transactions denominated in currencies other than the functional currency will result in remeasurement gains and losses, which are included in “Other items, net” on the Consolidated Statements of Operations.</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Net Earnings (Loss) per Common Share—</w:t>
      </w:r>
      <w:r>
        <w:rPr>
          <w:rFonts w:ascii="Times New Roman" w:cs="Times New Roman" w:eastAsia="Times New Roman" w:hAnsi="Times New Roman"/>
          <w:sz w:val="19"/>
          <w:szCs w:val="19"/>
          <w:color w:val="auto"/>
        </w:rPr>
        <w:t>Basic net earnings (loss) per share (“EPS”) is based upon net earnings (loss) available to common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stockholders divided by the weighted average number of common shares outstanding during the period. Net earnings (loss) available to common stockholders is calculated as net earnings (loss) from continuing operations or net earnings (loss), as applicable, adjusted to include a reduction for dividends recorded on Paramount Global’s 5.75% Series A Mandatory Convertible Preferred Stock (“Mandatory Convertible Preferred Stock”) in 2023 and 2024 prior to its automatic and mandatory conversion on April 1, 2024 into shares of Paramount Global Class B Common Stock. The final dividend on the Mandatory Convertible Preferred Stock was declared during the first quarter of 2024 and paid on April 1, 2024 (see Note 13).</w:t>
      </w:r>
    </w:p>
    <w:p>
      <w:pPr>
        <w:spacing w:after="0" w:line="200" w:lineRule="exact"/>
        <w:rPr>
          <w:sz w:val="20"/>
          <w:szCs w:val="20"/>
          <w:color w:val="auto"/>
        </w:rPr>
      </w:pPr>
    </w:p>
    <w:p>
      <w:pPr>
        <w:spacing w:after="0" w:line="2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Weighted average shares for diluted EPS reflect the effect of the assumed exercise of stock options and warrants, and vesting of restricted stock units (“RSUs”), restricted stock, or performance share units (“PSUs”) only in the periods in which such effect would have been dilutive. In periods prior to the preferred stock conversion described above, diluted EPS also reflected the effect of the assumed conversion of preferred stock, when dilutive, which</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86" w:name="page87"/>
    <w:bookmarkEnd w:id="86"/>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included the issuance of common shares in the weighted average number of shares and excluded the above-mentioned preferred stock dividend adjustment to net earnings (loss) available to common stockholders.</w:t>
      </w:r>
    </w:p>
    <w:p>
      <w:pPr>
        <w:spacing w:after="0" w:line="1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The table below presents stock options, RSUs, restricted stock, and warrants excluded from the calculations of diluted EPS. In each period all outstanding stock options, RSUs, and warrants were excluded because their inclusion would have been antidilutive because we reported a net loss.</w:t>
      </w:r>
    </w:p>
    <w:p>
      <w:pPr>
        <w:spacing w:after="0" w:line="360" w:lineRule="exact"/>
        <w:rPr>
          <w:sz w:val="20"/>
          <w:szCs w:val="20"/>
          <w:color w:val="auto"/>
        </w:rPr>
      </w:pPr>
    </w:p>
    <w:tbl>
      <w:tblPr>
        <w:tblLayout w:type="fixed"/>
        <w:tblInd w:w="500" w:type="dxa"/>
        <w:tblCellMar>
          <w:top w:w="0" w:type="dxa"/>
          <w:left w:w="0" w:type="dxa"/>
          <w:bottom w:w="0" w:type="dxa"/>
          <w:right w:w="0" w:type="dxa"/>
        </w:tblCellMar>
      </w:tblPr>
      <w:tr>
        <w:trPr>
          <w:trHeight w:val="258"/>
        </w:trPr>
        <w:tc>
          <w:tcPr>
            <w:tcW w:w="4760" w:type="dxa"/>
            <w:vAlign w:val="bottom"/>
            <w:tcBorders>
              <w:top w:val="single" w:sz="8" w:color="auto"/>
            </w:tcBorders>
          </w:tcPr>
          <w:p>
            <w:pPr>
              <w:spacing w:after="0"/>
              <w:rPr>
                <w:sz w:val="22"/>
                <w:szCs w:val="22"/>
                <w:color w:val="auto"/>
              </w:rPr>
            </w:pPr>
          </w:p>
        </w:tc>
        <w:tc>
          <w:tcPr>
            <w:tcW w:w="1500" w:type="dxa"/>
            <w:vAlign w:val="bottom"/>
            <w:tcBorders>
              <w:top w:val="single" w:sz="8" w:color="auto"/>
              <w:bottom w:val="single" w:sz="8" w:color="auto"/>
              <w:right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38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100" w:type="dxa"/>
            <w:vAlign w:val="bottom"/>
            <w:tcBorders>
              <w:top w:val="single" w:sz="8" w:color="auto"/>
              <w:bottom w:val="single" w:sz="8" w:color="auto"/>
            </w:tcBorders>
          </w:tcPr>
          <w:p>
            <w:pPr>
              <w:spacing w:after="0"/>
              <w:rPr>
                <w:sz w:val="22"/>
                <w:szCs w:val="22"/>
                <w:color w:val="auto"/>
              </w:rPr>
            </w:pPr>
          </w:p>
        </w:tc>
      </w:tr>
      <w:tr>
        <w:trPr>
          <w:trHeight w:val="196"/>
        </w:trPr>
        <w:tc>
          <w:tcPr>
            <w:tcW w:w="4760" w:type="dxa"/>
            <w:vAlign w:val="bottom"/>
          </w:tcPr>
          <w:p>
            <w:pPr>
              <w:spacing w:after="0"/>
              <w:rPr>
                <w:sz w:val="17"/>
                <w:szCs w:val="17"/>
                <w:color w:val="auto"/>
              </w:rPr>
            </w:pPr>
          </w:p>
        </w:tc>
        <w:tc>
          <w:tcPr>
            <w:tcW w:w="1500" w:type="dxa"/>
            <w:vAlign w:val="bottom"/>
            <w:tcBorders>
              <w:right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6"/>
        </w:trPr>
        <w:tc>
          <w:tcPr>
            <w:tcW w:w="4760" w:type="dxa"/>
            <w:vAlign w:val="bottom"/>
          </w:tcPr>
          <w:p>
            <w:pPr>
              <w:spacing w:after="0"/>
              <w:rPr>
                <w:sz w:val="16"/>
                <w:szCs w:val="16"/>
                <w:color w:val="auto"/>
              </w:rPr>
            </w:pPr>
          </w:p>
        </w:tc>
        <w:tc>
          <w:tcPr>
            <w:tcW w:w="1500" w:type="dxa"/>
            <w:vAlign w:val="bottom"/>
            <w:tcBorders>
              <w:right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4"/>
        </w:trPr>
        <w:tc>
          <w:tcPr>
            <w:tcW w:w="4760" w:type="dxa"/>
            <w:vAlign w:val="bottom"/>
          </w:tcPr>
          <w:p>
            <w:pPr>
              <w:spacing w:after="0"/>
              <w:rPr>
                <w:sz w:val="20"/>
                <w:szCs w:val="20"/>
                <w:color w:val="auto"/>
              </w:rPr>
            </w:pPr>
          </w:p>
        </w:tc>
        <w:tc>
          <w:tcPr>
            <w:tcW w:w="1500" w:type="dxa"/>
            <w:vAlign w:val="bottom"/>
            <w:tcBorders>
              <w:bottom w:val="single" w:sz="8" w:color="auto"/>
              <w:right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2600" w:type="dxa"/>
            <w:vAlign w:val="bottom"/>
            <w:tcBorders>
              <w:bottom w:val="single" w:sz="8" w:color="auto"/>
            </w:tcBorders>
            <w:gridSpan w:val="2"/>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45"/>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500" w:type="dxa"/>
            <w:vAlign w:val="bottom"/>
            <w:tcBorders>
              <w:bottom w:val="single" w:sz="8" w:color="auto"/>
              <w:right w:val="single" w:sz="8" w:color="auto"/>
            </w:tcBorders>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50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restricted stock and RSUs</w:t>
            </w:r>
          </w:p>
        </w:tc>
        <w:tc>
          <w:tcPr>
            <w:tcW w:w="1500" w:type="dxa"/>
            <w:vAlign w:val="bottom"/>
            <w:tcBorders>
              <w:right w:val="single" w:sz="8" w:color="auto"/>
            </w:tcBorders>
          </w:tcPr>
          <w:p>
            <w:pPr>
              <w:jc w:val="right"/>
              <w:ind w:right="318"/>
              <w:spacing w:after="0"/>
              <w:rPr>
                <w:sz w:val="20"/>
                <w:szCs w:val="20"/>
                <w:color w:val="auto"/>
              </w:rPr>
            </w:pPr>
            <w:r>
              <w:rPr>
                <w:rFonts w:ascii="Times New Roman" w:cs="Times New Roman" w:eastAsia="Times New Roman" w:hAnsi="Times New Roman"/>
                <w:sz w:val="18"/>
                <w:szCs w:val="18"/>
                <w:color w:val="auto"/>
              </w:rPr>
              <w:t>68</w:t>
            </w:r>
          </w:p>
        </w:tc>
        <w:tc>
          <w:tcPr>
            <w:tcW w:w="138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33</w:t>
            </w:r>
          </w:p>
        </w:tc>
        <w:tc>
          <w:tcPr>
            <w:tcW w:w="150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5"/>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500" w:type="dxa"/>
            <w:vAlign w:val="bottom"/>
            <w:tcBorders>
              <w:right w:val="single" w:sz="8" w:color="auto"/>
            </w:tcBorders>
          </w:tcPr>
          <w:p>
            <w:pPr>
              <w:jc w:val="right"/>
              <w:ind w:right="318"/>
              <w:spacing w:after="0"/>
              <w:rPr>
                <w:sz w:val="20"/>
                <w:szCs w:val="20"/>
                <w:color w:val="auto"/>
              </w:rPr>
            </w:pPr>
            <w:r>
              <w:rPr>
                <w:rFonts w:ascii="Times New Roman" w:cs="Times New Roman" w:eastAsia="Times New Roman" w:hAnsi="Times New Roman"/>
                <w:sz w:val="18"/>
                <w:szCs w:val="18"/>
                <w:color w:val="auto"/>
              </w:rPr>
              <w:t>200</w:t>
            </w:r>
          </w:p>
        </w:tc>
        <w:tc>
          <w:tcPr>
            <w:tcW w:w="138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
        </w:trPr>
        <w:tc>
          <w:tcPr>
            <w:tcW w:w="476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Also excluded from the calculation of diluted EPS for the year ended December 31, 2024 (Predecessor) prior to the preferred stock conversion discussed above, was the effect of the assumed conversion of 10 million shares of Paramount Global’s Mandatory Convertible Preferred Stock into shares of common stock because the impact would have been antidilutive.</w:t>
      </w:r>
    </w:p>
    <w:p>
      <w:pPr>
        <w:spacing w:after="0" w:line="3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Because the impact of the assumed conversion of the Mandatory Convertible Preferred Stock would have been antidilutive, net loss from continuing operations and net loss used in our calculation of diluted EPS for each of the years ended December 31, 2024 and 2023 include a reduction for the preferred stock dividends recorded during the periods prior to the April 2024 conversion. The table below presents a reconciliation of net loss from continuing operations and net loss to the amounts used in the calculations of basic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107950</wp:posOffset>
            </wp:positionV>
            <wp:extent cx="57467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46750" cy="17145"/>
                    </a:xfrm>
                    <a:prstGeom prst="rect">
                      <a:avLst/>
                    </a:prstGeom>
                    <a:noFill/>
                  </pic:spPr>
                </pic:pic>
              </a:graphicData>
            </a:graphic>
          </wp:anchor>
        </w:drawing>
      </w:r>
    </w:p>
    <w:p>
      <w:pPr>
        <w:spacing w:after="0" w:line="182" w:lineRule="exact"/>
        <w:rPr>
          <w:sz w:val="20"/>
          <w:szCs w:val="20"/>
          <w:color w:val="auto"/>
        </w:rPr>
      </w:pPr>
    </w:p>
    <w:tbl>
      <w:tblPr>
        <w:tblLayout w:type="fixed"/>
        <w:tblInd w:w="1100" w:type="dxa"/>
        <w:tblCellMar>
          <w:top w:w="0" w:type="dxa"/>
          <w:left w:w="0" w:type="dxa"/>
          <w:bottom w:w="0" w:type="dxa"/>
          <w:right w:w="0" w:type="dxa"/>
        </w:tblCellMar>
      </w:tblP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6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5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Amounts attributable to the Parent:</w:t>
            </w: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5"/>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(6,204)</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265"/>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46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5"/>
        </w:trPr>
        <w:tc>
          <w:tcPr>
            <w:tcW w:w="5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 for basic and diluted</w:t>
            </w: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1"/>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EPS calculation</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(6,218)</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32"/>
        </w:trPr>
        <w:tc>
          <w:tcPr>
            <w:tcW w:w="5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491"/>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Amounts attributable to the Parent:</w:t>
            </w: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5"/>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(6,190)</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65"/>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46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5"/>
        </w:trPr>
        <w:tc>
          <w:tcPr>
            <w:tcW w:w="5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for basic and diluted EPS calculation</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(6,204)</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32"/>
        </w:trPr>
        <w:tc>
          <w:tcPr>
            <w:tcW w:w="5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i w:val="1"/>
          <w:iCs w:val="1"/>
          <w:color w:val="auto"/>
        </w:rPr>
        <w:t>Stock-based Compensation</w:t>
      </w:r>
      <w:r>
        <w:rPr>
          <w:rFonts w:ascii="Times New Roman" w:cs="Times New Roman" w:eastAsia="Times New Roman" w:hAnsi="Times New Roman"/>
          <w:sz w:val="19"/>
          <w:szCs w:val="19"/>
          <w:color w:val="auto"/>
        </w:rPr>
        <w:t>—We measure the cost of employee services received in exchange for an award of equity instruments based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grant date fair value of the award. The cost is recognized over the vesting period during which an employee is required to provide service in exchange for the award.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Recently Adopted Accounting Pronouncements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Income Taxes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In 2025, we adopted ASU 2023-09, “Improvements to Income Tax Disclosure” on a prospective basis. This guidance impacted our annual income tax disclosures and requires enhancements to the effective tax rate reconciliation disclosure, including the presentation of both percentages and amounts, specific categories, and additional information for reconciling items meeting a quantitative threshold defined by the guidance.</w:t>
      </w:r>
    </w:p>
    <w:p>
      <w:pPr>
        <w:sectPr>
          <w:pgSz w:w="11900" w:h="16838" w:orient="portrait"/>
          <w:cols w:equalWidth="0" w:num="1">
            <w:col w:w="11240"/>
          </w:cols>
          <w:pgMar w:left="320" w:top="7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type w:val="continuous"/>
        </w:sectPr>
      </w:pPr>
    </w:p>
    <w:bookmarkStart w:id="87" w:name="page88"/>
    <w:bookmarkEnd w:id="87"/>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Additionally, disclosure of income taxes paid, net of refunds received, must be disaggregated by federal, state and foreign taxes, with further disaggregation for individual jurisdictions that represent 5 percent or more of total income taxes paid, net of refunds received. See Note 15</w:t>
      </w:r>
      <w:r>
        <w:rPr>
          <w:rFonts w:ascii="Times New Roman" w:cs="Times New Roman" w:eastAsia="Times New Roman" w:hAnsi="Times New Roman"/>
          <w:sz w:val="19"/>
          <w:szCs w:val="19"/>
          <w:b w:val="1"/>
          <w:bCs w:val="1"/>
          <w:color w:val="auto"/>
        </w:rPr>
        <w: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Accounting Pronouncements Not Yet Adopted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Disaggregation of Income Statement Expenses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November 2024, the Financial Accounting Standards Board (“FASB”) issued guidance requiring disclosure in the notes to the financial statements of the disaggregation of relevant expense captions on the income statement into specified expense categories, including employee compensation, as well as disclosure of total selling expenses. The guidance is effective for us for the year ended December 31, 2027, and for all interim and annual periods thereafter, and may be applied either prospectively or retrospectively.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Internal-use Software Costs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In September 2025, the FASB issued updated guidance on the recognition and disclosure of internal-use software costs. This guidance eliminates capitalization based on software development stages and requires that capitalization of internal-use software development costs begin when (1) management has authorized and committed to funding the software project and (2) it is probable the project will be completed and the software will be used to perform its intended function. The guidance is effective for us for the year ended December 31, 2028, including interim periods within that year, and may be adopted prospectively, retrospectively, or using a modified transition approach for projects in process. We are currently evaluating the impact of this guidance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88" w:name="page89"/>
    <w:bookmarkEnd w:id="88"/>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PUSHDOWN OF ULTIMATE PARENT'S BASIS</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NAI Transaction resulted in a change in control of our Predecessor, Paramount Global, that established a new accounting basis, which reflects the estimated fair value of Paramount Global as indicated by the NAI Transaction and the Transactions. The table below presents the calculation of the Ultimate Parent's basis in Paramount Global as of the date these transactions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96520</wp:posOffset>
            </wp:positionV>
            <wp:extent cx="52920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92090" cy="17145"/>
                    </a:xfrm>
                    <a:prstGeom prst="rect">
                      <a:avLst/>
                    </a:prstGeom>
                    <a:noFill/>
                  </pic:spPr>
                </pic:pic>
              </a:graphicData>
            </a:graphic>
          </wp:anchor>
        </w:drawing>
      </w:r>
    </w:p>
    <w:p>
      <w:pPr>
        <w:spacing w:after="0" w:line="166" w:lineRule="exact"/>
        <w:rPr>
          <w:sz w:val="20"/>
          <w:szCs w:val="20"/>
          <w:color w:val="auto"/>
        </w:rPr>
      </w:pPr>
    </w:p>
    <w:tbl>
      <w:tblPr>
        <w:tblLayout w:type="fixed"/>
        <w:tblInd w:w="1460" w:type="dxa"/>
        <w:tblCellMar>
          <w:top w:w="0" w:type="dxa"/>
          <w:left w:w="0" w:type="dxa"/>
          <w:bottom w:w="0" w:type="dxa"/>
          <w:right w:w="0" w:type="dxa"/>
        </w:tblCellMar>
      </w:tblPr>
      <w:tr>
        <w:trPr>
          <w:trHeight w:val="212"/>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value of NAI Transaction consideration attributable to Paramount Global</w:t>
            </w:r>
          </w:p>
        </w:tc>
        <w:tc>
          <w:tcPr>
            <w:tcW w:w="780" w:type="dxa"/>
            <w:vAlign w:val="bottom"/>
          </w:tcPr>
          <w:p>
            <w:pPr>
              <w:spacing w:after="0"/>
              <w:rPr>
                <w:sz w:val="18"/>
                <w:szCs w:val="18"/>
                <w:color w:val="auto"/>
              </w:rPr>
            </w:pPr>
          </w:p>
        </w:tc>
        <w:tc>
          <w:tcPr>
            <w:tcW w:w="1080" w:type="dxa"/>
            <w:vAlign w:val="bottom"/>
            <w:gridSpan w:val="2"/>
            <w:vMerge w:val="restart"/>
          </w:tcPr>
          <w:p>
            <w:pPr>
              <w:jc w:val="right"/>
              <w:ind w:right="183"/>
              <w:spacing w:after="0"/>
              <w:rPr>
                <w:sz w:val="20"/>
                <w:szCs w:val="20"/>
                <w:color w:val="auto"/>
              </w:rPr>
            </w:pPr>
            <w:r>
              <w:rPr>
                <w:rFonts w:ascii="Times New Roman" w:cs="Times New Roman" w:eastAsia="Times New Roman" w:hAnsi="Times New Roman"/>
                <w:sz w:val="18"/>
                <w:szCs w:val="18"/>
                <w:color w:val="auto"/>
              </w:rPr>
              <w:t xml:space="preserve">2,124 </w:t>
            </w:r>
            <w:r>
              <w:rPr>
                <w:rFonts w:ascii="Times New Roman" w:cs="Times New Roman" w:eastAsia="Times New Roman" w:hAnsi="Times New Roman"/>
                <w:sz w:val="22"/>
                <w:szCs w:val="22"/>
                <w:color w:val="auto"/>
                <w:vertAlign w:val="superscript"/>
              </w:rPr>
              <w:t>(a)</w:t>
            </w:r>
          </w:p>
        </w:tc>
        <w:tc>
          <w:tcPr>
            <w:tcW w:w="0" w:type="dxa"/>
            <w:vAlign w:val="bottom"/>
          </w:tcPr>
          <w:p>
            <w:pPr>
              <w:spacing w:after="0"/>
              <w:rPr>
                <w:sz w:val="1"/>
                <w:szCs w:val="1"/>
                <w:color w:val="auto"/>
              </w:rPr>
            </w:pPr>
          </w:p>
        </w:tc>
      </w:tr>
      <w:tr>
        <w:trPr>
          <w:trHeight w:val="265"/>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to stockholders (see Note 13)</w:t>
            </w:r>
          </w:p>
        </w:tc>
        <w:tc>
          <w:tcPr>
            <w:tcW w:w="7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(b)</w:t>
            </w:r>
          </w:p>
        </w:tc>
        <w:tc>
          <w:tcPr>
            <w:tcW w:w="0" w:type="dxa"/>
            <w:vAlign w:val="bottom"/>
          </w:tcPr>
          <w:p>
            <w:pPr>
              <w:spacing w:after="0"/>
              <w:rPr>
                <w:sz w:val="1"/>
                <w:szCs w:val="1"/>
                <w:color w:val="auto"/>
              </w:rPr>
            </w:pPr>
          </w:p>
        </w:tc>
      </w:tr>
      <w:tr>
        <w:trPr>
          <w:trHeight w:val="26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PIPE Transaction, net of subscription discount</w:t>
            </w:r>
          </w:p>
        </w:tc>
        <w:tc>
          <w:tcPr>
            <w:tcW w:w="7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Paramount Global RSU Awards and Paramount Global PSU Awards</w:t>
            </w:r>
          </w:p>
        </w:tc>
        <w:tc>
          <w:tcPr>
            <w:tcW w:w="7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(c)</w:t>
            </w:r>
          </w:p>
        </w:tc>
        <w:tc>
          <w:tcPr>
            <w:tcW w:w="0" w:type="dxa"/>
            <w:vAlign w:val="bottom"/>
          </w:tcPr>
          <w:p>
            <w:pPr>
              <w:spacing w:after="0"/>
              <w:rPr>
                <w:sz w:val="1"/>
                <w:szCs w:val="1"/>
                <w:color w:val="auto"/>
              </w:rPr>
            </w:pPr>
          </w:p>
        </w:tc>
      </w:tr>
      <w:tr>
        <w:trPr>
          <w:trHeight w:val="26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shares of Paramount Skydance Corporation Class B Common Stock</w:t>
            </w:r>
          </w:p>
        </w:tc>
        <w:tc>
          <w:tcPr>
            <w:tcW w:w="7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(d)</w:t>
            </w:r>
          </w:p>
        </w:tc>
        <w:tc>
          <w:tcPr>
            <w:tcW w:w="0" w:type="dxa"/>
            <w:vAlign w:val="bottom"/>
          </w:tcPr>
          <w:p>
            <w:pPr>
              <w:spacing w:after="0"/>
              <w:rPr>
                <w:sz w:val="1"/>
                <w:szCs w:val="1"/>
                <w:color w:val="auto"/>
              </w:rPr>
            </w:pPr>
          </w:p>
        </w:tc>
      </w:tr>
      <w:tr>
        <w:trPr>
          <w:trHeight w:val="25"/>
        </w:trPr>
        <w:tc>
          <w:tcPr>
            <w:tcW w:w="6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Paramount Global basis at August 7, 2025</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6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left="720" w:right="480" w:hanging="237"/>
        <w:spacing w:after="0" w:line="247" w:lineRule="auto"/>
        <w:tabs>
          <w:tab w:leader="none" w:pos="72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the NAI Transaction, the NAI Equity Investors purchased all of the outstanding equity interests of NAI. Based on valuation analyses of NAI’s assets and liabilities, the estimated value attributable to the shares of Paramount Global common stock held by NAI and its subsidiaries is $2.1 billion. This amount increased $107 million from the preliminary estimate included in our quarterly report on Form 10-Q for the third quarter of 2025, which resulted in an increase in Paramount Global’s basis in this amount.</w:t>
      </w:r>
    </w:p>
    <w:p>
      <w:pPr>
        <w:spacing w:after="0" w:line="106" w:lineRule="exact"/>
        <w:rPr>
          <w:rFonts w:ascii="Times New Roman" w:cs="Times New Roman" w:eastAsia="Times New Roman" w:hAnsi="Times New Roman"/>
          <w:sz w:val="18"/>
          <w:szCs w:val="18"/>
          <w:color w:val="auto"/>
        </w:rPr>
      </w:pPr>
    </w:p>
    <w:p>
      <w:pPr>
        <w:jc w:val="both"/>
        <w:ind w:left="720" w:right="480" w:hanging="237"/>
        <w:spacing w:after="0" w:line="250" w:lineRule="auto"/>
        <w:tabs>
          <w:tab w:leader="none" w:pos="7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Reflects cash paid to holders of Paramount Global Class A Common Stock and Paramount Global Class B Common Stock who elected to receive the Class A Cash Consideration and Class B Cash Consideration of $23.00 per share and $15.00 per share, respectively, in the Transactions. Such payout was funded by the $6.0 billion PIPE Transaction.</w:t>
      </w:r>
    </w:p>
    <w:p>
      <w:pPr>
        <w:spacing w:after="0" w:line="90" w:lineRule="exact"/>
        <w:rPr>
          <w:rFonts w:ascii="Times New Roman" w:cs="Times New Roman" w:eastAsia="Times New Roman" w:hAnsi="Times New Roman"/>
          <w:sz w:val="18"/>
          <w:szCs w:val="18"/>
          <w:color w:val="auto"/>
        </w:rPr>
      </w:pPr>
    </w:p>
    <w:p>
      <w:pPr>
        <w:jc w:val="both"/>
        <w:ind w:left="720" w:right="480" w:hanging="237"/>
        <w:spacing w:after="0" w:line="254" w:lineRule="auto"/>
        <w:tabs>
          <w:tab w:leader="none" w:pos="71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fair value of outstanding Paramount Global RSU Awards and Paramount Global PSU Awards attributable to employees’ service prior to the Transactions and the NAI Transaction. The fair value is based on the closing stock price of Paramount Global Class B Common Stock on August 6, 2025 of $11.04 per share. The remaining fair value of outstanding Paramount Global RSU Awards and Paramount PSU Awards, which were assumed by Paramount Skydance Corporation and converted into awards of restricted stock units covering an equivalent number of shares of Paramount Skydance Corporation Class B Common Stock are being expensed over their remaining vesting periods.</w:t>
      </w:r>
    </w:p>
    <w:p>
      <w:pPr>
        <w:spacing w:after="0" w:line="86" w:lineRule="exact"/>
        <w:rPr>
          <w:rFonts w:ascii="Times New Roman" w:cs="Times New Roman" w:eastAsia="Times New Roman" w:hAnsi="Times New Roman"/>
          <w:sz w:val="16"/>
          <w:szCs w:val="16"/>
          <w:color w:val="auto"/>
        </w:rPr>
      </w:pPr>
    </w:p>
    <w:p>
      <w:pPr>
        <w:jc w:val="both"/>
        <w:ind w:left="720" w:right="480" w:hanging="237"/>
        <w:spacing w:after="0" w:line="255" w:lineRule="auto"/>
        <w:tabs>
          <w:tab w:leader="none" w:pos="71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318.8 million shares of Paramount Skydance Corporation Class B Common Stock owned by holders of Paramount Global Class A and Paramount Global Class B Common Stock following the Transactions, other than those held directly or indirectly by NAI or its affiliates, not converted into cash, valued at the closing stock price of Paramount Global Class B Common Stock on August 6, 2025 of $11.04 per share. Certain holders of Paramount Global Class A Common Stock received the Class A Stock Consideration, which resulted in the conversion of 2.0 million shares of Paramount Global Class A Common Stock into approximately 3.1 million shares of Paramount Skydance Corporation Class B Common Stock, based on the exchange ratio of one share of Paramount Global Class A Common Stock to 1.5333 shares of Paramount Skydance Corporation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89" w:name="page90"/>
    <w:bookmarkEnd w:id="89"/>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table below details the preliminary estimated fair values of Paramount Global’s assets, liabilities and noncontrolling interests at the Ultimate Parent's basis as of August 7, 2025, including measurement period adjustments recorded during the fourth quarter of 2025. The impact on our statement of operations in the fourth quarter of 2025 from the amounts that would have been recognized in the third quarter of 2025 had these measurement period adjustments been recognized as of the acquisition date were not material. The fair values were determined based on valuation techniques that use unobservable inputs (Level 3 in the fair value hierarchy). Significant judgments in these valuations include long-term projections, discount rates, royalty rates, and decay rates. We continue to evaluate these estimated fair values, in particular those related to programming, intangible assets, and contingencies, which may differ based upon the finalization of appraisals and other valuation analyses, which are expected no later than one year from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94615</wp:posOffset>
            </wp:positionV>
            <wp:extent cx="658812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88125" cy="17145"/>
                    </a:xfrm>
                    <a:prstGeom prst="rect">
                      <a:avLst/>
                    </a:prstGeom>
                    <a:noFill/>
                  </pic:spPr>
                </pic:pic>
              </a:graphicData>
            </a:graphic>
          </wp:anchor>
        </w:drawing>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233"/>
        </w:trPr>
        <w:tc>
          <w:tcPr>
            <w:tcW w:w="5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20" w:type="dxa"/>
            <w:vAlign w:val="bottom"/>
            <w:gridSpan w:val="5"/>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Allocation of Ultimate Parent’s Basis</w:t>
            </w:r>
          </w:p>
        </w:tc>
      </w:tr>
      <w:tr>
        <w:trPr>
          <w:trHeight w:val="26"/>
        </w:trPr>
        <w:tc>
          <w:tcPr>
            <w:tcW w:w="5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1"/>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8"/>
              </w:rPr>
              <w:t>Measurement</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2"/>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60" w:type="dxa"/>
            <w:vAlign w:val="bottom"/>
          </w:tcPr>
          <w:p>
            <w:pPr>
              <w:spacing w:after="0"/>
              <w:rPr>
                <w:sz w:val="18"/>
                <w:szCs w:val="18"/>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Preliminary,</w:t>
            </w:r>
          </w:p>
        </w:tc>
      </w:tr>
      <w:tr>
        <w:trPr>
          <w:trHeight w:val="233"/>
        </w:trPr>
        <w:tc>
          <w:tcPr>
            <w:tcW w:w="5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Preliminary</w:t>
            </w:r>
          </w:p>
        </w:tc>
        <w:tc>
          <w:tcPr>
            <w:tcW w:w="260" w:type="dxa"/>
            <w:vAlign w:val="bottom"/>
          </w:tcPr>
          <w:p>
            <w:pPr>
              <w:spacing w:after="0"/>
              <w:rPr>
                <w:sz w:val="20"/>
                <w:szCs w:val="20"/>
                <w:color w:val="auto"/>
              </w:rPr>
            </w:pPr>
          </w:p>
        </w:tc>
        <w:tc>
          <w:tcPr>
            <w:tcW w:w="138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260" w:type="dxa"/>
            <w:vAlign w:val="bottom"/>
          </w:tcPr>
          <w:p>
            <w:pPr>
              <w:spacing w:after="0"/>
              <w:rPr>
                <w:sz w:val="20"/>
                <w:szCs w:val="20"/>
                <w:color w:val="auto"/>
              </w:rPr>
            </w:pPr>
          </w:p>
        </w:tc>
        <w:tc>
          <w:tcPr>
            <w:tcW w:w="130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Revised</w:t>
            </w:r>
          </w:p>
        </w:tc>
      </w:tr>
      <w:tr>
        <w:trPr>
          <w:trHeight w:val="25"/>
        </w:trPr>
        <w:tc>
          <w:tcPr>
            <w:tcW w:w="5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6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3,977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r>
      <w:tr>
        <w:trPr>
          <w:trHeight w:val="26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5,980</w:t>
            </w:r>
          </w:p>
        </w:tc>
        <w:tc>
          <w:tcPr>
            <w:tcW w:w="26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w:t>
            </w:r>
          </w:p>
        </w:tc>
      </w:tr>
      <w:tr>
        <w:trPr>
          <w:trHeight w:val="29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Programming and other inventory, current </w:t>
            </w:r>
            <w:r>
              <w:rPr>
                <w:rFonts w:ascii="Times New Roman" w:cs="Times New Roman" w:eastAsia="Times New Roman" w:hAnsi="Times New Roman"/>
                <w:sz w:val="22"/>
                <w:szCs w:val="22"/>
                <w:color w:val="auto"/>
                <w:vertAlign w:val="superscript"/>
              </w:rPr>
              <w:t>(b)</w:t>
            </w:r>
          </w:p>
        </w:tc>
        <w:tc>
          <w:tcPr>
            <w:tcW w:w="180" w:type="dxa"/>
            <w:vAlign w:val="bottom"/>
          </w:tcPr>
          <w:p>
            <w:pPr>
              <w:spacing w:after="0"/>
              <w:rPr>
                <w:sz w:val="24"/>
                <w:szCs w:val="24"/>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1,970</w:t>
            </w:r>
          </w:p>
        </w:tc>
        <w:tc>
          <w:tcPr>
            <w:tcW w:w="260" w:type="dxa"/>
            <w:vAlign w:val="bottom"/>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31"/>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1,641</w:t>
            </w:r>
          </w:p>
        </w:tc>
        <w:tc>
          <w:tcPr>
            <w:tcW w:w="260" w:type="dxa"/>
            <w:vAlign w:val="bottom"/>
          </w:tcPr>
          <w:p>
            <w:pPr>
              <w:spacing w:after="0"/>
              <w:rPr>
                <w:sz w:val="20"/>
                <w:szCs w:val="20"/>
                <w:color w:val="auto"/>
              </w:rPr>
            </w:pP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9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2"/>
                <w:szCs w:val="22"/>
                <w:color w:val="auto"/>
                <w:vertAlign w:val="superscript"/>
              </w:rPr>
              <w:t>(a)</w:t>
            </w:r>
          </w:p>
        </w:tc>
        <w:tc>
          <w:tcPr>
            <w:tcW w:w="180" w:type="dxa"/>
            <w:vAlign w:val="bottom"/>
          </w:tcPr>
          <w:p>
            <w:pPr>
              <w:spacing w:after="0"/>
              <w:rPr>
                <w:sz w:val="24"/>
                <w:szCs w:val="24"/>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2,118</w:t>
            </w:r>
          </w:p>
        </w:tc>
        <w:tc>
          <w:tcPr>
            <w:tcW w:w="260" w:type="dxa"/>
            <w:vAlign w:val="bottom"/>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r>
      <w:tr>
        <w:trPr>
          <w:trHeight w:val="26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Programming and other inventory, noncurrent </w:t>
            </w:r>
            <w:r>
              <w:rPr>
                <w:rFonts w:ascii="Times New Roman" w:cs="Times New Roman" w:eastAsia="Times New Roman" w:hAnsi="Times New Roman"/>
                <w:sz w:val="22"/>
                <w:szCs w:val="22"/>
                <w:color w:val="auto"/>
                <w:vertAlign w:val="superscript"/>
              </w:rPr>
              <w:t>(b)</w:t>
            </w:r>
          </w:p>
        </w:tc>
        <w:tc>
          <w:tcPr>
            <w:tcW w:w="18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13,599</w:t>
            </w:r>
          </w:p>
        </w:tc>
        <w:tc>
          <w:tcPr>
            <w:tcW w:w="26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13,234</w:t>
            </w:r>
          </w:p>
        </w:tc>
      </w:tr>
      <w:tr>
        <w:trPr>
          <w:trHeight w:val="26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2"/>
                <w:szCs w:val="22"/>
                <w:color w:val="auto"/>
                <w:vertAlign w:val="superscript"/>
              </w:rPr>
              <w:t>(c)</w:t>
            </w:r>
          </w:p>
        </w:tc>
        <w:tc>
          <w:tcPr>
            <w:tcW w:w="18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947</w:t>
            </w:r>
          </w:p>
        </w:tc>
        <w:tc>
          <w:tcPr>
            <w:tcW w:w="260" w:type="dxa"/>
            <w:vAlign w:val="bottom"/>
          </w:tcPr>
          <w:p>
            <w:pPr>
              <w:spacing w:after="0"/>
              <w:rPr>
                <w:sz w:val="23"/>
                <w:szCs w:val="23"/>
                <w:color w:val="auto"/>
              </w:rPr>
            </w:pP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6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Intangible assets, net </w:t>
            </w:r>
            <w:r>
              <w:rPr>
                <w:rFonts w:ascii="Times New Roman" w:cs="Times New Roman" w:eastAsia="Times New Roman" w:hAnsi="Times New Roman"/>
                <w:sz w:val="22"/>
                <w:szCs w:val="22"/>
                <w:color w:val="auto"/>
                <w:vertAlign w:val="superscript"/>
              </w:rPr>
              <w:t>(d)</w:t>
            </w:r>
          </w:p>
        </w:tc>
        <w:tc>
          <w:tcPr>
            <w:tcW w:w="18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6,748</w:t>
            </w:r>
          </w:p>
        </w:tc>
        <w:tc>
          <w:tcPr>
            <w:tcW w:w="26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r>
      <w:tr>
        <w:trPr>
          <w:trHeight w:val="231"/>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8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875</w:t>
            </w:r>
          </w:p>
        </w:tc>
        <w:tc>
          <w:tcPr>
            <w:tcW w:w="260" w:type="dxa"/>
            <w:vAlign w:val="bottom"/>
          </w:tcPr>
          <w:p>
            <w:pPr>
              <w:spacing w:after="0"/>
              <w:rPr>
                <w:sz w:val="20"/>
                <w:szCs w:val="20"/>
                <w:color w:val="auto"/>
              </w:rPr>
            </w:pP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6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8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1,200</w:t>
            </w:r>
          </w:p>
        </w:tc>
        <w:tc>
          <w:tcPr>
            <w:tcW w:w="260" w:type="dxa"/>
            <w:vAlign w:val="bottom"/>
          </w:tcPr>
          <w:p>
            <w:pPr>
              <w:spacing w:after="0"/>
              <w:rPr>
                <w:sz w:val="23"/>
                <w:szCs w:val="23"/>
                <w:color w:val="auto"/>
              </w:rPr>
            </w:pP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6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2,470</w:t>
            </w:r>
          </w:p>
        </w:tc>
        <w:tc>
          <w:tcPr>
            <w:tcW w:w="260" w:type="dxa"/>
            <w:vAlign w:val="bottom"/>
          </w:tcPr>
          <w:p>
            <w:pPr>
              <w:spacing w:after="0"/>
              <w:rPr>
                <w:sz w:val="23"/>
                <w:szCs w:val="23"/>
                <w:color w:val="auto"/>
              </w:rPr>
            </w:pP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r>
      <w:tr>
        <w:trPr>
          <w:trHeight w:val="25"/>
        </w:trPr>
        <w:tc>
          <w:tcPr>
            <w:tcW w:w="5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41,525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41,597</w:t>
            </w:r>
          </w:p>
        </w:tc>
      </w:tr>
      <w:tr>
        <w:trPr>
          <w:trHeight w:val="32"/>
        </w:trPr>
        <w:tc>
          <w:tcPr>
            <w:tcW w:w="5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43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9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2"/>
                <w:szCs w:val="22"/>
                <w:color w:val="auto"/>
                <w:vertAlign w:val="superscript"/>
              </w:rPr>
              <w: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13,619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w:t>
            </w:r>
          </w:p>
        </w:tc>
      </w:tr>
      <w:tr>
        <w:trPr>
          <w:trHeight w:val="26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Pension and postretirement benefit obligations </w:t>
            </w:r>
            <w:r>
              <w:rPr>
                <w:rFonts w:ascii="Times New Roman" w:cs="Times New Roman" w:eastAsia="Times New Roman" w:hAnsi="Times New Roman"/>
                <w:sz w:val="22"/>
                <w:szCs w:val="22"/>
                <w:color w:val="auto"/>
                <w:vertAlign w:val="superscript"/>
              </w:rPr>
              <w:t>(f)</w:t>
            </w:r>
          </w:p>
        </w:tc>
        <w:tc>
          <w:tcPr>
            <w:tcW w:w="18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1,390</w:t>
            </w:r>
          </w:p>
        </w:tc>
        <w:tc>
          <w:tcPr>
            <w:tcW w:w="260" w:type="dxa"/>
            <w:vAlign w:val="bottom"/>
          </w:tcPr>
          <w:p>
            <w:pPr>
              <w:spacing w:after="0"/>
              <w:rPr>
                <w:sz w:val="23"/>
                <w:szCs w:val="23"/>
                <w:color w:val="auto"/>
              </w:rPr>
            </w:pP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31"/>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8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6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1,219</w:t>
            </w:r>
          </w:p>
        </w:tc>
        <w:tc>
          <w:tcPr>
            <w:tcW w:w="260" w:type="dxa"/>
            <w:vAlign w:val="bottom"/>
          </w:tcPr>
          <w:p>
            <w:pPr>
              <w:spacing w:after="0"/>
              <w:rPr>
                <w:sz w:val="23"/>
                <w:szCs w:val="23"/>
                <w:color w:val="auto"/>
              </w:rPr>
            </w:pP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9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Programming obligations </w:t>
            </w:r>
            <w:r>
              <w:rPr>
                <w:rFonts w:ascii="Times New Roman" w:cs="Times New Roman" w:eastAsia="Times New Roman" w:hAnsi="Times New Roman"/>
                <w:sz w:val="22"/>
                <w:szCs w:val="22"/>
                <w:color w:val="auto"/>
                <w:vertAlign w:val="superscript"/>
              </w:rPr>
              <w:t>(g)</w:t>
            </w:r>
          </w:p>
        </w:tc>
        <w:tc>
          <w:tcPr>
            <w:tcW w:w="180" w:type="dxa"/>
            <w:vAlign w:val="bottom"/>
          </w:tcPr>
          <w:p>
            <w:pPr>
              <w:spacing w:after="0"/>
              <w:rPr>
                <w:sz w:val="24"/>
                <w:szCs w:val="24"/>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2,017</w:t>
            </w:r>
          </w:p>
        </w:tc>
        <w:tc>
          <w:tcPr>
            <w:tcW w:w="260" w:type="dxa"/>
            <w:vAlign w:val="bottom"/>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57"/>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22"/>
                <w:szCs w:val="22"/>
                <w:color w:val="auto"/>
                <w:vertAlign w:val="superscript"/>
              </w:rPr>
              <w:t>(h)</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10,137</w:t>
            </w: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10,319</w:t>
            </w:r>
          </w:p>
        </w:tc>
      </w:tr>
      <w:tr>
        <w:trPr>
          <w:trHeight w:val="23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28,688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28,751</w:t>
            </w:r>
          </w:p>
        </w:tc>
      </w:tr>
      <w:tr>
        <w:trPr>
          <w:trHeight w:val="32"/>
        </w:trPr>
        <w:tc>
          <w:tcPr>
            <w:tcW w:w="5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41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Noncontrolling interests </w:t>
            </w:r>
            <w:r>
              <w:rPr>
                <w:rFonts w:ascii="Times New Roman" w:cs="Times New Roman" w:eastAsia="Times New Roman" w:hAnsi="Times New Roman"/>
                <w:sz w:val="22"/>
                <w:szCs w:val="22"/>
                <w:color w:val="auto"/>
                <w:vertAlign w:val="superscript"/>
              </w:rPr>
              <w:t>(i)</w:t>
            </w:r>
          </w:p>
        </w:tc>
        <w:tc>
          <w:tcPr>
            <w:tcW w:w="180" w:type="dxa"/>
            <w:vAlign w:val="bottom"/>
          </w:tcPr>
          <w:p>
            <w:pPr>
              <w:spacing w:after="0"/>
              <w:rPr>
                <w:sz w:val="24"/>
                <w:szCs w:val="24"/>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1,249</w:t>
            </w:r>
          </w:p>
        </w:tc>
        <w:tc>
          <w:tcPr>
            <w:tcW w:w="260" w:type="dxa"/>
            <w:vAlign w:val="bottom"/>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51"/>
        </w:trPr>
        <w:tc>
          <w:tcPr>
            <w:tcW w:w="56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3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Global basis at August 7, 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11,588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w:t>
            </w:r>
          </w:p>
        </w:tc>
      </w:tr>
      <w:tr>
        <w:trPr>
          <w:trHeight w:val="32"/>
        </w:trPr>
        <w:tc>
          <w:tcPr>
            <w:tcW w:w="5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jc w:val="both"/>
        <w:ind w:left="720" w:right="480" w:hanging="237"/>
        <w:spacing w:after="0" w:line="266" w:lineRule="auto"/>
        <w:tabs>
          <w:tab w:leader="none" w:pos="69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was determined based on the market approach, which estimates the value based on transactions in the market for comparable assets, or the cost approach, which estimates the value based on the amount required to replace the asset. The fair value reflects an increase to the book value of $635 million principally reflecting incremental fair value of Paramount Global’s owned land and buildings.</w:t>
      </w:r>
    </w:p>
    <w:p>
      <w:pPr>
        <w:spacing w:after="0" w:line="24" w:lineRule="exact"/>
        <w:rPr>
          <w:rFonts w:ascii="Times New Roman" w:cs="Times New Roman" w:eastAsia="Times New Roman" w:hAnsi="Times New Roman"/>
          <w:sz w:val="16"/>
          <w:szCs w:val="16"/>
          <w:color w:val="auto"/>
        </w:rPr>
      </w:pPr>
    </w:p>
    <w:p>
      <w:pPr>
        <w:jc w:val="both"/>
        <w:ind w:left="720" w:right="480" w:hanging="237"/>
        <w:spacing w:after="0" w:line="258" w:lineRule="auto"/>
        <w:tabs>
          <w:tab w:leader="none" w:pos="71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fair value was determined based on the income approach, including the multi-period excess earnings method, which estimates the cash flows generated by the asset over its economic life using a discounted cash flow analysis. For certain content, fair value was determined to be equivalent to net book value. The fair value reflects a net decrease to the book value of programming assets of $562 million principally from reductions for programming at our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Direct-to-Consumer</w:t>
      </w:r>
      <w:r>
        <w:rPr>
          <w:rFonts w:ascii="Times New Roman" w:cs="Times New Roman" w:eastAsia="Times New Roman" w:hAnsi="Times New Roman"/>
          <w:sz w:val="16"/>
          <w:szCs w:val="16"/>
          <w:color w:val="auto"/>
        </w:rPr>
        <w:t xml:space="preserve"> segments offset by an increase to the fair value of our film and television libraries.</w:t>
      </w:r>
    </w:p>
    <w:p>
      <w:pPr>
        <w:sectPr>
          <w:pgSz w:w="11900" w:h="16838" w:orient="portrait"/>
          <w:cols w:equalWidth="0" w:num="1">
            <w:col w:w="11240"/>
          </w:cols>
          <w:pgMar w:left="320" w:top="7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type w:val="continuous"/>
        </w:sectPr>
      </w:pPr>
    </w:p>
    <w:bookmarkStart w:id="90" w:name="page91"/>
    <w:bookmarkEnd w:id="90"/>
    <w:p>
      <w:pPr>
        <w:ind w:left="2714"/>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54"/>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83" w:lineRule="exact"/>
        <w:rPr>
          <w:sz w:val="20"/>
          <w:szCs w:val="20"/>
          <w:color w:val="auto"/>
        </w:rPr>
      </w:pPr>
    </w:p>
    <w:p>
      <w:pPr>
        <w:jc w:val="both"/>
        <w:ind w:left="714" w:right="380" w:hanging="237"/>
        <w:spacing w:after="0" w:line="267" w:lineRule="auto"/>
        <w:tabs>
          <w:tab w:leader="none" w:pos="69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Goodwill relates principally to the </w:t>
      </w:r>
      <w:r>
        <w:rPr>
          <w:rFonts w:ascii="Times New Roman" w:cs="Times New Roman" w:eastAsia="Times New Roman" w:hAnsi="Times New Roman"/>
          <w:sz w:val="16"/>
          <w:szCs w:val="16"/>
          <w:i w:val="1"/>
          <w:iCs w:val="1"/>
          <w:color w:val="auto"/>
        </w:rPr>
        <w:t>Direct-to-Consumer</w:t>
      </w:r>
      <w:r>
        <w:rPr>
          <w:rFonts w:ascii="Times New Roman" w:cs="Times New Roman" w:eastAsia="Times New Roman" w:hAnsi="Times New Roman"/>
          <w:sz w:val="16"/>
          <w:szCs w:val="16"/>
          <w:color w:val="auto"/>
        </w:rPr>
        <w:t xml:space="preserve"> segment and represents the difference between Paramount Global’s basis and the fair value of its net assets based on the preliminary fair value estimates assumed herein. Goodwill reflects operating synergies between our businesses, as well as anticipated cost savings and is not deductible for tax purposes.</w:t>
      </w:r>
    </w:p>
    <w:p>
      <w:pPr>
        <w:spacing w:after="0" w:line="63" w:lineRule="exact"/>
        <w:rPr>
          <w:rFonts w:ascii="Times New Roman" w:cs="Times New Roman" w:eastAsia="Times New Roman" w:hAnsi="Times New Roman"/>
          <w:sz w:val="16"/>
          <w:szCs w:val="16"/>
          <w:color w:val="auto"/>
        </w:rPr>
      </w:pPr>
    </w:p>
    <w:p>
      <w:pPr>
        <w:ind w:left="714" w:right="140" w:hanging="237"/>
        <w:spacing w:after="0" w:line="290" w:lineRule="auto"/>
        <w:tabs>
          <w:tab w:leader="none" w:pos="724"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below presents our intangible assets by asset class, as well as the valuation method used to determine the estimated fair values, and the related estimated weighted average useful lives. The weighted average useful life of the total intangibles below is 16.6 years.</w:t>
      </w:r>
    </w:p>
    <w:p>
      <w:pPr>
        <w:spacing w:after="0" w:line="97" w:lineRule="exact"/>
        <w:rPr>
          <w:sz w:val="20"/>
          <w:szCs w:val="20"/>
          <w:color w:val="auto"/>
        </w:rPr>
      </w:pPr>
    </w:p>
    <w:tbl>
      <w:tblPr>
        <w:tblLayout w:type="fixed"/>
        <w:tblInd w:w="914"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Estimated weighted average</w:t>
            </w:r>
          </w:p>
        </w:tc>
        <w:tc>
          <w:tcPr>
            <w:tcW w:w="0" w:type="dxa"/>
            <w:vAlign w:val="bottom"/>
          </w:tcPr>
          <w:p>
            <w:pPr>
              <w:spacing w:after="0"/>
              <w:rPr>
                <w:sz w:val="1"/>
                <w:szCs w:val="1"/>
                <w:color w:val="auto"/>
              </w:rPr>
            </w:pPr>
          </w:p>
        </w:tc>
      </w:tr>
      <w:tr>
        <w:trPr>
          <w:trHeight w:val="199"/>
        </w:trPr>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straight-line amortization</w:t>
            </w:r>
          </w:p>
        </w:tc>
        <w:tc>
          <w:tcPr>
            <w:tcW w:w="0" w:type="dxa"/>
            <w:vAlign w:val="bottom"/>
          </w:tcPr>
          <w:p>
            <w:pPr>
              <w:spacing w:after="0"/>
              <w:rPr>
                <w:sz w:val="1"/>
                <w:szCs w:val="1"/>
                <w:color w:val="auto"/>
              </w:rPr>
            </w:pPr>
          </w:p>
        </w:tc>
      </w:tr>
      <w:tr>
        <w:trPr>
          <w:trHeight w:val="221"/>
        </w:trPr>
        <w:tc>
          <w:tcPr>
            <w:tcW w:w="29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Values</w:t>
            </w:r>
          </w:p>
        </w:tc>
        <w:tc>
          <w:tcPr>
            <w:tcW w:w="200" w:type="dxa"/>
            <w:vAlign w:val="bottom"/>
          </w:tcPr>
          <w:p>
            <w:pPr>
              <w:spacing w:after="0"/>
              <w:rPr>
                <w:sz w:val="19"/>
                <w:szCs w:val="19"/>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Valuation Method</w:t>
            </w:r>
          </w:p>
        </w:tc>
        <w:tc>
          <w:tcPr>
            <w:tcW w:w="20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0" w:type="dxa"/>
            <w:vAlign w:val="bottom"/>
          </w:tcPr>
          <w:p>
            <w:pPr>
              <w:spacing w:after="0"/>
              <w:rPr>
                <w:sz w:val="1"/>
                <w:szCs w:val="1"/>
                <w:color w:val="auto"/>
              </w:rPr>
            </w:pPr>
          </w:p>
        </w:tc>
      </w:tr>
      <w:tr>
        <w:trPr>
          <w:trHeight w:val="198"/>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FCC and other broadcasting licenses</w:t>
            </w:r>
          </w:p>
        </w:tc>
        <w:tc>
          <w:tcPr>
            <w:tcW w:w="280" w:type="dxa"/>
            <w:vAlign w:val="bottom"/>
          </w:tcPr>
          <w:p>
            <w:pPr>
              <w:jc w:val="right"/>
              <w:ind w:right="9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2,555</w:t>
            </w:r>
          </w:p>
        </w:tc>
        <w:tc>
          <w:tcPr>
            <w:tcW w:w="200" w:type="dxa"/>
            <w:vAlign w:val="bottom"/>
          </w:tcPr>
          <w:p>
            <w:pPr>
              <w:spacing w:after="0"/>
              <w:rPr>
                <w:sz w:val="17"/>
                <w:szCs w:val="17"/>
                <w:color w:val="auto"/>
              </w:rPr>
            </w:pPr>
          </w:p>
        </w:tc>
        <w:tc>
          <w:tcPr>
            <w:tcW w:w="2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Greenfield discounted cash flow</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30 years</w:t>
            </w:r>
          </w:p>
        </w:tc>
        <w:tc>
          <w:tcPr>
            <w:tcW w:w="0" w:type="dxa"/>
            <w:vAlign w:val="bottom"/>
          </w:tcPr>
          <w:p>
            <w:pPr>
              <w:spacing w:after="0"/>
              <w:rPr>
                <w:sz w:val="1"/>
                <w:szCs w:val="1"/>
                <w:color w:val="auto"/>
              </w:rPr>
            </w:pPr>
          </w:p>
        </w:tc>
      </w:tr>
      <w:tr>
        <w:trPr>
          <w:trHeight w:val="115"/>
        </w:trPr>
        <w:tc>
          <w:tcPr>
            <w:tcW w:w="31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95"/>
              </w:rPr>
              <w:t>method</w:t>
            </w: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00" w:type="dxa"/>
            <w:vAlign w:val="bottom"/>
            <w:gridSpan w:val="2"/>
            <w:vMerge w:val="continue"/>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00" w:type="dxa"/>
            <w:vAlign w:val="bottom"/>
          </w:tcPr>
          <w:p>
            <w:pPr>
              <w:spacing w:after="0"/>
              <w:rPr>
                <w:sz w:val="23"/>
                <w:szCs w:val="23"/>
                <w:color w:val="auto"/>
              </w:rPr>
            </w:pPr>
          </w:p>
        </w:tc>
        <w:tc>
          <w:tcPr>
            <w:tcW w:w="2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Relief from Royalty</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17.3 years</w:t>
            </w:r>
          </w:p>
        </w:tc>
        <w:tc>
          <w:tcPr>
            <w:tcW w:w="0" w:type="dxa"/>
            <w:vAlign w:val="bottom"/>
          </w:tcPr>
          <w:p>
            <w:pPr>
              <w:spacing w:after="0"/>
              <w:rPr>
                <w:sz w:val="1"/>
                <w:szCs w:val="1"/>
                <w:color w:val="auto"/>
              </w:rPr>
            </w:pPr>
          </w:p>
        </w:tc>
      </w:tr>
      <w:tr>
        <w:trPr>
          <w:trHeight w:val="26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Affiliate relationships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0" w:type="dxa"/>
            <w:vAlign w:val="bottom"/>
          </w:tcPr>
          <w:p>
            <w:pPr>
              <w:spacing w:after="0"/>
              <w:rPr>
                <w:sz w:val="23"/>
                <w:szCs w:val="23"/>
                <w:color w:val="auto"/>
              </w:rPr>
            </w:pPr>
          </w:p>
        </w:tc>
        <w:tc>
          <w:tcPr>
            <w:tcW w:w="2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Multi-period excess earnings</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 years</w:t>
            </w:r>
          </w:p>
        </w:tc>
        <w:tc>
          <w:tcPr>
            <w:tcW w:w="0" w:type="dxa"/>
            <w:vAlign w:val="bottom"/>
          </w:tcPr>
          <w:p>
            <w:pPr>
              <w:spacing w:after="0"/>
              <w:rPr>
                <w:sz w:val="1"/>
                <w:szCs w:val="1"/>
                <w:color w:val="auto"/>
              </w:rPr>
            </w:pPr>
          </w:p>
        </w:tc>
      </w:tr>
      <w:tr>
        <w:trPr>
          <w:trHeight w:val="26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Subscriber relationships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0" w:type="dxa"/>
            <w:vAlign w:val="bottom"/>
          </w:tcPr>
          <w:p>
            <w:pPr>
              <w:spacing w:after="0"/>
              <w:rPr>
                <w:sz w:val="23"/>
                <w:szCs w:val="23"/>
                <w:color w:val="auto"/>
              </w:rPr>
            </w:pPr>
          </w:p>
        </w:tc>
        <w:tc>
          <w:tcPr>
            <w:tcW w:w="2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Replacement cost</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 years</w:t>
            </w:r>
          </w:p>
        </w:tc>
        <w:tc>
          <w:tcPr>
            <w:tcW w:w="0" w:type="dxa"/>
            <w:vAlign w:val="bottom"/>
          </w:tcPr>
          <w:p>
            <w:pPr>
              <w:spacing w:after="0"/>
              <w:rPr>
                <w:sz w:val="1"/>
                <w:szCs w:val="1"/>
                <w:color w:val="auto"/>
              </w:rPr>
            </w:pPr>
          </w:p>
        </w:tc>
      </w:tr>
      <w:tr>
        <w:trPr>
          <w:trHeight w:val="26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Franchises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0" w:type="dxa"/>
            <w:vAlign w:val="bottom"/>
          </w:tcPr>
          <w:p>
            <w:pPr>
              <w:spacing w:after="0"/>
              <w:rPr>
                <w:sz w:val="23"/>
                <w:szCs w:val="23"/>
                <w:color w:val="auto"/>
              </w:rPr>
            </w:pPr>
          </w:p>
        </w:tc>
        <w:tc>
          <w:tcPr>
            <w:tcW w:w="2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Discounted cash flow</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 years</w:t>
            </w:r>
          </w:p>
        </w:tc>
        <w:tc>
          <w:tcPr>
            <w:tcW w:w="0" w:type="dxa"/>
            <w:vAlign w:val="bottom"/>
          </w:tcPr>
          <w:p>
            <w:pPr>
              <w:spacing w:after="0"/>
              <w:rPr>
                <w:sz w:val="1"/>
                <w:szCs w:val="1"/>
                <w:color w:val="auto"/>
              </w:rPr>
            </w:pPr>
          </w:p>
        </w:tc>
      </w:tr>
      <w:tr>
        <w:trPr>
          <w:trHeight w:val="26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tcPr>
          <w:p>
            <w:pPr>
              <w:spacing w:after="0"/>
              <w:rPr>
                <w:sz w:val="23"/>
                <w:szCs w:val="23"/>
                <w:color w:val="auto"/>
              </w:rPr>
            </w:pPr>
          </w:p>
        </w:tc>
        <w:tc>
          <w:tcPr>
            <w:tcW w:w="2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Replacement cost</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years</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94" w:hanging="217"/>
        <w:spacing w:after="0"/>
        <w:tabs>
          <w:tab w:leader="none" w:pos="694"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was determined based on quoted prices in active markets.</w:t>
      </w:r>
    </w:p>
    <w:p>
      <w:pPr>
        <w:spacing w:after="0" w:line="107" w:lineRule="exact"/>
        <w:rPr>
          <w:rFonts w:ascii="Times New Roman" w:cs="Times New Roman" w:eastAsia="Times New Roman" w:hAnsi="Times New Roman"/>
          <w:sz w:val="16"/>
          <w:szCs w:val="16"/>
          <w:color w:val="auto"/>
        </w:rPr>
      </w:pPr>
    </w:p>
    <w:p>
      <w:pPr>
        <w:ind w:left="714" w:right="140" w:hanging="237"/>
        <w:spacing w:after="0" w:line="272" w:lineRule="auto"/>
        <w:tabs>
          <w:tab w:leader="none" w:pos="701"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was determined based on a remeasurement of the obligation using actuarial assumptions. Key valuation inputs included discount rates and mortality assumptions.</w:t>
      </w:r>
    </w:p>
    <w:p>
      <w:pPr>
        <w:spacing w:after="0" w:line="73" w:lineRule="exact"/>
        <w:rPr>
          <w:rFonts w:ascii="Times New Roman" w:cs="Times New Roman" w:eastAsia="Times New Roman" w:hAnsi="Times New Roman"/>
          <w:sz w:val="16"/>
          <w:szCs w:val="16"/>
          <w:color w:val="auto"/>
        </w:rPr>
      </w:pPr>
    </w:p>
    <w:p>
      <w:pPr>
        <w:ind w:left="694" w:hanging="217"/>
        <w:spacing w:after="0"/>
        <w:tabs>
          <w:tab w:leader="none" w:pos="694"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“Programming Obligations” include $520 million recorded to establish liabilities for unfavorable contractual arrangements.</w:t>
      </w:r>
    </w:p>
    <w:p>
      <w:pPr>
        <w:spacing w:after="0" w:line="107" w:lineRule="exact"/>
        <w:rPr>
          <w:rFonts w:ascii="Times New Roman" w:cs="Times New Roman" w:eastAsia="Times New Roman" w:hAnsi="Times New Roman"/>
          <w:sz w:val="16"/>
          <w:szCs w:val="16"/>
          <w:color w:val="auto"/>
        </w:rPr>
      </w:pPr>
    </w:p>
    <w:p>
      <w:pPr>
        <w:jc w:val="both"/>
        <w:ind w:left="714" w:right="140" w:hanging="237"/>
        <w:spacing w:after="0" w:line="266" w:lineRule="auto"/>
        <w:tabs>
          <w:tab w:leader="none" w:pos="702"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estimated fair value of Paramount Global’s contingent liabilities as of August 7, 2025 was $1.4 billion, which relate principally to the defense and settlement of lawsuits claiming various personal injuries related to exposure to asbestos as well as claims from federal and state environmental regulatory agencies and other entities asserting liability for environmental cleanup costs and related damages (see Note 18).</w:t>
      </w:r>
    </w:p>
    <w:p>
      <w:pPr>
        <w:spacing w:after="0" w:line="10" w:lineRule="exact"/>
        <w:rPr>
          <w:rFonts w:ascii="Times New Roman" w:cs="Times New Roman" w:eastAsia="Times New Roman" w:hAnsi="Times New Roman"/>
          <w:sz w:val="16"/>
          <w:szCs w:val="16"/>
          <w:color w:val="auto"/>
        </w:rPr>
      </w:pPr>
    </w:p>
    <w:p>
      <w:pPr>
        <w:ind w:left="674" w:hanging="197"/>
        <w:spacing w:after="0"/>
        <w:tabs>
          <w:tab w:leader="none" w:pos="674"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was determined based on a discounted cash flow analysis.</w:t>
      </w:r>
    </w:p>
    <w:p>
      <w:pPr>
        <w:spacing w:after="0" w:line="213" w:lineRule="exact"/>
        <w:rPr>
          <w:rFonts w:ascii="Times New Roman" w:cs="Times New Roman" w:eastAsia="Times New Roman" w:hAnsi="Times New Roman"/>
          <w:sz w:val="16"/>
          <w:szCs w:val="16"/>
          <w:color w:val="auto"/>
        </w:rPr>
      </w:pPr>
    </w:p>
    <w:p>
      <w:pPr>
        <w:ind w:left="214" w:hanging="214"/>
        <w:spacing w:after="0"/>
        <w:tabs>
          <w:tab w:leader="none" w:pos="214" w:val="left"/>
        </w:tabs>
        <w:numPr>
          <w:ilvl w:val="0"/>
          <w:numId w:val="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PROPERTY AND EQUIPMENT</w:t>
      </w:r>
    </w:p>
    <w:p>
      <w:pPr>
        <w:spacing w:after="0" w:line="186" w:lineRule="exact"/>
        <w:rPr>
          <w:sz w:val="20"/>
          <w:szCs w:val="20"/>
          <w:color w:val="auto"/>
        </w:rPr>
      </w:pPr>
    </w:p>
    <w:tbl>
      <w:tblPr>
        <w:tblLayout w:type="fixed"/>
        <w:tblInd w:w="114" w:type="dxa"/>
        <w:tblCellMar>
          <w:top w:w="0" w:type="dxa"/>
          <w:left w:w="0" w:type="dxa"/>
          <w:bottom w:w="0" w:type="dxa"/>
          <w:right w:w="0" w:type="dxa"/>
        </w:tblCellMar>
      </w:tblPr>
      <w:tr>
        <w:trPr>
          <w:trHeight w:val="266"/>
        </w:trPr>
        <w:tc>
          <w:tcPr>
            <w:tcW w:w="480" w:type="dxa"/>
            <w:vAlign w:val="bottom"/>
            <w:tcBorders>
              <w:top w:val="single" w:sz="8" w:color="auto"/>
            </w:tcBorders>
          </w:tcPr>
          <w:p>
            <w:pPr>
              <w:spacing w:after="0"/>
              <w:rPr>
                <w:sz w:val="23"/>
                <w:szCs w:val="23"/>
                <w:color w:val="auto"/>
              </w:rPr>
            </w:pPr>
          </w:p>
        </w:tc>
        <w:tc>
          <w:tcPr>
            <w:tcW w:w="44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360" w:type="dxa"/>
            <w:vAlign w:val="bottom"/>
            <w:tcBorders>
              <w:top w:val="single" w:sz="8" w:color="auto"/>
              <w:right w:val="single" w:sz="8" w:color="auto"/>
            </w:tcBorders>
            <w:gridSpan w:val="2"/>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46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5"/>
              </w:rPr>
              <w:t>Predecessor</w:t>
            </w:r>
          </w:p>
        </w:tc>
        <w:tc>
          <w:tcPr>
            <w:tcW w:w="0" w:type="dxa"/>
            <w:vAlign w:val="bottom"/>
          </w:tcPr>
          <w:p>
            <w:pPr>
              <w:spacing w:after="0"/>
              <w:rPr>
                <w:sz w:val="1"/>
                <w:szCs w:val="1"/>
                <w:color w:val="auto"/>
              </w:rPr>
            </w:pPr>
          </w:p>
        </w:tc>
      </w:tr>
      <w:tr>
        <w:trPr>
          <w:trHeight w:val="25"/>
        </w:trPr>
        <w:tc>
          <w:tcPr>
            <w:tcW w:w="4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Borders>
              <w:right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rPr>
              <w:t>929</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65"/>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Borders>
              <w:right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rPr>
              <w:t>504</w:t>
            </w:r>
          </w:p>
        </w:tc>
        <w:tc>
          <w:tcPr>
            <w:tcW w:w="4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65"/>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 and other</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Borders>
              <w:right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rPr>
              <w:t>872</w:t>
            </w:r>
          </w:p>
        </w:tc>
        <w:tc>
          <w:tcPr>
            <w:tcW w:w="4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3,987</w:t>
            </w:r>
          </w:p>
        </w:tc>
        <w:tc>
          <w:tcPr>
            <w:tcW w:w="0" w:type="dxa"/>
            <w:vAlign w:val="bottom"/>
          </w:tcPr>
          <w:p>
            <w:pPr>
              <w:spacing w:after="0"/>
              <w:rPr>
                <w:sz w:val="1"/>
                <w:szCs w:val="1"/>
                <w:color w:val="auto"/>
              </w:rPr>
            </w:pPr>
          </w:p>
        </w:tc>
      </w:tr>
      <w:tr>
        <w:trPr>
          <w:trHeight w:val="25"/>
        </w:trPr>
        <w:tc>
          <w:tcPr>
            <w:tcW w:w="4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Borders>
              <w:right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rPr>
              <w:t>2,305</w:t>
            </w:r>
          </w:p>
        </w:tc>
        <w:tc>
          <w:tcPr>
            <w:tcW w:w="46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5,246</w:t>
            </w:r>
          </w:p>
        </w:tc>
        <w:tc>
          <w:tcPr>
            <w:tcW w:w="0" w:type="dxa"/>
            <w:vAlign w:val="bottom"/>
          </w:tcPr>
          <w:p>
            <w:pPr>
              <w:spacing w:after="0"/>
              <w:rPr>
                <w:sz w:val="1"/>
                <w:szCs w:val="1"/>
                <w:color w:val="auto"/>
              </w:rPr>
            </w:pPr>
          </w:p>
        </w:tc>
      </w:tr>
      <w:tr>
        <w:trPr>
          <w:trHeight w:val="265"/>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Borders>
              <w:right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rPr>
              <w:t>110</w:t>
            </w:r>
          </w:p>
        </w:tc>
        <w:tc>
          <w:tcPr>
            <w:tcW w:w="4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3,680</w:t>
            </w:r>
          </w:p>
        </w:tc>
        <w:tc>
          <w:tcPr>
            <w:tcW w:w="0" w:type="dxa"/>
            <w:vAlign w:val="bottom"/>
          </w:tcPr>
          <w:p>
            <w:pPr>
              <w:spacing w:after="0"/>
              <w:rPr>
                <w:sz w:val="1"/>
                <w:szCs w:val="1"/>
                <w:color w:val="auto"/>
              </w:rPr>
            </w:pPr>
          </w:p>
        </w:tc>
      </w:tr>
      <w:tr>
        <w:trPr>
          <w:trHeight w:val="25"/>
        </w:trPr>
        <w:tc>
          <w:tcPr>
            <w:tcW w:w="4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Borders>
              <w:right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rPr>
              <w:t>2,195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32"/>
        </w:trPr>
        <w:tc>
          <w:tcPr>
            <w:tcW w:w="4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80" w:type="dxa"/>
            <w:vAlign w:val="bottom"/>
          </w:tcPr>
          <w:p>
            <w:pPr>
              <w:spacing w:after="0"/>
              <w:rPr>
                <w:sz w:val="22"/>
                <w:szCs w:val="22"/>
                <w:color w:val="auto"/>
              </w:rPr>
            </w:pPr>
          </w:p>
        </w:tc>
        <w:tc>
          <w:tcPr>
            <w:tcW w:w="44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ind w:right="378"/>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60" w:type="dxa"/>
            <w:vAlign w:val="bottom"/>
            <w:tcBorders>
              <w:right w:val="single" w:sz="8" w:color="auto"/>
            </w:tcBorders>
            <w:gridSpan w:val="2"/>
            <w:vMerge w:val="restart"/>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Period From August</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560" w:type="dxa"/>
            <w:vAlign w:val="bottom"/>
            <w:tcBorders>
              <w:right w:val="single" w:sz="8" w:color="auto"/>
            </w:tcBorders>
            <w:gridSpan w:val="2"/>
            <w:vMerge w:val="continue"/>
          </w:tcPr>
          <w:p>
            <w:pPr>
              <w:spacing w:after="0"/>
              <w:rPr>
                <w:sz w:val="16"/>
                <w:szCs w:val="16"/>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560" w:type="dxa"/>
            <w:vAlign w:val="bottom"/>
            <w:tcBorders>
              <w:right w:val="single" w:sz="8" w:color="auto"/>
            </w:tcBorders>
            <w:gridSpan w:val="2"/>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7 - December 31,</w:t>
            </w:r>
          </w:p>
        </w:tc>
        <w:tc>
          <w:tcPr>
            <w:tcW w:w="460" w:type="dxa"/>
            <w:vAlign w:val="bottom"/>
          </w:tcPr>
          <w:p>
            <w:pPr>
              <w:spacing w:after="0"/>
              <w:rPr>
                <w:sz w:val="19"/>
                <w:szCs w:val="19"/>
                <w:color w:val="auto"/>
              </w:rPr>
            </w:pP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80" w:type="dxa"/>
            <w:vAlign w:val="bottom"/>
            <w:gridSpan w:val="4"/>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right w:val="single" w:sz="8" w:color="auto"/>
            </w:tcBorders>
          </w:tcPr>
          <w:p>
            <w:pPr>
              <w:jc w:val="center"/>
              <w:ind w:right="39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318"/>
              <w:spacing w:after="0"/>
              <w:rPr>
                <w:sz w:val="20"/>
                <w:szCs w:val="20"/>
                <w:color w:val="auto"/>
              </w:rPr>
            </w:pPr>
            <w:r>
              <w:rPr>
                <w:rFonts w:ascii="Times New Roman" w:cs="Times New Roman" w:eastAsia="Times New Roman" w:hAnsi="Times New Roman"/>
                <w:sz w:val="18"/>
                <w:szCs w:val="18"/>
                <w:color w:val="auto"/>
              </w:rPr>
              <w:t>97</w:t>
            </w:r>
          </w:p>
        </w:tc>
        <w:tc>
          <w:tcPr>
            <w:tcW w:w="4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364</w:t>
            </w:r>
          </w:p>
        </w:tc>
        <w:tc>
          <w:tcPr>
            <w:tcW w:w="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8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34"/>
          </w:cols>
          <w:pgMar w:left="326" w:top="735" w:right="439" w:bottom="1440" w:gutter="0" w:footer="0" w:header="0"/>
        </w:sectPr>
      </w:pPr>
    </w:p>
    <w:bookmarkStart w:id="91" w:name="page92"/>
    <w:bookmarkEnd w:id="91"/>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 PROGRAMMING AND OTHER INVENTORY</w:t>
      </w:r>
    </w:p>
    <w:p>
      <w:pPr>
        <w:spacing w:after="0" w:line="157"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following table presents our programming and other inventory at December 31, 2025 and 2024, grouped by type and predominant monetization strategy.</w:t>
      </w:r>
    </w:p>
    <w:p>
      <w:pPr>
        <w:spacing w:after="0" w:line="93" w:lineRule="exact"/>
        <w:rPr>
          <w:sz w:val="20"/>
          <w:szCs w:val="20"/>
          <w:color w:val="auto"/>
        </w:rPr>
      </w:pPr>
    </w:p>
    <w:tbl>
      <w:tblPr>
        <w:tblLayout w:type="fixed"/>
        <w:tblInd w:w="740" w:type="dxa"/>
        <w:tblCellMar>
          <w:top w:w="0" w:type="dxa"/>
          <w:left w:w="0" w:type="dxa"/>
          <w:bottom w:w="0" w:type="dxa"/>
          <w:right w:w="0" w:type="dxa"/>
        </w:tblCellMar>
      </w:tblPr>
      <w:tr>
        <w:trPr>
          <w:trHeight w:val="266"/>
        </w:trPr>
        <w:tc>
          <w:tcPr>
            <w:tcW w:w="556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520" w:type="dxa"/>
            <w:vAlign w:val="bottom"/>
            <w:tcBorders>
              <w:top w:val="single" w:sz="8" w:color="auto"/>
              <w:right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64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5"/>
              </w:rPr>
              <w:t>Predecessor</w:t>
            </w:r>
          </w:p>
        </w:tc>
        <w:tc>
          <w:tcPr>
            <w:tcW w:w="0" w:type="dxa"/>
            <w:vAlign w:val="bottom"/>
          </w:tcPr>
          <w:p>
            <w:pPr>
              <w:spacing w:after="0"/>
              <w:rPr>
                <w:sz w:val="1"/>
                <w:szCs w:val="1"/>
                <w:color w:val="auto"/>
              </w:rPr>
            </w:pPr>
          </w:p>
        </w:tc>
      </w:tr>
      <w:tr>
        <w:trPr>
          <w:trHeight w:val="26"/>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56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1520" w:type="dxa"/>
            <w:vAlign w:val="bottom"/>
            <w:tcBorders>
              <w:right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20"/>
                <w:szCs w:val="20"/>
                <w:color w:val="auto"/>
              </w:rPr>
            </w:pPr>
          </w:p>
        </w:tc>
        <w:tc>
          <w:tcPr>
            <w:tcW w:w="146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
        </w:trPr>
        <w:tc>
          <w:tcPr>
            <w:tcW w:w="5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Film Group Monetization:</w:t>
            </w:r>
          </w:p>
        </w:tc>
        <w:tc>
          <w:tcPr>
            <w:tcW w:w="60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Licensed program rights, including prepaid sports rights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2,877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3,168</w:t>
            </w:r>
          </w:p>
        </w:tc>
        <w:tc>
          <w:tcPr>
            <w:tcW w:w="0" w:type="dxa"/>
            <w:vAlign w:val="bottom"/>
          </w:tcPr>
          <w:p>
            <w:pPr>
              <w:spacing w:after="0"/>
              <w:rPr>
                <w:sz w:val="1"/>
                <w:szCs w:val="1"/>
                <w:color w:val="auto"/>
              </w:rPr>
            </w:pPr>
          </w:p>
        </w:tc>
      </w:tr>
      <w:tr>
        <w:trPr>
          <w:trHeight w:val="26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Produced television and film programming:</w:t>
            </w:r>
          </w:p>
        </w:tc>
        <w:tc>
          <w:tcPr>
            <w:tcW w:w="600" w:type="dxa"/>
            <w:vAlign w:val="bottom"/>
          </w:tcPr>
          <w:p>
            <w:pPr>
              <w:spacing w:after="0"/>
              <w:rPr>
                <w:sz w:val="23"/>
                <w:szCs w:val="23"/>
                <w:color w:val="auto"/>
              </w:rPr>
            </w:pPr>
          </w:p>
        </w:tc>
        <w:tc>
          <w:tcPr>
            <w:tcW w:w="1520" w:type="dxa"/>
            <w:vAlign w:val="bottom"/>
            <w:tcBorders>
              <w:right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Released</w:t>
            </w:r>
          </w:p>
        </w:tc>
        <w:tc>
          <w:tcPr>
            <w:tcW w:w="600" w:type="dxa"/>
            <w:vAlign w:val="bottom"/>
          </w:tcPr>
          <w:p>
            <w:pPr>
              <w:spacing w:after="0"/>
              <w:rPr>
                <w:sz w:val="23"/>
                <w:szCs w:val="23"/>
                <w:color w:val="auto"/>
              </w:rPr>
            </w:pPr>
          </w:p>
        </w:tc>
        <w:tc>
          <w:tcPr>
            <w:tcW w:w="1520" w:type="dxa"/>
            <w:vAlign w:val="bottom"/>
            <w:tcBorders>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9,107</w:t>
            </w:r>
          </w:p>
        </w:tc>
        <w:tc>
          <w:tcPr>
            <w:tcW w:w="640" w:type="dxa"/>
            <w:vAlign w:val="bottom"/>
          </w:tcPr>
          <w:p>
            <w:pPr>
              <w:spacing w:after="0"/>
              <w:rPr>
                <w:sz w:val="23"/>
                <w:szCs w:val="23"/>
                <w:color w:val="auto"/>
              </w:rPr>
            </w:pP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6,847</w:t>
            </w:r>
          </w:p>
        </w:tc>
        <w:tc>
          <w:tcPr>
            <w:tcW w:w="0" w:type="dxa"/>
            <w:vAlign w:val="bottom"/>
          </w:tcPr>
          <w:p>
            <w:pPr>
              <w:spacing w:after="0"/>
              <w:rPr>
                <w:sz w:val="1"/>
                <w:szCs w:val="1"/>
                <w:color w:val="auto"/>
              </w:rPr>
            </w:pPr>
          </w:p>
        </w:tc>
      </w:tr>
      <w:tr>
        <w:trPr>
          <w:trHeight w:val="265"/>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process and other</w:t>
            </w:r>
          </w:p>
        </w:tc>
        <w:tc>
          <w:tcPr>
            <w:tcW w:w="600" w:type="dxa"/>
            <w:vAlign w:val="bottom"/>
          </w:tcPr>
          <w:p>
            <w:pPr>
              <w:spacing w:after="0"/>
              <w:rPr>
                <w:sz w:val="23"/>
                <w:szCs w:val="23"/>
                <w:color w:val="auto"/>
              </w:rPr>
            </w:pPr>
          </w:p>
        </w:tc>
        <w:tc>
          <w:tcPr>
            <w:tcW w:w="1520" w:type="dxa"/>
            <w:vAlign w:val="bottom"/>
            <w:tcBorders>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1,935</w:t>
            </w:r>
          </w:p>
        </w:tc>
        <w:tc>
          <w:tcPr>
            <w:tcW w:w="640" w:type="dxa"/>
            <w:vAlign w:val="bottom"/>
          </w:tcPr>
          <w:p>
            <w:pPr>
              <w:spacing w:after="0"/>
              <w:rPr>
                <w:sz w:val="23"/>
                <w:szCs w:val="23"/>
                <w:color w:val="auto"/>
              </w:rPr>
            </w:pP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318"/>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Individual Monetization:</w:t>
            </w:r>
          </w:p>
        </w:tc>
        <w:tc>
          <w:tcPr>
            <w:tcW w:w="60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Produced television and film programming:</w:t>
            </w:r>
          </w:p>
        </w:tc>
        <w:tc>
          <w:tcPr>
            <w:tcW w:w="600" w:type="dxa"/>
            <w:vAlign w:val="bottom"/>
          </w:tcPr>
          <w:p>
            <w:pPr>
              <w:spacing w:after="0"/>
              <w:rPr>
                <w:sz w:val="23"/>
                <w:szCs w:val="23"/>
                <w:color w:val="auto"/>
              </w:rPr>
            </w:pPr>
          </w:p>
        </w:tc>
        <w:tc>
          <w:tcPr>
            <w:tcW w:w="1520" w:type="dxa"/>
            <w:vAlign w:val="bottom"/>
            <w:tcBorders>
              <w:right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Released</w:t>
            </w:r>
          </w:p>
        </w:tc>
        <w:tc>
          <w:tcPr>
            <w:tcW w:w="600" w:type="dxa"/>
            <w:vAlign w:val="bottom"/>
          </w:tcPr>
          <w:p>
            <w:pPr>
              <w:spacing w:after="0"/>
              <w:rPr>
                <w:sz w:val="23"/>
                <w:szCs w:val="23"/>
                <w:color w:val="auto"/>
              </w:rPr>
            </w:pPr>
          </w:p>
        </w:tc>
        <w:tc>
          <w:tcPr>
            <w:tcW w:w="1520" w:type="dxa"/>
            <w:vAlign w:val="bottom"/>
            <w:tcBorders>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1,005</w:t>
            </w:r>
          </w:p>
        </w:tc>
        <w:tc>
          <w:tcPr>
            <w:tcW w:w="640" w:type="dxa"/>
            <w:vAlign w:val="bottom"/>
          </w:tcPr>
          <w:p>
            <w:pPr>
              <w:spacing w:after="0"/>
              <w:rPr>
                <w:sz w:val="23"/>
                <w:szCs w:val="23"/>
                <w:color w:val="auto"/>
              </w:rPr>
            </w:pP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65"/>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Completed, not yet released</w:t>
            </w:r>
          </w:p>
        </w:tc>
        <w:tc>
          <w:tcPr>
            <w:tcW w:w="600" w:type="dxa"/>
            <w:vAlign w:val="bottom"/>
          </w:tcPr>
          <w:p>
            <w:pPr>
              <w:spacing w:after="0"/>
              <w:rPr>
                <w:sz w:val="23"/>
                <w:szCs w:val="23"/>
                <w:color w:val="auto"/>
              </w:rPr>
            </w:pPr>
          </w:p>
        </w:tc>
        <w:tc>
          <w:tcPr>
            <w:tcW w:w="1520" w:type="dxa"/>
            <w:vAlign w:val="bottom"/>
            <w:tcBorders>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27</w:t>
            </w:r>
          </w:p>
        </w:tc>
        <w:tc>
          <w:tcPr>
            <w:tcW w:w="640" w:type="dxa"/>
            <w:vAlign w:val="bottom"/>
          </w:tcPr>
          <w:p>
            <w:pPr>
              <w:spacing w:after="0"/>
              <w:rPr>
                <w:sz w:val="23"/>
                <w:szCs w:val="23"/>
                <w:color w:val="auto"/>
              </w:rPr>
            </w:pP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65"/>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process and other</w:t>
            </w:r>
          </w:p>
        </w:tc>
        <w:tc>
          <w:tcPr>
            <w:tcW w:w="600" w:type="dxa"/>
            <w:vAlign w:val="bottom"/>
          </w:tcPr>
          <w:p>
            <w:pPr>
              <w:spacing w:after="0"/>
              <w:rPr>
                <w:sz w:val="23"/>
                <w:szCs w:val="23"/>
                <w:color w:val="auto"/>
              </w:rPr>
            </w:pPr>
          </w:p>
        </w:tc>
        <w:tc>
          <w:tcPr>
            <w:tcW w:w="1520" w:type="dxa"/>
            <w:vAlign w:val="bottom"/>
            <w:tcBorders>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1,526</w:t>
            </w:r>
          </w:p>
        </w:tc>
        <w:tc>
          <w:tcPr>
            <w:tcW w:w="640" w:type="dxa"/>
            <w:vAlign w:val="bottom"/>
          </w:tcPr>
          <w:p>
            <w:pPr>
              <w:spacing w:after="0"/>
              <w:rPr>
                <w:sz w:val="23"/>
                <w:szCs w:val="23"/>
                <w:color w:val="auto"/>
              </w:rPr>
            </w:pP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6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Home entertainment</w:t>
            </w:r>
          </w:p>
        </w:tc>
        <w:tc>
          <w:tcPr>
            <w:tcW w:w="600" w:type="dxa"/>
            <w:vAlign w:val="bottom"/>
          </w:tcPr>
          <w:p>
            <w:pPr>
              <w:spacing w:after="0"/>
              <w:rPr>
                <w:sz w:val="23"/>
                <w:szCs w:val="23"/>
                <w:color w:val="auto"/>
              </w:rPr>
            </w:pPr>
          </w:p>
        </w:tc>
        <w:tc>
          <w:tcPr>
            <w:tcW w:w="1520" w:type="dxa"/>
            <w:vAlign w:val="bottom"/>
            <w:tcBorders>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Pr>
          <w:p>
            <w:pPr>
              <w:spacing w:after="0"/>
              <w:rPr>
                <w:sz w:val="23"/>
                <w:szCs w:val="23"/>
                <w:color w:val="auto"/>
              </w:rPr>
            </w:pP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5"/>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Game development</w:t>
            </w:r>
          </w:p>
        </w:tc>
        <w:tc>
          <w:tcPr>
            <w:tcW w:w="600" w:type="dxa"/>
            <w:vAlign w:val="bottom"/>
          </w:tcPr>
          <w:p>
            <w:pPr>
              <w:spacing w:after="0"/>
              <w:rPr>
                <w:sz w:val="23"/>
                <w:szCs w:val="23"/>
                <w:color w:val="auto"/>
              </w:rPr>
            </w:pPr>
          </w:p>
        </w:tc>
        <w:tc>
          <w:tcPr>
            <w:tcW w:w="1520" w:type="dxa"/>
            <w:vAlign w:val="bottom"/>
            <w:tcBorders>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tcPr>
          <w:p>
            <w:pPr>
              <w:spacing w:after="0"/>
              <w:rPr>
                <w:sz w:val="23"/>
                <w:szCs w:val="23"/>
                <w:color w:val="auto"/>
              </w:rPr>
            </w:pP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5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programming and other inventory</w:t>
            </w:r>
          </w:p>
        </w:tc>
        <w:tc>
          <w:tcPr>
            <w:tcW w:w="600" w:type="dxa"/>
            <w:vAlign w:val="bottom"/>
          </w:tcPr>
          <w:p>
            <w:pPr>
              <w:spacing w:after="0"/>
              <w:rPr>
                <w:sz w:val="20"/>
                <w:szCs w:val="20"/>
                <w:color w:val="auto"/>
              </w:rPr>
            </w:pPr>
          </w:p>
        </w:tc>
        <w:tc>
          <w:tcPr>
            <w:tcW w:w="1520" w:type="dxa"/>
            <w:vAlign w:val="bottom"/>
            <w:tcBorders>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16,489</w:t>
            </w:r>
          </w:p>
        </w:tc>
        <w:tc>
          <w:tcPr>
            <w:tcW w:w="640" w:type="dxa"/>
            <w:vAlign w:val="bottom"/>
          </w:tcPr>
          <w:p>
            <w:pPr>
              <w:spacing w:after="0"/>
              <w:rPr>
                <w:sz w:val="20"/>
                <w:szCs w:val="20"/>
                <w:color w:val="auto"/>
              </w:rPr>
            </w:pP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15,353</w:t>
            </w:r>
          </w:p>
        </w:tc>
        <w:tc>
          <w:tcPr>
            <w:tcW w:w="0" w:type="dxa"/>
            <w:vAlign w:val="bottom"/>
          </w:tcPr>
          <w:p>
            <w:pPr>
              <w:spacing w:after="0"/>
              <w:rPr>
                <w:sz w:val="1"/>
                <w:szCs w:val="1"/>
                <w:color w:val="auto"/>
              </w:rPr>
            </w:pPr>
          </w:p>
        </w:tc>
      </w:tr>
      <w:tr>
        <w:trPr>
          <w:trHeight w:val="265"/>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current portion</w:t>
            </w:r>
          </w:p>
        </w:tc>
        <w:tc>
          <w:tcPr>
            <w:tcW w:w="600" w:type="dxa"/>
            <w:vAlign w:val="bottom"/>
          </w:tcPr>
          <w:p>
            <w:pPr>
              <w:spacing w:after="0"/>
              <w:rPr>
                <w:sz w:val="23"/>
                <w:szCs w:val="23"/>
                <w:color w:val="auto"/>
              </w:rPr>
            </w:pPr>
          </w:p>
        </w:tc>
        <w:tc>
          <w:tcPr>
            <w:tcW w:w="1520" w:type="dxa"/>
            <w:vAlign w:val="bottom"/>
            <w:tcBorders>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1,461</w:t>
            </w:r>
          </w:p>
        </w:tc>
        <w:tc>
          <w:tcPr>
            <w:tcW w:w="640" w:type="dxa"/>
            <w:vAlign w:val="bottom"/>
          </w:tcPr>
          <w:p>
            <w:pPr>
              <w:spacing w:after="0"/>
              <w:rPr>
                <w:sz w:val="23"/>
                <w:szCs w:val="23"/>
                <w:color w:val="auto"/>
              </w:rPr>
            </w:pP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5"/>
        </w:trPr>
        <w:tc>
          <w:tcPr>
            <w:tcW w:w="5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programming and other inventory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15,028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13,924</w:t>
            </w:r>
          </w:p>
        </w:tc>
        <w:tc>
          <w:tcPr>
            <w:tcW w:w="0" w:type="dxa"/>
            <w:vAlign w:val="bottom"/>
          </w:tcPr>
          <w:p>
            <w:pPr>
              <w:spacing w:after="0"/>
              <w:rPr>
                <w:sz w:val="1"/>
                <w:szCs w:val="1"/>
                <w:color w:val="auto"/>
              </w:rPr>
            </w:pPr>
          </w:p>
        </w:tc>
      </w:tr>
      <w:tr>
        <w:trPr>
          <w:trHeight w:val="32"/>
        </w:trPr>
        <w:tc>
          <w:tcPr>
            <w:tcW w:w="5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300" w:lineRule="auto"/>
        <w:rPr>
          <w:sz w:val="20"/>
          <w:szCs w:val="20"/>
          <w:color w:val="auto"/>
        </w:rPr>
      </w:pPr>
      <w:r>
        <w:rPr>
          <w:rFonts w:ascii="Times New Roman" w:cs="Times New Roman" w:eastAsia="Times New Roman" w:hAnsi="Times New Roman"/>
          <w:sz w:val="19"/>
          <w:szCs w:val="19"/>
          <w:color w:val="auto"/>
        </w:rPr>
        <w:t>The following table presents amortization of our television and film programming and production costs, which is included within “Operating expenses” on the Consolidated Statements of Operations.</w:t>
      </w:r>
    </w:p>
    <w:p>
      <w:pPr>
        <w:spacing w:after="0" w:line="93" w:lineRule="exact"/>
        <w:rPr>
          <w:sz w:val="20"/>
          <w:szCs w:val="20"/>
          <w:color w:val="auto"/>
        </w:rPr>
      </w:pPr>
    </w:p>
    <w:tbl>
      <w:tblPr>
        <w:tblLayout w:type="fixed"/>
        <w:tblInd w:w="540" w:type="dxa"/>
        <w:tblCellMar>
          <w:top w:w="0" w:type="dxa"/>
          <w:left w:w="0" w:type="dxa"/>
          <w:bottom w:w="0" w:type="dxa"/>
          <w:right w:w="0" w:type="dxa"/>
        </w:tblCellMar>
      </w:tblPr>
      <w:tr>
        <w:trPr>
          <w:trHeight w:val="258"/>
        </w:trPr>
        <w:tc>
          <w:tcPr>
            <w:tcW w:w="464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r>
      <w:tr>
        <w:trPr>
          <w:trHeight w:val="196"/>
        </w:trPr>
        <w:tc>
          <w:tcPr>
            <w:tcW w:w="464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340" w:type="dxa"/>
            <w:vAlign w:val="bottom"/>
            <w:gridSpan w:val="2"/>
          </w:tcPr>
          <w:p>
            <w:pPr>
              <w:jc w:val="center"/>
              <w:ind w:left="35"/>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9"/>
        </w:trPr>
        <w:tc>
          <w:tcPr>
            <w:tcW w:w="4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Borders>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40" w:type="dxa"/>
            <w:vAlign w:val="bottom"/>
            <w:gridSpan w:val="2"/>
          </w:tcPr>
          <w:p>
            <w:pPr>
              <w:jc w:val="center"/>
              <w:ind w:left="35"/>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1"/>
        </w:trPr>
        <w:tc>
          <w:tcPr>
            <w:tcW w:w="4640" w:type="dxa"/>
            <w:vAlign w:val="bottom"/>
          </w:tcPr>
          <w:p>
            <w:pPr>
              <w:spacing w:after="0"/>
              <w:rPr>
                <w:sz w:val="19"/>
                <w:szCs w:val="19"/>
                <w:color w:val="auto"/>
              </w:rPr>
            </w:pPr>
          </w:p>
        </w:tc>
        <w:tc>
          <w:tcPr>
            <w:tcW w:w="1520" w:type="dxa"/>
            <w:vAlign w:val="bottom"/>
            <w:tcBorders>
              <w:bottom w:val="single" w:sz="8" w:color="auto"/>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2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4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Licensed program rights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2,242</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2,961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5,482</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w:t>
            </w:r>
          </w:p>
        </w:tc>
      </w:tr>
      <w:tr>
        <w:trPr>
          <w:trHeight w:val="29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Produced television and film</w:t>
            </w:r>
          </w:p>
        </w:tc>
        <w:tc>
          <w:tcPr>
            <w:tcW w:w="3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1"/>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programming, and acquired libraries:</w:t>
            </w:r>
          </w:p>
        </w:tc>
        <w:tc>
          <w:tcPr>
            <w:tcW w:w="3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5"/>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Individual monetization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1,100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810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1,608</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r>
      <w:tr>
        <w:trPr>
          <w:trHeight w:val="265"/>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group monetization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1,927</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3,193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4,898</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r>
      <w:tr>
        <w:trPr>
          <w:trHeight w:val="32"/>
        </w:trPr>
        <w:tc>
          <w:tcPr>
            <w:tcW w:w="4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following table presents the estimated expected amortization over each of the next three years of released programming inventory on the Consolidated Balance Sheet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71755</wp:posOffset>
            </wp:positionV>
            <wp:extent cx="668909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89090" cy="16510"/>
                    </a:xfrm>
                    <a:prstGeom prst="rect">
                      <a:avLst/>
                    </a:prstGeom>
                    <a:noFill/>
                  </pic:spPr>
                </pic:pic>
              </a:graphicData>
            </a:graphic>
          </wp:anchor>
        </w:drawing>
      </w:r>
    </w:p>
    <w:p>
      <w:pPr>
        <w:spacing w:after="0" w:line="125" w:lineRule="exact"/>
        <w:rPr>
          <w:sz w:val="20"/>
          <w:szCs w:val="20"/>
          <w:color w:val="auto"/>
        </w:rPr>
      </w:pPr>
    </w:p>
    <w:tbl>
      <w:tblPr>
        <w:tblLayout w:type="fixed"/>
        <w:tblInd w:w="520" w:type="dxa"/>
        <w:tblCellMar>
          <w:top w:w="0" w:type="dxa"/>
          <w:left w:w="0" w:type="dxa"/>
          <w:bottom w:w="0" w:type="dxa"/>
          <w:right w:w="0" w:type="dxa"/>
        </w:tblCellMar>
      </w:tblPr>
      <w:tr>
        <w:trPr>
          <w:trHeight w:val="233"/>
        </w:trPr>
        <w:tc>
          <w:tcPr>
            <w:tcW w:w="5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2027</w:t>
            </w:r>
          </w:p>
        </w:tc>
        <w:tc>
          <w:tcPr>
            <w:tcW w:w="42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2028</w:t>
            </w:r>
          </w:p>
        </w:tc>
      </w:tr>
      <w:tr>
        <w:trPr>
          <w:trHeight w:val="25"/>
        </w:trPr>
        <w:tc>
          <w:tcPr>
            <w:tcW w:w="5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Licensed program rights</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2,213</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396</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31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Produced television and film programming, and acquired libraries:</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5"/>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Individual monetization</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348</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183</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65"/>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group monetization</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2,803</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1,536</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32"/>
        </w:trPr>
        <w:tc>
          <w:tcPr>
            <w:tcW w:w="5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89"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During the year ending December 31, 2026, we expect to amortize approximately $15 million of our completed, not yet released film inventory, which is monetized on an individual basis.</w:t>
      </w:r>
    </w:p>
    <w:p>
      <w:pPr>
        <w:sectPr>
          <w:pgSz w:w="11900" w:h="16838" w:orient="portrait"/>
          <w:cols w:equalWidth="0" w:num="1">
            <w:col w:w="11240"/>
          </w:cols>
          <w:pgMar w:left="320" w:top="735" w:right="339" w:bottom="10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35" w:right="339" w:bottom="1077" w:gutter="0" w:footer="0" w:header="0"/>
          <w:type w:val="continuous"/>
        </w:sectPr>
      </w:pPr>
    </w:p>
    <w:bookmarkStart w:id="92" w:name="page93"/>
    <w:bookmarkEnd w:id="92"/>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At December 31, 2025, acquired film and television libraries are being amortized using accelerated amortization methods that are most reflective of the earnings process from such libraries through 2045.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Programming Charges</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During the fourth quarter of 2025, in connection with a review of our content portfolio following the closing of the Transactions, we decided to abandon certain Skydance content, principally development projects. As a result, we recorded programming charges totaling $41 million associated with this abandonment.</w:t>
      </w:r>
    </w:p>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Programming charges in the Predecessor periods totaling $1.12 billion in 2024 and $2.37 billion in 2023 were the result of major changes in content strategy associated with the integration of certain product offerings and a shift to a global programming strategy. These changes resulted in the removal of significant levels of content from our platforms, abandonment of development projects, and termination of programming agreements, particularly internationally, including locally-produced content and domestic titles that no longer aligned with a shift to a global programming strategy. The removal of this content from our platforms was a triggering event that required an assessment of whether the affected programming assets were impaired. This impairment review compared the current carrying value of each title with its fair value, which considered (1) that the titles were no longer being utilized on our platforms and there was no intention to use the titles on our platforms in the future and (2) the estimated future cash flows associated with any anticipated licensing of the titles to third parties, which was minimal. The 2024 programming charges were comprised of $909 million for the impairment of content to its estimated fair value, as well as $209 million for development cost write-offs and contract termination costs. The 2023 programming charges were comprised of $1.97 billion for the impairment of content to its estimated fair value and $402 million for development cost write-offs and contract termination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 GOODWILL AND OTHER INTANGIBLE ASSETS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Goodwill</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We perform fair value-based impairment tests of goodwill on an annual basis, and also between annual tests if an event occurs or if circumstances change that would more likely than not reduce the fair value of a reporting unit below its carrying value.</w:t>
      </w:r>
    </w:p>
    <w:p>
      <w:pPr>
        <w:spacing w:after="0" w:line="1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i w:val="1"/>
          <w:iCs w:val="1"/>
          <w:color w:val="auto"/>
        </w:rPr>
        <w:t>2025 Annual Impairment Test (Successor)</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For the 2025 annual impairment test, we performed qualitative assessments for all of our reporting units with goodwill balances. For each reporting unit, we weighed the relative impact of reporting-unit-specific, industry, and macroeconomic factors, and considered changes in each since the estimated fair values of the reporting units were determined in connection with the pushdown of the Ultimate Parent's basis as of August 7, 2025. The reporting unit specific factors that were considered included updated financial forecasts, actual performance and changes to the reporting units’ carrying amounts. We also considered significant industry trends and developments, as well as macroeconomic and market factors, including changes in interest rates and changes in our market capitalization.</w:t>
      </w:r>
    </w:p>
    <w:p>
      <w:pPr>
        <w:spacing w:after="0" w:line="20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Considering the aggregation of all relevant factors, including the proximity to the August 7, 2025 valuation, we concluded that it is not more likely than not that the fair values of our reporting units are less than their respective carrying values. Therefore, performing a quantitative impairment test for these reporting units was unnecessary.</w:t>
      </w:r>
    </w:p>
    <w:p>
      <w:pPr>
        <w:spacing w:after="0" w:line="1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i w:val="1"/>
          <w:iCs w:val="1"/>
          <w:color w:val="auto"/>
        </w:rPr>
        <w:t>2024 Impairment Tests (Predecessor)</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For the second quarter of 2024, the relevant factors that could impact the fair value of Paramount Global’s reporting units were assessed, including indicators in the linear affiliate marketplace and the estimated total company market value indicated by the Transactions and the NAI Transaction announced on July 7, 2024. Based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93" w:name="page94"/>
    <w:bookmarkEnd w:id="93"/>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on this assessment, an interim goodwill impairment test was performed for each reporting unit. The goodwill impairment test for the Cable Networks reporting unit indicated that an impairment charge of $5.98 billion was required, which represented the goodwill balance of the reporting unit prior to the impairment test. The impairment charge, which was recorded within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resulted from a downward adjustment to the reporting unit’s expected cash flows, primarily because of the linear affiliate market indicators noted above, and the estimated total company market value indicated by the Transactions and the NAI Transaction.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estimated fair value of our Cable Networks reporting unit was based on the discounted cash flow method. The discounted cash flow method, which estimates fair value based on the present value of future cash flows, requires us to make various assumptions regarding the timing and amount of these cash flows, including growth rates, operating margins and capital expenditures for a projection period, plus the terminal value of the business at the end of the projection period. The assumptions about future cash flows were based on our internal forecasts of the applicable reporting unit, which incorporated our long-term business plans and historical trends. The terminal value was estimated using a long-term growth rate, which was based on expected trends and projections for the relevant industry. A discount rate was determined for the reporting unit based on the risks of achieving the future cash flows, including risks applicable to the industry and market as a whole, as well as the capital structure of comparable entities. For the impairment test of our Cable Networks reporting unit, we utilized a discount rate of 11% and a terminal value that was based on a long-term growth rate of (3)%.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fair values of the remaining reporting units exceeded their respective carrying values and therefore no impairment charge was required.</w:t>
      </w:r>
    </w:p>
    <w:p>
      <w:pPr>
        <w:spacing w:after="0" w:line="25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For the 2024 and 2023 annual impairment tests, we performed qualitative assessments for all of our reporting units with goodwill balances and concluded that it was not more likely than not that the fair values of our reporting units were less than their respective carrying values.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FCC Licenses</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FCC licenses were historically classified as indefinite-lived intangible assets, which were tested for impairment on an annual basis and between annual tests if events occurred or circumstances changed that would more likely than not reduce the fair value below carrying value. However, as a result of sustained declines in industry projections, including in long-term growth rate assumptions, we reassessed this classification and determined that FCC licenses would be classified as finite-lived intangible assets. Accordingly, during the third quarter of 2025, we began amortizing FCC licenses on a straight-line basis over a period of 30 years.</w:t>
      </w:r>
    </w:p>
    <w:p>
      <w:pPr>
        <w:spacing w:after="0" w:line="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i w:val="1"/>
          <w:iCs w:val="1"/>
          <w:color w:val="auto"/>
        </w:rPr>
        <w:t>Interim Impairment Tests (Predecessor)</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During each of the Predecessor periods presented, we had 14 television markets with FCC licenses book values. Quantitative impairment tests for our FCC licenses were performed using the Greenfield Discounted Cash Flow Method (“Greenfield Method”). We consider each geographic market, which is comprised of all of our television stations within that geographic market, to be a single unit of accounting because the FCC licenses at this level represent their highest and best use, and accordingly FCC licenses were tested for impairment at the geographic market level. The Greenfield Method estimates the fair values of FCC licenses by valuing a hypothetical start-up station in the relevant market by adding discounted cash flows over a five-year build-up period to a residual value. The assumptions for the build-up period include industry projections of overall market revenues; the start-up station’s operating costs and capital expenditures, which are based on both industry and internal data; and average market share. The discount rate is determined based on the industry and market-based risk of achieving the projected cash flows, and the residual value is calculated using a long-term growth rate, which is based on industry projections and projected long-range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94" w:name="page95"/>
    <w:bookmarkEnd w:id="94"/>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 xml:space="preserve">During 2025 and 2024, we performed interim quantitative impairment tests in each of the below quarters. The number of markets tested, assumptions used in the Greenfield Method, and resulting impairments, which were each recorded within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300355</wp:posOffset>
            </wp:positionV>
            <wp:extent cx="700024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00240" cy="171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2040" w:type="dxa"/>
            <w:vAlign w:val="bottom"/>
          </w:tcPr>
          <w:p>
            <w:pPr>
              <w:spacing w:after="0"/>
              <w:rPr>
                <w:sz w:val="18"/>
                <w:szCs w:val="18"/>
                <w:color w:val="auto"/>
              </w:rPr>
            </w:pPr>
          </w:p>
        </w:tc>
        <w:tc>
          <w:tcPr>
            <w:tcW w:w="18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Long-Term Growth</w:t>
            </w: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3"/>
        </w:trPr>
        <w:tc>
          <w:tcPr>
            <w:tcW w:w="20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Test Period</w:t>
            </w:r>
          </w:p>
        </w:tc>
        <w:tc>
          <w:tcPr>
            <w:tcW w:w="166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4"/>
              </w:rPr>
              <w:t>Tested</w:t>
            </w:r>
          </w:p>
        </w:tc>
        <w:tc>
          <w:tcPr>
            <w:tcW w:w="20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86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Rate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Markets Impaired</w:t>
            </w:r>
          </w:p>
        </w:tc>
        <w:tc>
          <w:tcPr>
            <w:tcW w:w="340" w:type="dxa"/>
            <w:vAlign w:val="bottom"/>
          </w:tcPr>
          <w:p>
            <w:pPr>
              <w:spacing w:after="0"/>
              <w:rPr>
                <w:sz w:val="20"/>
                <w:szCs w:val="20"/>
                <w:color w:val="auto"/>
              </w:rPr>
            </w:pPr>
          </w:p>
        </w:tc>
        <w:tc>
          <w:tcPr>
            <w:tcW w:w="14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Impairment</w:t>
            </w:r>
          </w:p>
        </w:tc>
      </w:tr>
      <w:tr>
        <w:trPr>
          <w:trHeight w:val="25"/>
        </w:trPr>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2025</w:t>
            </w:r>
          </w:p>
        </w:tc>
        <w:tc>
          <w:tcPr>
            <w:tcW w:w="166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88"/>
              </w:rPr>
              <w:t>6</w:t>
            </w:r>
          </w:p>
        </w:tc>
        <w:tc>
          <w:tcPr>
            <w:tcW w:w="2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7.50 %</w:t>
            </w: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65"/>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7.50 %</w:t>
            </w: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65"/>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2024</w:t>
            </w:r>
          </w:p>
        </w:tc>
        <w:tc>
          <w:tcPr>
            <w:tcW w:w="166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88"/>
              </w:rPr>
              <w:t>8</w:t>
            </w:r>
          </w:p>
        </w:tc>
        <w:tc>
          <w:tcPr>
            <w:tcW w:w="2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8 %</w:t>
            </w: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
        </w:trPr>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i w:val="1"/>
          <w:iCs w:val="1"/>
          <w:color w:val="auto"/>
        </w:rPr>
        <w:t>Annual Impairment Tests (Predecessor)</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In 2024 and 2023, we performed annual impairment tests for each of our 14 markets. We performed qualitative assessments for nine and six television markets and quantitative impairment tests for the remaining five and eight markets for 2024 and 2023, respectively.</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For the qualitative tests, we weighed the relative impact of market-specific and macroeconomic factors as well as the changes in these factors and their impact on discount rates and growth rates since the most recent quantitative test. The market-specific factors considered included recent projections by geographic market from both independent and internal sources for revenue and operating costs, as well as average market share. Based on the qualitative assessments, we concluded that it is not more likely than not that the fair values of the FCC licenses in each of these television markets were less than their respective carrying values. Therefore, performing a quantitative impairment test on these markets was unnecessary.</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2024 quantitative test indicated that the estimated fair values of FCC licenses in each of the markets were below their respective carrying values. Accordingly, we recorded an impairment charge of $22 million during the fourth quarter of 2024 to write down the carrying values of these FCC licenses. This impairment charge was primarily the result of updated market data. The discount rate and the long-term growth rate used in the annual test were 7.5% and (2)%, respectively.</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2023 quantitative test indicated that the estimated fair values of FCC licenses in five of the markets were below their respective carrying values. Accordingly, we recorded an impairment charge of $83 million to write down the carrying values of these FCC licenses to their aggregate estimated fair value. The impairment charge was primarily due to increased market volatility and higher interest rates in the fourth quarter of 2023 compared to the prior quarters of 2023 and the fourth quarter of 2022, which resulted in a higher discount rate.</w:t>
      </w:r>
    </w:p>
    <w:p>
      <w:pPr>
        <w:spacing w:after="0" w:line="18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 addition, in 2024 we performed a quantitative impairment test for our Australian broadcast licenses using the Greenfield Method, which indicated that the estimated fair value of these licenses was lower than their carrying value. Accordingly, we recorded an impairment charge of $8 million to write down the carrying value of these licenses to $13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95" w:name="page96"/>
    <w:bookmarkEnd w:id="95"/>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the changes in the book value of goodwill by segment.</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3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TV Media</w:t>
            </w:r>
          </w:p>
        </w:tc>
        <w:tc>
          <w:tcPr>
            <w:tcW w:w="1760" w:type="dxa"/>
            <w:vAlign w:val="bottom"/>
            <w:tcBorders>
              <w:top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Direct-to-Consumer</w:t>
            </w:r>
          </w:p>
        </w:tc>
        <w:tc>
          <w:tcPr>
            <w:tcW w:w="1840" w:type="dxa"/>
            <w:vAlign w:val="bottom"/>
            <w:tcBorders>
              <w:top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Filmed Entertainment</w:t>
            </w: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22"/>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Balance at December 31, 2023 (Predecessor) </w:t>
            </w:r>
            <w:r>
              <w:rPr>
                <w:rFonts w:ascii="Times New Roman" w:cs="Times New Roman" w:eastAsia="Times New Roman" w:hAnsi="Times New Roman"/>
                <w:sz w:val="18"/>
                <w:szCs w:val="18"/>
                <w:color w:val="auto"/>
                <w:vertAlign w:val="superscript"/>
              </w:rPr>
              <w:t>(a)</w:t>
            </w:r>
          </w:p>
        </w:tc>
        <w:tc>
          <w:tcPr>
            <w:tcW w:w="14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   11,168</w:t>
            </w: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2,728</w:t>
            </w: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2,620</w:t>
            </w: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16,516</w:t>
            </w:r>
          </w:p>
        </w:tc>
      </w:tr>
      <w:tr>
        <w:trPr>
          <w:trHeight w:val="184"/>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Impairment</w:t>
            </w:r>
          </w:p>
        </w:tc>
        <w:tc>
          <w:tcPr>
            <w:tcW w:w="14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(5,981)</w:t>
            </w:r>
          </w:p>
        </w:tc>
        <w:tc>
          <w:tcPr>
            <w:tcW w:w="740" w:type="dxa"/>
            <w:vAlign w:val="bottom"/>
          </w:tcPr>
          <w:p>
            <w:pPr>
              <w:spacing w:after="0"/>
              <w:rPr>
                <w:sz w:val="15"/>
                <w:szCs w:val="15"/>
                <w:color w:val="auto"/>
              </w:rPr>
            </w:pPr>
          </w:p>
        </w:tc>
        <w:tc>
          <w:tcPr>
            <w:tcW w:w="102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106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(5,981)</w:t>
            </w:r>
          </w:p>
        </w:tc>
      </w:tr>
      <w:tr>
        <w:trPr>
          <w:trHeight w:val="225"/>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w:t>
            </w:r>
          </w:p>
        </w:tc>
        <w:tc>
          <w:tcPr>
            <w:tcW w:w="14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(27)</w:t>
            </w:r>
          </w:p>
        </w:tc>
        <w:tc>
          <w:tcPr>
            <w:tcW w:w="740" w:type="dxa"/>
            <w:vAlign w:val="bottom"/>
          </w:tcPr>
          <w:p>
            <w:pPr>
              <w:spacing w:after="0"/>
              <w:rPr>
                <w:sz w:val="19"/>
                <w:szCs w:val="19"/>
                <w:color w:val="auto"/>
              </w:rPr>
            </w:pPr>
          </w:p>
        </w:tc>
        <w:tc>
          <w:tcPr>
            <w:tcW w:w="102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9"/>
                <w:szCs w:val="19"/>
                <w:color w:val="auto"/>
              </w:rPr>
            </w:pPr>
          </w:p>
        </w:tc>
        <w:tc>
          <w:tcPr>
            <w:tcW w:w="106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(27)</w:t>
            </w:r>
          </w:p>
        </w:tc>
      </w:tr>
      <w:tr>
        <w:trPr>
          <w:trHeight w:val="38"/>
        </w:trPr>
        <w:tc>
          <w:tcPr>
            <w:tcW w:w="3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22"/>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Balance at December 31, 2024 (Predecessor) </w:t>
            </w:r>
            <w:r>
              <w:rPr>
                <w:rFonts w:ascii="Times New Roman" w:cs="Times New Roman" w:eastAsia="Times New Roman" w:hAnsi="Times New Roman"/>
                <w:sz w:val="18"/>
                <w:szCs w:val="18"/>
                <w:b w:val="1"/>
                <w:bCs w:val="1"/>
                <w:color w:val="auto"/>
                <w:vertAlign w:val="superscript"/>
              </w:rPr>
              <w:t>(a)</w:t>
            </w:r>
          </w:p>
        </w:tc>
        <w:tc>
          <w:tcPr>
            <w:tcW w:w="14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5,160</w:t>
            </w:r>
          </w:p>
        </w:tc>
        <w:tc>
          <w:tcPr>
            <w:tcW w:w="740" w:type="dxa"/>
            <w:vAlign w:val="bottom"/>
          </w:tcPr>
          <w:p>
            <w:pPr>
              <w:spacing w:after="0"/>
              <w:rPr>
                <w:sz w:val="19"/>
                <w:szCs w:val="19"/>
                <w:color w:val="auto"/>
              </w:rPr>
            </w:pPr>
          </w:p>
        </w:tc>
        <w:tc>
          <w:tcPr>
            <w:tcW w:w="102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2,728</w:t>
            </w:r>
          </w:p>
        </w:tc>
        <w:tc>
          <w:tcPr>
            <w:tcW w:w="780" w:type="dxa"/>
            <w:vAlign w:val="bottom"/>
          </w:tcPr>
          <w:p>
            <w:pPr>
              <w:spacing w:after="0"/>
              <w:rPr>
                <w:sz w:val="19"/>
                <w:szCs w:val="19"/>
                <w:color w:val="auto"/>
              </w:rPr>
            </w:pPr>
          </w:p>
        </w:tc>
        <w:tc>
          <w:tcPr>
            <w:tcW w:w="106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2,620</w:t>
            </w:r>
          </w:p>
        </w:tc>
        <w:tc>
          <w:tcPr>
            <w:tcW w:w="400" w:type="dxa"/>
            <w:vAlign w:val="bottom"/>
          </w:tcPr>
          <w:p>
            <w:pPr>
              <w:spacing w:after="0"/>
              <w:rPr>
                <w:sz w:val="19"/>
                <w:szCs w:val="19"/>
                <w:color w:val="auto"/>
              </w:rPr>
            </w:pPr>
          </w:p>
        </w:tc>
        <w:tc>
          <w:tcPr>
            <w:tcW w:w="8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10,508</w:t>
            </w:r>
          </w:p>
        </w:tc>
      </w:tr>
      <w:tr>
        <w:trPr>
          <w:trHeight w:val="184"/>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Disposition</w:t>
            </w:r>
          </w:p>
        </w:tc>
        <w:tc>
          <w:tcPr>
            <w:tcW w:w="14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w:t>
            </w:r>
          </w:p>
        </w:tc>
        <w:tc>
          <w:tcPr>
            <w:tcW w:w="740" w:type="dxa"/>
            <w:vAlign w:val="bottom"/>
          </w:tcPr>
          <w:p>
            <w:pPr>
              <w:spacing w:after="0"/>
              <w:rPr>
                <w:sz w:val="15"/>
                <w:szCs w:val="15"/>
                <w:color w:val="auto"/>
              </w:rPr>
            </w:pPr>
          </w:p>
        </w:tc>
        <w:tc>
          <w:tcPr>
            <w:tcW w:w="102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106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(20)</w:t>
            </w:r>
          </w:p>
        </w:tc>
      </w:tr>
      <w:tr>
        <w:trPr>
          <w:trHeight w:val="225"/>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w:t>
            </w:r>
          </w:p>
        </w:tc>
        <w:tc>
          <w:tcPr>
            <w:tcW w:w="14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9"/>
                <w:szCs w:val="19"/>
                <w:color w:val="auto"/>
              </w:rPr>
            </w:pPr>
          </w:p>
        </w:tc>
        <w:tc>
          <w:tcPr>
            <w:tcW w:w="102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9"/>
                <w:szCs w:val="19"/>
                <w:color w:val="auto"/>
              </w:rPr>
            </w:pPr>
          </w:p>
        </w:tc>
        <w:tc>
          <w:tcPr>
            <w:tcW w:w="106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r>
      <w:tr>
        <w:trPr>
          <w:trHeight w:val="44"/>
        </w:trPr>
        <w:tc>
          <w:tcPr>
            <w:tcW w:w="3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2"/>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Balance at August 6, 2025 (Predecessor) </w:t>
            </w:r>
            <w:r>
              <w:rPr>
                <w:rFonts w:ascii="Times New Roman" w:cs="Times New Roman" w:eastAsia="Times New Roman" w:hAnsi="Times New Roman"/>
                <w:sz w:val="18"/>
                <w:szCs w:val="18"/>
                <w:b w:val="1"/>
                <w:bCs w:val="1"/>
                <w:color w:val="auto"/>
                <w:vertAlign w:val="superscript"/>
              </w:rPr>
              <w:t>(b)</w:t>
            </w:r>
          </w:p>
        </w:tc>
        <w:tc>
          <w:tcPr>
            <w:tcW w:w="146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5,140</w:t>
            </w: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2,728</w:t>
            </w:r>
          </w:p>
        </w:tc>
        <w:tc>
          <w:tcPr>
            <w:tcW w:w="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2,620</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10,488</w:t>
            </w:r>
          </w:p>
        </w:tc>
      </w:tr>
    </w:tbl>
    <w:p>
      <w:pPr>
        <w:spacing w:after="0" w:line="152" w:lineRule="exact"/>
        <w:rPr>
          <w:sz w:val="20"/>
          <w:szCs w:val="20"/>
          <w:color w:val="auto"/>
        </w:rPr>
      </w:pPr>
    </w:p>
    <w:tbl>
      <w:tblPr>
        <w:tblLayout w:type="fixed"/>
        <w:tblInd w:w="740" w:type="dxa"/>
        <w:tblCellMar>
          <w:top w:w="0" w:type="dxa"/>
          <w:left w:w="0" w:type="dxa"/>
          <w:bottom w:w="0" w:type="dxa"/>
          <w:right w:w="0" w:type="dxa"/>
        </w:tblCellMar>
      </w:tblPr>
      <w:tr>
        <w:trPr>
          <w:trHeight w:val="214"/>
        </w:trPr>
        <w:tc>
          <w:tcPr>
            <w:tcW w:w="3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1940" w:type="dxa"/>
            <w:vAlign w:val="bottom"/>
            <w:tcBorders>
              <w:top w:val="single" w:sz="8" w:color="auto"/>
            </w:tcBorders>
            <w:gridSpan w:val="2"/>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Direct-to-Consumer</w:t>
            </w:r>
          </w:p>
        </w:tc>
        <w:tc>
          <w:tcPr>
            <w:tcW w:w="1500" w:type="dxa"/>
            <w:vAlign w:val="bottom"/>
            <w:tcBorders>
              <w:top w:val="single" w:sz="8" w:color="auto"/>
            </w:tcBorders>
            <w:gridSpan w:val="2"/>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TV Media</w:t>
            </w:r>
          </w:p>
        </w:tc>
        <w:tc>
          <w:tcPr>
            <w:tcW w:w="5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22"/>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Balance at August 7, 2025 (Successor) </w:t>
            </w:r>
            <w:r>
              <w:rPr>
                <w:rFonts w:ascii="Times New Roman" w:cs="Times New Roman" w:eastAsia="Times New Roman" w:hAnsi="Times New Roman"/>
                <w:sz w:val="18"/>
                <w:szCs w:val="18"/>
                <w:b w:val="1"/>
                <w:bCs w:val="1"/>
                <w:color w:val="auto"/>
                <w:vertAlign w:val="superscript"/>
              </w:rPr>
              <w:t>(b)</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40</w:t>
            </w: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947</w:t>
            </w:r>
          </w:p>
        </w:tc>
        <w:tc>
          <w:tcPr>
            <w:tcW w:w="6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987</w:t>
            </w:r>
          </w:p>
        </w:tc>
      </w:tr>
      <w:tr>
        <w:trPr>
          <w:trHeight w:val="184"/>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Acquisition</w:t>
            </w:r>
          </w:p>
        </w:tc>
        <w:tc>
          <w:tcPr>
            <w:tcW w:w="700" w:type="dxa"/>
            <w:vAlign w:val="bottom"/>
          </w:tcPr>
          <w:p>
            <w:pPr>
              <w:spacing w:after="0"/>
              <w:rPr>
                <w:sz w:val="15"/>
                <w:szCs w:val="15"/>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116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8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183</w:t>
            </w:r>
          </w:p>
        </w:tc>
        <w:tc>
          <w:tcPr>
            <w:tcW w:w="580" w:type="dxa"/>
            <w:vAlign w:val="bottom"/>
          </w:tcPr>
          <w:p>
            <w:pPr>
              <w:spacing w:after="0"/>
              <w:rPr>
                <w:sz w:val="15"/>
                <w:szCs w:val="15"/>
                <w:color w:val="auto"/>
              </w:rPr>
            </w:pPr>
          </w:p>
        </w:tc>
        <w:tc>
          <w:tcPr>
            <w:tcW w:w="8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183</w:t>
            </w:r>
          </w:p>
        </w:tc>
      </w:tr>
      <w:tr>
        <w:trPr>
          <w:trHeight w:val="225"/>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Measurement period adjustments</w:t>
            </w:r>
          </w:p>
        </w:tc>
        <w:tc>
          <w:tcPr>
            <w:tcW w:w="700" w:type="dxa"/>
            <w:vAlign w:val="bottom"/>
          </w:tcPr>
          <w:p>
            <w:pPr>
              <w:spacing w:after="0"/>
              <w:rPr>
                <w:sz w:val="19"/>
                <w:szCs w:val="19"/>
                <w:color w:val="auto"/>
              </w:rPr>
            </w:pP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64</w:t>
            </w:r>
          </w:p>
        </w:tc>
        <w:tc>
          <w:tcPr>
            <w:tcW w:w="780" w:type="dxa"/>
            <w:vAlign w:val="bottom"/>
          </w:tcPr>
          <w:p>
            <w:pPr>
              <w:spacing w:after="0"/>
              <w:rPr>
                <w:sz w:val="19"/>
                <w:szCs w:val="19"/>
                <w:color w:val="auto"/>
              </w:rPr>
            </w:pPr>
          </w:p>
        </w:tc>
        <w:tc>
          <w:tcPr>
            <w:tcW w:w="116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325</w:t>
            </w:r>
          </w:p>
        </w:tc>
        <w:tc>
          <w:tcPr>
            <w:tcW w:w="680" w:type="dxa"/>
            <w:vAlign w:val="bottom"/>
          </w:tcPr>
          <w:p>
            <w:pPr>
              <w:spacing w:after="0"/>
              <w:rPr>
                <w:sz w:val="19"/>
                <w:szCs w:val="19"/>
                <w:color w:val="auto"/>
              </w:rPr>
            </w:pPr>
          </w:p>
        </w:tc>
        <w:tc>
          <w:tcPr>
            <w:tcW w:w="8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41</w:t>
            </w:r>
          </w:p>
        </w:tc>
        <w:tc>
          <w:tcPr>
            <w:tcW w:w="580" w:type="dxa"/>
            <w:vAlign w:val="bottom"/>
          </w:tcPr>
          <w:p>
            <w:pPr>
              <w:spacing w:after="0"/>
              <w:rPr>
                <w:sz w:val="19"/>
                <w:szCs w:val="19"/>
                <w:color w:val="auto"/>
              </w:rPr>
            </w:pPr>
          </w:p>
        </w:tc>
        <w:tc>
          <w:tcPr>
            <w:tcW w:w="8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430</w:t>
            </w:r>
          </w:p>
        </w:tc>
      </w:tr>
      <w:tr>
        <w:trPr>
          <w:trHeight w:val="38"/>
        </w:trPr>
        <w:tc>
          <w:tcPr>
            <w:tcW w:w="3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 (Successor)</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104</w:t>
            </w: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1,272</w:t>
            </w:r>
          </w:p>
        </w:tc>
        <w:tc>
          <w:tcPr>
            <w:tcW w:w="6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224</w:t>
            </w: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1,600</w:t>
            </w:r>
          </w:p>
        </w:tc>
      </w:tr>
      <w:tr>
        <w:trPr>
          <w:trHeight w:val="44"/>
        </w:trPr>
        <w:tc>
          <w:tcPr>
            <w:tcW w:w="3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bl>
    <w:p>
      <w:pPr>
        <w:spacing w:after="0" w:line="209" w:lineRule="exact"/>
        <w:rPr>
          <w:sz w:val="20"/>
          <w:szCs w:val="20"/>
          <w:color w:val="auto"/>
        </w:rPr>
      </w:pPr>
    </w:p>
    <w:p>
      <w:pPr>
        <w:ind w:left="960" w:right="400" w:hanging="239"/>
        <w:spacing w:after="0" w:line="275" w:lineRule="auto"/>
        <w:tabs>
          <w:tab w:leader="none" w:pos="94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carrying amount of goodwill at the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segment for the Predecessor periods included accumulated impairment losses of $19.34 billion and $13.35 billion at December 31, 2024 and 2023, respectively.</w:t>
      </w:r>
    </w:p>
    <w:p>
      <w:pPr>
        <w:spacing w:after="0" w:line="97" w:lineRule="exact"/>
        <w:rPr>
          <w:rFonts w:ascii="Times New Roman" w:cs="Times New Roman" w:eastAsia="Times New Roman" w:hAnsi="Times New Roman"/>
          <w:sz w:val="16"/>
          <w:szCs w:val="16"/>
          <w:color w:val="auto"/>
        </w:rPr>
      </w:pPr>
    </w:p>
    <w:p>
      <w:pPr>
        <w:ind w:left="960" w:right="400" w:hanging="239"/>
        <w:spacing w:after="0" w:line="290" w:lineRule="auto"/>
        <w:tabs>
          <w:tab w:leader="none" w:pos="947"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pushdown of the Ultimate Parent’s basis, goodwill was reduced by $9.54 billion on August 7, 2025 (see Note 2). Skydance goodwill of $40 million is also reflected in the Successor balance as of August 7,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intangible assets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102870</wp:posOffset>
            </wp:positionV>
            <wp:extent cx="672274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22745" cy="16510"/>
                    </a:xfrm>
                    <a:prstGeom prst="rect">
                      <a:avLst/>
                    </a:prstGeom>
                    <a:noFill/>
                  </pic:spPr>
                </pic:pic>
              </a:graphicData>
            </a:graphic>
          </wp:anchor>
        </w:drawing>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33"/>
        </w:trPr>
        <w:tc>
          <w:tcPr>
            <w:tcW w:w="4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5"/>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 (Successor)</w:t>
            </w:r>
          </w:p>
        </w:tc>
        <w:tc>
          <w:tcPr>
            <w:tcW w:w="2080" w:type="dxa"/>
            <w:vAlign w:val="bottom"/>
          </w:tcPr>
          <w:p>
            <w:pPr>
              <w:spacing w:after="0"/>
              <w:rPr>
                <w:sz w:val="23"/>
                <w:szCs w:val="23"/>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40" w:type="dxa"/>
            <w:vAlign w:val="bottom"/>
          </w:tcPr>
          <w:p>
            <w:pPr>
              <w:spacing w:after="0"/>
              <w:rPr>
                <w:sz w:val="23"/>
                <w:szCs w:val="23"/>
                <w:color w:val="auto"/>
              </w:rPr>
            </w:pP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0" w:type="dxa"/>
            <w:vAlign w:val="bottom"/>
          </w:tcPr>
          <w:p>
            <w:pPr>
              <w:spacing w:after="0"/>
              <w:rPr>
                <w:sz w:val="23"/>
                <w:szCs w:val="23"/>
                <w:color w:val="auto"/>
              </w:rPr>
            </w:pPr>
          </w:p>
        </w:tc>
        <w:tc>
          <w:tcPr>
            <w:tcW w:w="8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5"/>
        </w:trPr>
        <w:tc>
          <w:tcPr>
            <w:tcW w:w="44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FCC and other broadcasting licenses</w:t>
            </w:r>
          </w:p>
        </w:tc>
        <w:tc>
          <w:tcPr>
            <w:tcW w:w="2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2,554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r>
      <w:tr>
        <w:trPr>
          <w:trHeight w:val="26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08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1,509</w:t>
            </w:r>
          </w:p>
        </w:tc>
        <w:tc>
          <w:tcPr>
            <w:tcW w:w="340" w:type="dxa"/>
            <w:vAlign w:val="bottom"/>
          </w:tcPr>
          <w:p>
            <w:pPr>
              <w:spacing w:after="0"/>
              <w:rPr>
                <w:sz w:val="23"/>
                <w:szCs w:val="23"/>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6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Affiliate relationships</w:t>
            </w:r>
          </w:p>
        </w:tc>
        <w:tc>
          <w:tcPr>
            <w:tcW w:w="208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1,004</w:t>
            </w:r>
          </w:p>
        </w:tc>
        <w:tc>
          <w:tcPr>
            <w:tcW w:w="340" w:type="dxa"/>
            <w:vAlign w:val="bottom"/>
          </w:tcPr>
          <w:p>
            <w:pPr>
              <w:spacing w:after="0"/>
              <w:rPr>
                <w:sz w:val="23"/>
                <w:szCs w:val="23"/>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(158)</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6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Subscriber relationships</w:t>
            </w:r>
          </w:p>
        </w:tc>
        <w:tc>
          <w:tcPr>
            <w:tcW w:w="208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1,080</w:t>
            </w:r>
          </w:p>
        </w:tc>
        <w:tc>
          <w:tcPr>
            <w:tcW w:w="340" w:type="dxa"/>
            <w:vAlign w:val="bottom"/>
          </w:tcPr>
          <w:p>
            <w:pPr>
              <w:spacing w:after="0"/>
              <w:rPr>
                <w:sz w:val="23"/>
                <w:szCs w:val="23"/>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(216)</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6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Franchises</w:t>
            </w:r>
          </w:p>
        </w:tc>
        <w:tc>
          <w:tcPr>
            <w:tcW w:w="208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326</w:t>
            </w:r>
          </w:p>
        </w:tc>
        <w:tc>
          <w:tcPr>
            <w:tcW w:w="340" w:type="dxa"/>
            <w:vAlign w:val="bottom"/>
          </w:tcPr>
          <w:p>
            <w:pPr>
              <w:spacing w:after="0"/>
              <w:rPr>
                <w:sz w:val="23"/>
                <w:szCs w:val="23"/>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6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8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258</w:t>
            </w:r>
          </w:p>
        </w:tc>
        <w:tc>
          <w:tcPr>
            <w:tcW w:w="340" w:type="dxa"/>
            <w:vAlign w:val="bottom"/>
          </w:tcPr>
          <w:p>
            <w:pPr>
              <w:spacing w:after="0"/>
              <w:rPr>
                <w:sz w:val="23"/>
                <w:szCs w:val="23"/>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5"/>
        </w:trPr>
        <w:tc>
          <w:tcPr>
            <w:tcW w:w="44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6,731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(493)</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w:t>
            </w:r>
          </w:p>
        </w:tc>
      </w:tr>
      <w:tr>
        <w:trPr>
          <w:trHeight w:val="32"/>
        </w:trPr>
        <w:tc>
          <w:tcPr>
            <w:tcW w:w="44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142875</wp:posOffset>
            </wp:positionV>
            <wp:extent cx="672274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22745" cy="16510"/>
                    </a:xfrm>
                    <a:prstGeom prst="rect">
                      <a:avLst/>
                    </a:prstGeom>
                    <a:noFill/>
                  </pic:spPr>
                </pic:pic>
              </a:graphicData>
            </a:graphic>
          </wp:anchor>
        </w:drawing>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33"/>
        </w:trPr>
        <w:tc>
          <w:tcPr>
            <w:tcW w:w="4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5"/>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 (Predecessor)</w:t>
            </w:r>
          </w:p>
        </w:tc>
        <w:tc>
          <w:tcPr>
            <w:tcW w:w="1700" w:type="dxa"/>
            <w:vAlign w:val="bottom"/>
          </w:tcPr>
          <w:p>
            <w:pPr>
              <w:spacing w:after="0"/>
              <w:rPr>
                <w:sz w:val="23"/>
                <w:szCs w:val="23"/>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40" w:type="dxa"/>
            <w:vAlign w:val="bottom"/>
          </w:tcPr>
          <w:p>
            <w:pPr>
              <w:spacing w:after="0"/>
              <w:rPr>
                <w:sz w:val="23"/>
                <w:szCs w:val="23"/>
                <w:color w:val="auto"/>
              </w:rPr>
            </w:pP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0" w:type="dxa"/>
            <w:vAlign w:val="bottom"/>
          </w:tcPr>
          <w:p>
            <w:pPr>
              <w:spacing w:after="0"/>
              <w:rPr>
                <w:sz w:val="23"/>
                <w:szCs w:val="23"/>
                <w:color w:val="auto"/>
              </w:rPr>
            </w:pPr>
          </w:p>
        </w:tc>
        <w:tc>
          <w:tcPr>
            <w:tcW w:w="8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5"/>
        </w:trPr>
        <w:tc>
          <w:tcPr>
            <w:tcW w:w="48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5"/>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(166)</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65"/>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70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tcPr>
          <w:p>
            <w:pPr>
              <w:spacing w:after="0"/>
              <w:rPr>
                <w:sz w:val="23"/>
                <w:szCs w:val="23"/>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65"/>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Customer agreements</w:t>
            </w:r>
          </w:p>
        </w:tc>
        <w:tc>
          <w:tcPr>
            <w:tcW w:w="170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tcPr>
          <w:p>
            <w:pPr>
              <w:spacing w:after="0"/>
              <w:rPr>
                <w:sz w:val="23"/>
                <w:szCs w:val="23"/>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5"/>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70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238</w:t>
            </w:r>
          </w:p>
        </w:tc>
        <w:tc>
          <w:tcPr>
            <w:tcW w:w="340" w:type="dxa"/>
            <w:vAlign w:val="bottom"/>
          </w:tcPr>
          <w:p>
            <w:pPr>
              <w:spacing w:after="0"/>
              <w:rPr>
                <w:sz w:val="23"/>
                <w:szCs w:val="23"/>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(196)</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6"/>
        </w:trPr>
        <w:tc>
          <w:tcPr>
            <w:tcW w:w="48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700" w:type="dxa"/>
            <w:vAlign w:val="bottom"/>
          </w:tcPr>
          <w:p>
            <w:pPr>
              <w:spacing w:after="0"/>
              <w:rPr>
                <w:sz w:val="20"/>
                <w:szCs w:val="2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727</w:t>
            </w:r>
          </w:p>
        </w:tc>
        <w:tc>
          <w:tcPr>
            <w:tcW w:w="340" w:type="dxa"/>
            <w:vAlign w:val="bottom"/>
          </w:tcPr>
          <w:p>
            <w:pPr>
              <w:spacing w:after="0"/>
              <w:rPr>
                <w:sz w:val="20"/>
                <w:szCs w:val="20"/>
                <w:color w:val="auto"/>
              </w:rPr>
            </w:pP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(533)</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65"/>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FCC licenses</w:t>
            </w:r>
          </w:p>
        </w:tc>
        <w:tc>
          <w:tcPr>
            <w:tcW w:w="170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2,165</w:t>
            </w:r>
          </w:p>
        </w:tc>
        <w:tc>
          <w:tcPr>
            <w:tcW w:w="34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65"/>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broadcast licenses</w:t>
            </w:r>
          </w:p>
        </w:tc>
        <w:tc>
          <w:tcPr>
            <w:tcW w:w="170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5"/>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70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6"/>
        </w:trPr>
        <w:tc>
          <w:tcPr>
            <w:tcW w:w="48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2,939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(533)</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32"/>
        </w:trPr>
        <w:tc>
          <w:tcPr>
            <w:tcW w:w="48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920"/>
          </w:cols>
          <w:pgMar w:left="320" w:top="73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II-79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320" w:top="735" w:right="659" w:bottom="1440" w:gutter="0" w:footer="0" w:header="0"/>
          <w:type w:val="continuous"/>
        </w:sectPr>
      </w:pPr>
    </w:p>
    <w:bookmarkStart w:id="96" w:name="page97"/>
    <w:bookmarkEnd w:id="96"/>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Amortization expense was as follows:</w:t>
      </w:r>
    </w:p>
    <w:p>
      <w:pPr>
        <w:spacing w:after="0" w:line="155" w:lineRule="exact"/>
        <w:rPr>
          <w:sz w:val="20"/>
          <w:szCs w:val="20"/>
          <w:color w:val="auto"/>
        </w:rPr>
      </w:pPr>
    </w:p>
    <w:tbl>
      <w:tblPr>
        <w:tblLayout w:type="fixed"/>
        <w:tblInd w:w="780" w:type="dxa"/>
        <w:tblCellMar>
          <w:top w:w="0" w:type="dxa"/>
          <w:left w:w="0" w:type="dxa"/>
          <w:bottom w:w="0" w:type="dxa"/>
          <w:right w:w="0" w:type="dxa"/>
        </w:tblCellMar>
      </w:tblPr>
      <w:tr>
        <w:trPr>
          <w:trHeight w:val="258"/>
        </w:trPr>
        <w:tc>
          <w:tcPr>
            <w:tcW w:w="42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8"/>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4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r>
      <w:tr>
        <w:trPr>
          <w:trHeight w:val="196"/>
        </w:trPr>
        <w:tc>
          <w:tcPr>
            <w:tcW w:w="420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40" w:type="dxa"/>
            <w:vAlign w:val="bottom"/>
            <w:gridSpan w:val="2"/>
          </w:tcPr>
          <w:p>
            <w:pPr>
              <w:jc w:val="center"/>
              <w:ind w:left="58"/>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6"/>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Borders>
              <w:right w:val="single" w:sz="8" w:color="auto"/>
            </w:tcBorders>
          </w:tcPr>
          <w:p>
            <w:pPr>
              <w:jc w:val="center"/>
              <w:ind w:right="358"/>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40" w:type="dxa"/>
            <w:vAlign w:val="bottom"/>
            <w:gridSpan w:val="2"/>
          </w:tcPr>
          <w:p>
            <w:pPr>
              <w:jc w:val="center"/>
              <w:ind w:left="58"/>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4"/>
        </w:trPr>
        <w:tc>
          <w:tcPr>
            <w:tcW w:w="4200" w:type="dxa"/>
            <w:vAlign w:val="bottom"/>
          </w:tcPr>
          <w:p>
            <w:pPr>
              <w:spacing w:after="0"/>
              <w:rPr>
                <w:sz w:val="20"/>
                <w:szCs w:val="20"/>
                <w:color w:val="auto"/>
              </w:rPr>
            </w:pPr>
          </w:p>
        </w:tc>
        <w:tc>
          <w:tcPr>
            <w:tcW w:w="1520" w:type="dxa"/>
            <w:vAlign w:val="bottom"/>
            <w:tcBorders>
              <w:bottom w:val="single" w:sz="8" w:color="auto"/>
              <w:right w:val="single" w:sz="8" w:color="auto"/>
            </w:tcBorders>
            <w:gridSpan w:val="2"/>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4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358"/>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298"/>
              <w:spacing w:after="0"/>
              <w:rPr>
                <w:sz w:val="20"/>
                <w:szCs w:val="20"/>
                <w:color w:val="auto"/>
              </w:rPr>
            </w:pPr>
            <w:r>
              <w:rPr>
                <w:rFonts w:ascii="Times New Roman" w:cs="Times New Roman" w:eastAsia="Times New Roman" w:hAnsi="Times New Roman"/>
                <w:sz w:val="18"/>
                <w:szCs w:val="18"/>
                <w:color w:val="auto"/>
              </w:rPr>
              <w:t>493</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
        </w:trPr>
        <w:tc>
          <w:tcPr>
            <w:tcW w:w="4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expect our aggregate annual amortization expense for existing intangible assets for each of the years, 2026 through 2030, to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128270</wp:posOffset>
            </wp:positionV>
            <wp:extent cx="57715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71515" cy="17145"/>
                    </a:xfrm>
                    <a:prstGeom prst="rect">
                      <a:avLst/>
                    </a:prstGeom>
                    <a:noFill/>
                  </pic:spPr>
                </pic:pic>
              </a:graphicData>
            </a:graphic>
          </wp:anchor>
        </w:drawing>
      </w:r>
    </w:p>
    <w:p>
      <w:pPr>
        <w:spacing w:after="0" w:line="214" w:lineRule="exact"/>
        <w:rPr>
          <w:sz w:val="20"/>
          <w:szCs w:val="20"/>
          <w:color w:val="auto"/>
        </w:rPr>
      </w:pPr>
    </w:p>
    <w:tbl>
      <w:tblPr>
        <w:tblLayout w:type="fixed"/>
        <w:tblInd w:w="1080" w:type="dxa"/>
        <w:tblCellMar>
          <w:top w:w="0" w:type="dxa"/>
          <w:left w:w="0" w:type="dxa"/>
          <w:bottom w:w="0" w:type="dxa"/>
          <w:right w:w="0" w:type="dxa"/>
        </w:tblCellMar>
      </w:tblPr>
      <w:tr>
        <w:trPr>
          <w:trHeight w:val="233"/>
        </w:trPr>
        <w:tc>
          <w:tcPr>
            <w:tcW w:w="2520" w:type="dxa"/>
            <w:vAlign w:val="bottom"/>
          </w:tcPr>
          <w:p>
            <w:pPr>
              <w:spacing w:after="0"/>
              <w:rPr>
                <w:sz w:val="20"/>
                <w:szCs w:val="20"/>
                <w:color w:val="auto"/>
              </w:rPr>
            </w:pP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2027</w:t>
            </w:r>
          </w:p>
        </w:tc>
        <w:tc>
          <w:tcPr>
            <w:tcW w:w="13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2028</w:t>
            </w:r>
          </w:p>
        </w:tc>
        <w:tc>
          <w:tcPr>
            <w:tcW w:w="130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2029</w:t>
            </w: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2030</w:t>
            </w:r>
          </w:p>
        </w:tc>
      </w:tr>
      <w:tr>
        <w:trPr>
          <w:trHeight w:val="25"/>
        </w:trPr>
        <w:tc>
          <w:tcPr>
            <w:tcW w:w="2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amortization expense</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  1,235</w:t>
            </w:r>
          </w:p>
        </w:tc>
        <w:tc>
          <w:tcPr>
            <w:tcW w:w="12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   947</w:t>
            </w:r>
          </w:p>
        </w:tc>
        <w:tc>
          <w:tcPr>
            <w:tcW w:w="13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   396</w:t>
            </w: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   214</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   214</w:t>
            </w:r>
          </w:p>
        </w:tc>
      </w:tr>
      <w:tr>
        <w:trPr>
          <w:trHeight w:val="32"/>
        </w:trPr>
        <w:tc>
          <w:tcPr>
            <w:tcW w:w="2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 RESTRUCTURING, TRANSACTION-RELATED ITEMS, AND OTHER CORPORATE MATTERS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periods presented we recorded the following restructuring charges, transaction-related items, and other corporate matters.</w:t>
      </w:r>
    </w:p>
    <w:p>
      <w:pPr>
        <w:spacing w:after="0" w:line="182" w:lineRule="exact"/>
        <w:rPr>
          <w:sz w:val="20"/>
          <w:szCs w:val="20"/>
          <w:color w:val="auto"/>
        </w:rPr>
      </w:pPr>
    </w:p>
    <w:tbl>
      <w:tblPr>
        <w:tblLayout w:type="fixed"/>
        <w:tblInd w:w="780" w:type="dxa"/>
        <w:tblCellMar>
          <w:top w:w="0" w:type="dxa"/>
          <w:left w:w="0" w:type="dxa"/>
          <w:bottom w:w="0" w:type="dxa"/>
          <w:right w:w="0" w:type="dxa"/>
        </w:tblCellMar>
      </w:tblPr>
      <w:tr>
        <w:trPr>
          <w:trHeight w:val="258"/>
        </w:trPr>
        <w:tc>
          <w:tcPr>
            <w:tcW w:w="42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4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r>
      <w:tr>
        <w:trPr>
          <w:trHeight w:val="196"/>
        </w:trPr>
        <w:tc>
          <w:tcPr>
            <w:tcW w:w="422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20" w:type="dxa"/>
            <w:vAlign w:val="bottom"/>
            <w:gridSpan w:val="2"/>
          </w:tcPr>
          <w:p>
            <w:pPr>
              <w:jc w:val="center"/>
              <w:ind w:left="5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9"/>
        </w:trPr>
        <w:tc>
          <w:tcPr>
            <w:tcW w:w="4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Borders>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20" w:type="dxa"/>
            <w:vAlign w:val="bottom"/>
            <w:gridSpan w:val="2"/>
          </w:tcPr>
          <w:p>
            <w:pPr>
              <w:jc w:val="center"/>
              <w:ind w:left="56"/>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1"/>
        </w:trPr>
        <w:tc>
          <w:tcPr>
            <w:tcW w:w="4220" w:type="dxa"/>
            <w:vAlign w:val="bottom"/>
          </w:tcPr>
          <w:p>
            <w:pPr>
              <w:spacing w:after="0"/>
              <w:rPr>
                <w:sz w:val="19"/>
                <w:szCs w:val="19"/>
                <w:color w:val="auto"/>
              </w:rPr>
            </w:pPr>
          </w:p>
        </w:tc>
        <w:tc>
          <w:tcPr>
            <w:tcW w:w="1520" w:type="dxa"/>
            <w:vAlign w:val="bottom"/>
            <w:tcBorders>
              <w:bottom w:val="single" w:sz="8" w:color="auto"/>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2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4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37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Severance </w:t>
            </w:r>
            <w:r>
              <w:rPr>
                <w:rFonts w:ascii="Times New Roman" w:cs="Times New Roman" w:eastAsia="Times New Roman" w:hAnsi="Times New Roman"/>
                <w:sz w:val="22"/>
                <w:szCs w:val="22"/>
                <w:color w:val="auto"/>
                <w:vertAlign w:val="superscript"/>
              </w:rPr>
              <w:t>(a)</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650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523</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1"/>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Exit costs</w:t>
            </w:r>
          </w:p>
        </w:tc>
        <w:tc>
          <w:tcPr>
            <w:tcW w:w="340" w:type="dxa"/>
            <w:vAlign w:val="bottom"/>
          </w:tcPr>
          <w:p>
            <w:pPr>
              <w:spacing w:after="0"/>
              <w:rPr>
                <w:sz w:val="20"/>
                <w:szCs w:val="20"/>
                <w:color w:val="auto"/>
              </w:rPr>
            </w:pP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20"/>
                <w:szCs w:val="20"/>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6"/>
        </w:trPr>
        <w:tc>
          <w:tcPr>
            <w:tcW w:w="4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Pr>
          <w:p>
            <w:pPr>
              <w:spacing w:after="0"/>
              <w:rPr>
                <w:sz w:val="20"/>
                <w:szCs w:val="20"/>
                <w:color w:val="auto"/>
              </w:rPr>
            </w:pP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650</w:t>
            </w:r>
          </w:p>
        </w:tc>
        <w:tc>
          <w:tcPr>
            <w:tcW w:w="380" w:type="dxa"/>
            <w:vAlign w:val="bottom"/>
          </w:tcPr>
          <w:p>
            <w:pPr>
              <w:spacing w:after="0"/>
              <w:rPr>
                <w:sz w:val="20"/>
                <w:szCs w:val="20"/>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tcPr>
          <w:p>
            <w:pPr>
              <w:spacing w:after="0"/>
              <w:rPr>
                <w:sz w:val="20"/>
                <w:szCs w:val="20"/>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554</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65"/>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Transaction-related items</w:t>
            </w:r>
          </w:p>
        </w:tc>
        <w:tc>
          <w:tcPr>
            <w:tcW w:w="340" w:type="dxa"/>
            <w:vAlign w:val="bottom"/>
          </w:tcPr>
          <w:p>
            <w:pPr>
              <w:spacing w:after="0"/>
              <w:rPr>
                <w:sz w:val="23"/>
                <w:szCs w:val="23"/>
                <w:color w:val="auto"/>
              </w:rPr>
            </w:pP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tcPr>
          <w:p>
            <w:pPr>
              <w:spacing w:after="0"/>
              <w:rPr>
                <w:sz w:val="23"/>
                <w:szCs w:val="23"/>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tcPr>
          <w:p>
            <w:pPr>
              <w:spacing w:after="0"/>
              <w:rPr>
                <w:sz w:val="23"/>
                <w:szCs w:val="23"/>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65"/>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corporate matters</w:t>
            </w:r>
          </w:p>
        </w:tc>
        <w:tc>
          <w:tcPr>
            <w:tcW w:w="340" w:type="dxa"/>
            <w:vAlign w:val="bottom"/>
          </w:tcPr>
          <w:p>
            <w:pPr>
              <w:spacing w:after="0"/>
              <w:rPr>
                <w:sz w:val="23"/>
                <w:szCs w:val="23"/>
                <w:color w:val="auto"/>
              </w:rPr>
            </w:pP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131</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
        </w:trPr>
        <w:tc>
          <w:tcPr>
            <w:tcW w:w="4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3"/>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transaction-related items, and</w:t>
            </w:r>
          </w:p>
        </w:tc>
        <w:tc>
          <w:tcPr>
            <w:tcW w:w="3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1"/>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corporate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731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454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747</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
        </w:trPr>
        <w:tc>
          <w:tcPr>
            <w:tcW w:w="4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(a) Severance costs include the accelerated vesting of stock-based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Restructuring Charges</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Restructuring charges for the period from August 7 - December 31, 2025 (Successor) were comprised of severance costs of $650 million, principally associated with transformation initiatives and aligning the business around our strategic priorities following the Transactions, including costs related to a plan under which severance payments are being provided to certain eligible employees who voluntarily elected to participate.</w:t>
      </w:r>
    </w:p>
    <w:p>
      <w:pPr>
        <w:spacing w:after="0" w:line="200" w:lineRule="exact"/>
        <w:rPr>
          <w:sz w:val="20"/>
          <w:szCs w:val="20"/>
          <w:color w:val="auto"/>
        </w:rPr>
      </w:pP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Restructuring charges for the Predecessor periods from January 1 - August 6, 2025 and the years ended December 31, 2024 and 2023 included severance costs of $190 million, $523 million and $67 million, respectively, primarily reflecting strategic changes in our global workforce in order to streamline the organization. The severance costs in 2024 also included expenses associated with the exit of Paramount Global’s former CEO and other management changes.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Additionally, during the Predecessor periods from January 1 - August 6, 2025 and the years ended December 31, 2024 and 2023, we recorded exit costs of $65 million, $31 million, and $35 million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respectively, primarily for the impairment of lease assets that we ceased use of in connection with initiatives to reduce our real estate footprint and create cost synergies. The impairments were primarily the result of a decline in market conditions since the</w:t>
      </w:r>
    </w:p>
    <w:p>
      <w:pPr>
        <w:sectPr>
          <w:pgSz w:w="11900" w:h="16838" w:orient="portrait"/>
          <w:cols w:equalWidth="0" w:num="1">
            <w:col w:w="11240"/>
          </w:cols>
          <w:pgMar w:left="320" w:top="7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type w:val="continuous"/>
        </w:sectPr>
      </w:pPr>
    </w:p>
    <w:bookmarkStart w:id="97" w:name="page98"/>
    <w:bookmarkEnd w:id="97"/>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color w:val="auto"/>
        </w:rPr>
        <w:t>inception of these leases and reflect the difference between the estimated fair values, which were determined based on the expected future cash flows of the lease assets, and the carrying values.</w:t>
      </w:r>
    </w:p>
    <w:p>
      <w:pPr>
        <w:spacing w:after="0" w:line="1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following is a rollforward of our restructuring severance liability by segment, which is recorded in “Other current liabilities” and “Other liabilities” on the Consolidated Balance Sheets, and is expected to be substantially paid by the end of 2027. See note 17 for a description of our segments for the Successor and Predecessor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96520</wp:posOffset>
            </wp:positionV>
            <wp:extent cx="57378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37860" cy="17145"/>
                    </a:xfrm>
                    <a:prstGeom prst="rect">
                      <a:avLst/>
                    </a:prstGeom>
                    <a:noFill/>
                  </pic:spPr>
                </pic:pic>
              </a:graphicData>
            </a:graphic>
          </wp:anchor>
        </w:drawing>
      </w:r>
    </w:p>
    <w:p>
      <w:pPr>
        <w:spacing w:after="0" w:line="169" w:lineRule="exact"/>
        <w:rPr>
          <w:sz w:val="20"/>
          <w:szCs w:val="20"/>
          <w:color w:val="auto"/>
        </w:rPr>
      </w:pPr>
    </w:p>
    <w:tbl>
      <w:tblPr>
        <w:tblLayout w:type="fixed"/>
        <w:tblInd w:w="1100" w:type="dxa"/>
        <w:tblCellMar>
          <w:top w:w="0" w:type="dxa"/>
          <w:left w:w="0" w:type="dxa"/>
          <w:bottom w:w="0" w:type="dxa"/>
          <w:right w:w="0" w:type="dxa"/>
        </w:tblCellMar>
      </w:tblPr>
      <w:tr>
        <w:trPr>
          <w:trHeight w:val="221"/>
        </w:trPr>
        <w:tc>
          <w:tcPr>
            <w:tcW w:w="2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2025 Activity (Successor)</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96"/>
        </w:trPr>
        <w:tc>
          <w:tcPr>
            <w:tcW w:w="2140" w:type="dxa"/>
            <w:vAlign w:val="bottom"/>
          </w:tcPr>
          <w:p>
            <w:pPr>
              <w:spacing w:after="0"/>
              <w:rPr>
                <w:sz w:val="17"/>
                <w:szCs w:val="17"/>
                <w:color w:val="auto"/>
              </w:rPr>
            </w:pPr>
          </w:p>
        </w:tc>
        <w:tc>
          <w:tcPr>
            <w:tcW w:w="23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Balance at August 7,</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Payments and</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Balance at December 31,</w:t>
            </w:r>
          </w:p>
        </w:tc>
      </w:tr>
      <w:tr>
        <w:trPr>
          <w:trHeight w:val="241"/>
        </w:trPr>
        <w:tc>
          <w:tcPr>
            <w:tcW w:w="2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6"/>
              </w:rPr>
              <w:t xml:space="preserve">Charges </w:t>
            </w:r>
            <w:r>
              <w:rPr>
                <w:rFonts w:ascii="Times New Roman" w:cs="Times New Roman" w:eastAsia="Times New Roman" w:hAnsi="Times New Roman"/>
                <w:sz w:val="20"/>
                <w:szCs w:val="20"/>
                <w:b w:val="1"/>
                <w:bCs w:val="1"/>
                <w:color w:val="auto"/>
                <w:w w:val="96"/>
                <w:vertAlign w:val="superscript"/>
              </w:rPr>
              <w:t>(a)</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7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Studios</w:t>
            </w:r>
          </w:p>
        </w:tc>
        <w:tc>
          <w:tcPr>
            <w:tcW w:w="118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123</w:t>
            </w:r>
          </w:p>
        </w:tc>
        <w:tc>
          <w:tcPr>
            <w:tcW w:w="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(38)</w:t>
            </w:r>
          </w:p>
        </w:tc>
        <w:tc>
          <w:tcPr>
            <w:tcW w:w="7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133</w:t>
            </w:r>
          </w:p>
        </w:tc>
      </w:tr>
      <w:tr>
        <w:trPr>
          <w:trHeight w:val="238"/>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1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20"/>
                <w:szCs w:val="20"/>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42</w:t>
            </w:r>
          </w:p>
        </w:tc>
        <w:tc>
          <w:tcPr>
            <w:tcW w:w="400" w:type="dxa"/>
            <w:vAlign w:val="bottom"/>
          </w:tcPr>
          <w:p>
            <w:pPr>
              <w:spacing w:after="0"/>
              <w:rPr>
                <w:sz w:val="20"/>
                <w:szCs w:val="20"/>
                <w:color w:val="auto"/>
              </w:rPr>
            </w:pP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(4)</w:t>
            </w:r>
          </w:p>
        </w:tc>
        <w:tc>
          <w:tcPr>
            <w:tcW w:w="760" w:type="dxa"/>
            <w:vAlign w:val="bottom"/>
          </w:tcPr>
          <w:p>
            <w:pPr>
              <w:spacing w:after="0"/>
              <w:rPr>
                <w:sz w:val="20"/>
                <w:szCs w:val="20"/>
                <w:color w:val="auto"/>
              </w:rPr>
            </w:pPr>
          </w:p>
        </w:tc>
        <w:tc>
          <w:tcPr>
            <w:tcW w:w="12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53</w:t>
            </w:r>
          </w:p>
        </w:tc>
      </w:tr>
      <w:tr>
        <w:trPr>
          <w:trHeight w:val="238"/>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TV Media</w:t>
            </w:r>
          </w:p>
        </w:tc>
        <w:tc>
          <w:tcPr>
            <w:tcW w:w="1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40" w:type="dxa"/>
            <w:vAlign w:val="bottom"/>
          </w:tcPr>
          <w:p>
            <w:pPr>
              <w:spacing w:after="0"/>
              <w:rPr>
                <w:sz w:val="20"/>
                <w:szCs w:val="20"/>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301</w:t>
            </w:r>
          </w:p>
        </w:tc>
        <w:tc>
          <w:tcPr>
            <w:tcW w:w="400" w:type="dxa"/>
            <w:vAlign w:val="bottom"/>
          </w:tcPr>
          <w:p>
            <w:pPr>
              <w:spacing w:after="0"/>
              <w:rPr>
                <w:sz w:val="20"/>
                <w:szCs w:val="20"/>
                <w:color w:val="auto"/>
              </w:rPr>
            </w:pP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(102)</w:t>
            </w:r>
          </w:p>
        </w:tc>
        <w:tc>
          <w:tcPr>
            <w:tcW w:w="760" w:type="dxa"/>
            <w:vAlign w:val="bottom"/>
          </w:tcPr>
          <w:p>
            <w:pPr>
              <w:spacing w:after="0"/>
              <w:rPr>
                <w:sz w:val="20"/>
                <w:szCs w:val="20"/>
                <w:color w:val="auto"/>
              </w:rPr>
            </w:pPr>
          </w:p>
        </w:tc>
        <w:tc>
          <w:tcPr>
            <w:tcW w:w="12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384</w:t>
            </w:r>
          </w:p>
        </w:tc>
      </w:tr>
      <w:tr>
        <w:trPr>
          <w:trHeight w:val="250"/>
        </w:trPr>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115</w:t>
            </w: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(33)</w:t>
            </w:r>
          </w:p>
        </w:tc>
        <w:tc>
          <w:tcPr>
            <w:tcW w:w="7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135</w:t>
            </w:r>
          </w:p>
        </w:tc>
      </w:tr>
      <w:tr>
        <w:trPr>
          <w:trHeight w:val="245"/>
        </w:trPr>
        <w:tc>
          <w:tcPr>
            <w:tcW w:w="2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581</w:t>
            </w:r>
          </w:p>
        </w:tc>
        <w:tc>
          <w:tcPr>
            <w:tcW w:w="4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(177)</w:t>
            </w:r>
          </w:p>
        </w:tc>
        <w:tc>
          <w:tcPr>
            <w:tcW w:w="7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705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160020</wp:posOffset>
            </wp:positionV>
            <wp:extent cx="575500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5005" cy="16510"/>
                    </a:xfrm>
                    <a:prstGeom prst="rect">
                      <a:avLst/>
                    </a:prstGeom>
                    <a:noFill/>
                  </pic:spPr>
                </pic:pic>
              </a:graphicData>
            </a:graphic>
          </wp:anchor>
        </w:drawing>
      </w:r>
    </w:p>
    <w:p>
      <w:pPr>
        <w:spacing w:after="0" w:line="269" w:lineRule="exact"/>
        <w:rPr>
          <w:sz w:val="20"/>
          <w:szCs w:val="20"/>
          <w:color w:val="auto"/>
        </w:rPr>
      </w:pPr>
    </w:p>
    <w:tbl>
      <w:tblPr>
        <w:tblLayout w:type="fixed"/>
        <w:tblInd w:w="1100" w:type="dxa"/>
        <w:tblCellMar>
          <w:top w:w="0" w:type="dxa"/>
          <w:left w:w="0" w:type="dxa"/>
          <w:bottom w:w="0" w:type="dxa"/>
          <w:right w:w="0" w:type="dxa"/>
        </w:tblCellMar>
      </w:tblPr>
      <w:tr>
        <w:trPr>
          <w:trHeight w:val="221"/>
        </w:trPr>
        <w:tc>
          <w:tcPr>
            <w:tcW w:w="2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2025 Activity (Predecessor)</w:t>
            </w:r>
          </w:p>
        </w:tc>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96"/>
        </w:trPr>
        <w:tc>
          <w:tcPr>
            <w:tcW w:w="2100" w:type="dxa"/>
            <w:vAlign w:val="bottom"/>
          </w:tcPr>
          <w:p>
            <w:pPr>
              <w:spacing w:after="0"/>
              <w:rPr>
                <w:sz w:val="17"/>
                <w:szCs w:val="17"/>
                <w:color w:val="auto"/>
              </w:rPr>
            </w:pPr>
          </w:p>
        </w:tc>
        <w:tc>
          <w:tcPr>
            <w:tcW w:w="25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Balance at December 31,</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Payments and</w:t>
            </w:r>
          </w:p>
        </w:tc>
        <w:tc>
          <w:tcPr>
            <w:tcW w:w="600" w:type="dxa"/>
            <w:vAlign w:val="bottom"/>
          </w:tcPr>
          <w:p>
            <w:pPr>
              <w:spacing w:after="0"/>
              <w:rPr>
                <w:sz w:val="17"/>
                <w:szCs w:val="17"/>
                <w:color w:val="auto"/>
              </w:rPr>
            </w:pPr>
          </w:p>
        </w:tc>
        <w:tc>
          <w:tcPr>
            <w:tcW w:w="1260" w:type="dxa"/>
            <w:vAlign w:val="bottom"/>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Balance at</w:t>
            </w:r>
          </w:p>
        </w:tc>
      </w:tr>
      <w:tr>
        <w:trPr>
          <w:trHeight w:val="241"/>
        </w:trPr>
        <w:tc>
          <w:tcPr>
            <w:tcW w:w="2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6"/>
              </w:rPr>
              <w:t xml:space="preserve">Charges </w:t>
            </w:r>
            <w:r>
              <w:rPr>
                <w:rFonts w:ascii="Times New Roman" w:cs="Times New Roman" w:eastAsia="Times New Roman" w:hAnsi="Times New Roman"/>
                <w:sz w:val="20"/>
                <w:szCs w:val="20"/>
                <w:b w:val="1"/>
                <w:bCs w:val="1"/>
                <w:color w:val="auto"/>
                <w:w w:val="96"/>
                <w:vertAlign w:val="superscript"/>
              </w:rPr>
              <w:t>(a)</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60" w:type="dxa"/>
            <w:vAlign w:val="bottom"/>
            <w:tcBorders>
              <w:bottom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August 6, 2025</w:t>
            </w:r>
          </w:p>
        </w:tc>
      </w:tr>
      <w:tr>
        <w:trPr>
          <w:trHeight w:val="213"/>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TV Media</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156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141</w:t>
            </w:r>
          </w:p>
        </w:tc>
        <w:tc>
          <w:tcPr>
            <w:tcW w:w="3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(98)</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199</w:t>
            </w:r>
          </w:p>
        </w:tc>
      </w:tr>
      <w:tr>
        <w:trPr>
          <w:trHeight w:val="239"/>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1240" w:type="dxa"/>
            <w:vAlign w:val="bottom"/>
          </w:tcPr>
          <w:p>
            <w:pPr>
              <w:spacing w:after="0"/>
              <w:rPr>
                <w:sz w:val="20"/>
                <w:szCs w:val="20"/>
                <w:color w:val="auto"/>
              </w:rPr>
            </w:pPr>
          </w:p>
        </w:tc>
        <w:tc>
          <w:tcPr>
            <w:tcW w:w="132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20"/>
                <w:szCs w:val="20"/>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Pr>
          <w:p>
            <w:pPr>
              <w:spacing w:after="0"/>
              <w:rPr>
                <w:sz w:val="20"/>
                <w:szCs w:val="20"/>
                <w:color w:val="auto"/>
              </w:rPr>
            </w:pP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(27)</w:t>
            </w:r>
          </w:p>
        </w:tc>
        <w:tc>
          <w:tcPr>
            <w:tcW w:w="600" w:type="dxa"/>
            <w:vAlign w:val="bottom"/>
          </w:tcPr>
          <w:p>
            <w:pPr>
              <w:spacing w:after="0"/>
              <w:rPr>
                <w:sz w:val="20"/>
                <w:szCs w:val="20"/>
                <w:color w:val="auto"/>
              </w:rPr>
            </w:pPr>
          </w:p>
        </w:tc>
        <w:tc>
          <w:tcPr>
            <w:tcW w:w="12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14</w:t>
            </w:r>
          </w:p>
        </w:tc>
      </w:tr>
      <w:tr>
        <w:trPr>
          <w:trHeight w:val="238"/>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Filmed Entertainment</w:t>
            </w:r>
          </w:p>
        </w:tc>
        <w:tc>
          <w:tcPr>
            <w:tcW w:w="1240" w:type="dxa"/>
            <w:vAlign w:val="bottom"/>
          </w:tcPr>
          <w:p>
            <w:pPr>
              <w:spacing w:after="0"/>
              <w:rPr>
                <w:sz w:val="20"/>
                <w:szCs w:val="20"/>
                <w:color w:val="auto"/>
              </w:rPr>
            </w:pPr>
          </w:p>
        </w:tc>
        <w:tc>
          <w:tcPr>
            <w:tcW w:w="132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20"/>
                <w:szCs w:val="20"/>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17</w:t>
            </w:r>
          </w:p>
        </w:tc>
        <w:tc>
          <w:tcPr>
            <w:tcW w:w="380" w:type="dxa"/>
            <w:vAlign w:val="bottom"/>
          </w:tcPr>
          <w:p>
            <w:pPr>
              <w:spacing w:after="0"/>
              <w:rPr>
                <w:sz w:val="20"/>
                <w:szCs w:val="20"/>
                <w:color w:val="auto"/>
              </w:rPr>
            </w:pP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(28)</w:t>
            </w:r>
          </w:p>
        </w:tc>
        <w:tc>
          <w:tcPr>
            <w:tcW w:w="600" w:type="dxa"/>
            <w:vAlign w:val="bottom"/>
          </w:tcPr>
          <w:p>
            <w:pPr>
              <w:spacing w:after="0"/>
              <w:rPr>
                <w:sz w:val="20"/>
                <w:szCs w:val="20"/>
                <w:color w:val="auto"/>
              </w:rPr>
            </w:pPr>
          </w:p>
        </w:tc>
        <w:tc>
          <w:tcPr>
            <w:tcW w:w="12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35</w:t>
            </w:r>
          </w:p>
        </w:tc>
      </w:tr>
      <w:tr>
        <w:trPr>
          <w:trHeight w:val="250"/>
        </w:trPr>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13</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(71)</w:t>
            </w:r>
          </w:p>
        </w:tc>
        <w:tc>
          <w:tcPr>
            <w:tcW w:w="6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53</w:t>
            </w:r>
          </w:p>
        </w:tc>
      </w:tr>
      <w:tr>
        <w:trPr>
          <w:trHeight w:val="245"/>
        </w:trPr>
        <w:tc>
          <w:tcPr>
            <w:tcW w:w="2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349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176</w:t>
            </w:r>
          </w:p>
        </w:tc>
        <w:tc>
          <w:tcPr>
            <w:tcW w:w="3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(224)</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109220</wp:posOffset>
            </wp:positionV>
            <wp:extent cx="68148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14820" cy="17145"/>
                    </a:xfrm>
                    <a:prstGeom prst="rect">
                      <a:avLst/>
                    </a:prstGeom>
                    <a:noFill/>
                  </pic:spPr>
                </pic:pic>
              </a:graphicData>
            </a:graphic>
          </wp:anchor>
        </w:drawing>
      </w:r>
    </w:p>
    <w:p>
      <w:pPr>
        <w:spacing w:after="0" w:line="185" w:lineRule="exact"/>
        <w:rPr>
          <w:sz w:val="20"/>
          <w:szCs w:val="20"/>
          <w:color w:val="auto"/>
        </w:rPr>
      </w:pPr>
    </w:p>
    <w:tbl>
      <w:tblPr>
        <w:tblLayout w:type="fixed"/>
        <w:tblInd w:w="260" w:type="dxa"/>
        <w:tblCellMar>
          <w:top w:w="0" w:type="dxa"/>
          <w:left w:w="0" w:type="dxa"/>
          <w:bottom w:w="0" w:type="dxa"/>
          <w:right w:w="0" w:type="dxa"/>
        </w:tblCellMar>
      </w:tblPr>
      <w:tr>
        <w:trPr>
          <w:trHeight w:val="233"/>
        </w:trPr>
        <w:tc>
          <w:tcPr>
            <w:tcW w:w="2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40" w:type="dxa"/>
            <w:vAlign w:val="bottom"/>
            <w:gridSpan w:val="2"/>
          </w:tcPr>
          <w:p>
            <w:pPr>
              <w:jc w:val="right"/>
              <w:ind w:right="1052"/>
              <w:spacing w:after="0"/>
              <w:rPr>
                <w:sz w:val="20"/>
                <w:szCs w:val="20"/>
                <w:color w:val="auto"/>
              </w:rPr>
            </w:pPr>
            <w:r>
              <w:rPr>
                <w:rFonts w:ascii="Times New Roman" w:cs="Times New Roman" w:eastAsia="Times New Roman" w:hAnsi="Times New Roman"/>
                <w:sz w:val="18"/>
                <w:szCs w:val="18"/>
                <w:b w:val="1"/>
                <w:bCs w:val="1"/>
                <w:color w:val="auto"/>
                <w:w w:val="95"/>
              </w:rPr>
              <w:t>Predecessor</w:t>
            </w: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3"/>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rPr>
              <w:t>2024 Activity</w:t>
            </w: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2300" w:type="dxa"/>
            <w:vAlign w:val="bottom"/>
            <w:gridSpan w:val="2"/>
            <w:vMerge w:val="restart"/>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98"/>
              </w:rPr>
              <w:t>Balance at December 31,</w:t>
            </w: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2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5"/>
              </w:rPr>
              <w:t xml:space="preserve">Charges </w:t>
            </w:r>
            <w:r>
              <w:rPr>
                <w:rFonts w:ascii="Times New Roman" w:cs="Times New Roman" w:eastAsia="Times New Roman" w:hAnsi="Times New Roman"/>
                <w:sz w:val="22"/>
                <w:szCs w:val="22"/>
                <w:b w:val="1"/>
                <w:bCs w:val="1"/>
                <w:color w:val="auto"/>
                <w:w w:val="95"/>
                <w:vertAlign w:val="superscript"/>
              </w:rPr>
              <w:t>(a)</w:t>
            </w:r>
          </w:p>
        </w:tc>
        <w:tc>
          <w:tcPr>
            <w:tcW w:w="820" w:type="dxa"/>
            <w:vAlign w:val="bottom"/>
          </w:tcPr>
          <w:p>
            <w:pPr>
              <w:spacing w:after="0"/>
              <w:rPr>
                <w:sz w:val="18"/>
                <w:szCs w:val="18"/>
                <w:color w:val="auto"/>
              </w:rPr>
            </w:pP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w w:val="95"/>
              </w:rPr>
              <w:t>Payments</w:t>
            </w:r>
          </w:p>
        </w:tc>
        <w:tc>
          <w:tcPr>
            <w:tcW w:w="2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9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99"/>
              </w:rPr>
              <w:t>and other</w:t>
            </w:r>
          </w:p>
        </w:tc>
        <w:tc>
          <w:tcPr>
            <w:tcW w:w="10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TV Media</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(187)</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65"/>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Direct-to-Consumer</w:t>
            </w:r>
          </w:p>
        </w:tc>
        <w:tc>
          <w:tcPr>
            <w:tcW w:w="660" w:type="dxa"/>
            <w:vAlign w:val="bottom"/>
          </w:tcPr>
          <w:p>
            <w:pPr>
              <w:spacing w:after="0"/>
              <w:rPr>
                <w:sz w:val="23"/>
                <w:szCs w:val="23"/>
                <w:color w:val="auto"/>
              </w:rPr>
            </w:pPr>
          </w:p>
        </w:tc>
        <w:tc>
          <w:tcPr>
            <w:tcW w:w="16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20" w:type="dxa"/>
            <w:vAlign w:val="bottom"/>
          </w:tcPr>
          <w:p>
            <w:pPr>
              <w:spacing w:after="0"/>
              <w:rPr>
                <w:sz w:val="23"/>
                <w:szCs w:val="23"/>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(36)</w:t>
            </w:r>
          </w:p>
        </w:tc>
        <w:tc>
          <w:tcPr>
            <w:tcW w:w="1020" w:type="dxa"/>
            <w:vAlign w:val="bottom"/>
          </w:tcPr>
          <w:p>
            <w:pPr>
              <w:spacing w:after="0"/>
              <w:rPr>
                <w:sz w:val="23"/>
                <w:szCs w:val="23"/>
                <w:color w:val="auto"/>
              </w:rPr>
            </w:pPr>
          </w:p>
        </w:tc>
        <w:tc>
          <w:tcPr>
            <w:tcW w:w="13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65"/>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Filmed Entertainment</w:t>
            </w:r>
          </w:p>
        </w:tc>
        <w:tc>
          <w:tcPr>
            <w:tcW w:w="660" w:type="dxa"/>
            <w:vAlign w:val="bottom"/>
          </w:tcPr>
          <w:p>
            <w:pPr>
              <w:spacing w:after="0"/>
              <w:rPr>
                <w:sz w:val="23"/>
                <w:szCs w:val="23"/>
                <w:color w:val="auto"/>
              </w:rPr>
            </w:pPr>
          </w:p>
        </w:tc>
        <w:tc>
          <w:tcPr>
            <w:tcW w:w="16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20" w:type="dxa"/>
            <w:vAlign w:val="bottom"/>
          </w:tcPr>
          <w:p>
            <w:pPr>
              <w:spacing w:after="0"/>
              <w:rPr>
                <w:sz w:val="23"/>
                <w:szCs w:val="23"/>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(38)</w:t>
            </w:r>
          </w:p>
        </w:tc>
        <w:tc>
          <w:tcPr>
            <w:tcW w:w="1020" w:type="dxa"/>
            <w:vAlign w:val="bottom"/>
          </w:tcPr>
          <w:p>
            <w:pPr>
              <w:spacing w:after="0"/>
              <w:rPr>
                <w:sz w:val="23"/>
                <w:szCs w:val="23"/>
                <w:color w:val="auto"/>
              </w:rPr>
            </w:pPr>
          </w:p>
        </w:tc>
        <w:tc>
          <w:tcPr>
            <w:tcW w:w="13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65"/>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60" w:type="dxa"/>
            <w:vAlign w:val="bottom"/>
          </w:tcPr>
          <w:p>
            <w:pPr>
              <w:spacing w:after="0"/>
              <w:rPr>
                <w:sz w:val="23"/>
                <w:szCs w:val="23"/>
                <w:color w:val="auto"/>
              </w:rPr>
            </w:pPr>
          </w:p>
        </w:tc>
        <w:tc>
          <w:tcPr>
            <w:tcW w:w="16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20" w:type="dxa"/>
            <w:vAlign w:val="bottom"/>
          </w:tcPr>
          <w:p>
            <w:pPr>
              <w:spacing w:after="0"/>
              <w:rPr>
                <w:sz w:val="23"/>
                <w:szCs w:val="23"/>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(70)</w:t>
            </w:r>
          </w:p>
        </w:tc>
        <w:tc>
          <w:tcPr>
            <w:tcW w:w="1020" w:type="dxa"/>
            <w:vAlign w:val="bottom"/>
          </w:tcPr>
          <w:p>
            <w:pPr>
              <w:spacing w:after="0"/>
              <w:rPr>
                <w:sz w:val="23"/>
                <w:szCs w:val="23"/>
                <w:color w:val="auto"/>
              </w:rPr>
            </w:pPr>
          </w:p>
        </w:tc>
        <w:tc>
          <w:tcPr>
            <w:tcW w:w="13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5"/>
        </w:trPr>
        <w:tc>
          <w:tcPr>
            <w:tcW w:w="2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(331)</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32"/>
        </w:trPr>
        <w:tc>
          <w:tcPr>
            <w:tcW w:w="2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560" w:right="400" w:hanging="236"/>
        <w:spacing w:after="0" w:line="290" w:lineRule="auto"/>
        <w:tabs>
          <w:tab w:leader="none" w:pos="55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stock-based compensation expense of $69 million and $14 million for the periods from August 7 - December 31, 2025 (Successor) and January 1 - August 6, 2025 (Predecessor), respectively. For the year ended December 31, 2024 (Predecessor), excludes stock-based compensation expense of $35 million.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Transaction-Related Items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During the Successor period from August 7 - December 31, 2025, we recorded $81 million of transaction-related costs, principally for legal and other professional fees associated with the Warner Bros. offer. During the Predecessor period from January 1 - August 6, 2025, we recorded $199 million, principally for banking, legal, advisory, and other professional fees relating to the Transactions, and transaction awards that became payable to eligible employees upon closing. During 2024, we recorded costs for transaction-related items of $62 million associated with legal and advisory services related to the Transactions, and during 2023, we recorded a benefit of $156 million, principally associated with stockholder litigation related to the 2019 merger of Viacom Inc. (“Viacom”) and CBS Corporation (“CBS”).</w:t>
      </w:r>
    </w:p>
    <w:p>
      <w:pPr>
        <w:sectPr>
          <w:pgSz w:w="11900" w:h="16838" w:orient="portrait"/>
          <w:cols w:equalWidth="0" w:num="1">
            <w:col w:w="11240"/>
          </w:cols>
          <w:pgMar w:left="320" w:top="7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type w:val="continuous"/>
        </w:sectPr>
      </w:pPr>
    </w:p>
    <w:bookmarkStart w:id="98" w:name="page99"/>
    <w:bookmarkEnd w:id="98"/>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Corporate Matters (Predecessor)</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 xml:space="preserve">In 2024, we recorded charges for other corporate matters of $131 million, comprised of $74 million associated with the abandonment of developed technology and $57 million to increase our accrual for asbestos matters as discussed under </w:t>
      </w: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Claims Related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Former Businesses—Asbestos </w:t>
      </w:r>
      <w:r>
        <w:rPr>
          <w:rFonts w:ascii="Times New Roman" w:cs="Times New Roman" w:eastAsia="Times New Roman" w:hAnsi="Times New Roman"/>
          <w:sz w:val="19"/>
          <w:szCs w:val="19"/>
          <w:color w:val="auto"/>
        </w:rPr>
        <w:t>in Note 18. In 2023, we recorded a charge to increase our accrual for asbestos matters by $23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RELATED 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 Ellison Family (Successor)</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At December 31, 2025, the Ellison Family, the controlling stockholder of Paramount, indirectly held approximately 77.5% of our voting Class A Common Stock through their collective approximate 77.5% ownership interest in Harbor Lights Entertainment, Inc. (f/k/a National Amusements, Inc.) and 47.8% of our Class A and non-voting Class B Common Stock on a combined basis. In addition, in connection with the PIPE transaction, the NAI Equity Investors (including entities controlled by the Ellison Family) received warrants to purchase a total of 200 million shares of Paramount Skydance Corporation Class B Common Stock (of which entities controlled by the Ellison Family received warrants to purchase a total of 155 million shares) at an initial exercise price of $30.50 per share (subject to customary anti-dilution adjustments), which expire five years after issuance. The Ellison Family is comprised of Lawrence Ellison and David Ellison. David Ellison is the son of Lawrence Ellison, and Lawrence Ellison and David Ellison are accordingly considered immediate family members. David Ellison is the CEO of Paramount and the Chairman of our Board of Directors.</w:t>
      </w:r>
    </w:p>
    <w:p>
      <w:pPr>
        <w:spacing w:after="0" w:line="2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Lawrence Ellison is the Chairman and a significant stockholder of Oracle Corporation (“Oracle”). During the Successor period, we made payments totaling $12 million relating to several multi-year software as a service agreements with Oracle, principally for finance and human resources, as well as Oracle software support agreements and database licenses used by various applications. In February 2026, we executed a six-year cloud infrastructure services agreement with Oracle with a total commitment of $300 million, under which payments escalate over the term, in connection with our anticipated enterprise, data, and streaming workloads.</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 addition, we have lease agreements with terms that expire in 2034 under which the lessor is an entity owned and controlled by Lawrence Ellison. At December 31, 2025, the total liability associated with these leases was $174 million. During the period from August 7 - December 31, 2025 we recorded lease costs associated with these leases totaling $20 million.</w:t>
      </w:r>
    </w:p>
    <w:p>
      <w:pPr>
        <w:spacing w:after="0" w:line="19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The Ellison Family has investments in other entities over which they have control or can exert significant influence, which as a result, are related parties to us. We did not have any material transactions with these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99" w:name="page100"/>
    <w:bookmarkEnd w:id="99"/>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Related Parties</w:t>
      </w:r>
    </w:p>
    <w:p>
      <w:pPr>
        <w:spacing w:after="0" w:line="15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In the ordinary course of business, we are involved in transactions with our equity method investees, primarily for the licensing of television and film programming. The following tables present the amounts recorded in our consolidated financial statements related to these transactions.</w:t>
      </w:r>
    </w:p>
    <w:p>
      <w:pPr>
        <w:spacing w:after="0" w:line="93" w:lineRule="exact"/>
        <w:rPr>
          <w:sz w:val="20"/>
          <w:szCs w:val="20"/>
          <w:color w:val="auto"/>
        </w:rPr>
      </w:pPr>
    </w:p>
    <w:tbl>
      <w:tblPr>
        <w:tblLayout w:type="fixed"/>
        <w:tblInd w:w="660" w:type="dxa"/>
        <w:tblCellMar>
          <w:top w:w="0" w:type="dxa"/>
          <w:left w:w="0" w:type="dxa"/>
          <w:bottom w:w="0" w:type="dxa"/>
          <w:right w:w="0" w:type="dxa"/>
        </w:tblCellMar>
      </w:tblPr>
      <w:tr>
        <w:trPr>
          <w:trHeight w:val="258"/>
        </w:trPr>
        <w:tc>
          <w:tcPr>
            <w:tcW w:w="444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r>
      <w:tr>
        <w:trPr>
          <w:trHeight w:val="196"/>
        </w:trPr>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320" w:type="dxa"/>
            <w:vAlign w:val="bottom"/>
            <w:gridSpan w:val="2"/>
          </w:tcPr>
          <w:p>
            <w:pPr>
              <w:jc w:val="center"/>
              <w:ind w:left="5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5"/>
        </w:trPr>
        <w:tc>
          <w:tcPr>
            <w:tcW w:w="4440" w:type="dxa"/>
            <w:vAlign w:val="bottom"/>
          </w:tcPr>
          <w:p>
            <w:pPr>
              <w:spacing w:after="0"/>
              <w:rPr>
                <w:sz w:val="16"/>
                <w:szCs w:val="16"/>
                <w:color w:val="auto"/>
              </w:rPr>
            </w:pPr>
          </w:p>
        </w:tc>
        <w:tc>
          <w:tcPr>
            <w:tcW w:w="1540" w:type="dxa"/>
            <w:vAlign w:val="bottom"/>
            <w:tcBorders>
              <w:right w:val="single" w:sz="8" w:color="auto"/>
            </w:tcBorders>
            <w:gridSpan w:val="2"/>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Period From August</w:t>
            </w:r>
          </w:p>
        </w:tc>
        <w:tc>
          <w:tcPr>
            <w:tcW w:w="1320" w:type="dxa"/>
            <w:vAlign w:val="bottom"/>
            <w:gridSpan w:val="2"/>
          </w:tcPr>
          <w:p>
            <w:pPr>
              <w:jc w:val="center"/>
              <w:ind w:left="56"/>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4"/>
        </w:trPr>
        <w:tc>
          <w:tcPr>
            <w:tcW w:w="4440" w:type="dxa"/>
            <w:vAlign w:val="bottom"/>
          </w:tcPr>
          <w:p>
            <w:pPr>
              <w:spacing w:after="0"/>
              <w:rPr>
                <w:sz w:val="20"/>
                <w:szCs w:val="20"/>
                <w:color w:val="auto"/>
              </w:rPr>
            </w:pPr>
          </w:p>
        </w:tc>
        <w:tc>
          <w:tcPr>
            <w:tcW w:w="1540" w:type="dxa"/>
            <w:vAlign w:val="bottom"/>
            <w:tcBorders>
              <w:bottom w:val="single" w:sz="8" w:color="auto"/>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7 - December 31,</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44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ind w:right="39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133</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273</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390"/>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Operating costs </w:t>
            </w:r>
            <w:r>
              <w:rPr>
                <w:rFonts w:ascii="Times New Roman" w:cs="Times New Roman" w:eastAsia="Times New Roman" w:hAnsi="Times New Roman"/>
                <w:sz w:val="22"/>
                <w:szCs w:val="22"/>
                <w:color w:val="auto"/>
                <w:vertAlign w:val="superscript"/>
              </w:rPr>
              <w:t>(a)</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114</w:t>
            </w:r>
          </w:p>
        </w:tc>
        <w:tc>
          <w:tcPr>
            <w:tcW w:w="4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 Beginning in 2024, amounts include costs capitalized in programming assets during the period, as well as operating expenses.</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258"/>
        </w:trPr>
        <w:tc>
          <w:tcPr>
            <w:tcW w:w="3540" w:type="dxa"/>
            <w:vAlign w:val="bottom"/>
            <w:tcBorders>
              <w:top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right w:val="single" w:sz="8" w:color="auto"/>
            </w:tcBorders>
          </w:tcPr>
          <w:p>
            <w:pPr>
              <w:jc w:val="right"/>
              <w:ind w:right="696"/>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56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245"/>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520" w:type="dxa"/>
            <w:vAlign w:val="bottom"/>
            <w:tcBorders>
              <w:bottom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jc w:val="right"/>
              <w:ind w:right="8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rPr>
              <w:t>213</w:t>
            </w: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190</w:t>
            </w:r>
          </w:p>
        </w:tc>
      </w:tr>
      <w:tr>
        <w:trPr>
          <w:trHeight w:val="371"/>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(Receivables, noncurrent)</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rPr>
              <w:t>87</w:t>
            </w: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82</w:t>
            </w:r>
          </w:p>
        </w:tc>
      </w:tr>
      <w:tr>
        <w:trPr>
          <w:trHeight w:val="32"/>
        </w:trPr>
        <w:tc>
          <w:tcPr>
            <w:tcW w:w="3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540"/>
        <w:spacing w:after="0" w:line="285" w:lineRule="auto"/>
        <w:rPr>
          <w:sz w:val="20"/>
          <w:szCs w:val="20"/>
          <w:color w:val="auto"/>
        </w:rPr>
      </w:pPr>
      <w:r>
        <w:rPr>
          <w:rFonts w:ascii="Times New Roman" w:cs="Times New Roman" w:eastAsia="Times New Roman" w:hAnsi="Times New Roman"/>
          <w:sz w:val="19"/>
          <w:szCs w:val="19"/>
          <w:color w:val="auto"/>
        </w:rPr>
        <w:t>Through the normal course of business, we are involved in other transactions with related parties that have not been material in any of the periods presented.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REVENUES</w:t>
      </w:r>
    </w:p>
    <w:p>
      <w:pPr>
        <w:spacing w:after="0" w:line="157"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9"/>
          <w:szCs w:val="19"/>
          <w:color w:val="auto"/>
        </w:rPr>
        <w:t>The table below presents our revenues disaggregated into categories based on the nature of such revenues. See Note 17 for revenues by segment disaggregated into these categories.</w:t>
      </w:r>
    </w:p>
    <w:p>
      <w:pPr>
        <w:spacing w:after="0" w:line="93" w:lineRule="exact"/>
        <w:rPr>
          <w:sz w:val="20"/>
          <w:szCs w:val="20"/>
          <w:color w:val="auto"/>
        </w:rPr>
      </w:pPr>
    </w:p>
    <w:tbl>
      <w:tblPr>
        <w:tblLayout w:type="fixed"/>
        <w:tblInd w:w="800" w:type="dxa"/>
        <w:tblCellMar>
          <w:top w:w="0" w:type="dxa"/>
          <w:left w:w="0" w:type="dxa"/>
          <w:bottom w:w="0" w:type="dxa"/>
          <w:right w:w="0" w:type="dxa"/>
        </w:tblCellMar>
      </w:tblPr>
      <w:tr>
        <w:trPr>
          <w:trHeight w:val="258"/>
        </w:trPr>
        <w:tc>
          <w:tcPr>
            <w:tcW w:w="4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gridSpan w:val="2"/>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4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r>
      <w:tr>
        <w:trPr>
          <w:trHeight w:val="196"/>
        </w:trPr>
        <w:tc>
          <w:tcPr>
            <w:tcW w:w="4100" w:type="dxa"/>
            <w:vAlign w:val="bottom"/>
          </w:tcPr>
          <w:p>
            <w:pPr>
              <w:spacing w:after="0"/>
              <w:rPr>
                <w:sz w:val="17"/>
                <w:szCs w:val="17"/>
                <w:color w:val="auto"/>
              </w:rPr>
            </w:pPr>
          </w:p>
        </w:tc>
        <w:tc>
          <w:tcPr>
            <w:tcW w:w="1460" w:type="dxa"/>
            <w:vAlign w:val="bottom"/>
            <w:tcBorders>
              <w:right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4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Borders>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1"/>
        </w:trPr>
        <w:tc>
          <w:tcPr>
            <w:tcW w:w="4100" w:type="dxa"/>
            <w:vAlign w:val="bottom"/>
          </w:tcPr>
          <w:p>
            <w:pPr>
              <w:spacing w:after="0"/>
              <w:rPr>
                <w:sz w:val="19"/>
                <w:szCs w:val="19"/>
                <w:color w:val="auto"/>
              </w:rPr>
            </w:pPr>
          </w:p>
        </w:tc>
        <w:tc>
          <w:tcPr>
            <w:tcW w:w="1460" w:type="dxa"/>
            <w:vAlign w:val="bottom"/>
            <w:tcBorders>
              <w:bottom w:val="single" w:sz="8" w:color="auto"/>
              <w:right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4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4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Type:</w:t>
            </w:r>
          </w:p>
        </w:tc>
        <w:tc>
          <w:tcPr>
            <w:tcW w:w="32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65"/>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3,803</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5,329</w:t>
            </w:r>
          </w:p>
        </w:tc>
        <w:tc>
          <w:tcPr>
            <w:tcW w:w="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10,295</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w:t>
            </w:r>
          </w:p>
        </w:tc>
      </w:tr>
      <w:tr>
        <w:trPr>
          <w:trHeight w:val="265"/>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 and subscription</w:t>
            </w:r>
          </w:p>
        </w:tc>
        <w:tc>
          <w:tcPr>
            <w:tcW w:w="320" w:type="dxa"/>
            <w:vAlign w:val="bottom"/>
          </w:tcPr>
          <w:p>
            <w:pPr>
              <w:spacing w:after="0"/>
              <w:rPr>
                <w:sz w:val="23"/>
                <w:szCs w:val="23"/>
                <w:color w:val="auto"/>
              </w:rPr>
            </w:pPr>
          </w:p>
        </w:tc>
        <w:tc>
          <w:tcPr>
            <w:tcW w:w="114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5,429</w:t>
            </w:r>
          </w:p>
        </w:tc>
        <w:tc>
          <w:tcPr>
            <w:tcW w:w="400" w:type="dxa"/>
            <w:vAlign w:val="bottom"/>
          </w:tcPr>
          <w:p>
            <w:pPr>
              <w:spacing w:after="0"/>
              <w:rPr>
                <w:sz w:val="23"/>
                <w:szCs w:val="23"/>
                <w:color w:val="auto"/>
              </w:rPr>
            </w:pP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8,242</w:t>
            </w:r>
          </w:p>
        </w:tc>
        <w:tc>
          <w:tcPr>
            <w:tcW w:w="440" w:type="dxa"/>
            <w:vAlign w:val="bottom"/>
          </w:tcPr>
          <w:p>
            <w:pPr>
              <w:spacing w:after="0"/>
              <w:rPr>
                <w:sz w:val="23"/>
                <w:szCs w:val="23"/>
                <w:color w:val="auto"/>
              </w:rPr>
            </w:pP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13,153</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13,018</w:t>
            </w:r>
          </w:p>
        </w:tc>
      </w:tr>
      <w:tr>
        <w:trPr>
          <w:trHeight w:val="265"/>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320" w:type="dxa"/>
            <w:vAlign w:val="bottom"/>
          </w:tcPr>
          <w:p>
            <w:pPr>
              <w:spacing w:after="0"/>
              <w:rPr>
                <w:sz w:val="23"/>
                <w:szCs w:val="23"/>
                <w:color w:val="auto"/>
              </w:rPr>
            </w:pPr>
          </w:p>
        </w:tc>
        <w:tc>
          <w:tcPr>
            <w:tcW w:w="114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154</w:t>
            </w:r>
          </w:p>
        </w:tc>
        <w:tc>
          <w:tcPr>
            <w:tcW w:w="400" w:type="dxa"/>
            <w:vAlign w:val="bottom"/>
          </w:tcPr>
          <w:p>
            <w:pPr>
              <w:spacing w:after="0"/>
              <w:rPr>
                <w:sz w:val="23"/>
                <w:szCs w:val="23"/>
                <w:color w:val="auto"/>
              </w:rPr>
            </w:pP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475</w:t>
            </w:r>
          </w:p>
        </w:tc>
        <w:tc>
          <w:tcPr>
            <w:tcW w:w="440" w:type="dxa"/>
            <w:vAlign w:val="bottom"/>
          </w:tcPr>
          <w:p>
            <w:pPr>
              <w:spacing w:after="0"/>
              <w:rPr>
                <w:sz w:val="23"/>
                <w:szCs w:val="23"/>
                <w:color w:val="auto"/>
              </w:rPr>
            </w:pP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813</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65"/>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Licensing and other</w:t>
            </w:r>
          </w:p>
        </w:tc>
        <w:tc>
          <w:tcPr>
            <w:tcW w:w="320" w:type="dxa"/>
            <w:vAlign w:val="bottom"/>
          </w:tcPr>
          <w:p>
            <w:pPr>
              <w:spacing w:after="0"/>
              <w:rPr>
                <w:sz w:val="23"/>
                <w:szCs w:val="23"/>
                <w:color w:val="auto"/>
              </w:rPr>
            </w:pPr>
          </w:p>
        </w:tc>
        <w:tc>
          <w:tcPr>
            <w:tcW w:w="114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2,883</w:t>
            </w:r>
          </w:p>
        </w:tc>
        <w:tc>
          <w:tcPr>
            <w:tcW w:w="400" w:type="dxa"/>
            <w:vAlign w:val="bottom"/>
          </w:tcPr>
          <w:p>
            <w:pPr>
              <w:spacing w:after="0"/>
              <w:rPr>
                <w:sz w:val="23"/>
                <w:szCs w:val="23"/>
                <w:color w:val="auto"/>
              </w:rPr>
            </w:pP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2,576</w:t>
            </w:r>
          </w:p>
        </w:tc>
        <w:tc>
          <w:tcPr>
            <w:tcW w:w="440" w:type="dxa"/>
            <w:vAlign w:val="bottom"/>
          </w:tcPr>
          <w:p>
            <w:pPr>
              <w:spacing w:after="0"/>
              <w:rPr>
                <w:sz w:val="23"/>
                <w:szCs w:val="23"/>
                <w:color w:val="auto"/>
              </w:rPr>
            </w:pP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4,952</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w:t>
            </w:r>
          </w:p>
        </w:tc>
      </w:tr>
      <w:tr>
        <w:trPr>
          <w:trHeight w:val="25"/>
        </w:trPr>
        <w:tc>
          <w:tcPr>
            <w:tcW w:w="4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3"/>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12,269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16,622</w:t>
            </w:r>
          </w:p>
        </w:tc>
        <w:tc>
          <w:tcPr>
            <w:tcW w:w="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29,213</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29,652</w:t>
            </w:r>
          </w:p>
        </w:tc>
      </w:tr>
      <w:tr>
        <w:trPr>
          <w:trHeight w:val="32"/>
        </w:trPr>
        <w:tc>
          <w:tcPr>
            <w:tcW w:w="4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Receivables</w:t>
      </w:r>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Included in “Other assets” on the Consolidated Balance Sheets are noncurrent receivables of $835 million and $1.03 billion at December 31, 2025 (Successor) </w:t>
      </w:r>
      <w:r>
        <w:rPr>
          <w:rFonts w:ascii="Times New Roman" w:cs="Times New Roman" w:eastAsia="Times New Roman" w:hAnsi="Times New Roman"/>
          <w:sz w:val="21"/>
          <w:szCs w:val="21"/>
          <w:color w:val="auto"/>
        </w:rPr>
        <w:t>and</w:t>
      </w:r>
      <w:r>
        <w:rPr>
          <w:rFonts w:ascii="Times New Roman" w:cs="Times New Roman" w:eastAsia="Times New Roman" w:hAnsi="Times New Roman"/>
          <w:sz w:val="19"/>
          <w:szCs w:val="19"/>
          <w:color w:val="auto"/>
        </w:rPr>
        <w:t xml:space="preserve"> December 31, 2024 (Predecessor), respectively. Noncurrent receivables primarily relate to revenues recognized under long-term content licensing arrangements. Revenues from the licensing of content are recognized at the beginning of the license period in which programs are made available to the licensee for exhibition, while the related cash is generally collected over the term of the license period.</w:t>
      </w:r>
    </w:p>
    <w:p>
      <w:pPr>
        <w:sectPr>
          <w:pgSz w:w="11900" w:h="16838" w:orient="portrait"/>
          <w:cols w:equalWidth="0" w:num="1">
            <w:col w:w="11240"/>
          </w:cols>
          <w:pgMar w:left="320" w:top="7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type w:val="continuous"/>
        </w:sectPr>
      </w:pPr>
    </w:p>
    <w:bookmarkStart w:id="100" w:name="page101"/>
    <w:bookmarkEnd w:id="100"/>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Our receivables do not represent significant concentrations of credit risk at December 31, 2025 or 2024, due to the wide variety of customers, markets and geographic areas to which our products and services are sold.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Contract Liabilities</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Contract liabilities are included within “Deferred revenues” and “Other liabilities” on the Consolidated Balance Sheets and were $1.5 billion, $0.9 billion, and $0.8 billion at December 31, 2025 (Successor) and December 31, 2024 and 2023 (Predecessor), respectively. For the periods from August 7 - December 31, 2025 (Successor) and January 1 - August 6, 2025, and for the years ended December 31, 2024 and 2023 (Predecessor), we recognized revenues of $1.0 billion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$0.6 billion, $0.7 billion, and $0.9 billion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respectively, that were included in the opening balance of deferred revenues for the respective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Unrecognized Revenues Under Contract</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At December 31, 2025 (Successor), unrecognized revenues attributable to unsatisfied performance obligations under our long-term contracts were approximately $6 billion, of which $3 billion is expected to be recognized in 2026, $2 billion in 2027, and $1 billion in 2028. These amounts only include contracts subject to a guaranteed fixed amount or the guaranteed minimum under variable contracts, primarily consisting of television and film licensing contracts and affiliate agreements that are subject to a fixed or guaranteed minimum fee. Such amounts change on a regular basis as we renew existing agreements or enter into new agreements. In addition, the timing of satisfying certain performance obligations under these long-term contracts is uncertain and, therefore, is also subject to change. Unrecognized revenues under contracts disclosed above do not include (i) contracts with an original expected term of one year or less, mainly consisting of advertising contracts, (ii) contracts for which variable consideration is determined based on the customer’s subsequent sale or usage, mainly consisting of affiliate agreements and (iii) long-term licensing agreements for multiple programs for which variable consideration is determined based on the value of the programs delivered to the customer and our right to invoice corresponds with the value delivered.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Performance Obligations Satisfied in Previous Periods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Under certain revenue arrangements, the amount and timing of our revenue recognition is determined based on our licensees’ subsequent sale to its end customers. As a result, under such arrangements we often satisfy our performance obligation of delivery of our content in advance of revenue recognition. We recognized revenue of $0.2 billion for the Successor period from August 7 - December 31, 2025, $0.4 billion for the Predecessor period from January 1 - August 6, 2025, and $0.5 billion and $0.4 billion for the years ended December 31, 2024 and 2023, respectively, principally relating to content licensing arrangements for which the performance obligation was satisfied prior to the periods indicated, including agreements with distributors of transactional video-on-demand and electronic sell-through services, other licensing arrangements, and theatrical distribution of our films. The amount for the year ended December 31, 2024 also included advertising revenue from amounts recognized during 2024 for the underreporting of revenue by an international advertising sales agent in previous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01" w:name="page102"/>
    <w:bookmarkEnd w:id="101"/>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DEBT</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table below details our debt, which was recorded at its fair value on the closing date of the Transactions and the NAI Transaction on August 7, 2025 (see Note 2). Paramount Global is the issuer of all of the senior and junior debt in the table below. Upon the closing of the Transactions, Paramount Skydance Corporation provided a full and unconditional parent guarantee of Paramount Global’s senior and junior debt.</w:t>
      </w:r>
    </w:p>
    <w:p>
      <w:pPr>
        <w:spacing w:after="0" w:line="119" w:lineRule="exact"/>
        <w:rPr>
          <w:sz w:val="20"/>
          <w:szCs w:val="20"/>
          <w:color w:val="auto"/>
        </w:rPr>
      </w:pPr>
    </w:p>
    <w:tbl>
      <w:tblPr>
        <w:tblLayout w:type="fixed"/>
        <w:tblInd w:w="700" w:type="dxa"/>
        <w:tblCellMar>
          <w:top w:w="0" w:type="dxa"/>
          <w:left w:w="0" w:type="dxa"/>
          <w:bottom w:w="0" w:type="dxa"/>
          <w:right w:w="0" w:type="dxa"/>
        </w:tblCellMar>
      </w:tblPr>
      <w:tr>
        <w:trPr>
          <w:trHeight w:val="291"/>
        </w:trPr>
        <w:tc>
          <w:tcPr>
            <w:tcW w:w="440" w:type="dxa"/>
            <w:vAlign w:val="bottom"/>
            <w:tcBorders>
              <w:top w:val="single" w:sz="8" w:color="auto"/>
            </w:tcBorders>
          </w:tcPr>
          <w:p>
            <w:pPr>
              <w:spacing w:after="0"/>
              <w:rPr>
                <w:sz w:val="24"/>
                <w:szCs w:val="24"/>
                <w:color w:val="auto"/>
              </w:rPr>
            </w:pPr>
          </w:p>
        </w:tc>
        <w:tc>
          <w:tcPr>
            <w:tcW w:w="498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640" w:type="dxa"/>
            <w:vAlign w:val="bottom"/>
            <w:tcBorders>
              <w:top w:val="single" w:sz="8" w:color="auto"/>
              <w:bottom w:val="single" w:sz="8" w:color="auto"/>
              <w:right w:val="single" w:sz="8" w:color="auto"/>
            </w:tcBorders>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3"/>
              </w:rPr>
              <w:t xml:space="preserve">Successor </w:t>
            </w:r>
            <w:r>
              <w:rPr>
                <w:rFonts w:ascii="Times New Roman" w:cs="Times New Roman" w:eastAsia="Times New Roman" w:hAnsi="Times New Roman"/>
                <w:sz w:val="22"/>
                <w:szCs w:val="22"/>
                <w:color w:val="auto"/>
                <w:w w:val="93"/>
                <w:vertAlign w:val="superscript"/>
              </w:rPr>
              <w:t>(a)</w:t>
            </w:r>
          </w:p>
        </w:tc>
        <w:tc>
          <w:tcPr>
            <w:tcW w:w="66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r>
      <w:tr>
        <w:trPr>
          <w:trHeight w:val="214"/>
        </w:trPr>
        <w:tc>
          <w:tcPr>
            <w:tcW w:w="4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tcBorders>
              <w:right w:val="single" w:sz="8" w:color="auto"/>
            </w:tcBorders>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660" w:type="dxa"/>
            <w:vAlign w:val="bottom"/>
          </w:tcPr>
          <w:p>
            <w:pPr>
              <w:spacing w:after="0"/>
              <w:rPr>
                <w:sz w:val="18"/>
                <w:szCs w:val="18"/>
                <w:color w:val="auto"/>
              </w:rPr>
            </w:pPr>
          </w:p>
        </w:tc>
        <w:tc>
          <w:tcPr>
            <w:tcW w:w="1560" w:type="dxa"/>
            <w:vAlign w:val="bottom"/>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At</w:t>
            </w:r>
          </w:p>
        </w:tc>
      </w:tr>
      <w:tr>
        <w:trPr>
          <w:trHeight w:val="250"/>
        </w:trPr>
        <w:tc>
          <w:tcPr>
            <w:tcW w:w="44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spacing w:after="0"/>
              <w:rPr>
                <w:sz w:val="21"/>
                <w:szCs w:val="21"/>
                <w:color w:val="auto"/>
              </w:rPr>
            </w:pPr>
          </w:p>
        </w:tc>
        <w:tc>
          <w:tcPr>
            <w:tcW w:w="222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2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4.0% Senior Notes due 2026</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347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346</w:t>
            </w:r>
          </w:p>
        </w:tc>
      </w:tr>
      <w:tr>
        <w:trPr>
          <w:trHeight w:val="238"/>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3.70%</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2026</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85</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86</w:t>
            </w:r>
          </w:p>
        </w:tc>
      </w:tr>
      <w:tr>
        <w:trPr>
          <w:trHeight w:val="238"/>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2.90%</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2027</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573</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582</w:t>
            </w:r>
          </w:p>
        </w:tc>
      </w:tr>
      <w:tr>
        <w:trPr>
          <w:trHeight w:val="238"/>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3.375% Senior Notes due 2028</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487</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498</w:t>
            </w:r>
          </w:p>
        </w:tc>
      </w:tr>
      <w:tr>
        <w:trPr>
          <w:trHeight w:val="238"/>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3.70%</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2028</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489</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496</w:t>
            </w:r>
          </w:p>
        </w:tc>
      </w:tr>
      <w:tr>
        <w:trPr>
          <w:trHeight w:val="238"/>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4.20%</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2029</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489</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496</w:t>
            </w:r>
          </w:p>
        </w:tc>
      </w:tr>
      <w:tr>
        <w:trPr>
          <w:trHeight w:val="23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7.875% Senior Debentures due 2030</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915</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829</w:t>
            </w:r>
          </w:p>
        </w:tc>
      </w:tr>
      <w:tr>
        <w:trPr>
          <w:trHeight w:val="238"/>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4.95%</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2031</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1,221</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1,232</w:t>
            </w:r>
          </w:p>
        </w:tc>
      </w:tr>
      <w:tr>
        <w:trPr>
          <w:trHeight w:val="238"/>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4.20%</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2032</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921</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980</w:t>
            </w:r>
          </w:p>
        </w:tc>
      </w:tr>
      <w:tr>
        <w:trPr>
          <w:trHeight w:val="238"/>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5.50%</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2033</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417</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428</w:t>
            </w:r>
          </w:p>
        </w:tc>
      </w:tr>
      <w:tr>
        <w:trPr>
          <w:trHeight w:val="238"/>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4.85%</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2034</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76</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87</w:t>
            </w:r>
          </w:p>
        </w:tc>
      </w:tr>
      <w:tr>
        <w:trPr>
          <w:trHeight w:val="238"/>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6.875% Senior Debentures due 2036</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1,119</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1,072</w:t>
            </w:r>
          </w:p>
        </w:tc>
      </w:tr>
      <w:tr>
        <w:trPr>
          <w:trHeight w:val="238"/>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6.75%</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2037</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75</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76</w:t>
            </w:r>
          </w:p>
        </w:tc>
      </w:tr>
      <w:tr>
        <w:trPr>
          <w:trHeight w:val="239"/>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5.90%</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2040</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272</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298</w:t>
            </w:r>
          </w:p>
        </w:tc>
      </w:tr>
      <w:tr>
        <w:trPr>
          <w:trHeight w:val="238"/>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4.50%</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2042</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34</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45</w:t>
            </w:r>
          </w:p>
        </w:tc>
      </w:tr>
      <w:tr>
        <w:trPr>
          <w:trHeight w:val="238"/>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4.85%</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2042</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400</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490</w:t>
            </w:r>
          </w:p>
        </w:tc>
      </w:tr>
      <w:tr>
        <w:trPr>
          <w:trHeight w:val="23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4.375% Senior Debentures due 2043</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1,079</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1,146</w:t>
            </w:r>
          </w:p>
        </w:tc>
      </w:tr>
      <w:tr>
        <w:trPr>
          <w:trHeight w:val="238"/>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4.875% Senior Debentures due 2043</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14</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18</w:t>
            </w:r>
          </w:p>
        </w:tc>
      </w:tr>
      <w:tr>
        <w:trPr>
          <w:trHeight w:val="238"/>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5.85%</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2043</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1,103</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1,235</w:t>
            </w:r>
          </w:p>
        </w:tc>
      </w:tr>
      <w:tr>
        <w:trPr>
          <w:trHeight w:val="239"/>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5.25%</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2044</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275</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345</w:t>
            </w:r>
          </w:p>
        </w:tc>
      </w:tr>
      <w:tr>
        <w:trPr>
          <w:trHeight w:val="238"/>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4.90%</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2044</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432</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542</w:t>
            </w:r>
          </w:p>
        </w:tc>
      </w:tr>
      <w:tr>
        <w:trPr>
          <w:trHeight w:val="239"/>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4.60%</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2045</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452</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591</w:t>
            </w:r>
          </w:p>
        </w:tc>
      </w:tr>
      <w:tr>
        <w:trPr>
          <w:trHeight w:val="238"/>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4.95%</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2050</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763</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950</w:t>
            </w:r>
          </w:p>
        </w:tc>
      </w:tr>
      <w:tr>
        <w:trPr>
          <w:trHeight w:val="238"/>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6.25%</w:t>
            </w:r>
          </w:p>
        </w:tc>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due 2057</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628</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644</w:t>
            </w:r>
          </w:p>
        </w:tc>
      </w:tr>
      <w:tr>
        <w:trPr>
          <w:trHeight w:val="23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6.375% Junior Subordinated Debentures due 2062</w:t>
            </w:r>
          </w:p>
        </w:tc>
        <w:tc>
          <w:tcPr>
            <w:tcW w:w="580" w:type="dxa"/>
            <w:vAlign w:val="bottom"/>
          </w:tcPr>
          <w:p>
            <w:pPr>
              <w:spacing w:after="0"/>
              <w:rPr>
                <w:sz w:val="20"/>
                <w:szCs w:val="20"/>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989</w:t>
            </w:r>
          </w:p>
        </w:tc>
        <w:tc>
          <w:tcPr>
            <w:tcW w:w="660" w:type="dxa"/>
            <w:vAlign w:val="bottom"/>
          </w:tcPr>
          <w:p>
            <w:pPr>
              <w:spacing w:after="0"/>
              <w:rPr>
                <w:sz w:val="20"/>
                <w:szCs w:val="20"/>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989</w:t>
            </w:r>
          </w:p>
        </w:tc>
      </w:tr>
      <w:tr>
        <w:trPr>
          <w:trHeight w:val="250"/>
        </w:trPr>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w:t>
            </w:r>
          </w:p>
        </w:tc>
        <w:tc>
          <w:tcPr>
            <w:tcW w:w="580" w:type="dxa"/>
            <w:vAlign w:val="bottom"/>
            <w:tcBorders>
              <w:bottom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3</w:t>
            </w:r>
          </w:p>
        </w:tc>
        <w:tc>
          <w:tcPr>
            <w:tcW w:w="6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Total debt </w:t>
            </w:r>
            <w:r>
              <w:rPr>
                <w:rFonts w:ascii="Times New Roman" w:cs="Times New Roman" w:eastAsia="Times New Roman" w:hAnsi="Times New Roman"/>
                <w:sz w:val="20"/>
                <w:szCs w:val="20"/>
                <w:color w:val="auto"/>
                <w:vertAlign w:val="superscript"/>
              </w:rPr>
              <w:t>(b)</w:t>
            </w:r>
          </w:p>
        </w:tc>
        <w:tc>
          <w:tcPr>
            <w:tcW w:w="580" w:type="dxa"/>
            <w:vAlign w:val="bottom"/>
          </w:tcPr>
          <w:p>
            <w:pPr>
              <w:spacing w:after="0"/>
              <w:rPr>
                <w:sz w:val="21"/>
                <w:szCs w:val="21"/>
                <w:color w:val="auto"/>
              </w:rPr>
            </w:pPr>
          </w:p>
        </w:tc>
        <w:tc>
          <w:tcPr>
            <w:tcW w:w="1640" w:type="dxa"/>
            <w:vAlign w:val="bottom"/>
            <w:tcBorders>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13,658</w:t>
            </w:r>
          </w:p>
        </w:tc>
        <w:tc>
          <w:tcPr>
            <w:tcW w:w="660" w:type="dxa"/>
            <w:vAlign w:val="bottom"/>
          </w:tcPr>
          <w:p>
            <w:pPr>
              <w:spacing w:after="0"/>
              <w:rPr>
                <w:sz w:val="21"/>
                <w:szCs w:val="21"/>
                <w:color w:val="auto"/>
              </w:rPr>
            </w:pPr>
          </w:p>
        </w:tc>
        <w:tc>
          <w:tcPr>
            <w:tcW w:w="15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14,501</w:t>
            </w:r>
          </w:p>
        </w:tc>
      </w:tr>
      <w:tr>
        <w:trPr>
          <w:trHeight w:val="219"/>
        </w:trPr>
        <w:tc>
          <w:tcPr>
            <w:tcW w:w="54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auto"/>
              </w:rPr>
              <w:t>Less current portion</w:t>
            </w:r>
          </w:p>
        </w:tc>
        <w:tc>
          <w:tcPr>
            <w:tcW w:w="580" w:type="dxa"/>
            <w:vAlign w:val="bottom"/>
            <w:tcBorders>
              <w:bottom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433</w:t>
            </w:r>
          </w:p>
        </w:tc>
        <w:tc>
          <w:tcPr>
            <w:tcW w:w="6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long-term debt, net of current portion</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right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color w:val="auto"/>
              </w:rPr>
              <w:t>13,225</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color w:val="auto"/>
              </w:rPr>
              <w:t>14,501</w:t>
            </w:r>
          </w:p>
        </w:tc>
      </w:tr>
    </w:tbl>
    <w:p>
      <w:pPr>
        <w:spacing w:after="0" w:line="119" w:lineRule="exact"/>
        <w:rPr>
          <w:sz w:val="20"/>
          <w:szCs w:val="20"/>
          <w:color w:val="auto"/>
        </w:rPr>
      </w:pPr>
    </w:p>
    <w:p>
      <w:pPr>
        <w:jc w:val="both"/>
        <w:ind w:left="800" w:right="580" w:hanging="238"/>
        <w:spacing w:after="0" w:line="258" w:lineRule="auto"/>
        <w:tabs>
          <w:tab w:leader="none" w:pos="778"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pushdown of the Ultimate Parent’s basis, our debt was recorded at fair value, which resulted in a decrease to our total debt balance of $898 million, reflecting the reversal of a net unamortized discount of $390 million and unamortized deferred financing fees of $71 million, and a reduction of $1.36 billion to adjust our debt to its fair value. The adjustments to fair value for each of our senior and junior debt issuances are being amortized over the remaining term of the applicable issuance within interest expense (see Note 2).</w:t>
      </w:r>
    </w:p>
    <w:p>
      <w:pPr>
        <w:spacing w:after="0" w:line="43" w:lineRule="exact"/>
        <w:rPr>
          <w:rFonts w:ascii="Times New Roman" w:cs="Times New Roman" w:eastAsia="Times New Roman" w:hAnsi="Times New Roman"/>
          <w:sz w:val="16"/>
          <w:szCs w:val="16"/>
          <w:color w:val="auto"/>
        </w:rPr>
      </w:pPr>
    </w:p>
    <w:p>
      <w:pPr>
        <w:jc w:val="both"/>
        <w:ind w:left="800" w:right="580" w:hanging="238"/>
        <w:spacing w:after="0" w:line="258" w:lineRule="auto"/>
        <w:tabs>
          <w:tab w:leader="none" w:pos="817"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2025 (Successor), our senior and junior debt balances were net of unamortized fair value adjustments totaling $1.32 billion. At December 31, 2024 (Predecessor), the senior and junior debt balances included a net unamortized discount of $401 million and unamortized deferred financing costs of $74 million. The face value of our total debt at both December 31, 2025 (Successor) and December 31, 2024 (Predecessor) was $14.98 billion.</w:t>
      </w:r>
    </w:p>
    <w:p>
      <w:pPr>
        <w:sectPr>
          <w:pgSz w:w="11900" w:h="16838" w:orient="portrait"/>
          <w:cols w:equalWidth="0" w:num="1">
            <w:col w:w="11220"/>
          </w:cols>
          <w:pgMar w:left="320" w:top="7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735" w:right="359" w:bottom="1440" w:gutter="0" w:footer="0" w:header="0"/>
          <w:type w:val="continuous"/>
        </w:sectPr>
      </w:pPr>
    </w:p>
    <w:bookmarkStart w:id="102" w:name="page103"/>
    <w:bookmarkEnd w:id="102"/>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Senior Debt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January 2026, we repaid our $347 million of 4.0% senior notes at maturity.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fourth quarter of 2024 (Predecessor), we redeemed our $126 million of outstanding 4.75% senior notes due in 2025 at par.</w:t>
      </w:r>
    </w:p>
    <w:p>
      <w:pPr>
        <w:spacing w:after="0" w:line="24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During 2023 (Predecessor), we repurchased $1.04 billion of our outstanding senior notes due between 2025 and 2027 through a tender offer, for an aggregate repurchase price of $1.00 billion. These repurchases resulted in a pre-tax gain on extinguishment of debt of $29 million. In 2023, we also repaid our $139 million of 7.875% debentures and $35 million of 7.125% senior notes, each at maturity.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Junior Debt</w:t>
      </w:r>
    </w:p>
    <w:p>
      <w:pPr>
        <w:spacing w:after="0" w:line="10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At December 31, 2025 (Successor), our junior debt was comprised of $628 million 6.25% junior subordinated debentures due 2057 and $989 million 6.375% junior subordinated debentures due 2062.</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6.25% junior subordinated debentures accrue interest at the stated fixed rate until February 28, 2027, on which date the rate will switch to a floating rate. Under the terms of the debentures the floating rate is based on three-month LIBOR plus 3.899%, reset quarterly, however, with the phasing out of LIBOR and the passage of the Adjustable Interest Rate (LIBOR) Act, signed into law on March 15, 2022, it is expected that the 6.25% junior subordinated debentures due 2057 will, upon switching to a floating rate, bear interest at a replacement rate based on three-month CME Term Secured Overnight Financing Rate (SOFR). These debentures can be called by us at par at any time after the expiration of the fixed-rate period.</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interest rate on the 6.375% junior subordinated debentures will reset on March 30, 2027, and every five years thereafter to a fixed rate equal to the 5-year Treasury Rate (as defined pursuant to the terms of the debentures) plus a spread of 3.999% from March 30, 2027, 4.249% from March 30, 2032 and 4.999% from March 30, 2047. These debentures can be called by us at par plus a make whole premium any time before March 30, 2027, or at par on March 30, 2027 or on any interest payment date thereafter.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Long-Term Debt Maturities</w:t>
      </w:r>
    </w:p>
    <w:p>
      <w:pPr>
        <w:spacing w:after="0" w:line="168"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9"/>
          <w:szCs w:val="19"/>
          <w:color w:val="auto"/>
        </w:rPr>
        <w:t>At December 31, 2025, our scheduled maturities of long-term debt at face value, which excludes payments for the related interest and finance leases,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46990</wp:posOffset>
            </wp:positionV>
            <wp:extent cx="640270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02705" cy="17145"/>
                    </a:xfrm>
                    <a:prstGeom prst="rect">
                      <a:avLst/>
                    </a:prstGeom>
                    <a:noFill/>
                  </pic:spPr>
                </pic:pic>
              </a:graphicData>
            </a:graphic>
          </wp:anchor>
        </w:drawing>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2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2031 and</w:t>
            </w:r>
          </w:p>
        </w:tc>
      </w:tr>
      <w:tr>
        <w:trPr>
          <w:trHeight w:val="233"/>
        </w:trPr>
        <w:tc>
          <w:tcPr>
            <w:tcW w:w="2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Pr>
          <w:p>
            <w:pPr>
              <w:spacing w:after="0"/>
              <w:rPr>
                <w:sz w:val="20"/>
                <w:szCs w:val="20"/>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2027</w:t>
            </w:r>
          </w:p>
        </w:tc>
        <w:tc>
          <w:tcPr>
            <w:tcW w:w="12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2028</w:t>
            </w:r>
          </w:p>
        </w:tc>
        <w:tc>
          <w:tcPr>
            <w:tcW w:w="420" w:type="dxa"/>
            <w:vAlign w:val="bottom"/>
          </w:tcPr>
          <w:p>
            <w:pPr>
              <w:spacing w:after="0"/>
              <w:rPr>
                <w:sz w:val="20"/>
                <w:szCs w:val="20"/>
                <w:color w:val="auto"/>
              </w:rPr>
            </w:pP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2029</w:t>
            </w:r>
          </w:p>
        </w:tc>
        <w:tc>
          <w:tcPr>
            <w:tcW w:w="420" w:type="dxa"/>
            <w:vAlign w:val="bottom"/>
          </w:tcPr>
          <w:p>
            <w:pPr>
              <w:spacing w:after="0"/>
              <w:rPr>
                <w:sz w:val="20"/>
                <w:szCs w:val="20"/>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2030</w:t>
            </w:r>
          </w:p>
        </w:tc>
        <w:tc>
          <w:tcPr>
            <w:tcW w:w="300" w:type="dxa"/>
            <w:vAlign w:val="bottom"/>
          </w:tcPr>
          <w:p>
            <w:pPr>
              <w:spacing w:after="0"/>
              <w:rPr>
                <w:sz w:val="20"/>
                <w:szCs w:val="20"/>
                <w:color w:val="auto"/>
              </w:rPr>
            </w:pPr>
          </w:p>
        </w:tc>
        <w:tc>
          <w:tcPr>
            <w:tcW w:w="106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6"/>
              </w:rPr>
              <w:t>Thereafter</w:t>
            </w:r>
          </w:p>
        </w:tc>
      </w:tr>
      <w:tr>
        <w:trPr>
          <w:trHeight w:val="25"/>
        </w:trPr>
        <w:tc>
          <w:tcPr>
            <w:tcW w:w="2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433</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584</w:t>
            </w: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  1,000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500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827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w:t>
            </w:r>
          </w:p>
        </w:tc>
      </w:tr>
      <w:tr>
        <w:trPr>
          <w:trHeight w:val="32"/>
        </w:trPr>
        <w:tc>
          <w:tcPr>
            <w:tcW w:w="2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Commercial Paper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both December 31, 2025 (Successor) and December 31, 2024 (Predecessor), we had no outstanding commercial paper borrowings.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Credit Facility</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On August 7, 2025, in connection with the closing of the Transactions and pursuant to the August 2024 amendment to the Credit Facility (which is further described below), Paramount Skydance Corporation entered into a joinder agreement pursuant to which it joined Paramount Global’s revolving credit facility (the “Credit Facility”). The Credit Facility provides for a $3.50 billion commitment until January 2027, at which point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03" w:name="page104"/>
    <w:bookmarkEnd w:id="103"/>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commitment will be reduced to $3.44 billion through maturity in January 2028.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into. The benchmark rate for loans denominated in U.S. dollars is Term SOFR, and for loans denominated in euros, sterling and yen is based on EURIBOR, SONIA and TIBOR, respectively. At December 31, 2025, we had no borrowings outstanding under the Credit Facility and the availability under the Credit Facility was $3.50 billion.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Credit Facility has one principal financial covenant which sets a maximum Consolidated Total Leverage Ratio (“Leverage Ratio”) at the end of each quarter. The maximum Leverage Ratio was 4.75x for the quarter ended December 31, 2025 and will decrease to 4.5x for the quarter ending March 31, 2026, and will remain at this level until maturity. The Leverage Ratio reflects the ratio of our Consolidated Indebtedness, net of unrestricted cash and cash equivalents at the end of a quarter, to our Consolidated EBITDA (each as defined in the credit agreement) for the trailing twelve-month period. In May 2025, Paramount Global entered into an amendment to the Credit Facility, which increased the maximum amount of unrestricted cash and cash equivalents that can be netted against Consolidated Indebtedness, in the calculation of the Leverage Ratio, from $1.50 billion to $3.0 billion and amended the definition of Consolidated EBITDA to include an additional add-back (which is capped at 15% of Consolidated EBITDA after giving effect to such add-back) for cash items associated with provisions for restructuring or other business optimization programs, litigation and environmental reserves, and losses on the disposition of businesses. We met the covenant as of December 31, 2025.</w:t>
      </w:r>
    </w:p>
    <w:p>
      <w:pPr>
        <w:spacing w:after="0" w:line="1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Credit Facility also includes a provision that the occurrence of a change of control will be an event of default that would give the lenders the right to accelerate any outstanding loans and terminate their commitments. In August 2024, Paramount Global entered into amendments to the Credit Facility and the $1.9 billion standby letter of credit facility (see Note 18), which, among other things, revised the change of control provision and related definitions to reflect the ownership structure of the Company after giving effect to the Transactions and the NAI Transaction. These amendments became operative upon closing of the Transactions (see Note 1).</w:t>
      </w:r>
    </w:p>
    <w:p>
      <w:pPr>
        <w:spacing w:after="0" w:line="2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Upon the closing of the Transactions, Paramount Skydance Corporation entered into guarantee agreements providing for a full and unconditional parent guarantee of Paramount Global’s obligations with respect to any commercial paper borrowings incurred, and in accordance with the August 2024 amendment to the Credit Facility, a full and unconditional parent guarantee of Paramount Global’s obligations under the Credit Agreement went into effect.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Bank Borrowings</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At both December 31, 2025 (Successor) and December 31, 2024 (Predecessor), there were no outstanding bank borrowings under Miramax’s $50 million credit facility that matures in November 2027.</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Lessee Contracts</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have operating leases primarily for office space, equipment, satellite transponders and studio facilities. We also have finance leases for equipment, which were not material for the periods presented. Lease costs are generally fixed, with certain contracts containing variable payments for non-lease costs based on usage and escalations in the lessors’ annual costs.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04" w:name="page105"/>
    <w:bookmarkEnd w:id="104"/>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At December 31, 2025 (Successor) and December 31, 2024 (Predecessor), the following amounts were recorded on the Consolidated Balance Sheets relating to our operating leases.</w:t>
      </w:r>
    </w:p>
    <w:p>
      <w:pPr>
        <w:spacing w:after="0" w:line="40" w:lineRule="exact"/>
        <w:rPr>
          <w:sz w:val="20"/>
          <w:szCs w:val="20"/>
          <w:color w:val="auto"/>
        </w:rPr>
      </w:pPr>
    </w:p>
    <w:tbl>
      <w:tblPr>
        <w:tblLayout w:type="fixed"/>
        <w:tblInd w:w="1800" w:type="dxa"/>
        <w:tblCellMar>
          <w:top w:w="0" w:type="dxa"/>
          <w:left w:w="0" w:type="dxa"/>
          <w:bottom w:w="0" w:type="dxa"/>
          <w:right w:w="0" w:type="dxa"/>
        </w:tblCellMar>
      </w:tblPr>
      <w:tr>
        <w:trPr>
          <w:trHeight w:val="266"/>
        </w:trPr>
        <w:tc>
          <w:tcPr>
            <w:tcW w:w="48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260" w:type="dxa"/>
            <w:vAlign w:val="bottom"/>
            <w:tcBorders>
              <w:top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24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25"/>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3"/>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Borders>
              <w:right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1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
        </w:trPr>
        <w:tc>
          <w:tcPr>
            <w:tcW w:w="4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3"/>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8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5"/>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1,126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477"/>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1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5"/>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65"/>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23"/>
                <w:szCs w:val="23"/>
                <w:color w:val="auto"/>
              </w:rPr>
            </w:pPr>
          </w:p>
        </w:tc>
        <w:tc>
          <w:tcPr>
            <w:tcW w:w="1260" w:type="dxa"/>
            <w:vAlign w:val="bottom"/>
            <w:tcBorders>
              <w:right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5"/>
        </w:trPr>
        <w:tc>
          <w:tcPr>
            <w:tcW w:w="4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3"/>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1,434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32"/>
        </w:trPr>
        <w:tc>
          <w:tcPr>
            <w:tcW w:w="4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32" w:lineRule="exact"/>
        <w:rPr>
          <w:sz w:val="20"/>
          <w:szCs w:val="20"/>
          <w:color w:val="auto"/>
        </w:rPr>
      </w:pPr>
    </w:p>
    <w:tbl>
      <w:tblPr>
        <w:tblLayout w:type="fixed"/>
        <w:tblInd w:w="1800" w:type="dxa"/>
        <w:tblCellMar>
          <w:top w:w="0" w:type="dxa"/>
          <w:left w:w="0" w:type="dxa"/>
          <w:bottom w:w="0" w:type="dxa"/>
          <w:right w:w="0" w:type="dxa"/>
        </w:tblCellMar>
      </w:tblPr>
      <w:tr>
        <w:trPr>
          <w:trHeight w:val="266"/>
        </w:trPr>
        <w:tc>
          <w:tcPr>
            <w:tcW w:w="4600" w:type="dxa"/>
            <w:vAlign w:val="bottom"/>
            <w:tcBorders>
              <w:top w:val="single" w:sz="8" w:color="auto"/>
            </w:tcBorders>
          </w:tcPr>
          <w:p>
            <w:pPr>
              <w:spacing w:after="0"/>
              <w:rPr>
                <w:sz w:val="23"/>
                <w:szCs w:val="23"/>
                <w:color w:val="auto"/>
              </w:rPr>
            </w:pPr>
          </w:p>
        </w:tc>
        <w:tc>
          <w:tcPr>
            <w:tcW w:w="1540" w:type="dxa"/>
            <w:vAlign w:val="bottom"/>
            <w:tcBorders>
              <w:top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5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Predecessor</w:t>
            </w:r>
          </w:p>
        </w:tc>
      </w:tr>
      <w:tr>
        <w:trPr>
          <w:trHeight w:val="26"/>
        </w:trPr>
        <w:tc>
          <w:tcPr>
            <w:tcW w:w="4600" w:type="dxa"/>
            <w:vAlign w:val="bottom"/>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3"/>
        </w:trPr>
        <w:tc>
          <w:tcPr>
            <w:tcW w:w="4600" w:type="dxa"/>
            <w:vAlign w:val="bottom"/>
          </w:tcPr>
          <w:p>
            <w:pPr>
              <w:spacing w:after="0"/>
              <w:rPr>
                <w:sz w:val="20"/>
                <w:szCs w:val="20"/>
                <w:color w:val="auto"/>
              </w:rPr>
            </w:pPr>
          </w:p>
        </w:tc>
        <w:tc>
          <w:tcPr>
            <w:tcW w:w="1540" w:type="dxa"/>
            <w:vAlign w:val="bottom"/>
            <w:tcBorders>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
        </w:trPr>
        <w:tc>
          <w:tcPr>
            <w:tcW w:w="460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5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 years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years</w:t>
            </w:r>
          </w:p>
        </w:tc>
      </w:tr>
      <w:tr>
        <w:trPr>
          <w:trHeight w:val="47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32"/>
        </w:trPr>
        <w:tc>
          <w:tcPr>
            <w:tcW w:w="460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our lease cost relating to our operating leases.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258"/>
        </w:trPr>
        <w:tc>
          <w:tcPr>
            <w:tcW w:w="414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3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r>
      <w:tr>
        <w:trPr>
          <w:trHeight w:val="196"/>
        </w:trPr>
        <w:tc>
          <w:tcPr>
            <w:tcW w:w="4140" w:type="dxa"/>
            <w:vAlign w:val="bottom"/>
          </w:tcPr>
          <w:p>
            <w:pPr>
              <w:spacing w:after="0"/>
              <w:rPr>
                <w:sz w:val="17"/>
                <w:szCs w:val="17"/>
                <w:color w:val="auto"/>
              </w:rPr>
            </w:pPr>
          </w:p>
        </w:tc>
        <w:tc>
          <w:tcPr>
            <w:tcW w:w="1460" w:type="dxa"/>
            <w:vAlign w:val="bottom"/>
            <w:tcBorders>
              <w:right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4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Borders>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1"/>
        </w:trPr>
        <w:tc>
          <w:tcPr>
            <w:tcW w:w="4140" w:type="dxa"/>
            <w:vAlign w:val="bottom"/>
          </w:tcPr>
          <w:p>
            <w:pPr>
              <w:spacing w:after="0"/>
              <w:rPr>
                <w:sz w:val="19"/>
                <w:szCs w:val="19"/>
                <w:color w:val="auto"/>
              </w:rPr>
            </w:pPr>
          </w:p>
        </w:tc>
        <w:tc>
          <w:tcPr>
            <w:tcW w:w="1460" w:type="dxa"/>
            <w:vAlign w:val="bottom"/>
            <w:tcBorders>
              <w:bottom w:val="single" w:sz="8" w:color="auto"/>
              <w:right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4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4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2"/>
                <w:szCs w:val="22"/>
                <w:color w:val="auto"/>
                <w:vertAlign w:val="superscript"/>
              </w:rPr>
              <w:t>(a) (b)</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131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176</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301</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65"/>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Short-term lease cost </w:t>
            </w:r>
            <w:r>
              <w:rPr>
                <w:rFonts w:ascii="Times New Roman" w:cs="Times New Roman" w:eastAsia="Times New Roman" w:hAnsi="Times New Roman"/>
                <w:sz w:val="22"/>
                <w:szCs w:val="22"/>
                <w:color w:val="auto"/>
                <w:vertAlign w:val="superscript"/>
              </w:rPr>
              <w:t>(b) (c)</w:t>
            </w:r>
          </w:p>
        </w:tc>
        <w:tc>
          <w:tcPr>
            <w:tcW w:w="320" w:type="dxa"/>
            <w:vAlign w:val="bottom"/>
          </w:tcPr>
          <w:p>
            <w:pPr>
              <w:spacing w:after="0"/>
              <w:rPr>
                <w:sz w:val="23"/>
                <w:szCs w:val="23"/>
                <w:color w:val="auto"/>
              </w:rPr>
            </w:pPr>
          </w:p>
        </w:tc>
        <w:tc>
          <w:tcPr>
            <w:tcW w:w="114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tcPr>
          <w:p>
            <w:pPr>
              <w:spacing w:after="0"/>
              <w:rPr>
                <w:sz w:val="23"/>
                <w:szCs w:val="23"/>
                <w:color w:val="auto"/>
              </w:rPr>
            </w:pPr>
          </w:p>
        </w:tc>
        <w:tc>
          <w:tcPr>
            <w:tcW w:w="10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81</w:t>
            </w:r>
          </w:p>
        </w:tc>
        <w:tc>
          <w:tcPr>
            <w:tcW w:w="420" w:type="dxa"/>
            <w:vAlign w:val="bottom"/>
          </w:tcPr>
          <w:p>
            <w:pPr>
              <w:spacing w:after="0"/>
              <w:rPr>
                <w:sz w:val="23"/>
                <w:szCs w:val="23"/>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181</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6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2"/>
                <w:szCs w:val="22"/>
                <w:color w:val="auto"/>
                <w:vertAlign w:val="superscript"/>
              </w:rPr>
              <w:t>(b) (d)</w:t>
            </w:r>
          </w:p>
        </w:tc>
        <w:tc>
          <w:tcPr>
            <w:tcW w:w="320" w:type="dxa"/>
            <w:vAlign w:val="bottom"/>
          </w:tcPr>
          <w:p>
            <w:pPr>
              <w:spacing w:after="0"/>
              <w:rPr>
                <w:sz w:val="23"/>
                <w:szCs w:val="23"/>
                <w:color w:val="auto"/>
              </w:rPr>
            </w:pPr>
          </w:p>
        </w:tc>
        <w:tc>
          <w:tcPr>
            <w:tcW w:w="114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Pr>
          <w:p>
            <w:pPr>
              <w:spacing w:after="0"/>
              <w:rPr>
                <w:sz w:val="23"/>
                <w:szCs w:val="23"/>
                <w:color w:val="auto"/>
              </w:rPr>
            </w:pPr>
          </w:p>
        </w:tc>
        <w:tc>
          <w:tcPr>
            <w:tcW w:w="10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Pr>
          <w:p>
            <w:pPr>
              <w:spacing w:after="0"/>
              <w:rPr>
                <w:sz w:val="23"/>
                <w:szCs w:val="23"/>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1"/>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20" w:type="dxa"/>
            <w:vAlign w:val="bottom"/>
          </w:tcPr>
          <w:p>
            <w:pPr>
              <w:spacing w:after="0"/>
              <w:rPr>
                <w:sz w:val="20"/>
                <w:szCs w:val="20"/>
                <w:color w:val="auto"/>
              </w:rPr>
            </w:pPr>
          </w:p>
        </w:tc>
        <w:tc>
          <w:tcPr>
            <w:tcW w:w="1140" w:type="dxa"/>
            <w:vAlign w:val="bottom"/>
            <w:tcBorders>
              <w:right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Pr>
          <w:p>
            <w:pPr>
              <w:spacing w:after="0"/>
              <w:rPr>
                <w:sz w:val="20"/>
                <w:szCs w:val="20"/>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20"/>
                <w:szCs w:val="20"/>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
        </w:trPr>
        <w:tc>
          <w:tcPr>
            <w:tcW w:w="4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219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295</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559</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32"/>
        </w:trPr>
        <w:tc>
          <w:tcPr>
            <w:tcW w:w="4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ind w:left="880" w:right="720" w:hanging="238"/>
        <w:spacing w:after="0" w:line="267" w:lineRule="auto"/>
        <w:tabs>
          <w:tab w:leader="none" w:pos="859"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fixed lease costs and non-lease costs (consisting of other occupancy and service costs relating to the use of an asset) associated with long-term operating leases.</w:t>
      </w:r>
    </w:p>
    <w:p>
      <w:pPr>
        <w:spacing w:after="0" w:line="1" w:lineRule="exact"/>
        <w:rPr>
          <w:rFonts w:ascii="Times New Roman" w:cs="Times New Roman" w:eastAsia="Times New Roman" w:hAnsi="Times New Roman"/>
          <w:sz w:val="16"/>
          <w:szCs w:val="16"/>
          <w:color w:val="auto"/>
        </w:rPr>
      </w:pPr>
    </w:p>
    <w:p>
      <w:pPr>
        <w:ind w:left="860" w:hanging="218"/>
        <w:spacing w:after="0"/>
        <w:tabs>
          <w:tab w:leader="none" w:pos="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costs capitalized in programming assets during the period for leased assets used in the production of programming.</w:t>
      </w:r>
    </w:p>
    <w:p>
      <w:pPr>
        <w:spacing w:after="0" w:line="54" w:lineRule="exact"/>
        <w:rPr>
          <w:rFonts w:ascii="Times New Roman" w:cs="Times New Roman" w:eastAsia="Times New Roman" w:hAnsi="Times New Roman"/>
          <w:sz w:val="16"/>
          <w:szCs w:val="16"/>
          <w:color w:val="auto"/>
        </w:rPr>
      </w:pPr>
    </w:p>
    <w:p>
      <w:pPr>
        <w:ind w:left="880" w:right="720" w:hanging="238"/>
        <w:spacing w:after="0" w:line="267" w:lineRule="auto"/>
        <w:tabs>
          <w:tab w:leader="none" w:pos="86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leases, which are not recorded in right-of-use assets and lease liabilities on the Consolidated Balance Sheets, have a term of 12 months or less and exclude month-to-month leases.</w:t>
      </w:r>
    </w:p>
    <w:p>
      <w:pPr>
        <w:spacing w:after="0" w:line="1" w:lineRule="exact"/>
        <w:rPr>
          <w:rFonts w:ascii="Times New Roman" w:cs="Times New Roman" w:eastAsia="Times New Roman" w:hAnsi="Times New Roman"/>
          <w:sz w:val="16"/>
          <w:szCs w:val="16"/>
          <w:color w:val="auto"/>
        </w:rPr>
      </w:pPr>
    </w:p>
    <w:p>
      <w:pPr>
        <w:ind w:left="880" w:right="720" w:hanging="238"/>
        <w:spacing w:after="0" w:line="272" w:lineRule="auto"/>
        <w:tabs>
          <w:tab w:leader="none" w:pos="873"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non-lease costs (consisting of other occupancy and service costs relating to the use of an asset) and costs for equipment leases that vary based on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05" w:name="page106"/>
    <w:bookmarkEnd w:id="105"/>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supplemental cash flow information for our operating leases.</w:t>
      </w:r>
    </w:p>
    <w:p>
      <w:pPr>
        <w:spacing w:after="0" w:line="182" w:lineRule="exact"/>
        <w:rPr>
          <w:sz w:val="20"/>
          <w:szCs w:val="20"/>
          <w:color w:val="auto"/>
        </w:rPr>
      </w:pPr>
    </w:p>
    <w:tbl>
      <w:tblPr>
        <w:tblLayout w:type="fixed"/>
        <w:tblInd w:w="800" w:type="dxa"/>
        <w:tblCellMar>
          <w:top w:w="0" w:type="dxa"/>
          <w:left w:w="0" w:type="dxa"/>
          <w:bottom w:w="0" w:type="dxa"/>
          <w:right w:w="0" w:type="dxa"/>
        </w:tblCellMar>
      </w:tblPr>
      <w:tr>
        <w:trPr>
          <w:trHeight w:val="258"/>
        </w:trPr>
        <w:tc>
          <w:tcPr>
            <w:tcW w:w="414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right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4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r>
      <w:tr>
        <w:trPr>
          <w:trHeight w:val="209"/>
        </w:trPr>
        <w:tc>
          <w:tcPr>
            <w:tcW w:w="4140" w:type="dxa"/>
            <w:vAlign w:val="bottom"/>
          </w:tcPr>
          <w:p>
            <w:pPr>
              <w:spacing w:after="0"/>
              <w:rPr>
                <w:sz w:val="18"/>
                <w:szCs w:val="18"/>
                <w:color w:val="auto"/>
              </w:rPr>
            </w:pPr>
          </w:p>
        </w:tc>
        <w:tc>
          <w:tcPr>
            <w:tcW w:w="1460" w:type="dxa"/>
            <w:vAlign w:val="bottom"/>
            <w:tcBorders>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6"/>
        </w:trPr>
        <w:tc>
          <w:tcPr>
            <w:tcW w:w="4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right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1"/>
        </w:trPr>
        <w:tc>
          <w:tcPr>
            <w:tcW w:w="4140" w:type="dxa"/>
            <w:vAlign w:val="bottom"/>
          </w:tcPr>
          <w:p>
            <w:pPr>
              <w:spacing w:after="0"/>
              <w:rPr>
                <w:sz w:val="19"/>
                <w:szCs w:val="19"/>
                <w:color w:val="auto"/>
              </w:rPr>
            </w:pPr>
          </w:p>
        </w:tc>
        <w:tc>
          <w:tcPr>
            <w:tcW w:w="1460" w:type="dxa"/>
            <w:vAlign w:val="bottom"/>
            <w:tcBorders>
              <w:bottom w:val="single" w:sz="8" w:color="auto"/>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4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4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right="3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for amounts included in operating</w:t>
            </w:r>
          </w:p>
        </w:tc>
        <w:tc>
          <w:tcPr>
            <w:tcW w:w="32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 (operating cash flows)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jc w:val="right"/>
              <w:ind w:right="277"/>
              <w:spacing w:after="0"/>
              <w:rPr>
                <w:sz w:val="20"/>
                <w:szCs w:val="20"/>
                <w:color w:val="auto"/>
              </w:rPr>
            </w:pPr>
            <w:r>
              <w:rPr>
                <w:rFonts w:ascii="Times New Roman" w:cs="Times New Roman" w:eastAsia="Times New Roman" w:hAnsi="Times New Roman"/>
                <w:sz w:val="18"/>
                <w:szCs w:val="18"/>
                <w:color w:val="auto"/>
              </w:rPr>
              <w:t>140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218</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338</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74"/>
        </w:trPr>
        <w:tc>
          <w:tcPr>
            <w:tcW w:w="41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32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31"/>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additions to operating lease assets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jc w:val="right"/>
              <w:ind w:right="277"/>
              <w:spacing w:after="0"/>
              <w:rPr>
                <w:sz w:val="20"/>
                <w:szCs w:val="20"/>
                <w:color w:val="auto"/>
              </w:rPr>
            </w:pPr>
            <w:r>
              <w:rPr>
                <w:rFonts w:ascii="Times New Roman" w:cs="Times New Roman" w:eastAsia="Times New Roman" w:hAnsi="Times New Roman"/>
                <w:sz w:val="18"/>
                <w:szCs w:val="18"/>
                <w:color w:val="auto"/>
              </w:rPr>
              <w:t>146</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82</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130</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2"/>
        </w:trPr>
        <w:tc>
          <w:tcPr>
            <w:tcW w:w="4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expected future payments relating to our operating lease liabilities at December 31, 2025 (Successor)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1148080</wp:posOffset>
            </wp:positionH>
            <wp:positionV relativeFrom="paragraph">
              <wp:posOffset>128270</wp:posOffset>
            </wp:positionV>
            <wp:extent cx="485457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854575" cy="17145"/>
                    </a:xfrm>
                    <a:prstGeom prst="rect">
                      <a:avLst/>
                    </a:prstGeom>
                    <a:noFill/>
                  </pic:spPr>
                </pic:pic>
              </a:graphicData>
            </a:graphic>
          </wp:anchor>
        </w:drawing>
      </w:r>
    </w:p>
    <w:p>
      <w:pPr>
        <w:spacing w:after="0" w:line="216" w:lineRule="exact"/>
        <w:rPr>
          <w:sz w:val="20"/>
          <w:szCs w:val="20"/>
          <w:color w:val="auto"/>
        </w:rPr>
      </w:pPr>
    </w:p>
    <w:tbl>
      <w:tblPr>
        <w:tblLayout w:type="fixed"/>
        <w:tblInd w:w="1800" w:type="dxa"/>
        <w:tblCellMar>
          <w:top w:w="0" w:type="dxa"/>
          <w:left w:w="0" w:type="dxa"/>
          <w:bottom w:w="0" w:type="dxa"/>
          <w:right w:w="0" w:type="dxa"/>
        </w:tblCellMar>
      </w:tblPr>
      <w:tr>
        <w:trPr>
          <w:trHeight w:val="231"/>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65"/>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65"/>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65"/>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65"/>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65"/>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2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5"/>
        </w:trPr>
        <w:tc>
          <w:tcPr>
            <w:tcW w:w="44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payments</w:t>
            </w:r>
          </w:p>
        </w:tc>
        <w:tc>
          <w:tcPr>
            <w:tcW w:w="2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65"/>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65"/>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minimum payments</w:t>
            </w:r>
          </w:p>
        </w:tc>
        <w:tc>
          <w:tcPr>
            <w:tcW w:w="23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32"/>
        </w:trPr>
        <w:tc>
          <w:tcPr>
            <w:tcW w:w="44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 October 2025, we entered into an operating lease for approximately 285,000 square feet of studio stage and production office space in a multi-tenant facility in New Jersey that is currently under construction by the lessor. The lease will commence upon delivery of the completed space, which is currently expected in the fourth quarter of 2028. The noncancellable term is 10 years and fixed payments will total $255 million.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Lessor Contracts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enter into operating lease agreements under which third parties lease space in our owned production facilities and office buildings. Lease payments received under these agreements consist of fixed payments for the rental of space and certain building operating costs, as well as variable payments based on usage of production facilities and services, and escalating costs of building operations. Our future fixed lease income is not expected to be material. We recorded total lease income, including both fixed and variable amounts, of $17 million for the Successor period from August 7 - December 31, 2025, $23 million for the Predecessor period from January 1 - August 6, 2025 and $34 million for each of the years ended December 31, 2024 and 2023 (Predecessor).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11) FINANCIAL INSTRUMENTS AND FAIR VALUE MEASUREMENTS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carrying value of our financial instruments approximates fair value, except for notes and debentures. At December 31, 2025 (Successor) and December 31, 2024 (Predecessor), the carrying value of our outstanding notes and debentures was $13.65 billion and $14.50 billion, respectively, and the fair value, which is determined based on quoted prices in active markets (Level 1 in the fair value hierarchy), was $13.2 billion and $13.3 billion,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06" w:name="page107"/>
    <w:bookmarkEnd w:id="106"/>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Investments</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Included in “Other assets” on the Consolidated Balance Sheets are equity-method investments of $92 million and $99 million at December 31, 2025 (Successor) and December 31, 2024 (Predecessor), respectively, and equity investments without a readily determinable fair value for which we have no significant influence of $58 million and $86 million at December 31, 2025 (Successor) and December 31, 2024 (Predecessor), respectively.</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At December 31, 2025 (Successor), our equity-method investments principally included a 50% interest in SkyShowtime—a subscription streaming service in certain European territories—and interests in a production studio and other media joint ventures. “Equity in loss of investee companies, net of tax” on the Consolidated Statement of Operations for the year ended December 31, 2023 (Predecessor), included impairment charges for equity method investments of $16 million.</w:t>
      </w:r>
    </w:p>
    <w:p>
      <w:pPr>
        <w:spacing w:after="0" w:line="20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During the Successor period from August 7 - December 31, 2025 (Successor), we recorded $40 million to write off investments due to recent indications that these investments are no longer recoverable.</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In November 2024, we completed the sale of the remaining 13% interest in Viacom18 to its majority interest holder, for an aggregate purchase price of $508 million, which resulted in a loss of $13 million. In 2023, our ownership of Viacom18 was diluted from 49% to 13% following investment by other parties. The difference between the carrying value of our 49% interest and the fair value of our 13% interest, as indicated by the additional investments, resulted in a noncash gain of $168 million in 2023. The losses and gain described above were recorded in “Gain (loss) from investments” on the Consolidated Statements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Foreign Exchange Contracts</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We use derivative financial instruments primarily to manage our exposure to movements in foreign currency exchange rates when translating from the foreign local currency to the U.S. dollar. We do not use derivative instruments unless there is an underlying exposure and, therefore, we do not hold or enter into derivative financial instruments for speculative trading purposes.</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Foreign currency forward contracts have principally been used to manage our exposure for currencies such as the British pound, the euro, the Canadian dollar and the Australian dollar, generally for periods up to 24 months. We designate forward contracts used to hedge committed and forecasted foreign currency transactions, including future production costs and programming obligations, as cash flow hedges. We also enter into non-designated forward contracts to hedge non-U.S. dollar denominated assets, liabilities, and cash flows.</w:t>
      </w:r>
    </w:p>
    <w:p>
      <w:pPr>
        <w:spacing w:after="0" w:line="20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In 2024, we entered into a foreign currency option contract to mitigate the exchange rate risk of the Indian rupee-denominated sale of our interest in Viacom18 discussed above, and recognized a total loss of $5 million on this contract, which is included in the table below.</w:t>
      </w:r>
    </w:p>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At December 31, 2025 (Successor) and December 31, 2024 (Predecessor), the notional amount of all foreign exchange contracts was $3.14 billion and $2.75 billion, respectively. For 2025 (Successor), $2.74 billion related to future production costs and $407 million related to our foreign currency assets and liabilities. For 2024 (Predecessor), $2.39 billion related to future production costs and $358 million related to our foreign currency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07" w:name="page108"/>
    <w:bookmarkEnd w:id="107"/>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Gains (losses) recognized on derivative financial instruments were as follows:</w:t>
      </w:r>
    </w:p>
    <w:p>
      <w:pPr>
        <w:spacing w:after="0" w:line="222" w:lineRule="exact"/>
        <w:rPr>
          <w:sz w:val="20"/>
          <w:szCs w:val="20"/>
          <w:color w:val="auto"/>
        </w:rPr>
      </w:pPr>
    </w:p>
    <w:tbl>
      <w:tblPr>
        <w:tblLayout w:type="fixed"/>
        <w:tblInd w:w="240" w:type="dxa"/>
        <w:tblCellMar>
          <w:top w:w="0" w:type="dxa"/>
          <w:left w:w="0" w:type="dxa"/>
          <w:bottom w:w="0" w:type="dxa"/>
          <w:right w:w="0" w:type="dxa"/>
        </w:tblCellMar>
      </w:tblPr>
      <w:tr>
        <w:trPr>
          <w:trHeight w:val="258"/>
        </w:trPr>
        <w:tc>
          <w:tcPr>
            <w:tcW w:w="248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8"/>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gridSpan w:val="2"/>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4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2800" w:type="dxa"/>
            <w:vAlign w:val="bottom"/>
            <w:tcBorders>
              <w:top w:val="single" w:sz="8" w:color="auto"/>
            </w:tcBorders>
          </w:tcPr>
          <w:p>
            <w:pPr>
              <w:spacing w:after="0"/>
              <w:rPr>
                <w:sz w:val="22"/>
                <w:szCs w:val="22"/>
                <w:color w:val="auto"/>
              </w:rPr>
            </w:pPr>
          </w:p>
        </w:tc>
      </w:tr>
      <w:tr>
        <w:trPr>
          <w:trHeight w:val="196"/>
        </w:trPr>
        <w:tc>
          <w:tcPr>
            <w:tcW w:w="248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199"/>
        </w:trPr>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right w:val="single" w:sz="8" w:color="auto"/>
            </w:tcBorders>
          </w:tcPr>
          <w:p>
            <w:pPr>
              <w:jc w:val="center"/>
              <w:ind w:right="358"/>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21"/>
        </w:trPr>
        <w:tc>
          <w:tcPr>
            <w:tcW w:w="248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6"/>
                <w:szCs w:val="16"/>
                <w:b w:val="1"/>
                <w:bCs w:val="1"/>
                <w:color w:val="auto"/>
              </w:rPr>
              <w:t>August 6,</w:t>
            </w:r>
          </w:p>
        </w:tc>
        <w:tc>
          <w:tcPr>
            <w:tcW w:w="3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0" w:type="dxa"/>
            <w:vAlign w:val="bottom"/>
            <w:tcBorders>
              <w:bottom w:val="single" w:sz="8" w:color="auto"/>
            </w:tcBorders>
          </w:tcPr>
          <w:p>
            <w:pPr>
              <w:spacing w:after="0"/>
              <w:rPr>
                <w:sz w:val="19"/>
                <w:szCs w:val="19"/>
                <w:color w:val="auto"/>
              </w:rPr>
            </w:pPr>
          </w:p>
        </w:tc>
      </w:tr>
      <w:tr>
        <w:trPr>
          <w:trHeight w:val="258"/>
        </w:trPr>
        <w:tc>
          <w:tcPr>
            <w:tcW w:w="24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right w:val="single" w:sz="8" w:color="auto"/>
            </w:tcBorders>
          </w:tcPr>
          <w:p>
            <w:pPr>
              <w:jc w:val="center"/>
              <w:ind w:right="33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Financial Statement Account</w:t>
            </w:r>
          </w:p>
        </w:tc>
      </w:tr>
      <w:tr>
        <w:trPr>
          <w:trHeight w:val="22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Non-designated foreign</w:t>
            </w:r>
          </w:p>
        </w:tc>
        <w:tc>
          <w:tcPr>
            <w:tcW w:w="32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31"/>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contracts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278"/>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Other items, net</w:t>
            </w:r>
          </w:p>
        </w:tc>
      </w:tr>
      <w:tr>
        <w:trPr>
          <w:trHeight w:val="32"/>
        </w:trPr>
        <w:tc>
          <w:tcPr>
            <w:tcW w:w="2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bl>
    <w:p>
      <w:pPr>
        <w:spacing w:after="0" w:line="2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continually monitor our positions with, and credit quality of, the financial institutions that are counterparties to our financial instruments. We are exposed to credit loss in the event of nonperformance by the counterparties to the agreements. However, we do not anticipate nonperformance by the counterparties.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Fair Value Measurements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table below presents our assets and liabilities measured at fair value on a recurring basis at December 31, 2025 (Successor) and December 31, 2024 (Predecessor). These assets and liabilities have been categorized according to the three-level fair value hierarchy established by the FASB, which prioritizes the inputs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 liability. All of our assets and liabilities that are measured at fair value on a recurring basis use Level 2 inputs. The fair value of foreign currency hedges is determined based on the present value of future cash flows using observable inputs including foreign currency exchange rates. The fair value of deferred compensation liabilities is determined based on the fair value of the investments elected by employees.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266"/>
        </w:trPr>
        <w:tc>
          <w:tcPr>
            <w:tcW w:w="456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700" w:type="dxa"/>
            <w:vAlign w:val="bottom"/>
            <w:tcBorders>
              <w:top w:val="single" w:sz="8" w:color="auto"/>
              <w:right w:val="single" w:sz="8" w:color="auto"/>
            </w:tcBorders>
          </w:tcPr>
          <w:p>
            <w:pPr>
              <w:jc w:val="center"/>
              <w:ind w:right="672"/>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60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7"/>
              </w:rPr>
              <w:t>Predecessor</w:t>
            </w:r>
          </w:p>
        </w:tc>
      </w:tr>
      <w:tr>
        <w:trPr>
          <w:trHeight w:val="25"/>
        </w:trPr>
        <w:tc>
          <w:tcPr>
            <w:tcW w:w="45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3"/>
        </w:trPr>
        <w:tc>
          <w:tcPr>
            <w:tcW w:w="4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00" w:type="dxa"/>
            <w:vAlign w:val="bottom"/>
            <w:tcBorders>
              <w:right w:val="single" w:sz="8" w:color="auto"/>
            </w:tcBorders>
          </w:tcPr>
          <w:p>
            <w:pPr>
              <w:jc w:val="center"/>
              <w:ind w:right="672"/>
              <w:spacing w:after="0"/>
              <w:rPr>
                <w:sz w:val="20"/>
                <w:szCs w:val="20"/>
                <w:color w:val="auto"/>
              </w:rPr>
            </w:pPr>
            <w:r>
              <w:rPr>
                <w:rFonts w:ascii="Times New Roman" w:cs="Times New Roman" w:eastAsia="Times New Roman" w:hAnsi="Times New Roman"/>
                <w:sz w:val="18"/>
                <w:szCs w:val="18"/>
                <w:b w:val="1"/>
                <w:bCs w:val="1"/>
                <w:color w:val="auto"/>
                <w:w w:val="94"/>
              </w:rPr>
              <w:t>At</w:t>
            </w:r>
          </w:p>
        </w:tc>
        <w:tc>
          <w:tcPr>
            <w:tcW w:w="600" w:type="dxa"/>
            <w:vAlign w:val="bottom"/>
          </w:tcPr>
          <w:p>
            <w:pPr>
              <w:spacing w:after="0"/>
              <w:rPr>
                <w:sz w:val="20"/>
                <w:szCs w:val="20"/>
                <w:color w:val="auto"/>
              </w:rPr>
            </w:pPr>
          </w:p>
        </w:tc>
        <w:tc>
          <w:tcPr>
            <w:tcW w:w="146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4"/>
              </w:rPr>
              <w:t>At</w:t>
            </w:r>
          </w:p>
        </w:tc>
      </w:tr>
      <w:tr>
        <w:trPr>
          <w:trHeight w:val="265"/>
        </w:trPr>
        <w:tc>
          <w:tcPr>
            <w:tcW w:w="4560" w:type="dxa"/>
            <w:vAlign w:val="bottom"/>
          </w:tcPr>
          <w:p>
            <w:pPr>
              <w:spacing w:after="0"/>
              <w:rPr>
                <w:sz w:val="23"/>
                <w:szCs w:val="23"/>
                <w:color w:val="auto"/>
              </w:rPr>
            </w:pPr>
          </w:p>
        </w:tc>
        <w:tc>
          <w:tcPr>
            <w:tcW w:w="2340" w:type="dxa"/>
            <w:vAlign w:val="bottom"/>
            <w:tcBorders>
              <w:right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r>
      <w:tr>
        <w:trPr>
          <w:trHeight w:val="25"/>
        </w:trPr>
        <w:tc>
          <w:tcPr>
            <w:tcW w:w="4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65"/>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hedges</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38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45</w:t>
            </w:r>
          </w:p>
        </w:tc>
      </w:tr>
      <w:tr>
        <w:trPr>
          <w:trHeight w:val="26"/>
        </w:trPr>
        <w:tc>
          <w:tcPr>
            <w:tcW w:w="4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38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45</w:t>
            </w:r>
          </w:p>
        </w:tc>
      </w:tr>
      <w:tr>
        <w:trPr>
          <w:trHeight w:val="25"/>
        </w:trPr>
        <w:tc>
          <w:tcPr>
            <w:tcW w:w="4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65"/>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312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385</w:t>
            </w:r>
          </w:p>
        </w:tc>
      </w:tr>
      <w:tr>
        <w:trPr>
          <w:trHeight w:val="265"/>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hedges</w:t>
            </w:r>
          </w:p>
        </w:tc>
        <w:tc>
          <w:tcPr>
            <w:tcW w:w="640" w:type="dxa"/>
            <w:vAlign w:val="bottom"/>
          </w:tcPr>
          <w:p>
            <w:pPr>
              <w:spacing w:after="0"/>
              <w:rPr>
                <w:sz w:val="23"/>
                <w:szCs w:val="23"/>
                <w:color w:val="auto"/>
              </w:rPr>
            </w:pPr>
          </w:p>
        </w:tc>
        <w:tc>
          <w:tcPr>
            <w:tcW w:w="1700" w:type="dxa"/>
            <w:vAlign w:val="bottom"/>
            <w:tcBorders>
              <w:right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28</w:t>
            </w:r>
          </w:p>
        </w:tc>
        <w:tc>
          <w:tcPr>
            <w:tcW w:w="600" w:type="dxa"/>
            <w:vAlign w:val="bottom"/>
          </w:tcPr>
          <w:p>
            <w:pPr>
              <w:spacing w:after="0"/>
              <w:rPr>
                <w:sz w:val="23"/>
                <w:szCs w:val="23"/>
                <w:color w:val="auto"/>
              </w:rPr>
            </w:pP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48</w:t>
            </w:r>
          </w:p>
        </w:tc>
      </w:tr>
      <w:tr>
        <w:trPr>
          <w:trHeight w:val="25"/>
        </w:trPr>
        <w:tc>
          <w:tcPr>
            <w:tcW w:w="4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340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433</w:t>
            </w:r>
          </w:p>
        </w:tc>
      </w:tr>
      <w:tr>
        <w:trPr>
          <w:trHeight w:val="32"/>
        </w:trPr>
        <w:tc>
          <w:tcPr>
            <w:tcW w:w="4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 xml:space="preserve">Level 3 inputs were used in determining Paramount Global’s net assets at the Ultimate Parent’s basis (see Note </w:t>
      </w:r>
      <w:r>
        <w:rPr>
          <w:rFonts w:ascii="Times New Roman" w:cs="Times New Roman" w:eastAsia="Times New Roman" w:hAnsi="Times New Roman"/>
          <w:sz w:val="17"/>
          <w:szCs w:val="17"/>
          <w:color w:val="auto"/>
        </w:rPr>
        <w:t>2)</w:t>
      </w:r>
      <w:r>
        <w:rPr>
          <w:rFonts w:ascii="Times New Roman" w:cs="Times New Roman" w:eastAsia="Times New Roman" w:hAnsi="Times New Roman"/>
          <w:sz w:val="19"/>
          <w:szCs w:val="19"/>
          <w:color w:val="auto"/>
        </w:rPr>
        <w:t xml:space="preserve"> and the estimated fair values of assets that were impaired during the Predecessor periods presented (see Notes 4 and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08" w:name="page109"/>
    <w:bookmarkEnd w:id="108"/>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 VARIABLE INTEREST ENTITIES</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In the normal course of business, we enter into joint ventures or make investments with business partners that support our underlying business strategy and provide us the ability to enter new markets to expand the reach of our brands, develop new programming and/or distribute our existing content. In certain instances, an entity in which we make an investment may qualify as a VIE. In determining whether we are the primary beneficiary of a VIE, we assess whether we have the power to direct matters that most significantly impact the activities of the VIE, and have the obligation to absorb losses or the right to receive benefits from the VIE that could potentially be significant to the VIE.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the amounts recorded in our consolidated financial statements related to our consolidated VIEs.</w:t>
      </w:r>
    </w:p>
    <w:p>
      <w:pPr>
        <w:spacing w:after="0" w:line="182" w:lineRule="exact"/>
        <w:rPr>
          <w:sz w:val="20"/>
          <w:szCs w:val="20"/>
          <w:color w:val="auto"/>
        </w:rPr>
      </w:pPr>
    </w:p>
    <w:tbl>
      <w:tblPr>
        <w:tblLayout w:type="fixed"/>
        <w:tblInd w:w="2440" w:type="dxa"/>
        <w:tblCellMar>
          <w:top w:w="0" w:type="dxa"/>
          <w:left w:w="0" w:type="dxa"/>
          <w:bottom w:w="0" w:type="dxa"/>
          <w:right w:w="0" w:type="dxa"/>
        </w:tblCellMar>
      </w:tblPr>
      <w:tr>
        <w:trPr>
          <w:trHeight w:val="258"/>
        </w:trPr>
        <w:tc>
          <w:tcPr>
            <w:tcW w:w="50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gridSpan w:val="3"/>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520" w:type="dxa"/>
            <w:vAlign w:val="bottom"/>
            <w:tcBorders>
              <w:top w:val="single" w:sz="8" w:color="auto"/>
              <w:bottom w:val="single" w:sz="8" w:color="auto"/>
              <w:right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820" w:type="dxa"/>
            <w:vAlign w:val="bottom"/>
            <w:tcBorders>
              <w:top w:val="single" w:sz="8" w:color="auto"/>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r>
      <w:tr>
        <w:trPr>
          <w:trHeight w:val="220"/>
        </w:trPr>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center"/>
              <w:ind w:left="198"/>
              <w:spacing w:after="0"/>
              <w:rPr>
                <w:sz w:val="20"/>
                <w:szCs w:val="20"/>
                <w:color w:val="auto"/>
              </w:rPr>
            </w:pPr>
            <w:r>
              <w:rPr>
                <w:rFonts w:ascii="Times New Roman" w:cs="Times New Roman" w:eastAsia="Times New Roman" w:hAnsi="Times New Roman"/>
                <w:sz w:val="16"/>
                <w:szCs w:val="16"/>
                <w:b w:val="1"/>
                <w:bCs w:val="1"/>
                <w:color w:val="auto"/>
              </w:rPr>
              <w:t>At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4"/>
              </w:rPr>
              <w:t>At</w:t>
            </w:r>
          </w:p>
        </w:tc>
      </w:tr>
      <w:tr>
        <w:trPr>
          <w:trHeight w:val="250"/>
        </w:trPr>
        <w:tc>
          <w:tcPr>
            <w:tcW w:w="5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80" w:type="dxa"/>
            <w:vAlign w:val="bottom"/>
            <w:tcBorders>
              <w:bottom w:val="single" w:sz="8" w:color="auto"/>
              <w:right w:val="single" w:sz="8" w:color="auto"/>
            </w:tcBorders>
            <w:gridSpan w:val="5"/>
          </w:tcPr>
          <w:p>
            <w:pPr>
              <w:jc w:val="center"/>
              <w:ind w:right="395"/>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40"/>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1,193</w:t>
            </w:r>
          </w:p>
        </w:tc>
        <w:tc>
          <w:tcPr>
            <w:tcW w:w="5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1,825</w:t>
            </w:r>
          </w:p>
        </w:tc>
      </w:tr>
      <w:tr>
        <w:trPr>
          <w:trHeight w:val="358"/>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198</w:t>
            </w:r>
          </w:p>
        </w:tc>
      </w:tr>
      <w:tr>
        <w:trPr>
          <w:trHeight w:val="32"/>
        </w:trPr>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72"/>
        </w:trPr>
        <w:tc>
          <w:tcPr>
            <w:tcW w:w="500" w:type="dxa"/>
            <w:vAlign w:val="bottom"/>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3"/>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500" w:type="dxa"/>
            <w:vAlign w:val="bottom"/>
          </w:tcPr>
          <w:p>
            <w:pPr>
              <w:spacing w:after="0"/>
              <w:rPr>
                <w:sz w:val="23"/>
                <w:szCs w:val="23"/>
                <w:color w:val="auto"/>
              </w:rPr>
            </w:pPr>
          </w:p>
        </w:tc>
      </w:tr>
      <w:tr>
        <w:trPr>
          <w:trHeight w:val="232"/>
        </w:trPr>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8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r>
      <w:tr>
        <w:trPr>
          <w:trHeight w:val="196"/>
        </w:trPr>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85"/>
        </w:trPr>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9"/>
              </w:rPr>
              <w:t>From</w:t>
            </w:r>
          </w:p>
        </w:tc>
        <w:tc>
          <w:tcPr>
            <w:tcW w:w="180" w:type="dxa"/>
            <w:vAlign w:val="bottom"/>
            <w:tcBorders>
              <w:right w:val="single" w:sz="8" w:color="auto"/>
            </w:tcBorders>
          </w:tcPr>
          <w:p>
            <w:pPr>
              <w:spacing w:after="0"/>
              <w:rPr>
                <w:sz w:val="16"/>
                <w:szCs w:val="16"/>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9"/>
        </w:trPr>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80" w:type="dxa"/>
            <w:vAlign w:val="bottom"/>
            <w:tcBorders>
              <w:right w:val="single" w:sz="8" w:color="auto"/>
            </w:tcBorders>
          </w:tcPr>
          <w:p>
            <w:pPr>
              <w:spacing w:after="0"/>
              <w:rPr>
                <w:sz w:val="17"/>
                <w:szCs w:val="17"/>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From</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85"/>
        </w:trPr>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80" w:type="dxa"/>
            <w:vAlign w:val="bottom"/>
            <w:tcBorders>
              <w:right w:val="single" w:sz="8" w:color="auto"/>
            </w:tcBorders>
          </w:tcPr>
          <w:p>
            <w:pPr>
              <w:spacing w:after="0"/>
              <w:rPr>
                <w:sz w:val="16"/>
                <w:szCs w:val="16"/>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80" w:type="dxa"/>
            <w:vAlign w:val="bottom"/>
          </w:tcPr>
          <w:p>
            <w:pPr>
              <w:spacing w:after="0"/>
              <w:rPr>
                <w:sz w:val="16"/>
                <w:szCs w:val="16"/>
                <w:color w:val="auto"/>
              </w:rPr>
            </w:pPr>
          </w:p>
        </w:tc>
        <w:tc>
          <w:tcPr>
            <w:tcW w:w="182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0"/>
        </w:trPr>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31,</w:t>
            </w:r>
          </w:p>
        </w:tc>
        <w:tc>
          <w:tcPr>
            <w:tcW w:w="180" w:type="dxa"/>
            <w:vAlign w:val="bottom"/>
            <w:tcBorders>
              <w:right w:val="single" w:sz="8" w:color="auto"/>
            </w:tcBorders>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80" w:type="dxa"/>
            <w:vAlign w:val="bottom"/>
          </w:tcPr>
          <w:p>
            <w:pPr>
              <w:spacing w:after="0"/>
              <w:rPr>
                <w:sz w:val="18"/>
                <w:szCs w:val="18"/>
                <w:color w:val="auto"/>
              </w:rPr>
            </w:pPr>
          </w:p>
        </w:tc>
        <w:tc>
          <w:tcPr>
            <w:tcW w:w="182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32"/>
        </w:trPr>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1"/>
        </w:trPr>
        <w:tc>
          <w:tcPr>
            <w:tcW w:w="500" w:type="dxa"/>
            <w:vAlign w:val="bottom"/>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8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500" w:type="dxa"/>
            <w:vAlign w:val="bottom"/>
          </w:tcPr>
          <w:p>
            <w:pPr>
              <w:spacing w:after="0"/>
              <w:rPr>
                <w:sz w:val="21"/>
                <w:szCs w:val="21"/>
                <w:color w:val="auto"/>
              </w:rPr>
            </w:pPr>
          </w:p>
        </w:tc>
      </w:tr>
      <w:tr>
        <w:trPr>
          <w:trHeight w:val="240"/>
        </w:trPr>
        <w:tc>
          <w:tcPr>
            <w:tcW w:w="50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Borders>
              <w:right w:val="single" w:sz="8" w:color="auto"/>
            </w:tcBorders>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500" w:type="dxa"/>
            <w:vAlign w:val="bottom"/>
          </w:tcPr>
          <w:p>
            <w:pPr>
              <w:spacing w:after="0"/>
              <w:rPr>
                <w:sz w:val="20"/>
                <w:szCs w:val="20"/>
                <w:color w:val="auto"/>
              </w:rPr>
            </w:pPr>
          </w:p>
        </w:tc>
      </w:tr>
      <w:tr>
        <w:trPr>
          <w:trHeight w:val="358"/>
        </w:trPr>
        <w:tc>
          <w:tcPr>
            <w:tcW w:w="50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right w:val="single" w:sz="8" w:color="auto"/>
            </w:tcBorders>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500" w:type="dxa"/>
            <w:vAlign w:val="bottom"/>
          </w:tcPr>
          <w:p>
            <w:pPr>
              <w:spacing w:after="0"/>
              <w:rPr>
                <w:sz w:val="24"/>
                <w:szCs w:val="24"/>
                <w:color w:val="auto"/>
              </w:rPr>
            </w:pPr>
          </w:p>
        </w:tc>
      </w:tr>
      <w:tr>
        <w:trPr>
          <w:trHeight w:val="32"/>
        </w:trPr>
        <w:tc>
          <w:tcPr>
            <w:tcW w:w="5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 STOCKHOLDERS’ EQUITY</w:t>
      </w:r>
    </w:p>
    <w:p>
      <w:pPr>
        <w:spacing w:after="0" w:line="17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Holders of the Company’s Class A Common Stock are entitled to one vote per share with respect to all matters on which the holders of the Company’s Common Stock are entitled to vote and holders of the Company’s Class B Common Stock do not have any voting rights, except as required by applicable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Impact from the Transactions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Common Stock</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On August 6, 2025, each share of Paramount Global common stock that was owned by Paramount Global as treasury stock was cancelled and ceased to exist, and each issued and outstanding share of Paramount Global Class A Common Stock and Paramount Global Class B Common Stock was converted automatically into the right to receive one share of Paramount Skydance Corporation Class A Common Stock and Paramount Skydance Corporation Class B Common Stock, respectively. Additionally, at the closing of the Transactions, all outstanding Paramount Global RSU awards and PSU awards were converted to Paramount RSU awards.</w:t>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Transactions included a cash-stock election offered to holders of Paramount Global pursuant to which (a) shares of Paramount Global Class A Common Stock held by stockholders other than NAI or its subsidiaries were converted, at the stockholders’ election, into the right to receive either the Class A Cash Consideration or the Class A Stock Consideration and (b) shares of Paramount Global Class B Common Stock held by stockholders other than NAI or its subsidiaries, the NAI Equity Investors and certain other affiliates of investors in Skydance were converted, at the stockholders’ election, into the right to receive the Class B Cash Consideration (subject to proration) or the Class B Stock Consideration. The elections resulted in cash settlement of 7.2 million shares of</w:t>
      </w:r>
    </w:p>
    <w:p>
      <w:pPr>
        <w:sectPr>
          <w:pgSz w:w="11900" w:h="16838" w:orient="portrait"/>
          <w:cols w:equalWidth="0" w:num="1">
            <w:col w:w="11240"/>
          </w:cols>
          <w:pgMar w:left="320" w:top="7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type w:val="continuous"/>
        </w:sectPr>
      </w:pPr>
    </w:p>
    <w:bookmarkStart w:id="109" w:name="page110"/>
    <w:bookmarkEnd w:id="109"/>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Paramount Global Class A Common Stock at a price of $23.00 per share and cash settlement of 285.9 million shares of Paramount Global Class B Common Stock at a price of $15.00 per share for which holders of the shares elected to receive the Class A Cash Consideration and Class B Cash Consideration, respectively. In addition, holders of 2.0 million shares of Paramount Global Class A Common Stock elected to receive the Class A Stock Consideration or made no election, and as such received shares of Paramount Skydance Corporation Class B Common Stock at a conversion rate of 1.5333, resulting in the issuance of 3.1 million shares of Paramount Skydance Corporation Class B Common Stock. Elections made for the Class B Cash Consideration were subject to a proration mechanism. Shares of Paramount Global Class B Common Stock for which elections to receive Class B Cash Consideration were not made or were validly revoked remained issued and outstanding as one share of Paramount Skydance Corporation Class B Common Stock. Shares of Paramount Global Class A Common Stock and Paramount Global Class B Common Stock were cancelled and ceased to exist upon completion of the Transactions.</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cash elections were funded by $4.45 billion of the PIPE Transaction proceeds, and the remaining $1.52 billion was provided to Paramount. In exchange for these proceeds, the NAI Equity Investors and certain other affiliates of investors in Skydance received 400 million newly issued shares of Paramount Skydance Corporation Class B Common Stock for a purchase price of $15.00 per share, and the NAI Equity Investors also received warrants to purchase 200 million shares of Paramount Skydance Corporation Class B Common Stock at an initial exercise price of $30.50 per share (subject to customary anti-dilution adjustments), which expire five years after issuance.</w:t>
      </w:r>
    </w:p>
    <w:p>
      <w:pPr>
        <w:spacing w:after="0" w:line="18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In addition, 316.7 million shares (313.8 million shares after reduction in connection with certain tax withholding requirements) of Paramount Skydance Corporation Class B Common Stock were issued to holders of Skydance Membership Units and Skydance Phantom Unit awards.</w:t>
      </w:r>
    </w:p>
    <w:p>
      <w:pPr>
        <w:spacing w:after="0" w:line="16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The table below details the activity described above and calculates shares of Paramount Skydance Corporation Class A Common Stock and Class B Common Stock issued and outstanding after completion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80645</wp:posOffset>
            </wp:positionV>
            <wp:extent cx="572960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29605" cy="17145"/>
                    </a:xfrm>
                    <a:prstGeom prst="rect">
                      <a:avLst/>
                    </a:prstGeom>
                    <a:noFill/>
                  </pic:spPr>
                </pic:pic>
              </a:graphicData>
            </a:graphic>
          </wp:anchor>
        </w:drawing>
      </w:r>
    </w:p>
    <w:p>
      <w:pPr>
        <w:spacing w:after="0" w:line="139" w:lineRule="exact"/>
        <w:rPr>
          <w:sz w:val="20"/>
          <w:szCs w:val="20"/>
          <w:color w:val="auto"/>
        </w:rPr>
      </w:pPr>
    </w:p>
    <w:tbl>
      <w:tblPr>
        <w:tblLayout w:type="fixed"/>
        <w:tblInd w:w="1120" w:type="dxa"/>
        <w:tblCellMar>
          <w:top w:w="0" w:type="dxa"/>
          <w:left w:w="0" w:type="dxa"/>
          <w:bottom w:w="0" w:type="dxa"/>
          <w:right w:w="0" w:type="dxa"/>
        </w:tblCellMar>
      </w:tblPr>
      <w:tr>
        <w:trPr>
          <w:trHeight w:val="23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0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Class B</w:t>
            </w:r>
          </w:p>
        </w:tc>
      </w:tr>
      <w:tr>
        <w:trPr>
          <w:trHeight w:val="25"/>
        </w:trPr>
        <w:tc>
          <w:tcPr>
            <w:tcW w:w="58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Each share of Paramount Global Class A Common Stock converted</w:t>
            </w:r>
          </w:p>
        </w:tc>
        <w:tc>
          <w:tcPr>
            <w:tcW w:w="20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2"/>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one share of Paramount Skydance Corporation Class A Common</w:t>
            </w:r>
          </w:p>
        </w:tc>
        <w:tc>
          <w:tcPr>
            <w:tcW w:w="20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1"/>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20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40.7</w:t>
            </w:r>
          </w:p>
        </w:tc>
        <w:tc>
          <w:tcPr>
            <w:tcW w:w="1140" w:type="dxa"/>
            <w:vAlign w:val="bottom"/>
          </w:tcPr>
          <w:p>
            <w:pPr>
              <w:spacing w:after="0"/>
              <w:rPr>
                <w:sz w:val="20"/>
                <w:szCs w:val="20"/>
                <w:color w:val="auto"/>
              </w:rPr>
            </w:pPr>
          </w:p>
        </w:tc>
      </w:tr>
      <w:tr>
        <w:trPr>
          <w:trHeight w:val="24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Each share of Paramount Global Class B Common Stock converted</w:t>
            </w:r>
          </w:p>
        </w:tc>
        <w:tc>
          <w:tcPr>
            <w:tcW w:w="2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2"/>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one share of Paramount Skydance Corporation Class B Common</w:t>
            </w:r>
          </w:p>
        </w:tc>
        <w:tc>
          <w:tcPr>
            <w:tcW w:w="20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1"/>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20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w:t>
            </w:r>
          </w:p>
        </w:tc>
      </w:tr>
      <w:tr>
        <w:trPr>
          <w:trHeight w:val="24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Paramount Skydance Corporation Class B Common Stock</w:t>
            </w:r>
          </w:p>
        </w:tc>
        <w:tc>
          <w:tcPr>
            <w:tcW w:w="2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2"/>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the NAI Equity Investors and certain other affiliates of investors</w:t>
            </w:r>
          </w:p>
        </w:tc>
        <w:tc>
          <w:tcPr>
            <w:tcW w:w="20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1"/>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Skydance in exchange for proceeds from the PIPE Transaction</w:t>
            </w:r>
          </w:p>
        </w:tc>
        <w:tc>
          <w:tcPr>
            <w:tcW w:w="20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65"/>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 of cash-settled Class A Common Stock</w:t>
            </w:r>
          </w:p>
        </w:tc>
        <w:tc>
          <w:tcPr>
            <w:tcW w:w="20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(7.2)</w:t>
            </w:r>
          </w:p>
        </w:tc>
        <w:tc>
          <w:tcPr>
            <w:tcW w:w="1140" w:type="dxa"/>
            <w:vAlign w:val="bottom"/>
          </w:tcPr>
          <w:p>
            <w:pPr>
              <w:spacing w:after="0"/>
              <w:rPr>
                <w:sz w:val="23"/>
                <w:szCs w:val="23"/>
                <w:color w:val="auto"/>
              </w:rPr>
            </w:pPr>
          </w:p>
        </w:tc>
      </w:tr>
      <w:tr>
        <w:trPr>
          <w:trHeight w:val="265"/>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 of cash-settled Class B Common Stock</w:t>
            </w:r>
          </w:p>
        </w:tc>
        <w:tc>
          <w:tcPr>
            <w:tcW w:w="20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4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one share of stock-settled Class A Common Stock to</w:t>
            </w:r>
          </w:p>
        </w:tc>
        <w:tc>
          <w:tcPr>
            <w:tcW w:w="2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1"/>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1.5333 shares of Class B Common Stock</w:t>
            </w:r>
          </w:p>
        </w:tc>
        <w:tc>
          <w:tcPr>
            <w:tcW w:w="20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Paramount Skydance Corporation Class B Common Stock</w:t>
            </w:r>
          </w:p>
        </w:tc>
        <w:tc>
          <w:tcPr>
            <w:tcW w:w="2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2"/>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holders of Skydance Membership Units and Skydance Phantom</w:t>
            </w:r>
          </w:p>
        </w:tc>
        <w:tc>
          <w:tcPr>
            <w:tcW w:w="20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1"/>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 awards</w:t>
            </w:r>
          </w:p>
        </w:tc>
        <w:tc>
          <w:tcPr>
            <w:tcW w:w="20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r>
      <w:tr>
        <w:trPr>
          <w:trHeight w:val="25"/>
        </w:trPr>
        <w:tc>
          <w:tcPr>
            <w:tcW w:w="58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 issuance, net of cancellations</w:t>
            </w:r>
          </w:p>
        </w:tc>
        <w:tc>
          <w:tcPr>
            <w:tcW w:w="20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(9.2)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r>
      <w:tr>
        <w:trPr>
          <w:trHeight w:val="25"/>
        </w:trPr>
        <w:tc>
          <w:tcPr>
            <w:tcW w:w="58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of Paramount Skydance Corporation Class A and Class B</w:t>
            </w:r>
          </w:p>
        </w:tc>
        <w:tc>
          <w:tcPr>
            <w:tcW w:w="20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1"/>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issued and outstanding after the Transactions</w:t>
            </w:r>
          </w:p>
        </w:tc>
        <w:tc>
          <w:tcPr>
            <w:tcW w:w="20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31.5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1,064.6</w:t>
            </w:r>
          </w:p>
        </w:tc>
      </w:tr>
      <w:tr>
        <w:trPr>
          <w:trHeight w:val="32"/>
        </w:trPr>
        <w:tc>
          <w:tcPr>
            <w:tcW w:w="58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10" w:name="page111"/>
    <w:bookmarkEnd w:id="110"/>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Under the amended and restated certificate of incorporation, Paramount Skydance Corporation is authorized to issue up to 55 million shares of Paramount Skydance Corporation Class A Common Stock, par value of $.001 per share; 5.50 billion shares of Paramount Skydance Corporation Class B Common Stock, par value of $.001 per share; and 100 million shares of preferred stock, par value of $.001 per share.</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the fourth quarter of 2025, we issued an aggregate amount of 5.4 million shares of our Class B common stock at $19.09 per share as consideration to certain sophisticated investors in connection with an acquisition, for an aggregate value of $104 million, and expect to issue an additional 0.7 million shares, or $13 million of value during the first quarter of 2026. In addition, we issued 3.5 million shares of restricted stock with future vesting conditions to employees of the acquired company in a private placement and not from our existing authorization.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Common Stock Dividends</w:t>
      </w:r>
    </w:p>
    <w:p>
      <w:pPr>
        <w:spacing w:after="0" w:line="155"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9"/>
          <w:szCs w:val="19"/>
          <w:color w:val="auto"/>
        </w:rPr>
        <w:t>The following table presents dividends declared per share and total dividends for Paramount Skydance Corporation Class B Common Stock for the Successor period and Paramount Global’s Class A and Class B Common Stock for the Predecessor periods.</w:t>
      </w:r>
    </w:p>
    <w:p>
      <w:pPr>
        <w:spacing w:after="0" w:line="93" w:lineRule="exact"/>
        <w:rPr>
          <w:sz w:val="20"/>
          <w:szCs w:val="20"/>
          <w:color w:val="auto"/>
        </w:rPr>
      </w:pPr>
    </w:p>
    <w:tbl>
      <w:tblPr>
        <w:tblLayout w:type="fixed"/>
        <w:tblInd w:w="580" w:type="dxa"/>
        <w:tblCellMar>
          <w:top w:w="0" w:type="dxa"/>
          <w:left w:w="0" w:type="dxa"/>
          <w:bottom w:w="0" w:type="dxa"/>
          <w:right w:w="0" w:type="dxa"/>
        </w:tblCellMar>
      </w:tblPr>
      <w:tr>
        <w:trPr>
          <w:trHeight w:val="258"/>
        </w:trPr>
        <w:tc>
          <w:tcPr>
            <w:tcW w:w="20" w:type="dxa"/>
            <w:vAlign w:val="bottom"/>
            <w:tcBorders>
              <w:top w:val="single" w:sz="8" w:color="auto"/>
            </w:tcBorders>
          </w:tcPr>
          <w:p>
            <w:pPr>
              <w:spacing w:after="0"/>
              <w:rPr>
                <w:sz w:val="22"/>
                <w:szCs w:val="22"/>
                <w:color w:val="auto"/>
              </w:rPr>
            </w:pPr>
          </w:p>
        </w:tc>
        <w:tc>
          <w:tcPr>
            <w:tcW w:w="272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r>
      <w:tr>
        <w:trPr>
          <w:trHeight w:val="209"/>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Borders>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560" w:type="dxa"/>
            <w:vAlign w:val="bottom"/>
            <w:gridSpan w:val="2"/>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Borders>
              <w:right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560" w:type="dxa"/>
            <w:vAlign w:val="bottom"/>
            <w:gridSpan w:val="2"/>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20" w:type="dxa"/>
            <w:vAlign w:val="bottom"/>
            <w:tcBorders>
              <w:bottom w:val="single" w:sz="8" w:color="auto"/>
              <w:right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6"/>
                <w:szCs w:val="16"/>
                <w:b w:val="1"/>
                <w:bCs w:val="1"/>
                <w:color w:val="auto"/>
              </w:rPr>
              <w:t>6,</w:t>
            </w:r>
          </w:p>
        </w:tc>
        <w:tc>
          <w:tcPr>
            <w:tcW w:w="3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37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20" w:type="dxa"/>
            <w:vAlign w:val="bottom"/>
          </w:tcPr>
          <w:p>
            <w:pPr>
              <w:spacing w:after="0"/>
              <w:rPr>
                <w:sz w:val="17"/>
                <w:szCs w:val="17"/>
                <w:color w:val="auto"/>
              </w:rPr>
            </w:pPr>
          </w:p>
        </w:tc>
        <w:tc>
          <w:tcPr>
            <w:tcW w:w="2720" w:type="dxa"/>
            <w:vAlign w:val="bottom"/>
            <w:tcBorders>
              <w:bottom w:val="single" w:sz="8" w:color="auto"/>
            </w:tcBorders>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7"/>
              </w:rPr>
              <w:t>Class A and Class B Common Stock</w:t>
            </w: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32"/>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18"/>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common stock dividends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8"/>
                <w:szCs w:val="18"/>
                <w:color w:val="auto"/>
              </w:rPr>
              <w:t>114</w:t>
            </w:r>
          </w:p>
        </w:tc>
        <w:tc>
          <w:tcPr>
            <w:tcW w:w="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138</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32"/>
        </w:trPr>
        <w:tc>
          <w:tcPr>
            <w:tcW w:w="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Mandatory Convertible Preferred Stock (Predecessor)</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At December 31, 2023, there were 10 million shares of Paramount Global Mandatory Convertible Preferred Stock outstanding. During the first quarter of 2024, 0.3 million shares of Mandatory Convertible Preferred Stock were voluntarily converted into Paramount Global Class B Common Stock at a conversion rate of 1.0013 shares. On April 1, 2024, each of the remaining 9.7 million outstanding shares automatically and mandatorily converted into 1.1765 shares of Paramount Global Class B Common Stock, resulting in the issuance of 11.5 million shares of Paramount Global Class B Common Stock.</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During the first quarter of 2024, the final dividend on the Mandatory Convertible Preferred Stock was declared, at a rate of $1.4375 per share, resulting in total dividends of $14 million, which were paid on April 1, 2024. For each of the quarters of 2023, Paramount Global declared a quarterly cash dividend of $1.4375 per share on the Mandatory Convertible Preferred Stock, resulting in total annual dividends of $58 million for the year ended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Common Stock Conversion Rights (Predecessor)</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Holders of Paramount Global Class A Common Stock had the right to convert their shares to Paramount Global Class B Common Stock as long as there were at least 5,000 shares of Paramount Global Class A Common Stock outstanding. Conversions of Paramount Global’s Class A Common Stock into Paramount Global’s Class B Common Stock were minimal during the period from January 1 - August 6, 2025, as well as for the years ended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11" w:name="page112"/>
    <w:bookmarkEnd w:id="111"/>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Accumulated Other Comprehensive Income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changes in the components of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136525</wp:posOffset>
            </wp:positionV>
            <wp:extent cx="7117715"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17715" cy="16510"/>
                    </a:xfrm>
                    <a:prstGeom prst="rect">
                      <a:avLst/>
                    </a:prstGeom>
                    <a:noFill/>
                  </pic:spPr>
                </pic:pic>
              </a:graphicData>
            </a:graphic>
          </wp:anchor>
        </w:drawing>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6"/>
              </w:rPr>
              <w:t>Discontinued</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vMerge w:val="restart"/>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0" w:type="dxa"/>
            <w:vAlign w:val="bottom"/>
          </w:tcPr>
          <w:p>
            <w:pPr>
              <w:spacing w:after="0"/>
              <w:rPr>
                <w:sz w:val="1"/>
                <w:szCs w:val="1"/>
                <w:color w:val="auto"/>
              </w:rPr>
            </w:pPr>
          </w:p>
        </w:tc>
      </w:tr>
      <w:tr>
        <w:trPr>
          <w:trHeight w:val="198"/>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63"/>
              <w:spacing w:after="0"/>
              <w:rPr>
                <w:sz w:val="20"/>
                <w:szCs w:val="20"/>
                <w:color w:val="auto"/>
              </w:rPr>
            </w:pPr>
            <w:r>
              <w:rPr>
                <w:rFonts w:ascii="Times New Roman" w:cs="Times New Roman" w:eastAsia="Times New Roman" w:hAnsi="Times New Roman"/>
                <w:sz w:val="18"/>
                <w:szCs w:val="18"/>
                <w:b w:val="1"/>
                <w:bCs w:val="1"/>
                <w:color w:val="auto"/>
                <w:w w:val="97"/>
              </w:rPr>
              <w:t>Cumulative</w:t>
            </w:r>
          </w:p>
        </w:tc>
        <w:tc>
          <w:tcPr>
            <w:tcW w:w="300" w:type="dxa"/>
            <w:vAlign w:val="bottom"/>
          </w:tcPr>
          <w:p>
            <w:pPr>
              <w:spacing w:after="0"/>
              <w:rPr>
                <w:sz w:val="18"/>
                <w:szCs w:val="18"/>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Net Actuarial</w:t>
            </w:r>
          </w:p>
        </w:tc>
        <w:tc>
          <w:tcPr>
            <w:tcW w:w="420" w:type="dxa"/>
            <w:vAlign w:val="bottom"/>
          </w:tcPr>
          <w:p>
            <w:pPr>
              <w:spacing w:after="0"/>
              <w:rPr>
                <w:sz w:val="18"/>
                <w:szCs w:val="18"/>
                <w:color w:val="auto"/>
              </w:rPr>
            </w:pPr>
          </w:p>
        </w:tc>
        <w:tc>
          <w:tcPr>
            <w:tcW w:w="96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83"/>
              <w:spacing w:after="0"/>
              <w:rPr>
                <w:sz w:val="20"/>
                <w:szCs w:val="20"/>
                <w:color w:val="auto"/>
              </w:rPr>
            </w:pPr>
            <w:r>
              <w:rPr>
                <w:rFonts w:ascii="Times New Roman" w:cs="Times New Roman" w:eastAsia="Times New Roman" w:hAnsi="Times New Roman"/>
                <w:sz w:val="18"/>
                <w:szCs w:val="18"/>
                <w:b w:val="1"/>
                <w:bCs w:val="1"/>
                <w:color w:val="auto"/>
                <w:w w:val="95"/>
              </w:rPr>
              <w:t>Translation</w:t>
            </w:r>
          </w:p>
        </w:tc>
        <w:tc>
          <w:tcPr>
            <w:tcW w:w="16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Loss and Prior</w:t>
            </w: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7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0" w:type="dxa"/>
            <w:vAlign w:val="bottom"/>
          </w:tcPr>
          <w:p>
            <w:pPr>
              <w:spacing w:after="0"/>
              <w:rPr>
                <w:sz w:val="1"/>
                <w:szCs w:val="1"/>
                <w:color w:val="auto"/>
              </w:rPr>
            </w:pPr>
          </w:p>
        </w:tc>
      </w:tr>
      <w:tr>
        <w:trPr>
          <w:trHeight w:val="262"/>
        </w:trPr>
        <w:tc>
          <w:tcPr>
            <w:tcW w:w="46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Service Cost</w:t>
            </w: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xml:space="preserve">Income (Loss) </w:t>
            </w:r>
            <w:r>
              <w:rPr>
                <w:rFonts w:ascii="Times New Roman" w:cs="Times New Roman" w:eastAsia="Times New Roman" w:hAnsi="Times New Roman"/>
                <w:sz w:val="22"/>
                <w:szCs w:val="22"/>
                <w:b w:val="1"/>
                <w:bCs w:val="1"/>
                <w:color w:val="auto"/>
                <w:w w:val="95"/>
                <w:vertAlign w:val="superscript"/>
              </w:rPr>
              <w:t>(a)</w:t>
            </w: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7"/>
              </w:rPr>
              <w:t>Income (Loss)</w:t>
            </w:r>
          </w:p>
        </w:tc>
        <w:tc>
          <w:tcPr>
            <w:tcW w:w="0" w:type="dxa"/>
            <w:vAlign w:val="bottom"/>
          </w:tcPr>
          <w:p>
            <w:pPr>
              <w:spacing w:after="0"/>
              <w:rPr>
                <w:sz w:val="1"/>
                <w:szCs w:val="1"/>
                <w:color w:val="auto"/>
              </w:rPr>
            </w:pPr>
          </w:p>
        </w:tc>
      </w:tr>
      <w:tr>
        <w:trPr>
          <w:trHeight w:val="23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December 31, 2022 (Predecessor)</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3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5"/>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65"/>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Reclassifications to net earnings</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(c)</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w:t>
            </w:r>
          </w:p>
        </w:tc>
        <w:tc>
          <w:tcPr>
            <w:tcW w:w="380" w:type="dxa"/>
            <w:vAlign w:val="bottom"/>
          </w:tcPr>
          <w:p>
            <w:pPr>
              <w:spacing w:after="0"/>
              <w:rPr>
                <w:sz w:val="23"/>
                <w:szCs w:val="23"/>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6"/>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5"/>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December 31, 2023 (Predecessor)</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5"/>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reclassifications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65"/>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Reclassifications to net loss</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(c)</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6"/>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December 31, 2024 (Predecessor)</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(1,604)</w:t>
            </w:r>
          </w:p>
        </w:tc>
        <w:tc>
          <w:tcPr>
            <w:tcW w:w="0" w:type="dxa"/>
            <w:vAlign w:val="bottom"/>
          </w:tcPr>
          <w:p>
            <w:pPr>
              <w:spacing w:after="0"/>
              <w:rPr>
                <w:sz w:val="1"/>
                <w:szCs w:val="1"/>
                <w:color w:val="auto"/>
              </w:rPr>
            </w:pPr>
          </w:p>
        </w:tc>
      </w:tr>
      <w:tr>
        <w:trPr>
          <w:trHeight w:val="25"/>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65"/>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Reclassifications to net earnings</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(c)</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5"/>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August 6, 2025 (Predecessor)</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72"/>
        </w:trPr>
        <w:tc>
          <w:tcPr>
            <w:tcW w:w="46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Paramount Global’s basis</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(e)</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5"/>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August 7, 2025 (Successor)</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December 31, 2025 (Successor)</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32"/>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300" w:hanging="215"/>
        <w:spacing w:after="0"/>
        <w:tabs>
          <w:tab w:leader="none" w:pos="3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cumulative translation adjustments.</w:t>
      </w:r>
    </w:p>
    <w:p>
      <w:pPr>
        <w:spacing w:after="0" w:line="67" w:lineRule="exact"/>
        <w:rPr>
          <w:rFonts w:ascii="Times New Roman" w:cs="Times New Roman" w:eastAsia="Times New Roman" w:hAnsi="Times New Roman"/>
          <w:sz w:val="16"/>
          <w:szCs w:val="16"/>
          <w:color w:val="auto"/>
        </w:rPr>
      </w:pPr>
    </w:p>
    <w:p>
      <w:pPr>
        <w:ind w:left="320" w:right="160" w:hanging="235"/>
        <w:spacing w:after="0" w:line="272" w:lineRule="auto"/>
        <w:tabs>
          <w:tab w:leader="none" w:pos="33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amounts realized within “Gain (loss) from investments” on the Consolidated Statement of Operations in connection with the dilution of our interest in Viacom18 (see Note 11).</w:t>
      </w:r>
    </w:p>
    <w:p>
      <w:pPr>
        <w:spacing w:after="0" w:line="20" w:lineRule="exact"/>
        <w:rPr>
          <w:rFonts w:ascii="Times New Roman" w:cs="Times New Roman" w:eastAsia="Times New Roman" w:hAnsi="Times New Roman"/>
          <w:sz w:val="16"/>
          <w:szCs w:val="16"/>
          <w:color w:val="auto"/>
        </w:rPr>
      </w:pPr>
    </w:p>
    <w:p>
      <w:pPr>
        <w:ind w:left="300" w:hanging="215"/>
        <w:spacing w:after="0"/>
        <w:tabs>
          <w:tab w:leader="none" w:pos="3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amortization of net actuarial losses.</w:t>
      </w:r>
    </w:p>
    <w:p>
      <w:pPr>
        <w:spacing w:after="0" w:line="54" w:lineRule="exact"/>
        <w:rPr>
          <w:rFonts w:ascii="Times New Roman" w:cs="Times New Roman" w:eastAsia="Times New Roman" w:hAnsi="Times New Roman"/>
          <w:sz w:val="16"/>
          <w:szCs w:val="16"/>
          <w:color w:val="auto"/>
        </w:rPr>
      </w:pPr>
    </w:p>
    <w:p>
      <w:pPr>
        <w:ind w:left="320" w:right="160" w:hanging="235"/>
        <w:spacing w:after="0" w:line="272" w:lineRule="auto"/>
        <w:tabs>
          <w:tab w:leader="none" w:pos="319"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amounts realized within “Net earnings from discontinued operations, net of tax” on the Consolidated Statement of Operations in connection with the sale of Simon &amp; Schuster (see Note 19).</w:t>
      </w:r>
    </w:p>
    <w:p>
      <w:pPr>
        <w:spacing w:after="0" w:line="20" w:lineRule="exact"/>
        <w:rPr>
          <w:rFonts w:ascii="Times New Roman" w:cs="Times New Roman" w:eastAsia="Times New Roman" w:hAnsi="Times New Roman"/>
          <w:sz w:val="16"/>
          <w:szCs w:val="16"/>
          <w:color w:val="auto"/>
        </w:rPr>
      </w:pPr>
    </w:p>
    <w:p>
      <w:pPr>
        <w:ind w:left="300" w:hanging="215"/>
        <w:spacing w:after="0"/>
        <w:tabs>
          <w:tab w:leader="none" w:pos="3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change in control of Paramount Global that established a new accounting basis, the historical equity of Paramount Global was reversed.</w:t>
      </w:r>
    </w:p>
    <w:p>
      <w:pPr>
        <w:spacing w:after="0" w:line="13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net actuarial loss and prior service cost related to pension and other postretirement benefit plans included in other comprehensive income (loss) is net of a tax benefit of $6 million for the period from August 7 - December 31, 2025 (Successor), $8 million for the period from January 1 - August 6, 2025 (Predecessor), and $34 million and $14 million for the years ended December 31, 2024 and 2023 (Predecessor),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 STOCK-BASED COMPENSATION</w:t>
      </w:r>
    </w:p>
    <w:p>
      <w:pPr>
        <w:spacing w:after="0" w:line="22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9"/>
          <w:szCs w:val="19"/>
          <w:color w:val="auto"/>
        </w:rPr>
        <w:t>We have a long-term equity-based incentive plan (the “Plan”) to benefit and advance the interests of our company by attracting, retaining and motivating participants and to compensate participants for their contributions to the financial success of our company. The Plan provides for awards of stock options, stock appreciation rights, restricted and unrestricted stock, RSUs, dividend equivalents, performance awards and other equity-related awards. RSUs, restricted stock and PSUs accrue dividends each time we declare a quarterly cash dividend, which are paid</w:t>
      </w:r>
    </w:p>
    <w:p>
      <w:pPr>
        <w:sectPr>
          <w:pgSz w:w="11900" w:h="16838" w:orient="portrait"/>
          <w:cols w:equalWidth="0" w:num="1">
            <w:col w:w="11240"/>
          </w:cols>
          <w:pgMar w:left="320" w:top="7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type w:val="continuous"/>
        </w:sectPr>
      </w:pPr>
    </w:p>
    <w:bookmarkStart w:id="112" w:name="page113"/>
    <w:bookmarkEnd w:id="112"/>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upon vesting when the shares are delivered and are forfeited if the award does not vest. Upon exercise of stock options or vesting of RSUs, restricted stock and PSUs, we issue new shares from our existing authorization. At December 31, 2025, there were 94 million shares available for future grant under the Plan. Stock-based compensation awards were also granted under Predecessor equity incentive plans prior to the closing of the Transactions. Upon exercise of outstanding stock options or vesting of RSUs previously granted under the Predecessor’s equity incentive plans, shares may be issued from a previous authorization.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a summary of stock-based compensation expense for the periods presented.</w:t>
      </w:r>
    </w:p>
    <w:p>
      <w:pPr>
        <w:spacing w:after="0" w:line="182" w:lineRule="exact"/>
        <w:rPr>
          <w:sz w:val="20"/>
          <w:szCs w:val="20"/>
          <w:color w:val="auto"/>
        </w:rPr>
      </w:pPr>
    </w:p>
    <w:tbl>
      <w:tblPr>
        <w:tblLayout w:type="fixed"/>
        <w:tblInd w:w="400" w:type="dxa"/>
        <w:tblCellMar>
          <w:top w:w="0" w:type="dxa"/>
          <w:left w:w="0" w:type="dxa"/>
          <w:bottom w:w="0" w:type="dxa"/>
          <w:right w:w="0" w:type="dxa"/>
        </w:tblCellMar>
      </w:tblPr>
      <w:tr>
        <w:trPr>
          <w:trHeight w:val="258"/>
        </w:trPr>
        <w:tc>
          <w:tcPr>
            <w:tcW w:w="498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r>
      <w:tr>
        <w:trPr>
          <w:trHeight w:val="209"/>
        </w:trPr>
        <w:tc>
          <w:tcPr>
            <w:tcW w:w="498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60" w:type="dxa"/>
            <w:vAlign w:val="bottom"/>
            <w:gridSpan w:val="2"/>
          </w:tcPr>
          <w:p>
            <w:pPr>
              <w:jc w:val="center"/>
              <w:ind w:left="5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6"/>
        </w:trPr>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Borders>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60" w:type="dxa"/>
            <w:vAlign w:val="bottom"/>
            <w:gridSpan w:val="2"/>
          </w:tcPr>
          <w:p>
            <w:pPr>
              <w:jc w:val="center"/>
              <w:ind w:left="56"/>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1"/>
        </w:trPr>
        <w:tc>
          <w:tcPr>
            <w:tcW w:w="498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2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4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Expense included in operating and SG&amp;A </w:t>
            </w:r>
            <w:r>
              <w:rPr>
                <w:rFonts w:ascii="Times New Roman" w:cs="Times New Roman" w:eastAsia="Times New Roman" w:hAnsi="Times New Roman"/>
                <w:sz w:val="22"/>
                <w:szCs w:val="22"/>
                <w:color w:val="auto"/>
                <w:vertAlign w:val="superscript"/>
              </w:rPr>
              <w:t>(a)</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210</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57"/>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Expense included in restructuring charges </w:t>
            </w:r>
            <w:r>
              <w:rPr>
                <w:rFonts w:ascii="Times New Roman" w:cs="Times New Roman" w:eastAsia="Times New Roman" w:hAnsi="Times New Roman"/>
                <w:sz w:val="22"/>
                <w:szCs w:val="22"/>
                <w:color w:val="auto"/>
                <w:vertAlign w:val="superscript"/>
              </w:rPr>
              <w:t>(b)</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right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69</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before income taxes</w:t>
            </w:r>
          </w:p>
        </w:tc>
        <w:tc>
          <w:tcPr>
            <w:tcW w:w="320" w:type="dxa"/>
            <w:vAlign w:val="bottom"/>
          </w:tcPr>
          <w:p>
            <w:pPr>
              <w:spacing w:after="0"/>
              <w:rPr>
                <w:sz w:val="20"/>
                <w:szCs w:val="20"/>
                <w:color w:val="auto"/>
              </w:rPr>
            </w:pPr>
          </w:p>
        </w:tc>
        <w:tc>
          <w:tcPr>
            <w:tcW w:w="118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160</w:t>
            </w:r>
          </w:p>
        </w:tc>
        <w:tc>
          <w:tcPr>
            <w:tcW w:w="400" w:type="dxa"/>
            <w:vAlign w:val="bottom"/>
          </w:tcPr>
          <w:p>
            <w:pPr>
              <w:spacing w:after="0"/>
              <w:rPr>
                <w:sz w:val="20"/>
                <w:szCs w:val="20"/>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Pr>
          <w:p>
            <w:pPr>
              <w:spacing w:after="0"/>
              <w:rPr>
                <w:sz w:val="20"/>
                <w:szCs w:val="20"/>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245</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65"/>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Related tax benefit</w:t>
            </w:r>
          </w:p>
        </w:tc>
        <w:tc>
          <w:tcPr>
            <w:tcW w:w="320" w:type="dxa"/>
            <w:vAlign w:val="bottom"/>
          </w:tcPr>
          <w:p>
            <w:pPr>
              <w:spacing w:after="0"/>
              <w:rPr>
                <w:sz w:val="23"/>
                <w:szCs w:val="23"/>
                <w:color w:val="auto"/>
              </w:rPr>
            </w:pPr>
          </w:p>
        </w:tc>
        <w:tc>
          <w:tcPr>
            <w:tcW w:w="1180" w:type="dxa"/>
            <w:vAlign w:val="bottom"/>
            <w:tcBorders>
              <w:right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tcPr>
          <w:p>
            <w:pPr>
              <w:spacing w:after="0"/>
              <w:rPr>
                <w:sz w:val="23"/>
                <w:szCs w:val="23"/>
                <w:color w:val="auto"/>
              </w:rPr>
            </w:pP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3"/>
                <w:szCs w:val="23"/>
                <w:color w:val="auto"/>
              </w:rPr>
            </w:pP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
        </w:trPr>
        <w:tc>
          <w:tcPr>
            <w:tcW w:w="4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net of tax benefit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132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208</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32"/>
        </w:trPr>
        <w:tc>
          <w:tcPr>
            <w:tcW w:w="4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72" w:lineRule="exact"/>
        <w:rPr>
          <w:sz w:val="20"/>
          <w:szCs w:val="20"/>
          <w:color w:val="auto"/>
        </w:rPr>
      </w:pPr>
    </w:p>
    <w:p>
      <w:pPr>
        <w:jc w:val="both"/>
        <w:ind w:left="640" w:right="480" w:hanging="237"/>
        <w:spacing w:after="0" w:line="251" w:lineRule="auto"/>
        <w:tabs>
          <w:tab w:leader="none" w:pos="63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Transactions, certain of Paramount Global’s employees became entitled to payments and benefits that, in accordance with Sections 280G and 4999 of the Internal Revenue Code of 1986, as amended, were not deductible for tax purposes by the Company and would result in an excise tax for the employees. To mitigate the potential tax impacts, during the fourth quarter of 2024, the Compensation Committee of Paramount Global’s Board of Directors approved the immediate vesting and settlement in shares of Paramount Global Class B Common Stock of (a) 3,414,007 RSUs that were previously granted to 77 employees and scheduled to vest in future years and (b) 634,075 PSUs, comprising the target awards previously-granted with performance periods ending in calendar years 2026 and 2027 for three executives, for which performance-based vesting conditions would otherwise have been deemed achieved at target performance for purposes of the conversion of the PSUs pursuant to the Transaction Agreement. These modifications resulted in $31 million of incremental stock-based compensation expense during 2024.</w:t>
      </w:r>
    </w:p>
    <w:p>
      <w:pPr>
        <w:spacing w:after="0" w:line="50" w:lineRule="exact"/>
        <w:rPr>
          <w:rFonts w:ascii="Times New Roman" w:cs="Times New Roman" w:eastAsia="Times New Roman" w:hAnsi="Times New Roman"/>
          <w:sz w:val="16"/>
          <w:szCs w:val="16"/>
          <w:color w:val="auto"/>
        </w:rPr>
      </w:pPr>
    </w:p>
    <w:p>
      <w:pPr>
        <w:ind w:left="640" w:right="480" w:hanging="237"/>
        <w:spacing w:after="0" w:line="272" w:lineRule="auto"/>
        <w:tabs>
          <w:tab w:leader="none" w:pos="628"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accelerations as a result of restructuring activities, which are included in “Restructuring, transaction-related items, and other corporate matters” on the Consolidated Statements of Operations.</w:t>
      </w:r>
    </w:p>
    <w:p>
      <w:pPr>
        <w:spacing w:after="0" w:line="1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Included in net earnings from discontinued operations was stock-based compensation expense of $2 million for the year ended December 31, 2023.</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RSUs, Restricted Stock and PSUs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Compensation expense for RSUs and restricted stock is determined based upon the market price of the shares underlying the awards on the date of grant and expensed over the vesting period, which is annually or quarterly, over a one- to five-year service period. Forfeitures for RSUs are estimated on the date of grant based on historical forfeiture rates and adjusted based on actual forfeitures. On an annual basis, we revise the estimated forfeiture rate, as necessary.</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fair value of performance share unit (“PSU”) awards granted during the years ended December 31, 2024 and 2023 (Predecessor) was $41 million and $43 million, respectively. For PSU awards with a market condition, the number of shares to be issued upon vesting was based on the total shareholder return of Paramount Global’s Class B Common Stock measured against the companies comprising the S&amp;P 500 Index or a defined peer group over a designated measurement period. Certain other PSU awards were based on the achievement of established internal operating goals. The fair value of PSU awards with a market condition is determined using a Monte Carlo simulation model and is expensed over the required employee service period. Compensation expense for these PSUs is not adjusted for the actual number of shares issued based on the outcome of the market condition for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13" w:name="page114"/>
    <w:bookmarkEnd w:id="113"/>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completed performance periods. The fair value of PSU awards with internal performance conditions is based on the market price of the shares on the date of grant, and is expensed based on the probable outcome of internal performance metrics and subsequently adjusted to reflect the actual shares issued based on the outcome of the performance metrics for completed performance periods. For all PSU awards, if the required service period is not completed, the award is forfeited, and compensation expense is adjusted.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the closing of the Transactions, all outstanding Paramount Global RSU awards and PSU awards were converted to Paramount RSU awards.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 were no PSUs outstanding at December 31, 2025.</w:t>
      </w:r>
    </w:p>
    <w:p>
      <w:pPr>
        <w:spacing w:after="0" w:line="24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 the fourth quarter of 2025, 3.5 million shares of restricted stock with future vesting conditions were issued to employees of a recently acquired company in a private placement and not from our existing authorization. Compensation expense will be recognized over the applicable vesting period, which ranges from one to five years.</w:t>
      </w:r>
    </w:p>
    <w:p>
      <w:pPr>
        <w:spacing w:after="0" w:line="18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following table presents the weighted-average grant-date fair value of grants and the total market value of vested RSUs, restricted stock and PSUs for the periods presented.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jc w:val="center"/>
              <w:ind w:right="337"/>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4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r>
      <w:tr>
        <w:trPr>
          <w:trHeight w:val="209"/>
        </w:trPr>
        <w:tc>
          <w:tcPr>
            <w:tcW w:w="510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340" w:type="dxa"/>
            <w:vAlign w:val="bottom"/>
            <w:gridSpan w:val="2"/>
          </w:tcPr>
          <w:p>
            <w:pPr>
              <w:jc w:val="center"/>
              <w:ind w:left="56"/>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6"/>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Borders>
              <w:right w:val="single" w:sz="8" w:color="auto"/>
            </w:tcBorders>
          </w:tcPr>
          <w:p>
            <w:pPr>
              <w:jc w:val="center"/>
              <w:ind w:right="337"/>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40" w:type="dxa"/>
            <w:vAlign w:val="bottom"/>
            <w:gridSpan w:val="2"/>
          </w:tcPr>
          <w:p>
            <w:pPr>
              <w:jc w:val="center"/>
              <w:ind w:left="56"/>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1"/>
        </w:trPr>
        <w:tc>
          <w:tcPr>
            <w:tcW w:w="510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2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5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of RSUs,</w:t>
            </w:r>
          </w:p>
        </w:tc>
        <w:tc>
          <w:tcPr>
            <w:tcW w:w="34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1"/>
        </w:trPr>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and PSUs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297"/>
              <w:spacing w:after="0"/>
              <w:rPr>
                <w:sz w:val="20"/>
                <w:szCs w:val="20"/>
                <w:color w:val="auto"/>
              </w:rPr>
            </w:pPr>
            <w:r>
              <w:rPr>
                <w:rFonts w:ascii="Times New Roman" w:cs="Times New Roman" w:eastAsia="Times New Roman" w:hAnsi="Times New Roman"/>
                <w:sz w:val="18"/>
                <w:szCs w:val="18"/>
                <w:color w:val="auto"/>
              </w:rPr>
              <w:t>13.89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10.75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10.97</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r>
      <w:tr>
        <w:trPr>
          <w:trHeight w:val="371"/>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value of RSU and PSU vests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297"/>
              <w:spacing w:after="0"/>
              <w:rPr>
                <w:sz w:val="20"/>
                <w:szCs w:val="20"/>
                <w:color w:val="auto"/>
              </w:rPr>
            </w:pPr>
            <w:r>
              <w:rPr>
                <w:rFonts w:ascii="Times New Roman" w:cs="Times New Roman" w:eastAsia="Times New Roman" w:hAnsi="Times New Roman"/>
                <w:sz w:val="18"/>
                <w:szCs w:val="18"/>
                <w:color w:val="auto"/>
              </w:rPr>
              <w:t>92</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130</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
        </w:trPr>
        <w:tc>
          <w:tcPr>
            <w:tcW w:w="5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16"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9"/>
          <w:szCs w:val="19"/>
          <w:color w:val="auto"/>
        </w:rPr>
        <w:t>Total unrecognized compensation cost related to non-vested RSUs and restricted stock at December 31, 2025 was $721 million, which is expected to be recognized over a weighted average period of 3.95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our RSU, restricted stock and PSU share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94615</wp:posOffset>
            </wp:positionV>
            <wp:extent cx="64363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36360" cy="17145"/>
                    </a:xfrm>
                    <a:prstGeom prst="rect">
                      <a:avLst/>
                    </a:prstGeom>
                    <a:noFill/>
                  </pic:spPr>
                </pic:pic>
              </a:graphicData>
            </a:graphic>
          </wp:anchor>
        </w:drawing>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740" w:type="dxa"/>
            <w:vAlign w:val="bottom"/>
            <w:tcBorders>
              <w:bottom w:val="single" w:sz="8" w:color="auto"/>
            </w:tcBorders>
            <w:gridSpan w:val="2"/>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4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2024 (Predecessor)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20,249,642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65"/>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19,120,459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65"/>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(6,201,389)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65"/>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(2,678,560)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5"/>
        </w:trPr>
        <w:tc>
          <w:tcPr>
            <w:tcW w:w="58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August 6, 2025 (Predecessor)</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30,490,152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86"/>
        </w:trPr>
        <w:tc>
          <w:tcPr>
            <w:tcW w:w="58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2"/>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August 7, 2025 (Successor)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30,490,152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65"/>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44,464,279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65"/>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(6,548,696)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65"/>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(533,751)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6"/>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December 31, 2025 (Successor)</w:t>
            </w:r>
          </w:p>
        </w:tc>
        <w:tc>
          <w:tcPr>
            <w:tcW w:w="156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840" w:type="dxa"/>
            <w:vAlign w:val="bottom"/>
            <w:vMerge w:val="continue"/>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67,871,984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32"/>
        </w:trPr>
        <w:tc>
          <w:tcPr>
            <w:tcW w:w="5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14" w:name="page115"/>
    <w:bookmarkEnd w:id="114"/>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Stock Options</w:t>
      </w:r>
    </w:p>
    <w:p>
      <w:pPr>
        <w:spacing w:after="0" w:line="15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There were no stock option grants during any of the periods presented, and at December 31, 2025, all stock options are vested and there is no remaining unrecognized compensation cost.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our stock option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136525</wp:posOffset>
            </wp:positionV>
            <wp:extent cx="638619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86195" cy="17145"/>
                    </a:xfrm>
                    <a:prstGeom prst="rect">
                      <a:avLst/>
                    </a:prstGeom>
                    <a:noFill/>
                  </pic:spPr>
                </pic:pic>
              </a:graphicData>
            </a:graphic>
          </wp:anchor>
        </w:drawing>
      </w:r>
    </w:p>
    <w:p>
      <w:pPr>
        <w:spacing w:after="0" w:line="232"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0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and Exercisable at 12/31/2024 (Predecessor)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2,798,446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54.40</w:t>
            </w:r>
          </w:p>
        </w:tc>
        <w:tc>
          <w:tcPr>
            <w:tcW w:w="0" w:type="dxa"/>
            <w:vAlign w:val="bottom"/>
          </w:tcPr>
          <w:p>
            <w:pPr>
              <w:spacing w:after="0"/>
              <w:rPr>
                <w:sz w:val="1"/>
                <w:szCs w:val="1"/>
                <w:color w:val="auto"/>
              </w:rPr>
            </w:pPr>
          </w:p>
        </w:tc>
      </w:tr>
      <w:tr>
        <w:trPr>
          <w:trHeight w:val="265"/>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(745,280)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62.90</w:t>
            </w:r>
          </w:p>
        </w:tc>
        <w:tc>
          <w:tcPr>
            <w:tcW w:w="0" w:type="dxa"/>
            <w:vAlign w:val="bottom"/>
          </w:tcPr>
          <w:p>
            <w:pPr>
              <w:spacing w:after="0"/>
              <w:rPr>
                <w:sz w:val="1"/>
                <w:szCs w:val="1"/>
                <w:color w:val="auto"/>
              </w:rPr>
            </w:pPr>
          </w:p>
        </w:tc>
      </w:tr>
      <w:tr>
        <w:trPr>
          <w:trHeight w:val="25"/>
        </w:trPr>
        <w:tc>
          <w:tcPr>
            <w:tcW w:w="57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and Exercisable at 8/6/25 (Predecessor)</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2,053,166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51.31</w:t>
            </w:r>
          </w:p>
        </w:tc>
        <w:tc>
          <w:tcPr>
            <w:tcW w:w="0" w:type="dxa"/>
            <w:vAlign w:val="bottom"/>
          </w:tcPr>
          <w:p>
            <w:pPr>
              <w:spacing w:after="0"/>
              <w:rPr>
                <w:sz w:val="1"/>
                <w:szCs w:val="1"/>
                <w:color w:val="auto"/>
              </w:rPr>
            </w:pPr>
          </w:p>
        </w:tc>
      </w:tr>
      <w:tr>
        <w:trPr>
          <w:trHeight w:val="86"/>
        </w:trPr>
        <w:tc>
          <w:tcPr>
            <w:tcW w:w="57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5"/>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and Exercisable at 8/7/25 (Successor)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2,053,166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51.31</w:t>
            </w:r>
          </w:p>
        </w:tc>
        <w:tc>
          <w:tcPr>
            <w:tcW w:w="0" w:type="dxa"/>
            <w:vAlign w:val="bottom"/>
          </w:tcPr>
          <w:p>
            <w:pPr>
              <w:spacing w:after="0"/>
              <w:rPr>
                <w:sz w:val="1"/>
                <w:szCs w:val="1"/>
                <w:color w:val="auto"/>
              </w:rPr>
            </w:pPr>
          </w:p>
        </w:tc>
      </w:tr>
      <w:tr>
        <w:trPr>
          <w:trHeight w:val="265"/>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(440,934)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43.93</w:t>
            </w:r>
          </w:p>
        </w:tc>
        <w:tc>
          <w:tcPr>
            <w:tcW w:w="0" w:type="dxa"/>
            <w:vAlign w:val="bottom"/>
          </w:tcPr>
          <w:p>
            <w:pPr>
              <w:spacing w:after="0"/>
              <w:rPr>
                <w:sz w:val="1"/>
                <w:szCs w:val="1"/>
                <w:color w:val="auto"/>
              </w:rPr>
            </w:pPr>
          </w:p>
        </w:tc>
      </w:tr>
      <w:tr>
        <w:trPr>
          <w:trHeight w:val="25"/>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and Exercisable at 12/31/2025 (Successor)</w:t>
            </w:r>
          </w:p>
        </w:tc>
        <w:tc>
          <w:tcPr>
            <w:tcW w:w="158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780" w:type="dxa"/>
            <w:vAlign w:val="bottom"/>
            <w:vMerge w:val="continue"/>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1,612,232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53.33</w:t>
            </w:r>
          </w:p>
        </w:tc>
        <w:tc>
          <w:tcPr>
            <w:tcW w:w="0" w:type="dxa"/>
            <w:vAlign w:val="bottom"/>
          </w:tcPr>
          <w:p>
            <w:pPr>
              <w:spacing w:after="0"/>
              <w:rPr>
                <w:sz w:val="1"/>
                <w:szCs w:val="1"/>
                <w:color w:val="auto"/>
              </w:rPr>
            </w:pPr>
          </w:p>
        </w:tc>
      </w:tr>
      <w:tr>
        <w:trPr>
          <w:trHeight w:val="32"/>
        </w:trPr>
        <w:tc>
          <w:tcPr>
            <w:tcW w:w="5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There were no stock option exercises during the Successor and Predecessor periods from August 7 - December 31, 2025, January 1 - August 6, 2025, and the years ended December 31, 2024 and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December 31, 2025 (Successor), stock options outstanding and exercisable have a weighted average remaining contractual life of 0.47 years.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 was no intrinsic value for options outstanding and exercisable, based on our closing stock price of $13.40 at December 31,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15) INCOME TAXES</w:t>
      </w:r>
    </w:p>
    <w:p>
      <w:pPr>
        <w:spacing w:after="0" w:line="170"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19"/>
          <w:szCs w:val="19"/>
          <w:color w:val="auto"/>
        </w:rPr>
        <w:t xml:space="preserve">The U.S. and foreign components of earnings </w:t>
      </w:r>
      <w:r>
        <w:rPr>
          <w:rFonts w:ascii="Times New Roman" w:cs="Times New Roman" w:eastAsia="Times New Roman" w:hAnsi="Times New Roman"/>
          <w:sz w:val="17"/>
          <w:szCs w:val="17"/>
          <w:color w:val="auto"/>
        </w:rPr>
        <w:t>(loss)</w:t>
      </w:r>
      <w:r>
        <w:rPr>
          <w:rFonts w:ascii="Times New Roman" w:cs="Times New Roman" w:eastAsia="Times New Roman" w:hAnsi="Times New Roman"/>
          <w:sz w:val="19"/>
          <w:szCs w:val="19"/>
          <w:color w:val="auto"/>
        </w:rPr>
        <w:t xml:space="preserve"> from continuing operations before income taxes and equity in loss of investee companies were as follows:</w:t>
      </w:r>
    </w:p>
    <w:p>
      <w:pPr>
        <w:spacing w:after="0" w:line="107" w:lineRule="exact"/>
        <w:rPr>
          <w:sz w:val="20"/>
          <w:szCs w:val="20"/>
          <w:color w:val="auto"/>
        </w:rPr>
      </w:pPr>
    </w:p>
    <w:tbl>
      <w:tblPr>
        <w:tblLayout w:type="fixed"/>
        <w:tblInd w:w="740" w:type="dxa"/>
        <w:tblCellMar>
          <w:top w:w="0" w:type="dxa"/>
          <w:left w:w="0" w:type="dxa"/>
          <w:bottom w:w="0" w:type="dxa"/>
          <w:right w:w="0" w:type="dxa"/>
        </w:tblCellMar>
      </w:tblPr>
      <w:tr>
        <w:trPr>
          <w:trHeight w:val="258"/>
        </w:trPr>
        <w:tc>
          <w:tcPr>
            <w:tcW w:w="428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r>
      <w:tr>
        <w:trPr>
          <w:trHeight w:val="209"/>
        </w:trPr>
        <w:tc>
          <w:tcPr>
            <w:tcW w:w="428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40" w:type="dxa"/>
            <w:vAlign w:val="bottom"/>
            <w:gridSpan w:val="2"/>
          </w:tcPr>
          <w:p>
            <w:pPr>
              <w:jc w:val="center"/>
              <w:ind w:left="3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5"/>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Borders>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40" w:type="dxa"/>
            <w:vAlign w:val="bottom"/>
            <w:gridSpan w:val="2"/>
          </w:tcPr>
          <w:p>
            <w:pPr>
              <w:jc w:val="center"/>
              <w:ind w:left="36"/>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1"/>
        </w:trPr>
        <w:tc>
          <w:tcPr>
            <w:tcW w:w="428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2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4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7"/>
              </w:rPr>
              <w:t>(652)</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(5,862)</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6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3"/>
                <w:szCs w:val="23"/>
                <w:color w:val="auto"/>
              </w:rPr>
            </w:pPr>
          </w:p>
        </w:tc>
        <w:tc>
          <w:tcPr>
            <w:tcW w:w="1180" w:type="dxa"/>
            <w:vAlign w:val="bottom"/>
            <w:tcBorders>
              <w:right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6"/>
              </w:rPr>
              <w:t>176</w:t>
            </w:r>
          </w:p>
        </w:tc>
        <w:tc>
          <w:tcPr>
            <w:tcW w:w="380" w:type="dxa"/>
            <w:vAlign w:val="bottom"/>
          </w:tcPr>
          <w:p>
            <w:pPr>
              <w:spacing w:after="0"/>
              <w:rPr>
                <w:sz w:val="23"/>
                <w:szCs w:val="23"/>
                <w:color w:val="auto"/>
              </w:rPr>
            </w:pPr>
          </w:p>
        </w:tc>
        <w:tc>
          <w:tcPr>
            <w:tcW w:w="9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tcPr>
          <w:p>
            <w:pPr>
              <w:spacing w:after="0"/>
              <w:rPr>
                <w:sz w:val="23"/>
                <w:szCs w:val="23"/>
                <w:color w:val="auto"/>
              </w:rPr>
            </w:pP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(315)</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5"/>
        </w:trPr>
        <w:tc>
          <w:tcPr>
            <w:tcW w:w="4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center"/>
              <w:ind w:left="36"/>
              <w:spacing w:after="0"/>
              <w:rPr>
                <w:sz w:val="20"/>
                <w:szCs w:val="20"/>
                <w:color w:val="auto"/>
              </w:rPr>
            </w:pPr>
            <w:r>
              <w:rPr>
                <w:rFonts w:ascii="Times New Roman" w:cs="Times New Roman" w:eastAsia="Times New Roman" w:hAnsi="Times New Roman"/>
                <w:sz w:val="18"/>
                <w:szCs w:val="18"/>
                <w:color w:val="auto"/>
                <w:w w:val="97"/>
              </w:rPr>
              <w:t>(476)</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504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(6,177)</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32"/>
        </w:trPr>
        <w:tc>
          <w:tcPr>
            <w:tcW w:w="4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15" w:name="page116"/>
    <w:bookmarkEnd w:id="115"/>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components of the (benefit from) provision for income taxes were as follows:</w:t>
      </w:r>
    </w:p>
    <w:p>
      <w:pPr>
        <w:spacing w:after="0" w:line="182" w:lineRule="exact"/>
        <w:rPr>
          <w:sz w:val="20"/>
          <w:szCs w:val="20"/>
          <w:color w:val="auto"/>
        </w:rPr>
      </w:pPr>
    </w:p>
    <w:tbl>
      <w:tblPr>
        <w:tblLayout w:type="fixed"/>
        <w:tblInd w:w="740" w:type="dxa"/>
        <w:tblCellMar>
          <w:top w:w="0" w:type="dxa"/>
          <w:left w:w="0" w:type="dxa"/>
          <w:bottom w:w="0" w:type="dxa"/>
          <w:right w:w="0" w:type="dxa"/>
        </w:tblCellMar>
      </w:tblPr>
      <w:tr>
        <w:trPr>
          <w:trHeight w:val="258"/>
        </w:trPr>
        <w:tc>
          <w:tcPr>
            <w:tcW w:w="428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4"/>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r>
      <w:tr>
        <w:trPr>
          <w:trHeight w:val="209"/>
        </w:trPr>
        <w:tc>
          <w:tcPr>
            <w:tcW w:w="4280" w:type="dxa"/>
            <w:vAlign w:val="bottom"/>
          </w:tcPr>
          <w:p>
            <w:pPr>
              <w:spacing w:after="0"/>
              <w:rPr>
                <w:sz w:val="18"/>
                <w:szCs w:val="18"/>
                <w:color w:val="auto"/>
              </w:rPr>
            </w:pPr>
          </w:p>
        </w:tc>
        <w:tc>
          <w:tcPr>
            <w:tcW w:w="1520" w:type="dxa"/>
            <w:vAlign w:val="bottom"/>
            <w:tcBorders>
              <w:right w:val="single" w:sz="8" w:color="auto"/>
            </w:tcBorders>
            <w:gridSpan w:val="2"/>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6"/>
        </w:trPr>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Borders>
              <w:right w:val="single" w:sz="8" w:color="auto"/>
            </w:tcBorders>
          </w:tcPr>
          <w:p>
            <w:pPr>
              <w:jc w:val="center"/>
              <w:ind w:right="354"/>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1"/>
        </w:trPr>
        <w:tc>
          <w:tcPr>
            <w:tcW w:w="4280" w:type="dxa"/>
            <w:vAlign w:val="bottom"/>
          </w:tcPr>
          <w:p>
            <w:pPr>
              <w:spacing w:after="0"/>
              <w:rPr>
                <w:sz w:val="19"/>
                <w:szCs w:val="19"/>
                <w:color w:val="auto"/>
              </w:rPr>
            </w:pPr>
          </w:p>
        </w:tc>
        <w:tc>
          <w:tcPr>
            <w:tcW w:w="1520" w:type="dxa"/>
            <w:vAlign w:val="bottom"/>
            <w:tcBorders>
              <w:bottom w:val="single" w:sz="8" w:color="auto"/>
              <w:right w:val="single" w:sz="8" w:color="auto"/>
            </w:tcBorders>
            <w:gridSpan w:val="2"/>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2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4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37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5"/>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121</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65"/>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340" w:type="dxa"/>
            <w:vAlign w:val="bottom"/>
          </w:tcPr>
          <w:p>
            <w:pPr>
              <w:spacing w:after="0"/>
              <w:rPr>
                <w:sz w:val="23"/>
                <w:szCs w:val="23"/>
                <w:color w:val="auto"/>
              </w:rPr>
            </w:pPr>
          </w:p>
        </w:tc>
        <w:tc>
          <w:tcPr>
            <w:tcW w:w="118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23"/>
                <w:szCs w:val="23"/>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23"/>
                <w:szCs w:val="23"/>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65"/>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3"/>
                <w:szCs w:val="23"/>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tcPr>
          <w:p>
            <w:pPr>
              <w:spacing w:after="0"/>
              <w:rPr>
                <w:sz w:val="23"/>
                <w:szCs w:val="23"/>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3"/>
                <w:szCs w:val="23"/>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148</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5"/>
        </w:trPr>
        <w:tc>
          <w:tcPr>
            <w:tcW w:w="4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tcPr>
          <w:p>
            <w:pPr>
              <w:spacing w:after="0"/>
              <w:rPr>
                <w:sz w:val="20"/>
                <w:szCs w:val="20"/>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tcPr>
          <w:p>
            <w:pPr>
              <w:spacing w:after="0"/>
              <w:rPr>
                <w:sz w:val="20"/>
                <w:szCs w:val="20"/>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0"/>
                <w:szCs w:val="20"/>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325</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6"/>
        </w:trPr>
        <w:tc>
          <w:tcPr>
            <w:tcW w:w="4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5"/>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(538)</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65"/>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340" w:type="dxa"/>
            <w:vAlign w:val="bottom"/>
          </w:tcPr>
          <w:p>
            <w:pPr>
              <w:spacing w:after="0"/>
              <w:rPr>
                <w:sz w:val="23"/>
                <w:szCs w:val="23"/>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23"/>
                <w:szCs w:val="23"/>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(116)</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65"/>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3"/>
                <w:szCs w:val="23"/>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23"/>
                <w:szCs w:val="23"/>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3"/>
                <w:szCs w:val="23"/>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
        </w:trPr>
        <w:tc>
          <w:tcPr>
            <w:tcW w:w="4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Pr>
          <w:p>
            <w:pPr>
              <w:spacing w:after="0"/>
              <w:rPr>
                <w:sz w:val="20"/>
                <w:szCs w:val="20"/>
                <w:color w:val="auto"/>
              </w:rPr>
            </w:pPr>
          </w:p>
        </w:tc>
        <w:tc>
          <w:tcPr>
            <w:tcW w:w="118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(115)</w:t>
            </w:r>
          </w:p>
        </w:tc>
        <w:tc>
          <w:tcPr>
            <w:tcW w:w="38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tcPr>
          <w:p>
            <w:pPr>
              <w:spacing w:after="0"/>
              <w:rPr>
                <w:sz w:val="20"/>
                <w:szCs w:val="20"/>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(630)</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5"/>
        </w:trPr>
        <w:tc>
          <w:tcPr>
            <w:tcW w:w="4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(305)</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32"/>
        </w:trPr>
        <w:tc>
          <w:tcPr>
            <w:tcW w:w="4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1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In addition, for the Predecessor periods, net earnings from discontinued operations included income tax provisions of $5 million and $249 million for the years ended 2024 and 2023, respectively.</w:t>
      </w:r>
    </w:p>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equity in loss of investee companies is shown net of tax on the Consolidated Statements of Operations. The tax provision relating to losses from equity investments was $1 million for the period from August 7 - December 31, 2025 (Successor) and $2 million for the period from January 1 - August 6, 2025 (Predecessor), and the tax benefit was $1 million in 2024 and $10 million in 2023, which represented an effective tax rate of 1.0%, 1.2%, 0.3%, and 2.7%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16" w:name="page117"/>
    <w:bookmarkEnd w:id="116"/>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difference between income taxes expected at the U.S. federal statutory income tax rate of 21% and the (benefit from) provision for income taxes is summarized as follows:</w:t>
      </w:r>
    </w:p>
    <w:p>
      <w:pPr>
        <w:spacing w:after="0" w:line="93" w:lineRule="exact"/>
        <w:rPr>
          <w:sz w:val="20"/>
          <w:szCs w:val="20"/>
          <w:color w:val="auto"/>
        </w:rPr>
      </w:pPr>
    </w:p>
    <w:tbl>
      <w:tblPr>
        <w:tblLayout w:type="fixed"/>
        <w:tblInd w:w="220" w:type="dxa"/>
        <w:tblCellMar>
          <w:top w:w="0" w:type="dxa"/>
          <w:left w:w="0" w:type="dxa"/>
          <w:bottom w:w="0" w:type="dxa"/>
          <w:right w:w="0" w:type="dxa"/>
        </w:tblCellMar>
      </w:tblPr>
      <w:tr>
        <w:trPr>
          <w:trHeight w:val="258"/>
        </w:trPr>
        <w:tc>
          <w:tcPr>
            <w:tcW w:w="566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960" w:type="dxa"/>
            <w:vAlign w:val="bottom"/>
            <w:tcBorders>
              <w:top w:val="single" w:sz="8" w:color="auto"/>
              <w:bottom w:val="single" w:sz="8" w:color="auto"/>
              <w:right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380" w:type="dxa"/>
            <w:vAlign w:val="bottom"/>
            <w:tcBorders>
              <w:top w:val="single" w:sz="8" w:color="auto"/>
              <w:bottom w:val="single" w:sz="8" w:color="auto"/>
            </w:tcBorders>
            <w:gridSpan w:val="2"/>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196"/>
        </w:trPr>
        <w:tc>
          <w:tcPr>
            <w:tcW w:w="5660" w:type="dxa"/>
            <w:vAlign w:val="bottom"/>
          </w:tcPr>
          <w:p>
            <w:pPr>
              <w:spacing w:after="0"/>
              <w:rPr>
                <w:sz w:val="17"/>
                <w:szCs w:val="17"/>
                <w:color w:val="auto"/>
              </w:rPr>
            </w:pPr>
          </w:p>
        </w:tc>
        <w:tc>
          <w:tcPr>
            <w:tcW w:w="25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Period From August 7 - December</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4"/>
        </w:trPr>
        <w:tc>
          <w:tcPr>
            <w:tcW w:w="5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31,</w:t>
            </w:r>
          </w:p>
        </w:tc>
        <w:tc>
          <w:tcPr>
            <w:tcW w:w="960" w:type="dxa"/>
            <w:vAlign w:val="bottom"/>
            <w:tcBorders>
              <w:bottom w:val="single" w:sz="8" w:color="auto"/>
              <w:right w:val="single" w:sz="8" w:color="auto"/>
            </w:tcBorders>
          </w:tcPr>
          <w:p>
            <w:pPr>
              <w:spacing w:after="0"/>
              <w:rPr>
                <w:sz w:val="20"/>
                <w:szCs w:val="20"/>
                <w:color w:val="auto"/>
              </w:rPr>
            </w:pPr>
          </w:p>
        </w:tc>
        <w:tc>
          <w:tcPr>
            <w:tcW w:w="2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From January 1 - August 6,</w:t>
            </w:r>
          </w:p>
        </w:tc>
      </w:tr>
      <w:tr>
        <w:trPr>
          <w:trHeight w:val="232"/>
        </w:trPr>
        <w:tc>
          <w:tcPr>
            <w:tcW w:w="5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96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992"/>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32"/>
        </w:trPr>
        <w:tc>
          <w:tcPr>
            <w:tcW w:w="5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3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Taxes on income at U.S. federal statutory rate</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21.0 %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9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State and local taxes, net of federal tax benefit </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24"/>
                <w:szCs w:val="24"/>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1"/>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operations: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5"/>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5"/>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Statutory tax rate difference</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65"/>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UK consortium group relief</w:t>
            </w:r>
          </w:p>
        </w:tc>
        <w:tc>
          <w:tcPr>
            <w:tcW w:w="200" w:type="dxa"/>
            <w:vAlign w:val="bottom"/>
          </w:tcPr>
          <w:p>
            <w:pPr>
              <w:spacing w:after="0"/>
              <w:rPr>
                <w:sz w:val="23"/>
                <w:szCs w:val="23"/>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(29)</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6.1 %</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65"/>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Withholding taxes</w:t>
            </w:r>
          </w:p>
        </w:tc>
        <w:tc>
          <w:tcPr>
            <w:tcW w:w="200" w:type="dxa"/>
            <w:vAlign w:val="bottom"/>
          </w:tcPr>
          <w:p>
            <w:pPr>
              <w:spacing w:after="0"/>
              <w:rPr>
                <w:sz w:val="23"/>
                <w:szCs w:val="23"/>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0.8 %</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5"/>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Provision to return</w:t>
            </w:r>
          </w:p>
        </w:tc>
        <w:tc>
          <w:tcPr>
            <w:tcW w:w="200" w:type="dxa"/>
            <w:vAlign w:val="bottom"/>
          </w:tcPr>
          <w:p>
            <w:pPr>
              <w:spacing w:after="0"/>
              <w:rPr>
                <w:sz w:val="23"/>
                <w:szCs w:val="23"/>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2.7 %</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5"/>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65"/>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5"/>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Withholding taxes</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28</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65"/>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65"/>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Netherlands</w:t>
            </w: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5"/>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Provision to return</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5"/>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65"/>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Australia</w:t>
            </w: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5"/>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Statutory tax rate difference</w:t>
            </w:r>
          </w:p>
        </w:tc>
        <w:tc>
          <w:tcPr>
            <w:tcW w:w="200" w:type="dxa"/>
            <w:vAlign w:val="bottom"/>
          </w:tcPr>
          <w:p>
            <w:pPr>
              <w:spacing w:after="0"/>
              <w:rPr>
                <w:sz w:val="23"/>
                <w:szCs w:val="23"/>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0.6 %</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5"/>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65"/>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65"/>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5"/>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Provision to return</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65"/>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65"/>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Chile</w:t>
            </w: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5"/>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5"/>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3"/>
                <w:szCs w:val="23"/>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0.4 %</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65"/>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Barbados</w:t>
            </w: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5"/>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Statutory tax rate difference</w:t>
            </w:r>
          </w:p>
        </w:tc>
        <w:tc>
          <w:tcPr>
            <w:tcW w:w="200" w:type="dxa"/>
            <w:vAlign w:val="bottom"/>
          </w:tcPr>
          <w:p>
            <w:pPr>
              <w:spacing w:after="0"/>
              <w:rPr>
                <w:sz w:val="23"/>
                <w:szCs w:val="23"/>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2.3 %</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5"/>
        </w:trPr>
        <w:tc>
          <w:tcPr>
            <w:tcW w:w="5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Pillar Two</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5"/>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Italy</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65"/>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65"/>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5"/>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tax credits</w:t>
            </w:r>
          </w:p>
        </w:tc>
        <w:tc>
          <w:tcPr>
            <w:tcW w:w="200" w:type="dxa"/>
            <w:vAlign w:val="bottom"/>
          </w:tcPr>
          <w:p>
            <w:pPr>
              <w:spacing w:after="0"/>
              <w:rPr>
                <w:sz w:val="23"/>
                <w:szCs w:val="23"/>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(62)</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13.0 %</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65"/>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65"/>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tax on foreign entities</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65"/>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Subpart F income</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5"/>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65"/>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65"/>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5"/>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65"/>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Pr>
          <w:p>
            <w:pPr>
              <w:spacing w:after="0"/>
              <w:rPr>
                <w:sz w:val="23"/>
                <w:szCs w:val="23"/>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(9)</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1.9 %</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65"/>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Transaction-related items</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65"/>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Excess tax (benefit) deficiency from stock-based compensation</w:t>
            </w:r>
          </w:p>
        </w:tc>
        <w:tc>
          <w:tcPr>
            <w:tcW w:w="200" w:type="dxa"/>
            <w:vAlign w:val="bottom"/>
          </w:tcPr>
          <w:p>
            <w:pPr>
              <w:spacing w:after="0"/>
              <w:rPr>
                <w:sz w:val="23"/>
                <w:szCs w:val="23"/>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0.4 %</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65"/>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65"/>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Changes in reserve for uncertain tax positions</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65"/>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23"/>
                <w:szCs w:val="23"/>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5"/>
        </w:trPr>
        <w:tc>
          <w:tcPr>
            <w:tcW w:w="5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(40)</w:t>
            </w:r>
          </w:p>
        </w:tc>
        <w:tc>
          <w:tcPr>
            <w:tcW w:w="96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8.4 %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32"/>
        </w:trPr>
        <w:tc>
          <w:tcPr>
            <w:tcW w:w="5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sectPr>
          <w:pgSz w:w="11900" w:h="16838" w:orient="portrait"/>
          <w:cols w:equalWidth="0" w:num="1">
            <w:col w:w="11240"/>
          </w:cols>
          <w:pgMar w:left="320" w:top="735" w:right="339" w:bottom="0" w:gutter="0" w:footer="0" w:header="0"/>
        </w:sectPr>
      </w:pPr>
    </w:p>
    <w:p>
      <w:pPr>
        <w:ind w:left="240"/>
        <w:spacing w:after="0"/>
        <w:rPr>
          <w:sz w:val="20"/>
          <w:szCs w:val="20"/>
          <w:color w:val="auto"/>
        </w:rPr>
      </w:pPr>
      <w:r>
        <w:rPr>
          <w:rFonts w:ascii="Times New Roman" w:cs="Times New Roman" w:eastAsia="Times New Roman" w:hAnsi="Times New Roman"/>
          <w:sz w:val="15"/>
          <w:szCs w:val="15"/>
          <w:color w:val="auto"/>
        </w:rPr>
        <w:t>(a) State taxes in Pennsylvania, New York, California, New Jersey, Ohio, and Oregon comprise the majority of the tax effect in this category.</w:t>
      </w:r>
    </w:p>
    <w:p>
      <w:pPr>
        <w:sectPr>
          <w:pgSz w:w="11900" w:h="16838" w:orient="portrait"/>
          <w:cols w:equalWidth="0" w:num="1">
            <w:col w:w="11240"/>
          </w:cols>
          <w:pgMar w:left="320" w:top="735" w:right="339" w:bottom="0" w:gutter="0" w:footer="0" w:header="0"/>
          <w:type w:val="continuous"/>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7"/>
          <w:szCs w:val="17"/>
          <w:color w:val="auto"/>
        </w:rPr>
        <w:t>II-100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76835</wp:posOffset>
            </wp:positionV>
            <wp:extent cx="716026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678" w:right="1440" w:bottom="1440" w:gutter="0" w:footer="0" w:header="0"/>
        </w:sectPr>
      </w:pPr>
    </w:p>
    <w:bookmarkStart w:id="118" w:name="page119"/>
    <w:bookmarkEnd w:id="118"/>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270510</wp:posOffset>
            </wp:positionV>
            <wp:extent cx="460248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60248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2000" w:type="dxa"/>
        <w:tblCellMar>
          <w:top w:w="0" w:type="dxa"/>
          <w:left w:w="0" w:type="dxa"/>
          <w:bottom w:w="0" w:type="dxa"/>
          <w:right w:w="0" w:type="dxa"/>
        </w:tblCellMar>
      </w:tblPr>
      <w:tr>
        <w:trPr>
          <w:trHeight w:val="221"/>
        </w:trPr>
        <w:tc>
          <w:tcPr>
            <w:tcW w:w="4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820" w:type="dxa"/>
            <w:vAlign w:val="bottom"/>
            <w:tcBorders>
              <w:bottom w:val="single" w:sz="8" w:color="auto"/>
            </w:tcBorders>
          </w:tcPr>
          <w:p>
            <w:pPr>
              <w:spacing w:after="0"/>
              <w:rPr>
                <w:sz w:val="19"/>
                <w:szCs w:val="19"/>
                <w:color w:val="auto"/>
              </w:rPr>
            </w:pPr>
          </w:p>
        </w:tc>
      </w:tr>
      <w:tr>
        <w:trPr>
          <w:trHeight w:val="232"/>
        </w:trPr>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4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on income at U.S. federal statutory rate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(1,297)</w:t>
            </w:r>
          </w:p>
        </w:tc>
        <w:tc>
          <w:tcPr>
            <w:tcW w:w="4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6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federal tax benefit</w:t>
            </w:r>
          </w:p>
        </w:tc>
        <w:tc>
          <w:tcPr>
            <w:tcW w:w="240" w:type="dxa"/>
            <w:vAlign w:val="bottom"/>
          </w:tcPr>
          <w:p>
            <w:pPr>
              <w:spacing w:after="0"/>
              <w:rPr>
                <w:sz w:val="23"/>
                <w:szCs w:val="23"/>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(56)</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operations</w:t>
            </w:r>
          </w:p>
        </w:tc>
        <w:tc>
          <w:tcPr>
            <w:tcW w:w="24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74</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6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23"/>
                <w:szCs w:val="23"/>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819</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limitation carryforward valuation allowance</w:t>
            </w:r>
          </w:p>
        </w:tc>
        <w:tc>
          <w:tcPr>
            <w:tcW w:w="24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24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55</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Reorganization of foreign operations</w:t>
            </w:r>
          </w:p>
        </w:tc>
        <w:tc>
          <w:tcPr>
            <w:tcW w:w="24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deficiency from stock-based compensation</w:t>
            </w:r>
          </w:p>
        </w:tc>
        <w:tc>
          <w:tcPr>
            <w:tcW w:w="24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23"/>
                <w:szCs w:val="23"/>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(305)</w:t>
            </w:r>
          </w:p>
        </w:tc>
        <w:tc>
          <w:tcPr>
            <w:tcW w:w="4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32"/>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components of deferred income tax assets and liabilities.</w:t>
      </w:r>
    </w:p>
    <w:p>
      <w:pPr>
        <w:spacing w:after="0" w:line="195" w:lineRule="exact"/>
        <w:rPr>
          <w:sz w:val="20"/>
          <w:szCs w:val="20"/>
          <w:color w:val="auto"/>
        </w:rPr>
      </w:pPr>
    </w:p>
    <w:tbl>
      <w:tblPr>
        <w:tblLayout w:type="fixed"/>
        <w:tblInd w:w="1340" w:type="dxa"/>
        <w:tblCellMar>
          <w:top w:w="0" w:type="dxa"/>
          <w:left w:w="0" w:type="dxa"/>
          <w:bottom w:w="0" w:type="dxa"/>
          <w:right w:w="0" w:type="dxa"/>
        </w:tblCellMar>
      </w:tblPr>
      <w:tr>
        <w:trPr>
          <w:trHeight w:val="258"/>
        </w:trPr>
        <w:tc>
          <w:tcPr>
            <w:tcW w:w="4620" w:type="dxa"/>
            <w:vAlign w:val="bottom"/>
            <w:tcBorders>
              <w:top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right w:val="single" w:sz="8" w:color="auto"/>
            </w:tcBorders>
          </w:tcPr>
          <w:p>
            <w:pPr>
              <w:jc w:val="center"/>
              <w:ind w:right="513"/>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50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center"/>
              <w:ind w:right="353"/>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r>
      <w:tr>
        <w:trPr>
          <w:trHeight w:val="220"/>
        </w:trPr>
        <w:tc>
          <w:tcPr>
            <w:tcW w:w="4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Borders>
              <w:right w:val="single" w:sz="8" w:color="auto"/>
            </w:tcBorders>
          </w:tcPr>
          <w:p>
            <w:pPr>
              <w:jc w:val="center"/>
              <w:ind w:right="513"/>
              <w:spacing w:after="0"/>
              <w:rPr>
                <w:sz w:val="20"/>
                <w:szCs w:val="20"/>
                <w:color w:val="auto"/>
              </w:rPr>
            </w:pPr>
            <w:r>
              <w:rPr>
                <w:rFonts w:ascii="Times New Roman" w:cs="Times New Roman" w:eastAsia="Times New Roman" w:hAnsi="Times New Roman"/>
                <w:sz w:val="16"/>
                <w:szCs w:val="16"/>
                <w:b w:val="1"/>
                <w:bCs w:val="1"/>
                <w:color w:val="auto"/>
              </w:rPr>
              <w:t>At</w:t>
            </w:r>
          </w:p>
        </w:tc>
        <w:tc>
          <w:tcPr>
            <w:tcW w:w="500" w:type="dxa"/>
            <w:vAlign w:val="bottom"/>
          </w:tcPr>
          <w:p>
            <w:pPr>
              <w:spacing w:after="0"/>
              <w:rPr>
                <w:sz w:val="19"/>
                <w:szCs w:val="19"/>
                <w:color w:val="auto"/>
              </w:rPr>
            </w:pPr>
          </w:p>
        </w:tc>
        <w:tc>
          <w:tcPr>
            <w:tcW w:w="1440" w:type="dxa"/>
            <w:vAlign w:val="bottom"/>
          </w:tcPr>
          <w:p>
            <w:pPr>
              <w:jc w:val="center"/>
              <w:ind w:right="353"/>
              <w:spacing w:after="0"/>
              <w:rPr>
                <w:sz w:val="20"/>
                <w:szCs w:val="20"/>
                <w:color w:val="auto"/>
              </w:rPr>
            </w:pPr>
            <w:r>
              <w:rPr>
                <w:rFonts w:ascii="Times New Roman" w:cs="Times New Roman" w:eastAsia="Times New Roman" w:hAnsi="Times New Roman"/>
                <w:sz w:val="16"/>
                <w:szCs w:val="16"/>
                <w:b w:val="1"/>
                <w:bCs w:val="1"/>
                <w:color w:val="auto"/>
                <w:w w:val="94"/>
              </w:rPr>
              <w:t>At</w:t>
            </w:r>
          </w:p>
        </w:tc>
      </w:tr>
      <w:tr>
        <w:trPr>
          <w:trHeight w:val="250"/>
        </w:trPr>
        <w:tc>
          <w:tcPr>
            <w:tcW w:w="4620" w:type="dxa"/>
            <w:vAlign w:val="bottom"/>
            <w:tcBorders>
              <w:bottom w:val="single" w:sz="8" w:color="auto"/>
            </w:tcBorders>
          </w:tcPr>
          <w:p>
            <w:pPr>
              <w:spacing w:after="0"/>
              <w:rPr>
                <w:sz w:val="21"/>
                <w:szCs w:val="21"/>
                <w:color w:val="auto"/>
              </w:rPr>
            </w:pPr>
          </w:p>
        </w:tc>
        <w:tc>
          <w:tcPr>
            <w:tcW w:w="2020" w:type="dxa"/>
            <w:vAlign w:val="bottom"/>
            <w:tcBorders>
              <w:bottom w:val="single" w:sz="8" w:color="auto"/>
              <w:right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4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480" w:type="dxa"/>
            <w:vAlign w:val="bottom"/>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65"/>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and other accrued liabilities</w:t>
            </w:r>
          </w:p>
        </w:tc>
        <w:tc>
          <w:tcPr>
            <w:tcW w:w="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606</w:t>
            </w: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354</w:t>
            </w:r>
          </w:p>
        </w:tc>
      </w:tr>
      <w:tr>
        <w:trPr>
          <w:trHeight w:val="265"/>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postretirement and other employee benefits</w:t>
            </w:r>
          </w:p>
        </w:tc>
        <w:tc>
          <w:tcPr>
            <w:tcW w:w="480" w:type="dxa"/>
            <w:vAlign w:val="bottom"/>
          </w:tcPr>
          <w:p>
            <w:pPr>
              <w:spacing w:after="0"/>
              <w:rPr>
                <w:sz w:val="23"/>
                <w:szCs w:val="23"/>
                <w:color w:val="auto"/>
              </w:rPr>
            </w:pPr>
          </w:p>
        </w:tc>
        <w:tc>
          <w:tcPr>
            <w:tcW w:w="1540" w:type="dxa"/>
            <w:vAlign w:val="bottom"/>
            <w:tcBorders>
              <w:right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437</w:t>
            </w:r>
          </w:p>
        </w:tc>
        <w:tc>
          <w:tcPr>
            <w:tcW w:w="500" w:type="dxa"/>
            <w:vAlign w:val="bottom"/>
          </w:tcPr>
          <w:p>
            <w:pPr>
              <w:spacing w:after="0"/>
              <w:rPr>
                <w:sz w:val="23"/>
                <w:szCs w:val="23"/>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460</w:t>
            </w:r>
          </w:p>
        </w:tc>
      </w:tr>
      <w:tr>
        <w:trPr>
          <w:trHeight w:val="265"/>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480" w:type="dxa"/>
            <w:vAlign w:val="bottom"/>
          </w:tcPr>
          <w:p>
            <w:pPr>
              <w:spacing w:after="0"/>
              <w:rPr>
                <w:sz w:val="23"/>
                <w:szCs w:val="23"/>
                <w:color w:val="auto"/>
              </w:rPr>
            </w:pPr>
          </w:p>
        </w:tc>
        <w:tc>
          <w:tcPr>
            <w:tcW w:w="1540" w:type="dxa"/>
            <w:vAlign w:val="bottom"/>
            <w:tcBorders>
              <w:right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348</w:t>
            </w:r>
          </w:p>
        </w:tc>
        <w:tc>
          <w:tcPr>
            <w:tcW w:w="500" w:type="dxa"/>
            <w:vAlign w:val="bottom"/>
          </w:tcPr>
          <w:p>
            <w:pPr>
              <w:spacing w:after="0"/>
              <w:rPr>
                <w:sz w:val="23"/>
                <w:szCs w:val="23"/>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409</w:t>
            </w:r>
          </w:p>
        </w:tc>
      </w:tr>
      <w:tr>
        <w:trPr>
          <w:trHeight w:val="265"/>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 and loss carryforwards</w:t>
            </w:r>
          </w:p>
        </w:tc>
        <w:tc>
          <w:tcPr>
            <w:tcW w:w="480" w:type="dxa"/>
            <w:vAlign w:val="bottom"/>
          </w:tcPr>
          <w:p>
            <w:pPr>
              <w:spacing w:after="0"/>
              <w:rPr>
                <w:sz w:val="23"/>
                <w:szCs w:val="23"/>
                <w:color w:val="auto"/>
              </w:rPr>
            </w:pPr>
          </w:p>
        </w:tc>
        <w:tc>
          <w:tcPr>
            <w:tcW w:w="1540" w:type="dxa"/>
            <w:vAlign w:val="bottom"/>
            <w:tcBorders>
              <w:right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893</w:t>
            </w:r>
          </w:p>
        </w:tc>
        <w:tc>
          <w:tcPr>
            <w:tcW w:w="500" w:type="dxa"/>
            <w:vAlign w:val="bottom"/>
          </w:tcPr>
          <w:p>
            <w:pPr>
              <w:spacing w:after="0"/>
              <w:rPr>
                <w:sz w:val="23"/>
                <w:szCs w:val="23"/>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538</w:t>
            </w:r>
          </w:p>
        </w:tc>
      </w:tr>
      <w:tr>
        <w:trPr>
          <w:trHeight w:val="265"/>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limitation carryforward</w:t>
            </w:r>
          </w:p>
        </w:tc>
        <w:tc>
          <w:tcPr>
            <w:tcW w:w="480" w:type="dxa"/>
            <w:vAlign w:val="bottom"/>
          </w:tcPr>
          <w:p>
            <w:pPr>
              <w:spacing w:after="0"/>
              <w:rPr>
                <w:sz w:val="23"/>
                <w:szCs w:val="23"/>
                <w:color w:val="auto"/>
              </w:rPr>
            </w:pPr>
          </w:p>
        </w:tc>
        <w:tc>
          <w:tcPr>
            <w:tcW w:w="1540" w:type="dxa"/>
            <w:vAlign w:val="bottom"/>
            <w:tcBorders>
              <w:right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tcPr>
          <w:p>
            <w:pPr>
              <w:spacing w:after="0"/>
              <w:rPr>
                <w:sz w:val="23"/>
                <w:szCs w:val="23"/>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114</w:t>
            </w:r>
          </w:p>
        </w:tc>
      </w:tr>
      <w:tr>
        <w:trPr>
          <w:trHeight w:val="265"/>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costs</w:t>
            </w:r>
          </w:p>
        </w:tc>
        <w:tc>
          <w:tcPr>
            <w:tcW w:w="480" w:type="dxa"/>
            <w:vAlign w:val="bottom"/>
          </w:tcPr>
          <w:p>
            <w:pPr>
              <w:spacing w:after="0"/>
              <w:rPr>
                <w:sz w:val="23"/>
                <w:szCs w:val="23"/>
                <w:color w:val="auto"/>
              </w:rPr>
            </w:pPr>
          </w:p>
        </w:tc>
        <w:tc>
          <w:tcPr>
            <w:tcW w:w="1540" w:type="dxa"/>
            <w:vAlign w:val="bottom"/>
            <w:tcBorders>
              <w:right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383</w:t>
            </w:r>
          </w:p>
        </w:tc>
        <w:tc>
          <w:tcPr>
            <w:tcW w:w="500" w:type="dxa"/>
            <w:vAlign w:val="bottom"/>
          </w:tcPr>
          <w:p>
            <w:pPr>
              <w:spacing w:after="0"/>
              <w:rPr>
                <w:sz w:val="23"/>
                <w:szCs w:val="23"/>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180</w:t>
            </w:r>
          </w:p>
        </w:tc>
      </w:tr>
      <w:tr>
        <w:trPr>
          <w:trHeight w:val="265"/>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tcPr>
          <w:p>
            <w:pPr>
              <w:spacing w:after="0"/>
              <w:rPr>
                <w:sz w:val="23"/>
                <w:szCs w:val="23"/>
                <w:color w:val="auto"/>
              </w:rPr>
            </w:pPr>
          </w:p>
        </w:tc>
        <w:tc>
          <w:tcPr>
            <w:tcW w:w="1540" w:type="dxa"/>
            <w:vAlign w:val="bottom"/>
            <w:tcBorders>
              <w:right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428</w:t>
            </w:r>
          </w:p>
        </w:tc>
      </w:tr>
      <w:tr>
        <w:trPr>
          <w:trHeight w:val="265"/>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480" w:type="dxa"/>
            <w:vAlign w:val="bottom"/>
          </w:tcPr>
          <w:p>
            <w:pPr>
              <w:spacing w:after="0"/>
              <w:rPr>
                <w:sz w:val="23"/>
                <w:szCs w:val="23"/>
                <w:color w:val="auto"/>
              </w:rPr>
            </w:pPr>
          </w:p>
        </w:tc>
        <w:tc>
          <w:tcPr>
            <w:tcW w:w="1540" w:type="dxa"/>
            <w:vAlign w:val="bottom"/>
            <w:tcBorders>
              <w:right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406</w:t>
            </w:r>
          </w:p>
        </w:tc>
        <w:tc>
          <w:tcPr>
            <w:tcW w:w="500" w:type="dxa"/>
            <w:vAlign w:val="bottom"/>
          </w:tcPr>
          <w:p>
            <w:pPr>
              <w:spacing w:after="0"/>
              <w:rPr>
                <w:sz w:val="23"/>
                <w:szCs w:val="23"/>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25</w:t>
            </w:r>
          </w:p>
        </w:tc>
      </w:tr>
      <w:tr>
        <w:trPr>
          <w:trHeight w:val="265"/>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spacing w:after="0"/>
              <w:rPr>
                <w:sz w:val="23"/>
                <w:szCs w:val="23"/>
                <w:color w:val="auto"/>
              </w:rPr>
            </w:pPr>
          </w:p>
        </w:tc>
        <w:tc>
          <w:tcPr>
            <w:tcW w:w="1540" w:type="dxa"/>
            <w:vAlign w:val="bottom"/>
            <w:tcBorders>
              <w:right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23"/>
                <w:szCs w:val="23"/>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10</w:t>
            </w:r>
          </w:p>
        </w:tc>
      </w:tr>
      <w:tr>
        <w:trPr>
          <w:trHeight w:val="25"/>
        </w:trPr>
        <w:tc>
          <w:tcPr>
            <w:tcW w:w="4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480" w:type="dxa"/>
            <w:vAlign w:val="bottom"/>
          </w:tcPr>
          <w:p>
            <w:pPr>
              <w:spacing w:after="0"/>
              <w:rPr>
                <w:sz w:val="20"/>
                <w:szCs w:val="20"/>
                <w:color w:val="auto"/>
              </w:rPr>
            </w:pPr>
          </w:p>
        </w:tc>
        <w:tc>
          <w:tcPr>
            <w:tcW w:w="1540" w:type="dxa"/>
            <w:vAlign w:val="bottom"/>
            <w:tcBorders>
              <w:right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3,091</w:t>
            </w:r>
          </w:p>
        </w:tc>
        <w:tc>
          <w:tcPr>
            <w:tcW w:w="500" w:type="dxa"/>
            <w:vAlign w:val="bottom"/>
          </w:tcPr>
          <w:p>
            <w:pPr>
              <w:spacing w:after="0"/>
              <w:rPr>
                <w:sz w:val="20"/>
                <w:szCs w:val="20"/>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2,518</w:t>
            </w:r>
          </w:p>
        </w:tc>
      </w:tr>
      <w:tr>
        <w:trPr>
          <w:trHeight w:val="265"/>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480" w:type="dxa"/>
            <w:vAlign w:val="bottom"/>
          </w:tcPr>
          <w:p>
            <w:pPr>
              <w:spacing w:after="0"/>
              <w:rPr>
                <w:sz w:val="23"/>
                <w:szCs w:val="23"/>
                <w:color w:val="auto"/>
              </w:rPr>
            </w:pPr>
          </w:p>
        </w:tc>
        <w:tc>
          <w:tcPr>
            <w:tcW w:w="15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(625)</w:t>
            </w:r>
          </w:p>
        </w:tc>
        <w:tc>
          <w:tcPr>
            <w:tcW w:w="500" w:type="dxa"/>
            <w:vAlign w:val="bottom"/>
          </w:tcPr>
          <w:p>
            <w:pPr>
              <w:spacing w:after="0"/>
              <w:rPr>
                <w:sz w:val="23"/>
                <w:szCs w:val="23"/>
                <w:color w:val="auto"/>
              </w:rPr>
            </w:pPr>
          </w:p>
        </w:tc>
        <w:tc>
          <w:tcPr>
            <w:tcW w:w="14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(655)</w:t>
            </w:r>
          </w:p>
        </w:tc>
      </w:tr>
      <w:tr>
        <w:trPr>
          <w:trHeight w:val="25"/>
        </w:trPr>
        <w:tc>
          <w:tcPr>
            <w:tcW w:w="4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480" w:type="dxa"/>
            <w:vAlign w:val="bottom"/>
          </w:tcPr>
          <w:p>
            <w:pPr>
              <w:spacing w:after="0"/>
              <w:rPr>
                <w:sz w:val="20"/>
                <w:szCs w:val="20"/>
                <w:color w:val="auto"/>
              </w:rPr>
            </w:pPr>
          </w:p>
        </w:tc>
        <w:tc>
          <w:tcPr>
            <w:tcW w:w="1540" w:type="dxa"/>
            <w:vAlign w:val="bottom"/>
            <w:tcBorders>
              <w:right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2,466</w:t>
            </w:r>
          </w:p>
        </w:tc>
        <w:tc>
          <w:tcPr>
            <w:tcW w:w="500" w:type="dxa"/>
            <w:vAlign w:val="bottom"/>
          </w:tcPr>
          <w:p>
            <w:pPr>
              <w:spacing w:after="0"/>
              <w:rPr>
                <w:sz w:val="20"/>
                <w:szCs w:val="20"/>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1,863</w:t>
            </w:r>
          </w:p>
        </w:tc>
      </w:tr>
      <w:tr>
        <w:trPr>
          <w:trHeight w:val="26"/>
        </w:trPr>
        <w:tc>
          <w:tcPr>
            <w:tcW w:w="4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480" w:type="dxa"/>
            <w:vAlign w:val="bottom"/>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65"/>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tcPr>
          <w:p>
            <w:pPr>
              <w:spacing w:after="0"/>
              <w:rPr>
                <w:sz w:val="23"/>
                <w:szCs w:val="23"/>
                <w:color w:val="auto"/>
              </w:rPr>
            </w:pPr>
          </w:p>
        </w:tc>
        <w:tc>
          <w:tcPr>
            <w:tcW w:w="15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(395)</w:t>
            </w:r>
          </w:p>
        </w:tc>
        <w:tc>
          <w:tcPr>
            <w:tcW w:w="500" w:type="dxa"/>
            <w:vAlign w:val="bottom"/>
          </w:tcPr>
          <w:p>
            <w:pPr>
              <w:spacing w:after="0"/>
              <w:rPr>
                <w:sz w:val="23"/>
                <w:szCs w:val="23"/>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asset</w:t>
            </w:r>
          </w:p>
        </w:tc>
        <w:tc>
          <w:tcPr>
            <w:tcW w:w="480" w:type="dxa"/>
            <w:vAlign w:val="bottom"/>
          </w:tcPr>
          <w:p>
            <w:pPr>
              <w:spacing w:after="0"/>
              <w:rPr>
                <w:sz w:val="23"/>
                <w:szCs w:val="23"/>
                <w:color w:val="auto"/>
              </w:rPr>
            </w:pPr>
          </w:p>
        </w:tc>
        <w:tc>
          <w:tcPr>
            <w:tcW w:w="15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(308)</w:t>
            </w:r>
          </w:p>
        </w:tc>
        <w:tc>
          <w:tcPr>
            <w:tcW w:w="500" w:type="dxa"/>
            <w:vAlign w:val="bottom"/>
          </w:tcPr>
          <w:p>
            <w:pPr>
              <w:spacing w:after="0"/>
              <w:rPr>
                <w:sz w:val="23"/>
                <w:szCs w:val="23"/>
                <w:color w:val="auto"/>
              </w:rPr>
            </w:pPr>
          </w:p>
        </w:tc>
        <w:tc>
          <w:tcPr>
            <w:tcW w:w="14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(340)</w:t>
            </w:r>
          </w:p>
        </w:tc>
      </w:tr>
      <w:tr>
        <w:trPr>
          <w:trHeight w:val="265"/>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equipment and other assets</w:t>
            </w:r>
          </w:p>
        </w:tc>
        <w:tc>
          <w:tcPr>
            <w:tcW w:w="480" w:type="dxa"/>
            <w:vAlign w:val="bottom"/>
          </w:tcPr>
          <w:p>
            <w:pPr>
              <w:spacing w:after="0"/>
              <w:rPr>
                <w:sz w:val="23"/>
                <w:szCs w:val="23"/>
                <w:color w:val="auto"/>
              </w:rPr>
            </w:pPr>
          </w:p>
        </w:tc>
        <w:tc>
          <w:tcPr>
            <w:tcW w:w="15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(267)</w:t>
            </w:r>
          </w:p>
        </w:tc>
        <w:tc>
          <w:tcPr>
            <w:tcW w:w="500" w:type="dxa"/>
            <w:vAlign w:val="bottom"/>
          </w:tcPr>
          <w:p>
            <w:pPr>
              <w:spacing w:after="0"/>
              <w:rPr>
                <w:sz w:val="23"/>
                <w:szCs w:val="23"/>
                <w:color w:val="auto"/>
              </w:rPr>
            </w:pPr>
          </w:p>
        </w:tc>
        <w:tc>
          <w:tcPr>
            <w:tcW w:w="14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(89)</w:t>
            </w:r>
          </w:p>
        </w:tc>
      </w:tr>
      <w:tr>
        <w:trPr>
          <w:trHeight w:val="265"/>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obligations</w:t>
            </w:r>
          </w:p>
        </w:tc>
        <w:tc>
          <w:tcPr>
            <w:tcW w:w="480" w:type="dxa"/>
            <w:vAlign w:val="bottom"/>
          </w:tcPr>
          <w:p>
            <w:pPr>
              <w:spacing w:after="0"/>
              <w:rPr>
                <w:sz w:val="23"/>
                <w:szCs w:val="23"/>
                <w:color w:val="auto"/>
              </w:rPr>
            </w:pPr>
          </w:p>
        </w:tc>
        <w:tc>
          <w:tcPr>
            <w:tcW w:w="15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(285)</w:t>
            </w:r>
          </w:p>
        </w:tc>
        <w:tc>
          <w:tcPr>
            <w:tcW w:w="500" w:type="dxa"/>
            <w:vAlign w:val="bottom"/>
          </w:tcPr>
          <w:p>
            <w:pPr>
              <w:spacing w:after="0"/>
              <w:rPr>
                <w:sz w:val="23"/>
                <w:szCs w:val="23"/>
                <w:color w:val="auto"/>
              </w:rPr>
            </w:pPr>
          </w:p>
        </w:tc>
        <w:tc>
          <w:tcPr>
            <w:tcW w:w="14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(66)</w:t>
            </w:r>
          </w:p>
        </w:tc>
      </w:tr>
      <w:tr>
        <w:trPr>
          <w:trHeight w:val="265"/>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spacing w:after="0"/>
              <w:rPr>
                <w:sz w:val="23"/>
                <w:szCs w:val="23"/>
                <w:color w:val="auto"/>
              </w:rPr>
            </w:pPr>
          </w:p>
        </w:tc>
        <w:tc>
          <w:tcPr>
            <w:tcW w:w="15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Pr>
          <w:p>
            <w:pPr>
              <w:spacing w:after="0"/>
              <w:rPr>
                <w:sz w:val="23"/>
                <w:szCs w:val="23"/>
                <w:color w:val="auto"/>
              </w:rPr>
            </w:pPr>
          </w:p>
        </w:tc>
        <w:tc>
          <w:tcPr>
            <w:tcW w:w="14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(16)</w:t>
            </w:r>
          </w:p>
        </w:tc>
      </w:tr>
      <w:tr>
        <w:trPr>
          <w:trHeight w:val="25"/>
        </w:trPr>
        <w:tc>
          <w:tcPr>
            <w:tcW w:w="4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480" w:type="dxa"/>
            <w:vAlign w:val="bottom"/>
          </w:tcPr>
          <w:p>
            <w:pPr>
              <w:spacing w:after="0"/>
              <w:rPr>
                <w:sz w:val="20"/>
                <w:szCs w:val="20"/>
                <w:color w:val="auto"/>
              </w:rPr>
            </w:pPr>
          </w:p>
        </w:tc>
        <w:tc>
          <w:tcPr>
            <w:tcW w:w="15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(1,269)</w:t>
            </w:r>
          </w:p>
        </w:tc>
        <w:tc>
          <w:tcPr>
            <w:tcW w:w="500" w:type="dxa"/>
            <w:vAlign w:val="bottom"/>
          </w:tcPr>
          <w:p>
            <w:pPr>
              <w:spacing w:after="0"/>
              <w:rPr>
                <w:sz w:val="20"/>
                <w:szCs w:val="20"/>
                <w:color w:val="auto"/>
              </w:rPr>
            </w:pPr>
          </w:p>
        </w:tc>
        <w:tc>
          <w:tcPr>
            <w:tcW w:w="14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(511)</w:t>
            </w:r>
          </w:p>
        </w:tc>
      </w:tr>
      <w:tr>
        <w:trPr>
          <w:trHeight w:val="26"/>
        </w:trPr>
        <w:tc>
          <w:tcPr>
            <w:tcW w:w="4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1,197</w:t>
            </w: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1,352</w:t>
            </w:r>
          </w:p>
        </w:tc>
      </w:tr>
      <w:tr>
        <w:trPr>
          <w:trHeight w:val="32"/>
        </w:trPr>
        <w:tc>
          <w:tcPr>
            <w:tcW w:w="4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At December 31, 2025 (Successor), we had deferred income tax assets for federal foreign tax credit carryforwards of $111 million and net operating loss carryforwards for federal, state and local, and foreign jurisdictions of $657 million, the majority of which expire in various years from 2026 through 2040. The deferred tax asset for the U.S. interest limitation carryforward of $13 million at December 31, 2025 (Successor) has an indefinite carryforward period.</w:t>
      </w:r>
    </w:p>
    <w:p>
      <w:pPr>
        <w:sectPr>
          <w:pgSz w:w="11900" w:h="16838" w:orient="portrait"/>
          <w:cols w:equalWidth="0" w:num="1">
            <w:col w:w="11240"/>
          </w:cols>
          <w:pgMar w:left="320" w:top="7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type w:val="continuous"/>
        </w:sectPr>
      </w:pPr>
    </w:p>
    <w:bookmarkStart w:id="119" w:name="page120"/>
    <w:bookmarkEnd w:id="119"/>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2025 (Successor) and 2024 (Predecessor) deferred income tax assets were reduced by a valuation allowance of $625 million and $655 million, respectively, principally relating to income tax benefits from capital losses and net operating losses in foreign jurisdictions, which are not expected to be realized. On July 4, 2025, the U.S. government enacted tax legislation, which includes the extension of certain expired or expiring tax provisions, including a favorable change to the interest deduction limitation, and modifications to certain international tax provisions. The legislation has multiple effective dates with certain provisions effective in 2025. The favorable change to the interest deduction limitation resulted in the reversal of the valuation allowance of $114 million on our interest limitation carryforward deferred tax asset.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Generally, the future remittance of foreign undistributed earnings will not be subject to U.S. federal income taxes and as a result, for substantially all of our foreign subsidiaries, we do not intend to assert indefinite reinvestment of both cash held outside of the U.S. and future cash earnings. However, a future repatriation of cash could be subject to state and local income taxes, foreign income taxes, tax on foreign currency translation gains and losses, and withholding taxes. Accordingly, as of December 31, 2025 (Successor), we recorded deferred income tax liabilities associated with future repatriations of $10 million on the Consolidated Balance Sheet. Additional income taxes have not been provided for outside basis differences inherent in these entities, which could be recognized upon sale or other transaction, as these amounts continue to be indefinitely invested in foreign operations. The determination of the U.S. federal deferred income tax liability for such outside basis difference is not practicable.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income taxes paid (net of refunds) were as follows:</w:t>
      </w:r>
    </w:p>
    <w:p>
      <w:pPr>
        <w:spacing w:after="0" w:line="195" w:lineRule="exact"/>
        <w:rPr>
          <w:sz w:val="20"/>
          <w:szCs w:val="20"/>
          <w:color w:val="auto"/>
        </w:rPr>
      </w:pPr>
    </w:p>
    <w:tbl>
      <w:tblPr>
        <w:tblLayout w:type="fixed"/>
        <w:tblInd w:w="1760" w:type="dxa"/>
        <w:tblCellMar>
          <w:top w:w="0" w:type="dxa"/>
          <w:left w:w="0" w:type="dxa"/>
          <w:bottom w:w="0" w:type="dxa"/>
          <w:right w:w="0" w:type="dxa"/>
        </w:tblCellMar>
      </w:tblPr>
      <w:tr>
        <w:trPr>
          <w:trHeight w:val="258"/>
        </w:trPr>
        <w:tc>
          <w:tcPr>
            <w:tcW w:w="47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right w:val="single" w:sz="8" w:color="auto"/>
            </w:tcBorders>
          </w:tcPr>
          <w:p>
            <w:pPr>
              <w:jc w:val="center"/>
              <w:ind w:right="373"/>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center"/>
              <w:ind w:right="194"/>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r>
      <w:tr>
        <w:trPr>
          <w:trHeight w:val="196"/>
        </w:trPr>
        <w:tc>
          <w:tcPr>
            <w:tcW w:w="4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Period From</w:t>
            </w:r>
          </w:p>
        </w:tc>
      </w:tr>
      <w:tr>
        <w:trPr>
          <w:trHeight w:val="186"/>
        </w:trPr>
        <w:tc>
          <w:tcPr>
            <w:tcW w:w="4720" w:type="dxa"/>
            <w:vAlign w:val="bottom"/>
          </w:tcPr>
          <w:p>
            <w:pPr>
              <w:spacing w:after="0"/>
              <w:rPr>
                <w:sz w:val="16"/>
                <w:szCs w:val="16"/>
                <w:color w:val="auto"/>
              </w:rPr>
            </w:pPr>
          </w:p>
        </w:tc>
        <w:tc>
          <w:tcPr>
            <w:tcW w:w="1540" w:type="dxa"/>
            <w:vAlign w:val="bottom"/>
            <w:tcBorders>
              <w:right w:val="single" w:sz="8" w:color="auto"/>
            </w:tcBorders>
            <w:gridSpan w:val="2"/>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Period From August</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 August</w:t>
            </w:r>
          </w:p>
        </w:tc>
      </w:tr>
      <w:tr>
        <w:trPr>
          <w:trHeight w:val="210"/>
        </w:trPr>
        <w:tc>
          <w:tcPr>
            <w:tcW w:w="472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7 - December 31,</w:t>
            </w:r>
          </w:p>
        </w:tc>
        <w:tc>
          <w:tcPr>
            <w:tcW w:w="360" w:type="dxa"/>
            <w:vAlign w:val="bottom"/>
          </w:tcPr>
          <w:p>
            <w:pPr>
              <w:spacing w:after="0"/>
              <w:rPr>
                <w:sz w:val="18"/>
                <w:szCs w:val="18"/>
                <w:color w:val="auto"/>
              </w:rPr>
            </w:pPr>
          </w:p>
        </w:tc>
        <w:tc>
          <w:tcPr>
            <w:tcW w:w="1120" w:type="dxa"/>
            <w:vAlign w:val="bottom"/>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6,</w:t>
            </w:r>
          </w:p>
        </w:tc>
      </w:tr>
      <w:tr>
        <w:trPr>
          <w:trHeight w:val="32"/>
        </w:trPr>
        <w:tc>
          <w:tcPr>
            <w:tcW w:w="4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5"/>
        </w:trPr>
        <w:tc>
          <w:tcPr>
            <w:tcW w:w="4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35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196</w:t>
            </w:r>
          </w:p>
        </w:tc>
      </w:tr>
      <w:tr>
        <w:trPr>
          <w:trHeight w:val="265"/>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34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65"/>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Hawaii</w:t>
            </w:r>
          </w:p>
        </w:tc>
        <w:tc>
          <w:tcPr>
            <w:tcW w:w="340" w:type="dxa"/>
            <w:vAlign w:val="bottom"/>
          </w:tcPr>
          <w:p>
            <w:pPr>
              <w:spacing w:after="0"/>
              <w:rPr>
                <w:sz w:val="23"/>
                <w:szCs w:val="23"/>
                <w:color w:val="auto"/>
              </w:rPr>
            </w:pPr>
          </w:p>
        </w:tc>
        <w:tc>
          <w:tcPr>
            <w:tcW w:w="12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(49)</w:t>
            </w:r>
          </w:p>
        </w:tc>
      </w:tr>
      <w:tr>
        <w:trPr>
          <w:trHeight w:val="265"/>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3"/>
                <w:szCs w:val="23"/>
                <w:color w:val="auto"/>
              </w:rPr>
            </w:pPr>
          </w:p>
        </w:tc>
        <w:tc>
          <w:tcPr>
            <w:tcW w:w="12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23"/>
                <w:szCs w:val="23"/>
                <w:color w:val="auto"/>
              </w:rPr>
            </w:pP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9</w:t>
            </w:r>
          </w:p>
        </w:tc>
      </w:tr>
      <w:tr>
        <w:trPr>
          <w:trHeight w:val="265"/>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65"/>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Pr>
          <w:p>
            <w:pPr>
              <w:spacing w:after="0"/>
              <w:rPr>
                <w:sz w:val="23"/>
                <w:szCs w:val="23"/>
                <w:color w:val="auto"/>
              </w:rPr>
            </w:pPr>
          </w:p>
        </w:tc>
        <w:tc>
          <w:tcPr>
            <w:tcW w:w="12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23"/>
                <w:szCs w:val="23"/>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w:t>
            </w:r>
          </w:p>
        </w:tc>
      </w:tr>
      <w:tr>
        <w:trPr>
          <w:trHeight w:val="265"/>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Italy</w:t>
            </w:r>
          </w:p>
        </w:tc>
        <w:tc>
          <w:tcPr>
            <w:tcW w:w="340" w:type="dxa"/>
            <w:vAlign w:val="bottom"/>
          </w:tcPr>
          <w:p>
            <w:pPr>
              <w:spacing w:after="0"/>
              <w:rPr>
                <w:sz w:val="23"/>
                <w:szCs w:val="23"/>
                <w:color w:val="auto"/>
              </w:rPr>
            </w:pPr>
          </w:p>
        </w:tc>
        <w:tc>
          <w:tcPr>
            <w:tcW w:w="12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23"/>
                <w:szCs w:val="23"/>
                <w:color w:val="auto"/>
              </w:rPr>
            </w:pP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5</w:t>
            </w:r>
          </w:p>
        </w:tc>
      </w:tr>
      <w:tr>
        <w:trPr>
          <w:trHeight w:val="265"/>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c>
          <w:tcPr>
            <w:tcW w:w="340" w:type="dxa"/>
            <w:vAlign w:val="bottom"/>
          </w:tcPr>
          <w:p>
            <w:pPr>
              <w:spacing w:after="0"/>
              <w:rPr>
                <w:sz w:val="23"/>
                <w:szCs w:val="23"/>
                <w:color w:val="auto"/>
              </w:rPr>
            </w:pPr>
          </w:p>
        </w:tc>
        <w:tc>
          <w:tcPr>
            <w:tcW w:w="12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3"/>
                <w:szCs w:val="23"/>
                <w:color w:val="auto"/>
              </w:rPr>
            </w:pP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17</w:t>
            </w:r>
          </w:p>
        </w:tc>
      </w:tr>
      <w:tr>
        <w:trPr>
          <w:trHeight w:val="265"/>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3"/>
                <w:szCs w:val="23"/>
                <w:color w:val="auto"/>
              </w:rPr>
            </w:pPr>
          </w:p>
        </w:tc>
        <w:tc>
          <w:tcPr>
            <w:tcW w:w="12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23"/>
                <w:szCs w:val="23"/>
                <w:color w:val="auto"/>
              </w:rPr>
            </w:pP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44</w:t>
            </w:r>
          </w:p>
        </w:tc>
      </w:tr>
      <w:tr>
        <w:trPr>
          <w:trHeight w:val="25"/>
        </w:trPr>
        <w:tc>
          <w:tcPr>
            <w:tcW w:w="4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201</w:t>
            </w:r>
          </w:p>
        </w:tc>
      </w:tr>
      <w:tr>
        <w:trPr>
          <w:trHeight w:val="32"/>
        </w:trPr>
        <w:tc>
          <w:tcPr>
            <w:tcW w:w="4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20" w:name="page121"/>
    <w:bookmarkEnd w:id="120"/>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change in the reserve for uncertain tax positions, excluding related accrued interest and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94615</wp:posOffset>
            </wp:positionV>
            <wp:extent cx="596519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5190" cy="17145"/>
                    </a:xfrm>
                    <a:prstGeom prst="rect">
                      <a:avLst/>
                    </a:prstGeom>
                    <a:noFill/>
                  </pic:spPr>
                </pic:pic>
              </a:graphicData>
            </a:graphic>
          </wp:anchor>
        </w:drawing>
      </w:r>
    </w:p>
    <w:p>
      <w:pPr>
        <w:spacing w:after="0" w:line="161" w:lineRule="exact"/>
        <w:rPr>
          <w:sz w:val="20"/>
          <w:szCs w:val="20"/>
          <w:color w:val="auto"/>
        </w:rPr>
      </w:pPr>
    </w:p>
    <w:tbl>
      <w:tblPr>
        <w:tblLayout w:type="fixed"/>
        <w:tblInd w:w="940" w:type="dxa"/>
        <w:tblCellMar>
          <w:top w:w="0" w:type="dxa"/>
          <w:left w:w="0" w:type="dxa"/>
          <w:bottom w:w="0" w:type="dxa"/>
          <w:right w:w="0" w:type="dxa"/>
        </w:tblCellMar>
      </w:tblPr>
      <w:tr>
        <w:trPr>
          <w:trHeight w:val="23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1/1/2023 (Predecessor)</w:t>
            </w:r>
          </w:p>
        </w:tc>
        <w:tc>
          <w:tcPr>
            <w:tcW w:w="31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6"/>
        </w:trPr>
        <w:tc>
          <w:tcPr>
            <w:tcW w:w="55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3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settlements</w:t>
            </w:r>
          </w:p>
        </w:tc>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Statute of limitations lapses</w:t>
            </w:r>
          </w:p>
        </w:tc>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
        </w:trPr>
        <w:tc>
          <w:tcPr>
            <w:tcW w:w="55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2023 (Predecessor)</w:t>
            </w:r>
          </w:p>
        </w:tc>
        <w:tc>
          <w:tcPr>
            <w:tcW w:w="3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5"/>
        </w:trPr>
        <w:tc>
          <w:tcPr>
            <w:tcW w:w="55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3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settlements</w:t>
            </w:r>
          </w:p>
        </w:tc>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Statute of limitations lapses</w:t>
            </w:r>
          </w:p>
        </w:tc>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
        </w:trPr>
        <w:tc>
          <w:tcPr>
            <w:tcW w:w="55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 (Predecessor)</w:t>
            </w:r>
          </w:p>
        </w:tc>
        <w:tc>
          <w:tcPr>
            <w:tcW w:w="3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5"/>
        </w:trPr>
        <w:tc>
          <w:tcPr>
            <w:tcW w:w="55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3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Statute of limitations lapses</w:t>
            </w:r>
          </w:p>
        </w:tc>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
        </w:trPr>
        <w:tc>
          <w:tcPr>
            <w:tcW w:w="55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August 6, 2025 (Predecessor)</w:t>
            </w:r>
          </w:p>
        </w:tc>
        <w:tc>
          <w:tcPr>
            <w:tcW w:w="3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32"/>
        </w:trPr>
        <w:tc>
          <w:tcPr>
            <w:tcW w:w="55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31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3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settlements</w:t>
            </w:r>
          </w:p>
        </w:tc>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Statute of limitations lapses</w:t>
            </w:r>
          </w:p>
        </w:tc>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
        </w:trPr>
        <w:tc>
          <w:tcPr>
            <w:tcW w:w="55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 (Successor)</w:t>
            </w:r>
          </w:p>
        </w:tc>
        <w:tc>
          <w:tcPr>
            <w:tcW w:w="31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32"/>
        </w:trPr>
        <w:tc>
          <w:tcPr>
            <w:tcW w:w="55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reserve for uncertain tax positions of $431 million at December 31, 2025 (Successor) includes $360 million which would affect our effective income tax rate, if and when recognized in future years. We recognized interest and penalties of $13 million for the Successor period from August 7 - December 31, 2025, and $33 million, $28 million, and $26 million for the Predecessor periods from January 1 - August 6, 2025 and the years ended December 31, 2024 and 2023, respectively, in the Consolidated Statements of Operations. Liabilities for accrued interest and penalties totaling $144 million as of December 31, 2025 (Successor) and $104 million as of December 31, 2024 (Predecessor), respectively, are included within “Other current liabilities” and “Other liabilities” on the Consolidated Balance Sheets.</w:t>
      </w:r>
    </w:p>
    <w:p>
      <w:pPr>
        <w:spacing w:after="0" w:line="1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Company and its subsidiaries file income tax returns with the Internal Revenue Service (“IRS”) and various state and local and foreign jurisdictions. For periods prior to the 2019 merger of Viacom and CBS, Viacom and CBS filed separate tax returns. For Viacom, we are currently under examination by the IRS for the 2016 through 2019 tax years. The Company and the IRS settled CBS’ income tax audits for the 2017 and 2018 tax years in 2023 and, during the Predecessor period from January 1 - August 6, 2025, settled the merged company’s 2019 income tax audit. In both audits, one item remains open and is currently being resolved through the Mutual Agreement Procedure process. Various tax years are also currently under examination by state and local and foreign tax authorities.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21" w:name="page122"/>
    <w:bookmarkEnd w:id="121"/>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16) PENSION AND OTHER POSTRETIREMENT BENEFITS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Paramount Global and certain other subsidiaries of the Company sponsor qualified and non-qualified defined benefit pension plans, principally non-contributory, covering eligible employees. Our pension plans consist of both funded and unfunded plans, and our domestic plans are frozen to future benefit accruals. The majority of participants in these plans are retired employees or former employees of previously divested businesses. Plan benefits are based primarily on an employee’s years of service and pay for each year that the employee participated in the plan. We fund our pension plans in accordance with the Employee Retirement Income Security Act of 1974 (“ERISA”), the Pension Protection Act of 2006, the Internal Revenue Code of 1986 and other applicable law</w:t>
      </w:r>
      <w:r>
        <w:rPr>
          <w:rFonts w:ascii="Times New Roman" w:cs="Times New Roman" w:eastAsia="Times New Roman" w:hAnsi="Times New Roman"/>
          <w:sz w:val="17"/>
          <w:szCs w:val="17"/>
          <w:color w:val="auto"/>
        </w:rPr>
        <w:t>s</w:t>
      </w:r>
      <w:r>
        <w:rPr>
          <w:rFonts w:ascii="Times New Roman" w:cs="Times New Roman" w:eastAsia="Times New Roman" w:hAnsi="Times New Roman"/>
          <w:sz w:val="19"/>
          <w:szCs w:val="19"/>
          <w:color w:val="auto"/>
        </w:rPr>
        <w:t>, rules and regulations. Plan assets consist principally of corporate bonds, equity securities, common collective trust funds, U.S. government securities and short-term investments. Paramount Skydance Corporation Class B Common Stock represented approximately 0.3% of the fair value of plan assets at December 31, 2025 (Successor) and Paramount Global Class B Common Stock represented 0.7% of the fair value of plan assets at December 31, 2024 (Predecessor).</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In addition, the Company sponsors health and welfare plans that provide postretirement health care and life insurance benefits to eligible retired employees and their covered dependents. Eligibility is based in part on certain age and service requirements at the time of their retirement. Most of the plans are contributory and contain cost-sharing features such as deductibles and coinsurance</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which are adjusted annually, as well as caps on the annual dollar amount we will contribute toward the cost of coverage. Claims and premiums for which we are responsible are paid with our own funds.</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pension plan disclosures herein include information related to our domestic pension and postretirement benefit plans only, unless otherwise noted. At December 31, 2025 (Successor) and at December 31, 2024 (Predecessor), the Consolidated Balance Sheets also include a liability of $38 million and $31 million, respectively, in “Pension and postretirement benefit obligations” relating to our non-U.S. pension plans and certain other retirement severance plans.</w:t>
      </w:r>
    </w:p>
    <w:p>
      <w:pPr>
        <w:spacing w:after="0" w:line="20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We use a December 31 measurement date for all pension and other postretirement benefit plans. Our pension plans were also remeasured as of August 7, 2025 in connection with the pushdown of the Ultimate Parent’s basis (see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22" w:name="page123"/>
    <w:bookmarkEnd w:id="122"/>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set forth the change in benefit obligation for our pension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1005205</wp:posOffset>
            </wp:positionH>
            <wp:positionV relativeFrom="paragraph">
              <wp:posOffset>94615</wp:posOffset>
            </wp:positionV>
            <wp:extent cx="51409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0960" cy="17145"/>
                    </a:xfrm>
                    <a:prstGeom prst="rect">
                      <a:avLst/>
                    </a:prstGeom>
                    <a:noFill/>
                  </pic:spPr>
                </pic:pic>
              </a:graphicData>
            </a:graphic>
          </wp:anchor>
        </w:drawing>
      </w:r>
    </w:p>
    <w:p>
      <w:pPr>
        <w:spacing w:after="0" w:line="166" w:lineRule="exact"/>
        <w:rPr>
          <w:sz w:val="20"/>
          <w:szCs w:val="20"/>
          <w:color w:val="auto"/>
        </w:rPr>
      </w:pPr>
    </w:p>
    <w:tbl>
      <w:tblPr>
        <w:tblLayout w:type="fixed"/>
        <w:tblInd w:w="1580" w:type="dxa"/>
        <w:tblCellMar>
          <w:top w:w="0" w:type="dxa"/>
          <w:left w:w="0" w:type="dxa"/>
          <w:bottom w:w="0" w:type="dxa"/>
          <w:right w:w="0" w:type="dxa"/>
        </w:tblCellMar>
      </w:tblPr>
      <w:tr>
        <w:trPr>
          <w:trHeight w:val="199"/>
        </w:trPr>
        <w:tc>
          <w:tcPr>
            <w:tcW w:w="4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Postretirement</w:t>
            </w:r>
          </w:p>
        </w:tc>
      </w:tr>
      <w:tr>
        <w:trPr>
          <w:trHeight w:val="221"/>
        </w:trPr>
        <w:tc>
          <w:tcPr>
            <w:tcW w:w="45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Benefits</w:t>
            </w:r>
          </w:p>
        </w:tc>
      </w:tr>
      <w:tr>
        <w:trPr>
          <w:trHeight w:val="24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January 1, 2025 (Predecessor)</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3,481</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165</w:t>
            </w: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40" w:type="dxa"/>
            <w:vAlign w:val="bottom"/>
          </w:tcPr>
          <w:p>
            <w:pPr>
              <w:spacing w:after="0"/>
              <w:rPr>
                <w:sz w:val="23"/>
                <w:szCs w:val="23"/>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w:t>
            </w: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tcPr>
          <w:p>
            <w:pPr>
              <w:spacing w:after="0"/>
              <w:rPr>
                <w:sz w:val="23"/>
                <w:szCs w:val="23"/>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120</w:t>
            </w:r>
          </w:p>
        </w:tc>
        <w:tc>
          <w:tcPr>
            <w:tcW w:w="460" w:type="dxa"/>
            <w:vAlign w:val="bottom"/>
          </w:tcPr>
          <w:p>
            <w:pPr>
              <w:spacing w:after="0"/>
              <w:rPr>
                <w:sz w:val="23"/>
                <w:szCs w:val="23"/>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w:t>
            </w: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940" w:type="dxa"/>
            <w:vAlign w:val="bottom"/>
          </w:tcPr>
          <w:p>
            <w:pPr>
              <w:spacing w:after="0"/>
              <w:rPr>
                <w:sz w:val="23"/>
                <w:szCs w:val="23"/>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(232)</w:t>
            </w:r>
          </w:p>
        </w:tc>
        <w:tc>
          <w:tcPr>
            <w:tcW w:w="460" w:type="dxa"/>
            <w:vAlign w:val="bottom"/>
          </w:tcPr>
          <w:p>
            <w:pPr>
              <w:spacing w:after="0"/>
              <w:rPr>
                <w:sz w:val="23"/>
                <w:szCs w:val="23"/>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(31)</w:t>
            </w: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940" w:type="dxa"/>
            <w:vAlign w:val="bottom"/>
          </w:tcPr>
          <w:p>
            <w:pPr>
              <w:spacing w:after="0"/>
              <w:rPr>
                <w:sz w:val="23"/>
                <w:szCs w:val="23"/>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w:t>
            </w: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940" w:type="dxa"/>
            <w:vAlign w:val="bottom"/>
          </w:tcPr>
          <w:p>
            <w:pPr>
              <w:spacing w:after="0"/>
              <w:rPr>
                <w:sz w:val="23"/>
                <w:szCs w:val="23"/>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w:t>
            </w:r>
          </w:p>
        </w:tc>
      </w:tr>
      <w:tr>
        <w:trPr>
          <w:trHeight w:val="25"/>
        </w:trPr>
        <w:tc>
          <w:tcPr>
            <w:tcW w:w="4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August 6, 2025 (Predecessor)</w:t>
            </w:r>
          </w:p>
        </w:tc>
        <w:tc>
          <w:tcPr>
            <w:tcW w:w="940" w:type="dxa"/>
            <w:vAlign w:val="bottom"/>
          </w:tcPr>
          <w:p>
            <w:pPr>
              <w:spacing w:after="0"/>
              <w:rPr>
                <w:sz w:val="20"/>
                <w:szCs w:val="20"/>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3,369</w:t>
            </w:r>
          </w:p>
        </w:tc>
        <w:tc>
          <w:tcPr>
            <w:tcW w:w="460" w:type="dxa"/>
            <w:vAlign w:val="bottom"/>
          </w:tcPr>
          <w:p>
            <w:pPr>
              <w:spacing w:after="0"/>
              <w:rPr>
                <w:sz w:val="20"/>
                <w:szCs w:val="20"/>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152</w:t>
            </w:r>
          </w:p>
        </w:tc>
      </w:tr>
      <w:tr>
        <w:trPr>
          <w:trHeight w:val="112"/>
        </w:trPr>
        <w:tc>
          <w:tcPr>
            <w:tcW w:w="45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r>
        <w:trPr>
          <w:trHeight w:val="33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Adjustments to Paramount Global’s basis (Note </w:t>
            </w:r>
            <w:r>
              <w:rPr>
                <w:rFonts w:ascii="Times New Roman" w:cs="Times New Roman" w:eastAsia="Times New Roman" w:hAnsi="Times New Roman"/>
                <w:sz w:val="19"/>
                <w:szCs w:val="19"/>
                <w:color w:val="auto"/>
              </w:rPr>
              <w:t>2</w:t>
            </w: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286</w:t>
            </w:r>
          </w:p>
        </w:tc>
        <w:tc>
          <w:tcPr>
            <w:tcW w:w="460" w:type="dxa"/>
            <w:vAlign w:val="bottom"/>
          </w:tcPr>
          <w:p>
            <w:pPr>
              <w:spacing w:after="0"/>
              <w:rPr>
                <w:sz w:val="24"/>
                <w:szCs w:val="24"/>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w:t>
            </w:r>
          </w:p>
        </w:tc>
      </w:tr>
      <w:tr>
        <w:trPr>
          <w:trHeight w:val="35"/>
        </w:trPr>
        <w:tc>
          <w:tcPr>
            <w:tcW w:w="4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August 7, 2025 (Successor)</w:t>
            </w:r>
          </w:p>
        </w:tc>
        <w:tc>
          <w:tcPr>
            <w:tcW w:w="940" w:type="dxa"/>
            <w:vAlign w:val="bottom"/>
          </w:tcPr>
          <w:p>
            <w:pPr>
              <w:spacing w:after="0"/>
              <w:rPr>
                <w:sz w:val="20"/>
                <w:szCs w:val="20"/>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3,655</w:t>
            </w:r>
          </w:p>
        </w:tc>
        <w:tc>
          <w:tcPr>
            <w:tcW w:w="460" w:type="dxa"/>
            <w:vAlign w:val="bottom"/>
          </w:tcPr>
          <w:p>
            <w:pPr>
              <w:spacing w:after="0"/>
              <w:rPr>
                <w:sz w:val="20"/>
                <w:szCs w:val="20"/>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162</w:t>
            </w: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tcPr>
          <w:p>
            <w:pPr>
              <w:spacing w:after="0"/>
              <w:rPr>
                <w:sz w:val="23"/>
                <w:szCs w:val="23"/>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79</w:t>
            </w:r>
          </w:p>
        </w:tc>
        <w:tc>
          <w:tcPr>
            <w:tcW w:w="460" w:type="dxa"/>
            <w:vAlign w:val="bottom"/>
          </w:tcPr>
          <w:p>
            <w:pPr>
              <w:spacing w:after="0"/>
              <w:rPr>
                <w:sz w:val="23"/>
                <w:szCs w:val="23"/>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w:t>
            </w: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w:t>
            </w:r>
          </w:p>
        </w:tc>
        <w:tc>
          <w:tcPr>
            <w:tcW w:w="940" w:type="dxa"/>
            <w:vAlign w:val="bottom"/>
          </w:tcPr>
          <w:p>
            <w:pPr>
              <w:spacing w:after="0"/>
              <w:rPr>
                <w:sz w:val="23"/>
                <w:szCs w:val="23"/>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w:t>
            </w: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940" w:type="dxa"/>
            <w:vAlign w:val="bottom"/>
          </w:tcPr>
          <w:p>
            <w:pPr>
              <w:spacing w:after="0"/>
              <w:rPr>
                <w:sz w:val="23"/>
                <w:szCs w:val="23"/>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(107)</w:t>
            </w:r>
          </w:p>
        </w:tc>
        <w:tc>
          <w:tcPr>
            <w:tcW w:w="460" w:type="dxa"/>
            <w:vAlign w:val="bottom"/>
          </w:tcPr>
          <w:p>
            <w:pPr>
              <w:spacing w:after="0"/>
              <w:rPr>
                <w:sz w:val="23"/>
                <w:szCs w:val="23"/>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(17)</w:t>
            </w: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940" w:type="dxa"/>
            <w:vAlign w:val="bottom"/>
          </w:tcPr>
          <w:p>
            <w:pPr>
              <w:spacing w:after="0"/>
              <w:rPr>
                <w:sz w:val="23"/>
                <w:szCs w:val="23"/>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w:t>
            </w: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940" w:type="dxa"/>
            <w:vAlign w:val="bottom"/>
          </w:tcPr>
          <w:p>
            <w:pPr>
              <w:spacing w:after="0"/>
              <w:rPr>
                <w:sz w:val="23"/>
                <w:szCs w:val="23"/>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w:t>
            </w:r>
          </w:p>
        </w:tc>
      </w:tr>
      <w:tr>
        <w:trPr>
          <w:trHeight w:val="25"/>
        </w:trPr>
        <w:tc>
          <w:tcPr>
            <w:tcW w:w="4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obligations at December 31, 2025 (Successor)</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3,627</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156</w:t>
            </w:r>
          </w:p>
        </w:tc>
      </w:tr>
      <w:tr>
        <w:trPr>
          <w:trHeight w:val="32"/>
        </w:trPr>
        <w:tc>
          <w:tcPr>
            <w:tcW w:w="4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71"/>
        </w:trPr>
        <w:tc>
          <w:tcPr>
            <w:tcW w:w="4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2"/>
          </w:tcPr>
          <w:p>
            <w:pPr>
              <w:spacing w:after="0"/>
              <w:rPr>
                <w:sz w:val="23"/>
                <w:szCs w:val="23"/>
                <w:color w:val="auto"/>
              </w:rPr>
            </w:pPr>
          </w:p>
        </w:tc>
      </w:tr>
      <w:tr>
        <w:trPr>
          <w:trHeight w:val="196"/>
        </w:trPr>
        <w:tc>
          <w:tcPr>
            <w:tcW w:w="4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Postretirement</w:t>
            </w:r>
          </w:p>
        </w:tc>
      </w:tr>
      <w:tr>
        <w:trPr>
          <w:trHeight w:val="234"/>
        </w:trPr>
        <w:tc>
          <w:tcPr>
            <w:tcW w:w="45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Benefits</w:t>
            </w:r>
          </w:p>
        </w:tc>
      </w:tr>
      <w:tr>
        <w:trPr>
          <w:trHeight w:val="24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 (Predecessor):</w:t>
            </w: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January 1, 2024</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3,711</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193</w:t>
            </w: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40" w:type="dxa"/>
            <w:vAlign w:val="bottom"/>
          </w:tcPr>
          <w:p>
            <w:pPr>
              <w:spacing w:after="0"/>
              <w:rPr>
                <w:sz w:val="23"/>
                <w:szCs w:val="23"/>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w:t>
            </w: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tcPr>
          <w:p>
            <w:pPr>
              <w:spacing w:after="0"/>
              <w:rPr>
                <w:sz w:val="23"/>
                <w:szCs w:val="23"/>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198</w:t>
            </w:r>
          </w:p>
        </w:tc>
        <w:tc>
          <w:tcPr>
            <w:tcW w:w="460" w:type="dxa"/>
            <w:vAlign w:val="bottom"/>
          </w:tcPr>
          <w:p>
            <w:pPr>
              <w:spacing w:after="0"/>
              <w:rPr>
                <w:sz w:val="23"/>
                <w:szCs w:val="23"/>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w:t>
            </w: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940" w:type="dxa"/>
            <w:vAlign w:val="bottom"/>
          </w:tcPr>
          <w:p>
            <w:pPr>
              <w:spacing w:after="0"/>
              <w:rPr>
                <w:sz w:val="23"/>
                <w:szCs w:val="23"/>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(93)</w:t>
            </w:r>
          </w:p>
        </w:tc>
        <w:tc>
          <w:tcPr>
            <w:tcW w:w="460" w:type="dxa"/>
            <w:vAlign w:val="bottom"/>
          </w:tcPr>
          <w:p>
            <w:pPr>
              <w:spacing w:after="0"/>
              <w:rPr>
                <w:sz w:val="23"/>
                <w:szCs w:val="23"/>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(14)</w:t>
            </w: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940" w:type="dxa"/>
            <w:vAlign w:val="bottom"/>
          </w:tcPr>
          <w:p>
            <w:pPr>
              <w:spacing w:after="0"/>
              <w:rPr>
                <w:sz w:val="23"/>
                <w:szCs w:val="23"/>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(335)</w:t>
            </w:r>
          </w:p>
        </w:tc>
        <w:tc>
          <w:tcPr>
            <w:tcW w:w="460" w:type="dxa"/>
            <w:vAlign w:val="bottom"/>
          </w:tcPr>
          <w:p>
            <w:pPr>
              <w:spacing w:after="0"/>
              <w:rPr>
                <w:sz w:val="23"/>
                <w:szCs w:val="23"/>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(34)</w:t>
            </w: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940" w:type="dxa"/>
            <w:vAlign w:val="bottom"/>
          </w:tcPr>
          <w:p>
            <w:pPr>
              <w:spacing w:after="0"/>
              <w:rPr>
                <w:sz w:val="23"/>
                <w:szCs w:val="23"/>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w:t>
            </w: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940" w:type="dxa"/>
            <w:vAlign w:val="bottom"/>
          </w:tcPr>
          <w:p>
            <w:pPr>
              <w:spacing w:after="0"/>
              <w:rPr>
                <w:sz w:val="23"/>
                <w:szCs w:val="23"/>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w:t>
            </w:r>
          </w:p>
        </w:tc>
      </w:tr>
      <w:tr>
        <w:trPr>
          <w:trHeight w:val="25"/>
        </w:trPr>
        <w:tc>
          <w:tcPr>
            <w:tcW w:w="4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obligations at December 31, 2024 (Predecessor)</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3,481</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165</w:t>
            </w:r>
          </w:p>
        </w:tc>
      </w:tr>
      <w:tr>
        <w:trPr>
          <w:trHeight w:val="32"/>
        </w:trPr>
        <w:tc>
          <w:tcPr>
            <w:tcW w:w="4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II-105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735" w:right="1440" w:bottom="1440" w:gutter="0" w:footer="0" w:header="0"/>
        </w:sectPr>
      </w:pPr>
    </w:p>
    <w:bookmarkStart w:id="123" w:name="page124"/>
    <w:bookmarkEnd w:id="123"/>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set forth the change in plan assets for our pension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128270</wp:posOffset>
            </wp:positionV>
            <wp:extent cx="5418455"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18455" cy="16510"/>
                    </a:xfrm>
                    <a:prstGeom prst="rect">
                      <a:avLst/>
                    </a:prstGeom>
                    <a:noFill/>
                  </pic:spPr>
                </pic:pic>
              </a:graphicData>
            </a:graphic>
          </wp:anchor>
        </w:drawing>
      </w:r>
    </w:p>
    <w:p>
      <w:pPr>
        <w:spacing w:after="0" w:line="219" w:lineRule="exact"/>
        <w:rPr>
          <w:sz w:val="20"/>
          <w:szCs w:val="20"/>
          <w:color w:val="auto"/>
        </w:rPr>
      </w:pPr>
    </w:p>
    <w:tbl>
      <w:tblPr>
        <w:tblLayout w:type="fixed"/>
        <w:tblInd w:w="1360" w:type="dxa"/>
        <w:tblCellMar>
          <w:top w:w="0" w:type="dxa"/>
          <w:left w:w="0" w:type="dxa"/>
          <w:bottom w:w="0" w:type="dxa"/>
          <w:right w:w="0" w:type="dxa"/>
        </w:tblCellMar>
      </w:tblPr>
      <w:tr>
        <w:trPr>
          <w:trHeight w:val="199"/>
        </w:trPr>
        <w:tc>
          <w:tcPr>
            <w:tcW w:w="4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Postretirement</w:t>
            </w:r>
          </w:p>
        </w:tc>
      </w:tr>
      <w:tr>
        <w:trPr>
          <w:trHeight w:val="221"/>
        </w:trPr>
        <w:tc>
          <w:tcPr>
            <w:tcW w:w="49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Benefits</w:t>
            </w:r>
          </w:p>
        </w:tc>
      </w:tr>
      <w:tr>
        <w:trPr>
          <w:trHeight w:val="24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January 1, 2025 (Predecessor)</w:t>
            </w:r>
          </w:p>
        </w:tc>
        <w:tc>
          <w:tcPr>
            <w:tcW w:w="9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2,352</w:t>
            </w:r>
          </w:p>
        </w:tc>
        <w:tc>
          <w:tcPr>
            <w:tcW w:w="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980" w:type="dxa"/>
            <w:vAlign w:val="bottom"/>
          </w:tcPr>
          <w:p>
            <w:pPr>
              <w:spacing w:after="0"/>
              <w:rPr>
                <w:sz w:val="23"/>
                <w:szCs w:val="23"/>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77</w:t>
            </w:r>
          </w:p>
        </w:tc>
        <w:tc>
          <w:tcPr>
            <w:tcW w:w="480" w:type="dxa"/>
            <w:vAlign w:val="bottom"/>
          </w:tcPr>
          <w:p>
            <w:pPr>
              <w:spacing w:after="0"/>
              <w:rPr>
                <w:sz w:val="23"/>
                <w:szCs w:val="23"/>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980" w:type="dxa"/>
            <w:vAlign w:val="bottom"/>
          </w:tcPr>
          <w:p>
            <w:pPr>
              <w:spacing w:after="0"/>
              <w:rPr>
                <w:sz w:val="23"/>
                <w:szCs w:val="23"/>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172</w:t>
            </w:r>
          </w:p>
        </w:tc>
        <w:tc>
          <w:tcPr>
            <w:tcW w:w="480" w:type="dxa"/>
            <w:vAlign w:val="bottom"/>
          </w:tcPr>
          <w:p>
            <w:pPr>
              <w:spacing w:after="0"/>
              <w:rPr>
                <w:sz w:val="23"/>
                <w:szCs w:val="23"/>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19</w:t>
            </w:r>
          </w:p>
        </w:tc>
      </w:tr>
      <w:tr>
        <w:trPr>
          <w:trHeight w:val="26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980" w:type="dxa"/>
            <w:vAlign w:val="bottom"/>
          </w:tcPr>
          <w:p>
            <w:pPr>
              <w:spacing w:after="0"/>
              <w:rPr>
                <w:sz w:val="23"/>
                <w:szCs w:val="23"/>
                <w:color w:val="auto"/>
              </w:rPr>
            </w:pP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(232)</w:t>
            </w:r>
          </w:p>
        </w:tc>
        <w:tc>
          <w:tcPr>
            <w:tcW w:w="480" w:type="dxa"/>
            <w:vAlign w:val="bottom"/>
          </w:tcPr>
          <w:p>
            <w:pPr>
              <w:spacing w:after="0"/>
              <w:rPr>
                <w:sz w:val="23"/>
                <w:szCs w:val="23"/>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(31)</w:t>
            </w:r>
          </w:p>
        </w:tc>
      </w:tr>
      <w:tr>
        <w:trPr>
          <w:trHeight w:val="26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980" w:type="dxa"/>
            <w:vAlign w:val="bottom"/>
          </w:tcPr>
          <w:p>
            <w:pPr>
              <w:spacing w:after="0"/>
              <w:rPr>
                <w:sz w:val="23"/>
                <w:szCs w:val="23"/>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10</w:t>
            </w:r>
          </w:p>
        </w:tc>
      </w:tr>
      <w:tr>
        <w:trPr>
          <w:trHeight w:val="26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980" w:type="dxa"/>
            <w:vAlign w:val="bottom"/>
          </w:tcPr>
          <w:p>
            <w:pPr>
              <w:spacing w:after="0"/>
              <w:rPr>
                <w:sz w:val="23"/>
                <w:szCs w:val="23"/>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w:t>
            </w:r>
          </w:p>
        </w:tc>
      </w:tr>
      <w:tr>
        <w:trPr>
          <w:trHeight w:val="26"/>
        </w:trPr>
        <w:tc>
          <w:tcPr>
            <w:tcW w:w="4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August 6, 2025 (Predecessor)</w:t>
            </w:r>
          </w:p>
        </w:tc>
        <w:tc>
          <w:tcPr>
            <w:tcW w:w="980" w:type="dxa"/>
            <w:vAlign w:val="bottom"/>
          </w:tcPr>
          <w:p>
            <w:pPr>
              <w:spacing w:after="0"/>
              <w:rPr>
                <w:sz w:val="20"/>
                <w:szCs w:val="20"/>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2,369</w:t>
            </w:r>
          </w:p>
        </w:tc>
        <w:tc>
          <w:tcPr>
            <w:tcW w:w="480" w:type="dxa"/>
            <w:vAlign w:val="bottom"/>
          </w:tcPr>
          <w:p>
            <w:pPr>
              <w:spacing w:after="0"/>
              <w:rPr>
                <w:sz w:val="20"/>
                <w:szCs w:val="20"/>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r>
      <w:tr>
        <w:trPr>
          <w:trHeight w:val="111"/>
        </w:trPr>
        <w:tc>
          <w:tcPr>
            <w:tcW w:w="49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r>
        <w:trPr>
          <w:trHeight w:val="31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Paramount Global’s basis (Note 2)</w:t>
            </w:r>
          </w:p>
        </w:tc>
        <w:tc>
          <w:tcPr>
            <w:tcW w:w="980" w:type="dxa"/>
            <w:vAlign w:val="bottom"/>
          </w:tcPr>
          <w:p>
            <w:pPr>
              <w:spacing w:after="0"/>
              <w:rPr>
                <w:sz w:val="24"/>
                <w:szCs w:val="24"/>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85</w:t>
            </w:r>
          </w:p>
        </w:tc>
        <w:tc>
          <w:tcPr>
            <w:tcW w:w="480" w:type="dxa"/>
            <w:vAlign w:val="bottom"/>
          </w:tcPr>
          <w:p>
            <w:pPr>
              <w:spacing w:after="0"/>
              <w:rPr>
                <w:sz w:val="24"/>
                <w:szCs w:val="24"/>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August 7, 2025 (Successor)</w:t>
            </w:r>
          </w:p>
        </w:tc>
        <w:tc>
          <w:tcPr>
            <w:tcW w:w="980" w:type="dxa"/>
            <w:vAlign w:val="bottom"/>
          </w:tcPr>
          <w:p>
            <w:pPr>
              <w:spacing w:after="0"/>
              <w:rPr>
                <w:sz w:val="20"/>
                <w:szCs w:val="20"/>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2,454</w:t>
            </w:r>
          </w:p>
        </w:tc>
        <w:tc>
          <w:tcPr>
            <w:tcW w:w="480" w:type="dxa"/>
            <w:vAlign w:val="bottom"/>
          </w:tcPr>
          <w:p>
            <w:pPr>
              <w:spacing w:after="0"/>
              <w:rPr>
                <w:sz w:val="20"/>
                <w:szCs w:val="20"/>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980" w:type="dxa"/>
            <w:vAlign w:val="bottom"/>
          </w:tcPr>
          <w:p>
            <w:pPr>
              <w:spacing w:after="0"/>
              <w:rPr>
                <w:sz w:val="23"/>
                <w:szCs w:val="23"/>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80</w:t>
            </w:r>
          </w:p>
        </w:tc>
        <w:tc>
          <w:tcPr>
            <w:tcW w:w="480" w:type="dxa"/>
            <w:vAlign w:val="bottom"/>
          </w:tcPr>
          <w:p>
            <w:pPr>
              <w:spacing w:after="0"/>
              <w:rPr>
                <w:sz w:val="23"/>
                <w:szCs w:val="23"/>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980" w:type="dxa"/>
            <w:vAlign w:val="bottom"/>
          </w:tcPr>
          <w:p>
            <w:pPr>
              <w:spacing w:after="0"/>
              <w:rPr>
                <w:sz w:val="23"/>
                <w:szCs w:val="23"/>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115</w:t>
            </w:r>
          </w:p>
        </w:tc>
        <w:tc>
          <w:tcPr>
            <w:tcW w:w="480" w:type="dxa"/>
            <w:vAlign w:val="bottom"/>
          </w:tcPr>
          <w:p>
            <w:pPr>
              <w:spacing w:after="0"/>
              <w:rPr>
                <w:sz w:val="23"/>
                <w:szCs w:val="23"/>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11</w:t>
            </w:r>
          </w:p>
        </w:tc>
      </w:tr>
      <w:tr>
        <w:trPr>
          <w:trHeight w:val="26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980" w:type="dxa"/>
            <w:vAlign w:val="bottom"/>
          </w:tcPr>
          <w:p>
            <w:pPr>
              <w:spacing w:after="0"/>
              <w:rPr>
                <w:sz w:val="23"/>
                <w:szCs w:val="23"/>
                <w:color w:val="auto"/>
              </w:rPr>
            </w:pP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(107)</w:t>
            </w:r>
          </w:p>
        </w:tc>
        <w:tc>
          <w:tcPr>
            <w:tcW w:w="480" w:type="dxa"/>
            <w:vAlign w:val="bottom"/>
          </w:tcPr>
          <w:p>
            <w:pPr>
              <w:spacing w:after="0"/>
              <w:rPr>
                <w:sz w:val="23"/>
                <w:szCs w:val="23"/>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(17)</w:t>
            </w:r>
          </w:p>
        </w:tc>
      </w:tr>
      <w:tr>
        <w:trPr>
          <w:trHeight w:val="26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980" w:type="dxa"/>
            <w:vAlign w:val="bottom"/>
          </w:tcPr>
          <w:p>
            <w:pPr>
              <w:spacing w:after="0"/>
              <w:rPr>
                <w:sz w:val="23"/>
                <w:szCs w:val="23"/>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w:t>
            </w:r>
          </w:p>
        </w:tc>
      </w:tr>
      <w:tr>
        <w:trPr>
          <w:trHeight w:val="26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980" w:type="dxa"/>
            <w:vAlign w:val="bottom"/>
          </w:tcPr>
          <w:p>
            <w:pPr>
              <w:spacing w:after="0"/>
              <w:rPr>
                <w:sz w:val="23"/>
                <w:szCs w:val="23"/>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w:t>
            </w:r>
          </w:p>
        </w:tc>
      </w:tr>
      <w:tr>
        <w:trPr>
          <w:trHeight w:val="25"/>
        </w:trPr>
        <w:tc>
          <w:tcPr>
            <w:tcW w:w="4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December 31, 2025 (Successor)</w:t>
            </w:r>
          </w:p>
        </w:tc>
        <w:tc>
          <w:tcPr>
            <w:tcW w:w="9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2,542</w:t>
            </w:r>
          </w:p>
        </w:tc>
        <w:tc>
          <w:tcPr>
            <w:tcW w:w="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r>
      <w:tr>
        <w:trPr>
          <w:trHeight w:val="32"/>
        </w:trPr>
        <w:tc>
          <w:tcPr>
            <w:tcW w:w="4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32"/>
        </w:trPr>
        <w:tc>
          <w:tcPr>
            <w:tcW w:w="49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spacing w:after="0"/>
              <w:rPr>
                <w:sz w:val="20"/>
                <w:szCs w:val="20"/>
                <w:color w:val="auto"/>
              </w:rPr>
            </w:pPr>
          </w:p>
        </w:tc>
      </w:tr>
      <w:tr>
        <w:trPr>
          <w:trHeight w:val="196"/>
        </w:trPr>
        <w:tc>
          <w:tcPr>
            <w:tcW w:w="4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Postretirement</w:t>
            </w:r>
          </w:p>
        </w:tc>
      </w:tr>
      <w:tr>
        <w:trPr>
          <w:trHeight w:val="234"/>
        </w:trPr>
        <w:tc>
          <w:tcPr>
            <w:tcW w:w="49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Benefits</w:t>
            </w:r>
          </w:p>
        </w:tc>
      </w:tr>
      <w:tr>
        <w:trPr>
          <w:trHeight w:val="24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January 1, 2024</w:t>
            </w:r>
          </w:p>
        </w:tc>
        <w:tc>
          <w:tcPr>
            <w:tcW w:w="9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2,507</w:t>
            </w:r>
          </w:p>
        </w:tc>
        <w:tc>
          <w:tcPr>
            <w:tcW w:w="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980" w:type="dxa"/>
            <w:vAlign w:val="bottom"/>
          </w:tcPr>
          <w:p>
            <w:pPr>
              <w:spacing w:after="0"/>
              <w:rPr>
                <w:sz w:val="23"/>
                <w:szCs w:val="23"/>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tcPr>
          <w:p>
            <w:pPr>
              <w:spacing w:after="0"/>
              <w:rPr>
                <w:sz w:val="23"/>
                <w:szCs w:val="23"/>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980" w:type="dxa"/>
            <w:vAlign w:val="bottom"/>
          </w:tcPr>
          <w:p>
            <w:pPr>
              <w:spacing w:after="0"/>
              <w:rPr>
                <w:sz w:val="23"/>
                <w:szCs w:val="23"/>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80</w:t>
            </w:r>
          </w:p>
        </w:tc>
        <w:tc>
          <w:tcPr>
            <w:tcW w:w="480" w:type="dxa"/>
            <w:vAlign w:val="bottom"/>
          </w:tcPr>
          <w:p>
            <w:pPr>
              <w:spacing w:after="0"/>
              <w:rPr>
                <w:sz w:val="23"/>
                <w:szCs w:val="23"/>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25</w:t>
            </w:r>
          </w:p>
        </w:tc>
      </w:tr>
      <w:tr>
        <w:trPr>
          <w:trHeight w:val="26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980" w:type="dxa"/>
            <w:vAlign w:val="bottom"/>
          </w:tcPr>
          <w:p>
            <w:pPr>
              <w:spacing w:after="0"/>
              <w:rPr>
                <w:sz w:val="23"/>
                <w:szCs w:val="23"/>
                <w:color w:val="auto"/>
              </w:rPr>
            </w:pP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(335)</w:t>
            </w:r>
          </w:p>
        </w:tc>
        <w:tc>
          <w:tcPr>
            <w:tcW w:w="480" w:type="dxa"/>
            <w:vAlign w:val="bottom"/>
          </w:tcPr>
          <w:p>
            <w:pPr>
              <w:spacing w:after="0"/>
              <w:rPr>
                <w:sz w:val="23"/>
                <w:szCs w:val="23"/>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(34)</w:t>
            </w:r>
          </w:p>
        </w:tc>
      </w:tr>
      <w:tr>
        <w:trPr>
          <w:trHeight w:val="26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980" w:type="dxa"/>
            <w:vAlign w:val="bottom"/>
          </w:tcPr>
          <w:p>
            <w:pPr>
              <w:spacing w:after="0"/>
              <w:rPr>
                <w:sz w:val="23"/>
                <w:szCs w:val="23"/>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w:t>
            </w:r>
          </w:p>
        </w:tc>
      </w:tr>
      <w:tr>
        <w:trPr>
          <w:trHeight w:val="26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980" w:type="dxa"/>
            <w:vAlign w:val="bottom"/>
          </w:tcPr>
          <w:p>
            <w:pPr>
              <w:spacing w:after="0"/>
              <w:rPr>
                <w:sz w:val="23"/>
                <w:szCs w:val="23"/>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w:t>
            </w:r>
          </w:p>
        </w:tc>
      </w:tr>
      <w:tr>
        <w:trPr>
          <w:trHeight w:val="25"/>
        </w:trPr>
        <w:tc>
          <w:tcPr>
            <w:tcW w:w="4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December 31, 2024 (Predecessor)</w:t>
            </w:r>
          </w:p>
        </w:tc>
        <w:tc>
          <w:tcPr>
            <w:tcW w:w="9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2,352</w:t>
            </w:r>
          </w:p>
        </w:tc>
        <w:tc>
          <w:tcPr>
            <w:tcW w:w="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r>
      <w:tr>
        <w:trPr>
          <w:trHeight w:val="32"/>
        </w:trPr>
        <w:tc>
          <w:tcPr>
            <w:tcW w:w="4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funded status of pension and postretirement benefit obligations and the related amounts recognized on the Consolidated Balance Sheets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71755</wp:posOffset>
            </wp:positionV>
            <wp:extent cx="643636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36360" cy="16510"/>
                    </a:xfrm>
                    <a:prstGeom prst="rect">
                      <a:avLst/>
                    </a:prstGeom>
                    <a:noFill/>
                  </pic:spPr>
                </pic:pic>
              </a:graphicData>
            </a:graphic>
          </wp:anchor>
        </w:drawing>
      </w:r>
    </w:p>
    <w:p>
      <w:pPr>
        <w:spacing w:after="0" w:line="130" w:lineRule="exact"/>
        <w:rPr>
          <w:sz w:val="20"/>
          <w:szCs w:val="20"/>
          <w:color w:val="auto"/>
        </w:rPr>
      </w:pPr>
    </w:p>
    <w:tbl>
      <w:tblPr>
        <w:tblLayout w:type="fixed"/>
        <w:tblInd w:w="560" w:type="dxa"/>
        <w:tblCellMar>
          <w:top w:w="0" w:type="dxa"/>
          <w:left w:w="0" w:type="dxa"/>
          <w:bottom w:w="0" w:type="dxa"/>
          <w:right w:w="0" w:type="dxa"/>
        </w:tblCellMar>
      </w:tblPr>
      <w:tr>
        <w:trPr>
          <w:trHeight w:val="221"/>
        </w:trPr>
        <w:tc>
          <w:tcPr>
            <w:tcW w:w="4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r>
      <w:tr>
        <w:trPr>
          <w:trHeight w:val="232"/>
        </w:trPr>
        <w:tc>
          <w:tcPr>
            <w:tcW w:w="4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2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60" w:type="dxa"/>
            <w:vAlign w:val="bottom"/>
          </w:tcPr>
          <w:p>
            <w:pPr>
              <w:spacing w:after="0"/>
              <w:rPr>
                <w:sz w:val="20"/>
                <w:szCs w:val="20"/>
                <w:color w:val="auto"/>
              </w:rPr>
            </w:pPr>
          </w:p>
        </w:tc>
        <w:tc>
          <w:tcPr>
            <w:tcW w:w="110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280" w:type="dxa"/>
            <w:vAlign w:val="bottom"/>
          </w:tcPr>
          <w:p>
            <w:pPr>
              <w:spacing w:after="0"/>
              <w:rPr>
                <w:sz w:val="20"/>
                <w:szCs w:val="20"/>
                <w:color w:val="auto"/>
              </w:rPr>
            </w:pPr>
          </w:p>
        </w:tc>
        <w:tc>
          <w:tcPr>
            <w:tcW w:w="116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245"/>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right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(1,085)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6"/>
        </w:trPr>
        <w:tc>
          <w:tcPr>
            <w:tcW w:w="4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on the Consolidated Balance Sheets:</w:t>
            </w:r>
          </w:p>
        </w:tc>
        <w:tc>
          <w:tcPr>
            <w:tcW w:w="16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65"/>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3"/>
                <w:szCs w:val="23"/>
                <w:color w:val="auto"/>
              </w:rPr>
            </w:pPr>
          </w:p>
        </w:tc>
        <w:tc>
          <w:tcPr>
            <w:tcW w:w="1080" w:type="dxa"/>
            <w:vAlign w:val="bottom"/>
            <w:tcBorders>
              <w:right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5"/>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tcPr>
          <w:p>
            <w:pPr>
              <w:spacing w:after="0"/>
              <w:rPr>
                <w:sz w:val="23"/>
                <w:szCs w:val="23"/>
                <w:color w:val="auto"/>
              </w:rPr>
            </w:pPr>
          </w:p>
        </w:tc>
        <w:tc>
          <w:tcPr>
            <w:tcW w:w="1080" w:type="dxa"/>
            <w:vAlign w:val="bottom"/>
            <w:tcBorders>
              <w:right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(1,016)</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6"/>
        </w:trPr>
        <w:tc>
          <w:tcPr>
            <w:tcW w:w="4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amounts recognized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(1,085)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32"/>
        </w:trPr>
        <w:tc>
          <w:tcPr>
            <w:tcW w:w="4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7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type w:val="continuous"/>
        </w:sectPr>
      </w:pPr>
    </w:p>
    <w:bookmarkStart w:id="124" w:name="page125"/>
    <w:bookmarkEnd w:id="124"/>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Our qualified pension plans were underfunded by $255 million and $347 million at December 31, 2025 (Successor) and December 31, 2024 (Predecessor), respectively.</w:t>
      </w:r>
    </w:p>
    <w:p>
      <w:pPr>
        <w:spacing w:after="0" w:line="1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following amounts were recognized in accumulated other comprehensive income (loss) on the Consolidated Balance Sheets. In connection with the change in control of Paramount Global that established a new accounting basis, the historical equity of Paramount Global was reversed, including the accumulated other comprehensive income (loss) associated with our pension and other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62865</wp:posOffset>
            </wp:positionV>
            <wp:extent cx="6436360"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36360" cy="16510"/>
                    </a:xfrm>
                    <a:prstGeom prst="rect">
                      <a:avLst/>
                    </a:prstGeom>
                    <a:noFill/>
                  </pic:spPr>
                </pic:pic>
              </a:graphicData>
            </a:graphic>
          </wp:anchor>
        </w:drawing>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221"/>
        </w:trPr>
        <w:tc>
          <w:tcPr>
            <w:tcW w:w="4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r>
      <w:tr>
        <w:trPr>
          <w:trHeight w:val="232"/>
        </w:trPr>
        <w:tc>
          <w:tcPr>
            <w:tcW w:w="4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2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60" w:type="dxa"/>
            <w:vAlign w:val="bottom"/>
          </w:tcPr>
          <w:p>
            <w:pPr>
              <w:spacing w:after="0"/>
              <w:rPr>
                <w:sz w:val="20"/>
                <w:szCs w:val="20"/>
                <w:color w:val="auto"/>
              </w:rPr>
            </w:pPr>
          </w:p>
        </w:tc>
        <w:tc>
          <w:tcPr>
            <w:tcW w:w="1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280" w:type="dxa"/>
            <w:vAlign w:val="bottom"/>
          </w:tcPr>
          <w:p>
            <w:pPr>
              <w:spacing w:after="0"/>
              <w:rPr>
                <w:sz w:val="20"/>
                <w:szCs w:val="20"/>
                <w:color w:val="auto"/>
              </w:rPr>
            </w:pPr>
          </w:p>
        </w:tc>
        <w:tc>
          <w:tcPr>
            <w:tcW w:w="116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245"/>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actuarial (loss) gain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65"/>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prior service cost</w:t>
            </w:r>
          </w:p>
        </w:tc>
        <w:tc>
          <w:tcPr>
            <w:tcW w:w="160" w:type="dxa"/>
            <w:vAlign w:val="bottom"/>
          </w:tcPr>
          <w:p>
            <w:pPr>
              <w:spacing w:after="0"/>
              <w:rPr>
                <w:sz w:val="23"/>
                <w:szCs w:val="23"/>
                <w:color w:val="auto"/>
              </w:rPr>
            </w:pPr>
          </w:p>
        </w:tc>
        <w:tc>
          <w:tcPr>
            <w:tcW w:w="10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4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3"/>
        </w:trPr>
        <w:tc>
          <w:tcPr>
            <w:tcW w:w="4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65"/>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3"/>
                <w:szCs w:val="23"/>
                <w:color w:val="auto"/>
              </w:rPr>
            </w:pPr>
          </w:p>
        </w:tc>
        <w:tc>
          <w:tcPr>
            <w:tcW w:w="10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
        </w:trPr>
        <w:tc>
          <w:tcPr>
            <w:tcW w:w="4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amount recognized in accumulated other</w:t>
            </w:r>
          </w:p>
        </w:tc>
        <w:tc>
          <w:tcPr>
            <w:tcW w:w="16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1"/>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32"/>
        </w:trPr>
        <w:tc>
          <w:tcPr>
            <w:tcW w:w="4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9"/>
          <w:szCs w:val="19"/>
          <w:color w:val="auto"/>
        </w:rPr>
        <w:t>The accumulated benefit obligation for all defined benefit pension plans was $3.63 billion and $3.48 billion at December 31, 2025 (Successor) and December 31, 2024 (Predecessor),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Information for the pension plans with an accumulated benefit obligation in excess of plan assets is set forth below.</w:t>
      </w:r>
    </w:p>
    <w:p>
      <w:pPr>
        <w:spacing w:after="0" w:line="182" w:lineRule="exact"/>
        <w:rPr>
          <w:sz w:val="20"/>
          <w:szCs w:val="20"/>
          <w:color w:val="auto"/>
        </w:rPr>
      </w:pPr>
    </w:p>
    <w:tbl>
      <w:tblPr>
        <w:tblLayout w:type="fixed"/>
        <w:tblInd w:w="1480" w:type="dxa"/>
        <w:tblCellMar>
          <w:top w:w="0" w:type="dxa"/>
          <w:left w:w="0" w:type="dxa"/>
          <w:bottom w:w="0" w:type="dxa"/>
          <w:right w:w="0" w:type="dxa"/>
        </w:tblCellMar>
      </w:tblPr>
      <w:tr>
        <w:trPr>
          <w:trHeight w:val="258"/>
        </w:trPr>
        <w:tc>
          <w:tcPr>
            <w:tcW w:w="4060" w:type="dxa"/>
            <w:vAlign w:val="bottom"/>
            <w:tcBorders>
              <w:top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right w:val="single" w:sz="8" w:color="auto"/>
            </w:tcBorders>
          </w:tcPr>
          <w:p>
            <w:pPr>
              <w:jc w:val="right"/>
              <w:ind w:right="716"/>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54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245"/>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540" w:type="dxa"/>
            <w:vAlign w:val="bottom"/>
            <w:tcBorders>
              <w:bottom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jc w:val="right"/>
              <w:ind w:right="8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Projected and accumulated benefit obligation</w:t>
            </w: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right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color w:val="auto"/>
              </w:rPr>
              <w:t>3,083</w:t>
            </w: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2,960</w:t>
            </w:r>
          </w:p>
        </w:tc>
      </w:tr>
      <w:tr>
        <w:trPr>
          <w:trHeight w:val="371"/>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right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color w:val="auto"/>
              </w:rPr>
              <w:t>1,992</w:t>
            </w: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1,830</w:t>
            </w:r>
          </w:p>
        </w:tc>
      </w:tr>
      <w:tr>
        <w:trPr>
          <w:trHeight w:val="32"/>
        </w:trPr>
        <w:tc>
          <w:tcPr>
            <w:tcW w:w="4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25" w:name="page126"/>
    <w:bookmarkEnd w:id="125"/>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the components of net periodic cost (benefit) and amounts recognized in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128270</wp:posOffset>
            </wp:positionV>
            <wp:extent cx="599059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90590" cy="17145"/>
                    </a:xfrm>
                    <a:prstGeom prst="rect">
                      <a:avLst/>
                    </a:prstGeom>
                    <a:noFill/>
                  </pic:spPr>
                </pic:pic>
              </a:graphicData>
            </a:graphic>
          </wp:anchor>
        </w:drawing>
      </w:r>
    </w:p>
    <w:p>
      <w:pPr>
        <w:spacing w:after="0" w:line="219" w:lineRule="exact"/>
        <w:rPr>
          <w:sz w:val="20"/>
          <w:szCs w:val="20"/>
          <w:color w:val="auto"/>
        </w:rPr>
      </w:pPr>
    </w:p>
    <w:tbl>
      <w:tblPr>
        <w:tblLayout w:type="fixed"/>
        <w:tblInd w:w="900" w:type="dxa"/>
        <w:tblCellMar>
          <w:top w:w="0" w:type="dxa"/>
          <w:left w:w="0" w:type="dxa"/>
          <w:bottom w:w="0" w:type="dxa"/>
          <w:right w:w="0" w:type="dxa"/>
        </w:tblCellMar>
      </w:tblPr>
      <w:tr>
        <w:trPr>
          <w:trHeight w:val="221"/>
        </w:trPr>
        <w:tc>
          <w:tcPr>
            <w:tcW w:w="3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795"/>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2"/>
        </w:trPr>
        <w:tc>
          <w:tcPr>
            <w:tcW w:w="3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3640" w:type="dxa"/>
            <w:vAlign w:val="bottom"/>
          </w:tcPr>
          <w:p>
            <w:pPr>
              <w:spacing w:after="0"/>
              <w:rPr>
                <w:sz w:val="18"/>
                <w:szCs w:val="18"/>
                <w:color w:val="auto"/>
              </w:rPr>
            </w:pPr>
          </w:p>
        </w:tc>
        <w:tc>
          <w:tcPr>
            <w:tcW w:w="1420" w:type="dxa"/>
            <w:vAlign w:val="bottom"/>
            <w:tcBorders>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5"/>
        </w:trPr>
        <w:tc>
          <w:tcPr>
            <w:tcW w:w="3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Borders>
              <w:right w:val="single" w:sz="8" w:color="auto"/>
            </w:tcBorders>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1"/>
        </w:trPr>
        <w:tc>
          <w:tcPr>
            <w:tcW w:w="3640" w:type="dxa"/>
            <w:vAlign w:val="bottom"/>
          </w:tcPr>
          <w:p>
            <w:pPr>
              <w:spacing w:after="0"/>
              <w:rPr>
                <w:sz w:val="19"/>
                <w:szCs w:val="19"/>
                <w:color w:val="auto"/>
              </w:rPr>
            </w:pPr>
          </w:p>
        </w:tc>
        <w:tc>
          <w:tcPr>
            <w:tcW w:w="1420" w:type="dxa"/>
            <w:vAlign w:val="bottom"/>
            <w:tcBorders>
              <w:bottom w:val="single" w:sz="8" w:color="auto"/>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4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Pr>
          <w:p>
            <w:pPr>
              <w:spacing w:after="0"/>
              <w:rPr>
                <w:sz w:val="19"/>
                <w:szCs w:val="19"/>
                <w:color w:val="auto"/>
              </w:rPr>
            </w:pPr>
          </w:p>
        </w:tc>
      </w:tr>
      <w:tr>
        <w:trPr>
          <w:trHeight w:val="232"/>
        </w:trPr>
        <w:tc>
          <w:tcPr>
            <w:tcW w:w="3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ind w:right="31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20"/>
                <w:szCs w:val="20"/>
                <w:color w:val="auto"/>
              </w:rPr>
            </w:pPr>
          </w:p>
        </w:tc>
      </w:tr>
      <w:tr>
        <w:trPr>
          <w:trHeight w:val="24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cost:</w:t>
            </w:r>
          </w:p>
        </w:tc>
        <w:tc>
          <w:tcPr>
            <w:tcW w:w="30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5"/>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79</w:t>
            </w: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120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198</w:t>
            </w: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23"/>
                <w:szCs w:val="23"/>
                <w:color w:val="auto"/>
              </w:rPr>
            </w:pPr>
          </w:p>
        </w:tc>
      </w:tr>
      <w:tr>
        <w:trPr>
          <w:trHeight w:val="265"/>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tcPr>
          <w:p>
            <w:pPr>
              <w:spacing w:after="0"/>
              <w:rPr>
                <w:sz w:val="23"/>
                <w:szCs w:val="23"/>
                <w:color w:val="auto"/>
              </w:rPr>
            </w:pPr>
          </w:p>
        </w:tc>
        <w:tc>
          <w:tcPr>
            <w:tcW w:w="1120" w:type="dxa"/>
            <w:vAlign w:val="bottom"/>
            <w:tcBorders>
              <w:right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23"/>
                <w:szCs w:val="23"/>
                <w:color w:val="auto"/>
              </w:rPr>
            </w:pP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tcPr>
          <w:p>
            <w:pPr>
              <w:spacing w:after="0"/>
              <w:rPr>
                <w:sz w:val="23"/>
                <w:szCs w:val="23"/>
                <w:color w:val="auto"/>
              </w:rPr>
            </w:pP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(136)</w:t>
            </w:r>
          </w:p>
        </w:tc>
        <w:tc>
          <w:tcPr>
            <w:tcW w:w="520" w:type="dxa"/>
            <w:vAlign w:val="bottom"/>
          </w:tcPr>
          <w:p>
            <w:pPr>
              <w:spacing w:after="0"/>
              <w:rPr>
                <w:sz w:val="23"/>
                <w:szCs w:val="23"/>
                <w:color w:val="auto"/>
              </w:rPr>
            </w:pP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23"/>
                <w:szCs w:val="23"/>
                <w:color w:val="auto"/>
              </w:rPr>
            </w:pPr>
          </w:p>
        </w:tc>
      </w:tr>
      <w:tr>
        <w:trPr>
          <w:trHeight w:val="265"/>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300" w:type="dxa"/>
            <w:vAlign w:val="bottom"/>
          </w:tcPr>
          <w:p>
            <w:pPr>
              <w:spacing w:after="0"/>
              <w:rPr>
                <w:sz w:val="23"/>
                <w:szCs w:val="23"/>
                <w:color w:val="auto"/>
              </w:rPr>
            </w:pPr>
          </w:p>
        </w:tc>
        <w:tc>
          <w:tcPr>
            <w:tcW w:w="112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0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spacing w:after="0"/>
              <w:rPr>
                <w:sz w:val="23"/>
                <w:szCs w:val="23"/>
                <w:color w:val="auto"/>
              </w:rPr>
            </w:pP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80</w:t>
            </w:r>
          </w:p>
        </w:tc>
        <w:tc>
          <w:tcPr>
            <w:tcW w:w="520" w:type="dxa"/>
            <w:vAlign w:val="bottom"/>
          </w:tcPr>
          <w:p>
            <w:pPr>
              <w:spacing w:after="0"/>
              <w:rPr>
                <w:sz w:val="23"/>
                <w:szCs w:val="23"/>
                <w:color w:val="auto"/>
              </w:rPr>
            </w:pPr>
          </w:p>
        </w:tc>
        <w:tc>
          <w:tcPr>
            <w:tcW w:w="9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3"/>
                <w:szCs w:val="23"/>
                <w:color w:val="auto"/>
              </w:rPr>
            </w:pPr>
          </w:p>
        </w:tc>
      </w:tr>
      <w:tr>
        <w:trPr>
          <w:trHeight w:val="25"/>
        </w:trPr>
        <w:tc>
          <w:tcPr>
            <w:tcW w:w="3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5"/>
        </w:trPr>
        <w:tc>
          <w:tcPr>
            <w:tcW w:w="3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Net periodic cost </w:t>
            </w:r>
            <w:r>
              <w:rPr>
                <w:rFonts w:ascii="Times New Roman" w:cs="Times New Roman" w:eastAsia="Times New Roman" w:hAnsi="Times New Roman"/>
                <w:sz w:val="22"/>
                <w:szCs w:val="22"/>
                <w:color w:val="auto"/>
                <w:vertAlign w:val="superscript"/>
              </w:rPr>
              <w:t>(a)</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142</w:t>
            </w:r>
          </w:p>
        </w:tc>
        <w:tc>
          <w:tcPr>
            <w:tcW w:w="5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23"/>
                <w:szCs w:val="23"/>
                <w:color w:val="auto"/>
              </w:rPr>
            </w:pPr>
          </w:p>
        </w:tc>
      </w:tr>
      <w:tr>
        <w:trPr>
          <w:trHeight w:val="271"/>
        </w:trPr>
        <w:tc>
          <w:tcPr>
            <w:tcW w:w="36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3"/>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232"/>
        </w:trPr>
        <w:tc>
          <w:tcPr>
            <w:tcW w:w="3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2"/>
        </w:trPr>
        <w:tc>
          <w:tcPr>
            <w:tcW w:w="3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6"/>
        </w:trPr>
        <w:tc>
          <w:tcPr>
            <w:tcW w:w="3640" w:type="dxa"/>
            <w:vAlign w:val="bottom"/>
          </w:tcPr>
          <w:p>
            <w:pPr>
              <w:spacing w:after="0"/>
              <w:rPr>
                <w:sz w:val="17"/>
                <w:szCs w:val="17"/>
                <w:color w:val="auto"/>
              </w:rPr>
            </w:pPr>
          </w:p>
        </w:tc>
        <w:tc>
          <w:tcPr>
            <w:tcW w:w="1420" w:type="dxa"/>
            <w:vAlign w:val="bottom"/>
            <w:tcBorders>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6"/>
        </w:trPr>
        <w:tc>
          <w:tcPr>
            <w:tcW w:w="3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Borders>
              <w:right w:val="single" w:sz="8" w:color="auto"/>
            </w:tcBorders>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3640" w:type="dxa"/>
            <w:vAlign w:val="bottom"/>
          </w:tcPr>
          <w:p>
            <w:pPr>
              <w:spacing w:after="0"/>
              <w:rPr>
                <w:sz w:val="20"/>
                <w:szCs w:val="20"/>
                <w:color w:val="auto"/>
              </w:rPr>
            </w:pPr>
          </w:p>
        </w:tc>
        <w:tc>
          <w:tcPr>
            <w:tcW w:w="1420" w:type="dxa"/>
            <w:vAlign w:val="bottom"/>
            <w:tcBorders>
              <w:bottom w:val="single" w:sz="8" w:color="auto"/>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rPr>
              <w:t>August 6,</w:t>
            </w:r>
          </w:p>
        </w:tc>
        <w:tc>
          <w:tcPr>
            <w:tcW w:w="4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Borders>
              <w:bottom w:val="single" w:sz="8" w:color="auto"/>
            </w:tcBorders>
          </w:tcPr>
          <w:p>
            <w:pPr>
              <w:spacing w:after="0"/>
              <w:rPr>
                <w:sz w:val="20"/>
                <w:szCs w:val="20"/>
                <w:color w:val="auto"/>
              </w:rPr>
            </w:pPr>
          </w:p>
        </w:tc>
      </w:tr>
      <w:tr>
        <w:trPr>
          <w:trHeight w:val="232"/>
        </w:trPr>
        <w:tc>
          <w:tcPr>
            <w:tcW w:w="3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ind w:right="31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20"/>
                <w:szCs w:val="20"/>
                <w:color w:val="auto"/>
              </w:rPr>
            </w:pPr>
          </w:p>
        </w:tc>
      </w:tr>
      <w:tr>
        <w:trPr>
          <w:trHeight w:val="24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cost:</w:t>
            </w:r>
          </w:p>
        </w:tc>
        <w:tc>
          <w:tcPr>
            <w:tcW w:w="30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5"/>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3"/>
                <w:szCs w:val="23"/>
                <w:color w:val="auto"/>
              </w:rPr>
            </w:pPr>
          </w:p>
        </w:tc>
      </w:tr>
      <w:tr>
        <w:trPr>
          <w:trHeight w:val="265"/>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23"/>
                <w:szCs w:val="23"/>
                <w:color w:val="auto"/>
              </w:rPr>
            </w:pPr>
          </w:p>
        </w:tc>
        <w:tc>
          <w:tcPr>
            <w:tcW w:w="112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23"/>
                <w:szCs w:val="23"/>
                <w:color w:val="auto"/>
              </w:rPr>
            </w:pP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23"/>
                <w:szCs w:val="23"/>
                <w:color w:val="auto"/>
              </w:rPr>
            </w:pPr>
          </w:p>
        </w:tc>
        <w:tc>
          <w:tcPr>
            <w:tcW w:w="11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tcPr>
          <w:p>
            <w:pPr>
              <w:spacing w:after="0"/>
              <w:rPr>
                <w:sz w:val="23"/>
                <w:szCs w:val="23"/>
                <w:color w:val="auto"/>
              </w:rPr>
            </w:pPr>
          </w:p>
        </w:tc>
        <w:tc>
          <w:tcPr>
            <w:tcW w:w="9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3"/>
                <w:szCs w:val="23"/>
                <w:color w:val="auto"/>
              </w:rPr>
            </w:pPr>
          </w:p>
        </w:tc>
      </w:tr>
      <w:tr>
        <w:trPr>
          <w:trHeight w:val="265"/>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actuarial gains</w:t>
            </w:r>
          </w:p>
        </w:tc>
        <w:tc>
          <w:tcPr>
            <w:tcW w:w="300" w:type="dxa"/>
            <w:vAlign w:val="bottom"/>
          </w:tcPr>
          <w:p>
            <w:pPr>
              <w:spacing w:after="0"/>
              <w:rPr>
                <w:sz w:val="23"/>
                <w:szCs w:val="23"/>
                <w:color w:val="auto"/>
              </w:rPr>
            </w:pPr>
          </w:p>
        </w:tc>
        <w:tc>
          <w:tcPr>
            <w:tcW w:w="1120" w:type="dxa"/>
            <w:vAlign w:val="bottom"/>
            <w:tcBorders>
              <w:right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23"/>
                <w:szCs w:val="23"/>
                <w:color w:val="auto"/>
              </w:rPr>
            </w:pPr>
          </w:p>
        </w:tc>
        <w:tc>
          <w:tcPr>
            <w:tcW w:w="110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tcPr>
          <w:p>
            <w:pPr>
              <w:spacing w:after="0"/>
              <w:rPr>
                <w:sz w:val="23"/>
                <w:szCs w:val="23"/>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3"/>
                <w:szCs w:val="23"/>
                <w:color w:val="auto"/>
              </w:rPr>
            </w:pPr>
          </w:p>
        </w:tc>
      </w:tr>
      <w:tr>
        <w:trPr>
          <w:trHeight w:val="25"/>
        </w:trPr>
        <w:tc>
          <w:tcPr>
            <w:tcW w:w="3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5"/>
        </w:trPr>
        <w:tc>
          <w:tcPr>
            <w:tcW w:w="3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Net periodic cost (benefit) </w:t>
            </w:r>
            <w:r>
              <w:rPr>
                <w:rFonts w:ascii="Times New Roman" w:cs="Times New Roman" w:eastAsia="Times New Roman" w:hAnsi="Times New Roman"/>
                <w:sz w:val="22"/>
                <w:szCs w:val="22"/>
                <w:color w:val="auto"/>
                <w:vertAlign w:val="superscript"/>
              </w:rPr>
              <w:t>(a)</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23"/>
                <w:szCs w:val="23"/>
                <w:color w:val="auto"/>
              </w:rPr>
            </w:pPr>
          </w:p>
        </w:tc>
      </w:tr>
    </w:tbl>
    <w:p>
      <w:pPr>
        <w:spacing w:after="0" w:line="145" w:lineRule="exact"/>
        <w:rPr>
          <w:sz w:val="20"/>
          <w:szCs w:val="20"/>
          <w:color w:val="auto"/>
        </w:rPr>
      </w:pPr>
    </w:p>
    <w:p>
      <w:pPr>
        <w:ind w:left="1020" w:hanging="219"/>
        <w:spacing w:after="0"/>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reflected in net earnings from discontinued operations of $7 million for the year ended December 31, 2023.</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11" w:lineRule="exact"/>
        <w:rPr>
          <w:rFonts w:ascii="Times New Roman" w:cs="Times New Roman" w:eastAsia="Times New Roman" w:hAnsi="Times New Roman"/>
          <w:sz w:val="16"/>
          <w:szCs w:val="16"/>
          <w:color w:val="auto"/>
        </w:rPr>
      </w:pPr>
    </w:p>
    <w:p>
      <w:pPr>
        <w:ind w:left="5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II-108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20"/>
          </w:cols>
          <w:pgMar w:left="320" w:top="735" w:right="859" w:bottom="1440" w:gutter="0" w:footer="0" w:header="0"/>
        </w:sectPr>
      </w:pPr>
    </w:p>
    <w:bookmarkStart w:id="126" w:name="page127"/>
    <w:bookmarkEnd w:id="126"/>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9"/>
          <w:szCs w:val="19"/>
          <w:color w:val="auto"/>
        </w:rPr>
        <w:t>The service cost component of net periodic cost is presented on the Consolidated Statements of Operations within operating income. All other components of net periodic cost are presented below operating income, in “Other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71755</wp:posOffset>
            </wp:positionV>
            <wp:extent cx="630999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09995" cy="17145"/>
                    </a:xfrm>
                    <a:prstGeom prst="rect">
                      <a:avLst/>
                    </a:prstGeom>
                    <a:noFill/>
                  </pic:spPr>
                </pic:pic>
              </a:graphicData>
            </a:graphic>
          </wp:anchor>
        </w:drawing>
      </w:r>
    </w:p>
    <w:p>
      <w:pPr>
        <w:spacing w:after="0" w:line="130" w:lineRule="exact"/>
        <w:rPr>
          <w:sz w:val="20"/>
          <w:szCs w:val="20"/>
          <w:color w:val="auto"/>
        </w:rPr>
      </w:pPr>
    </w:p>
    <w:tbl>
      <w:tblPr>
        <w:tblLayout w:type="fixed"/>
        <w:tblInd w:w="660" w:type="dxa"/>
        <w:tblCellMar>
          <w:top w:w="0" w:type="dxa"/>
          <w:left w:w="0" w:type="dxa"/>
          <w:bottom w:w="0" w:type="dxa"/>
          <w:right w:w="0" w:type="dxa"/>
        </w:tblCellMar>
      </w:tblPr>
      <w:tr>
        <w:trPr>
          <w:trHeight w:val="221"/>
        </w:trPr>
        <w:tc>
          <w:tcPr>
            <w:tcW w:w="4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815"/>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r>
      <w:tr>
        <w:trPr>
          <w:trHeight w:val="232"/>
        </w:trPr>
        <w:tc>
          <w:tcPr>
            <w:tcW w:w="4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196"/>
        </w:trPr>
        <w:tc>
          <w:tcPr>
            <w:tcW w:w="4120" w:type="dxa"/>
            <w:vAlign w:val="bottom"/>
          </w:tcPr>
          <w:p>
            <w:pPr>
              <w:spacing w:after="0"/>
              <w:rPr>
                <w:sz w:val="17"/>
                <w:szCs w:val="17"/>
                <w:color w:val="auto"/>
              </w:rPr>
            </w:pPr>
          </w:p>
        </w:tc>
        <w:tc>
          <w:tcPr>
            <w:tcW w:w="1440" w:type="dxa"/>
            <w:vAlign w:val="bottom"/>
            <w:tcBorders>
              <w:right w:val="single" w:sz="8" w:color="auto"/>
            </w:tcBorders>
            <w:gridSpan w:val="2"/>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9"/>
        </w:trPr>
        <w:tc>
          <w:tcPr>
            <w:tcW w:w="4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Borders>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21"/>
        </w:trPr>
        <w:tc>
          <w:tcPr>
            <w:tcW w:w="4120" w:type="dxa"/>
            <w:vAlign w:val="bottom"/>
          </w:tcPr>
          <w:p>
            <w:pPr>
              <w:spacing w:after="0"/>
              <w:rPr>
                <w:sz w:val="19"/>
                <w:szCs w:val="19"/>
                <w:color w:val="auto"/>
              </w:rPr>
            </w:pPr>
          </w:p>
        </w:tc>
        <w:tc>
          <w:tcPr>
            <w:tcW w:w="144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4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Borders>
              <w:bottom w:val="single" w:sz="8" w:color="auto"/>
            </w:tcBorders>
          </w:tcPr>
          <w:p>
            <w:pPr>
              <w:spacing w:after="0"/>
              <w:rPr>
                <w:sz w:val="19"/>
                <w:szCs w:val="19"/>
                <w:color w:val="auto"/>
              </w:rPr>
            </w:pPr>
          </w:p>
        </w:tc>
      </w:tr>
      <w:tr>
        <w:trPr>
          <w:trHeight w:val="232"/>
        </w:trPr>
        <w:tc>
          <w:tcPr>
            <w:tcW w:w="4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20"/>
                <w:szCs w:val="20"/>
                <w:color w:val="auto"/>
              </w:rPr>
            </w:pP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65"/>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Actuarial (loss) gain</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57</w:t>
            </w:r>
          </w:p>
        </w:tc>
        <w:tc>
          <w:tcPr>
            <w:tcW w:w="92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93"/>
              </w:rPr>
              <w:t>(22)</w:t>
            </w:r>
          </w:p>
        </w:tc>
      </w:tr>
      <w:tr>
        <w:trPr>
          <w:trHeight w:val="265"/>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300" w:type="dxa"/>
            <w:vAlign w:val="bottom"/>
          </w:tcPr>
          <w:p>
            <w:pPr>
              <w:spacing w:after="0"/>
              <w:rPr>
                <w:sz w:val="23"/>
                <w:szCs w:val="23"/>
                <w:color w:val="auto"/>
              </w:rPr>
            </w:pPr>
          </w:p>
        </w:tc>
        <w:tc>
          <w:tcPr>
            <w:tcW w:w="114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spacing w:after="0"/>
              <w:rPr>
                <w:sz w:val="23"/>
                <w:szCs w:val="23"/>
                <w:color w:val="auto"/>
              </w:rPr>
            </w:pPr>
          </w:p>
        </w:tc>
        <w:tc>
          <w:tcPr>
            <w:tcW w:w="114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80</w:t>
            </w:r>
          </w:p>
        </w:tc>
        <w:tc>
          <w:tcPr>
            <w:tcW w:w="920" w:type="dxa"/>
            <w:vAlign w:val="bottom"/>
          </w:tcPr>
          <w:p>
            <w:pPr>
              <w:spacing w:after="0"/>
              <w:rPr>
                <w:sz w:val="23"/>
                <w:szCs w:val="23"/>
                <w:color w:val="auto"/>
              </w:rPr>
            </w:pP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83</w:t>
            </w:r>
          </w:p>
        </w:tc>
      </w:tr>
      <w:tr>
        <w:trPr>
          <w:trHeight w:val="26"/>
        </w:trPr>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3"/>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20"/>
                <w:szCs w:val="20"/>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spacing w:after="0"/>
              <w:rPr>
                <w:sz w:val="20"/>
                <w:szCs w:val="20"/>
                <w:color w:val="auto"/>
              </w:rPr>
            </w:pPr>
          </w:p>
        </w:tc>
        <w:tc>
          <w:tcPr>
            <w:tcW w:w="114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137</w:t>
            </w:r>
          </w:p>
        </w:tc>
        <w:tc>
          <w:tcPr>
            <w:tcW w:w="920" w:type="dxa"/>
            <w:vAlign w:val="bottom"/>
          </w:tcPr>
          <w:p>
            <w:pPr>
              <w:spacing w:after="0"/>
              <w:rPr>
                <w:sz w:val="20"/>
                <w:szCs w:val="20"/>
                <w:color w:val="auto"/>
              </w:rPr>
            </w:pP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61</w:t>
            </w:r>
          </w:p>
        </w:tc>
      </w:tr>
      <w:tr>
        <w:trPr>
          <w:trHeight w:val="26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23"/>
                <w:szCs w:val="23"/>
                <w:color w:val="auto"/>
              </w:rPr>
            </w:pPr>
          </w:p>
        </w:tc>
        <w:tc>
          <w:tcPr>
            <w:tcW w:w="114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3"/>
                <w:szCs w:val="23"/>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23"/>
                <w:szCs w:val="23"/>
                <w:color w:val="auto"/>
              </w:rPr>
            </w:pPr>
          </w:p>
        </w:tc>
        <w:tc>
          <w:tcPr>
            <w:tcW w:w="11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(34)</w:t>
            </w:r>
          </w:p>
        </w:tc>
        <w:tc>
          <w:tcPr>
            <w:tcW w:w="920" w:type="dxa"/>
            <w:vAlign w:val="bottom"/>
          </w:tcPr>
          <w:p>
            <w:pPr>
              <w:spacing w:after="0"/>
              <w:rPr>
                <w:sz w:val="23"/>
                <w:szCs w:val="23"/>
                <w:color w:val="auto"/>
              </w:rPr>
            </w:pPr>
          </w:p>
        </w:tc>
        <w:tc>
          <w:tcPr>
            <w:tcW w:w="5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93"/>
              </w:rPr>
              <w:t>(14)</w:t>
            </w:r>
          </w:p>
        </w:tc>
      </w:tr>
      <w:tr>
        <w:trPr>
          <w:trHeight w:val="25"/>
        </w:trPr>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3"/>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Recognized in other comprehensive income</w:t>
            </w:r>
          </w:p>
        </w:tc>
        <w:tc>
          <w:tcPr>
            <w:tcW w:w="3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1"/>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net of tax</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103</w:t>
            </w:r>
          </w:p>
        </w:tc>
        <w:tc>
          <w:tcPr>
            <w:tcW w:w="92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47</w:t>
            </w:r>
          </w:p>
        </w:tc>
      </w:tr>
      <w:tr>
        <w:trPr>
          <w:trHeight w:val="32"/>
        </w:trPr>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364"/>
        </w:trPr>
        <w:tc>
          <w:tcPr>
            <w:tcW w:w="4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32"/>
        </w:trPr>
        <w:tc>
          <w:tcPr>
            <w:tcW w:w="4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32"/>
        </w:trPr>
        <w:tc>
          <w:tcPr>
            <w:tcW w:w="4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right="31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196"/>
        </w:trPr>
        <w:tc>
          <w:tcPr>
            <w:tcW w:w="412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85"/>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Borders>
              <w:right w:val="single" w:sz="8" w:color="auto"/>
            </w:tcBorders>
          </w:tcPr>
          <w:p>
            <w:pPr>
              <w:jc w:val="center"/>
              <w:ind w:right="315"/>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1440" w:type="dxa"/>
            <w:vAlign w:val="bottom"/>
            <w:tcBorders>
              <w:bottom w:val="single" w:sz="8" w:color="auto"/>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4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Borders>
              <w:bottom w:val="single" w:sz="8" w:color="auto"/>
            </w:tcBorders>
          </w:tcPr>
          <w:p>
            <w:pPr>
              <w:spacing w:after="0"/>
              <w:rPr>
                <w:sz w:val="20"/>
                <w:szCs w:val="20"/>
                <w:color w:val="auto"/>
              </w:rPr>
            </w:pPr>
          </w:p>
        </w:tc>
      </w:tr>
      <w:tr>
        <w:trPr>
          <w:trHeight w:val="232"/>
        </w:trPr>
        <w:tc>
          <w:tcPr>
            <w:tcW w:w="4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20"/>
                <w:szCs w:val="20"/>
                <w:color w:val="auto"/>
              </w:rPr>
            </w:pPr>
          </w:p>
        </w:tc>
      </w:tr>
      <w:tr>
        <w:trPr>
          <w:trHeight w:val="24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65"/>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Actuarial (loss) gain</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w:t>
            </w:r>
          </w:p>
        </w:tc>
      </w:tr>
      <w:tr>
        <w:trPr>
          <w:trHeight w:val="265"/>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actuarial gains</w:t>
            </w:r>
          </w:p>
        </w:tc>
        <w:tc>
          <w:tcPr>
            <w:tcW w:w="300" w:type="dxa"/>
            <w:vAlign w:val="bottom"/>
          </w:tcPr>
          <w:p>
            <w:pPr>
              <w:spacing w:after="0"/>
              <w:rPr>
                <w:sz w:val="23"/>
                <w:szCs w:val="23"/>
                <w:color w:val="auto"/>
              </w:rPr>
            </w:pPr>
          </w:p>
        </w:tc>
        <w:tc>
          <w:tcPr>
            <w:tcW w:w="114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23"/>
                <w:szCs w:val="23"/>
                <w:color w:val="auto"/>
              </w:rPr>
            </w:pPr>
          </w:p>
        </w:tc>
        <w:tc>
          <w:tcPr>
            <w:tcW w:w="11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tcPr>
          <w:p>
            <w:pPr>
              <w:spacing w:after="0"/>
              <w:rPr>
                <w:sz w:val="23"/>
                <w:szCs w:val="23"/>
                <w:color w:val="auto"/>
              </w:rPr>
            </w:pPr>
          </w:p>
        </w:tc>
        <w:tc>
          <w:tcPr>
            <w:tcW w:w="5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93"/>
              </w:rPr>
              <w:t>(18)</w:t>
            </w:r>
          </w:p>
        </w:tc>
      </w:tr>
      <w:tr>
        <w:trPr>
          <w:trHeight w:val="25"/>
        </w:trPr>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3"/>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Borders>
              <w:right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0"/>
                <w:szCs w:val="20"/>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20"/>
                <w:szCs w:val="20"/>
                <w:color w:val="auto"/>
              </w:rPr>
            </w:pPr>
          </w:p>
        </w:tc>
        <w:tc>
          <w:tcPr>
            <w:tcW w:w="11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spacing w:after="0"/>
              <w:rPr>
                <w:sz w:val="20"/>
                <w:szCs w:val="20"/>
                <w:color w:val="auto"/>
              </w:rPr>
            </w:pPr>
          </w:p>
        </w:tc>
        <w:tc>
          <w:tcPr>
            <w:tcW w:w="5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w:t>
            </w:r>
          </w:p>
        </w:tc>
      </w:tr>
      <w:tr>
        <w:trPr>
          <w:trHeight w:val="26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23"/>
                <w:szCs w:val="23"/>
                <w:color w:val="auto"/>
              </w:rPr>
            </w:pPr>
          </w:p>
        </w:tc>
        <w:tc>
          <w:tcPr>
            <w:tcW w:w="114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23"/>
                <w:szCs w:val="23"/>
                <w:color w:val="auto"/>
              </w:rPr>
            </w:pPr>
          </w:p>
        </w:tc>
        <w:tc>
          <w:tcPr>
            <w:tcW w:w="114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spacing w:after="0"/>
              <w:rPr>
                <w:sz w:val="23"/>
                <w:szCs w:val="23"/>
                <w:color w:val="auto"/>
              </w:rPr>
            </w:pP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w:t>
            </w:r>
          </w:p>
        </w:tc>
      </w:tr>
      <w:tr>
        <w:trPr>
          <w:trHeight w:val="25"/>
        </w:trPr>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3"/>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Recognized in other comprehensive income</w:t>
            </w:r>
          </w:p>
        </w:tc>
        <w:tc>
          <w:tcPr>
            <w:tcW w:w="3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1"/>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net of tax</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w:t>
            </w:r>
          </w:p>
        </w:tc>
      </w:tr>
      <w:tr>
        <w:trPr>
          <w:trHeight w:val="32"/>
        </w:trPr>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27" w:name="page128"/>
    <w:bookmarkEnd w:id="127"/>
    <w:p>
      <w:pPr>
        <w:ind w:left="248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270510</wp:posOffset>
            </wp:positionV>
            <wp:extent cx="68148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148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6"/>
                <w:szCs w:val="16"/>
                <w:b w:val="1"/>
                <w:bCs w:val="1"/>
                <w:color w:val="auto"/>
                <w:w w:val="99"/>
              </w:rPr>
              <w:t>Pension Benefits</w:t>
            </w:r>
          </w:p>
        </w:tc>
        <w:tc>
          <w:tcPr>
            <w:tcW w:w="17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20" w:type="dxa"/>
            <w:vAlign w:val="bottom"/>
            <w:tcBorders>
              <w:bottom w:val="single" w:sz="8" w:color="auto"/>
              <w:right w:val="single" w:sz="8" w:color="auto"/>
            </w:tcBorders>
            <w:gridSpan w:val="3"/>
          </w:tcPr>
          <w:p>
            <w:pPr>
              <w:jc w:val="right"/>
              <w:ind w:right="1357"/>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center"/>
              <w:ind w:right="318"/>
              <w:spacing w:after="0"/>
              <w:rPr>
                <w:sz w:val="20"/>
                <w:szCs w:val="20"/>
                <w:color w:val="auto"/>
              </w:rPr>
            </w:pPr>
            <w:r>
              <w:rPr>
                <w:rFonts w:ascii="Times New Roman" w:cs="Times New Roman" w:eastAsia="Times New Roman" w:hAnsi="Times New Roman"/>
                <w:sz w:val="16"/>
                <w:szCs w:val="16"/>
                <w:b w:val="1"/>
                <w:bCs w:val="1"/>
                <w:color w:val="auto"/>
              </w:rPr>
              <w:t>At</w:t>
            </w:r>
          </w:p>
        </w:tc>
        <w:tc>
          <w:tcPr>
            <w:tcW w:w="12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At August 7,</w:t>
            </w: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benefit obligations:</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5"/>
        </w:trPr>
        <w:tc>
          <w:tcPr>
            <w:tcW w:w="20" w:type="dxa"/>
            <w:vAlign w:val="bottom"/>
          </w:tcPr>
          <w:p>
            <w:pPr>
              <w:spacing w:after="0"/>
              <w:rPr>
                <w:sz w:val="23"/>
                <w:szCs w:val="23"/>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6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5.7 %</w:t>
            </w:r>
          </w:p>
        </w:tc>
        <w:tc>
          <w:tcPr>
            <w:tcW w:w="1700" w:type="dxa"/>
            <w:vAlign w:val="bottom"/>
            <w:tcBorders>
              <w:right w:val="single" w:sz="8" w:color="auto"/>
            </w:tcBorders>
            <w:gridSpan w:val="2"/>
          </w:tcPr>
          <w:p>
            <w:pPr>
              <w:jc w:val="right"/>
              <w:ind w:right="257"/>
              <w:spacing w:after="0"/>
              <w:rPr>
                <w:sz w:val="20"/>
                <w:szCs w:val="20"/>
                <w:color w:val="auto"/>
              </w:rPr>
            </w:pPr>
            <w:r>
              <w:rPr>
                <w:rFonts w:ascii="Times New Roman" w:cs="Times New Roman" w:eastAsia="Times New Roman" w:hAnsi="Times New Roman"/>
                <w:sz w:val="18"/>
                <w:szCs w:val="18"/>
                <w:color w:val="auto"/>
              </w:rPr>
              <w:t>5.7 %</w:t>
            </w:r>
          </w:p>
        </w:tc>
        <w:tc>
          <w:tcPr>
            <w:tcW w:w="480" w:type="dxa"/>
            <w:vAlign w:val="bottom"/>
          </w:tcPr>
          <w:p>
            <w:pPr>
              <w:spacing w:after="0"/>
              <w:rPr>
                <w:sz w:val="23"/>
                <w:szCs w:val="23"/>
                <w:color w:val="auto"/>
              </w:rPr>
            </w:pPr>
          </w:p>
        </w:tc>
        <w:tc>
          <w:tcPr>
            <w:tcW w:w="178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6.0 %</w:t>
            </w: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5.6 %</w:t>
            </w:r>
          </w:p>
        </w:tc>
        <w:tc>
          <w:tcPr>
            <w:tcW w:w="20" w:type="dxa"/>
            <w:vAlign w:val="bottom"/>
          </w:tcPr>
          <w:p>
            <w:pPr>
              <w:spacing w:after="0"/>
              <w:rPr>
                <w:sz w:val="23"/>
                <w:szCs w:val="23"/>
                <w:color w:val="auto"/>
              </w:rPr>
            </w:pPr>
          </w:p>
        </w:tc>
      </w:tr>
      <w:tr>
        <w:trPr>
          <w:trHeight w:val="265"/>
        </w:trPr>
        <w:tc>
          <w:tcPr>
            <w:tcW w:w="20" w:type="dxa"/>
            <w:vAlign w:val="bottom"/>
          </w:tcPr>
          <w:p>
            <w:pPr>
              <w:spacing w:after="0"/>
              <w:rPr>
                <w:sz w:val="23"/>
                <w:szCs w:val="23"/>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60" w:type="dxa"/>
            <w:vAlign w:val="bottom"/>
          </w:tcPr>
          <w:p>
            <w:pPr>
              <w:spacing w:after="0"/>
              <w:rPr>
                <w:sz w:val="23"/>
                <w:szCs w:val="23"/>
                <w:color w:val="auto"/>
              </w:rPr>
            </w:pPr>
          </w:p>
        </w:tc>
        <w:tc>
          <w:tcPr>
            <w:tcW w:w="142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3"/>
                <w:szCs w:val="23"/>
                <w:color w:val="auto"/>
              </w:rPr>
            </w:pPr>
          </w:p>
        </w:tc>
        <w:tc>
          <w:tcPr>
            <w:tcW w:w="1580" w:type="dxa"/>
            <w:vAlign w:val="bottom"/>
            <w:tcBorders>
              <w:right w:val="single" w:sz="8" w:color="auto"/>
            </w:tcBorders>
          </w:tcPr>
          <w:p>
            <w:pPr>
              <w:jc w:val="right"/>
              <w:ind w:right="257"/>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3"/>
                <w:szCs w:val="23"/>
                <w:color w:val="auto"/>
              </w:rPr>
            </w:pPr>
          </w:p>
        </w:tc>
        <w:tc>
          <w:tcPr>
            <w:tcW w:w="178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3"/>
                <w:szCs w:val="23"/>
                <w:color w:val="auto"/>
              </w:rPr>
            </w:pPr>
          </w:p>
        </w:tc>
      </w:tr>
      <w:tr>
        <w:trPr>
          <w:trHeight w:val="32"/>
        </w:trPr>
        <w:tc>
          <w:tcPr>
            <w:tcW w:w="2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6"/>
                <w:szCs w:val="16"/>
                <w:b w:val="1"/>
                <w:bCs w:val="1"/>
                <w:color w:val="auto"/>
                <w:w w:val="99"/>
              </w:rPr>
              <w:t>Pension Benefits</w:t>
            </w:r>
          </w:p>
        </w:tc>
        <w:tc>
          <w:tcPr>
            <w:tcW w:w="1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ind w:right="278"/>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jc w:val="right"/>
              <w:ind w:right="996"/>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jc w:val="center"/>
              <w:ind w:right="60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680" w:type="dxa"/>
            <w:vAlign w:val="bottom"/>
            <w:tcBorders>
              <w:right w:val="single" w:sz="8" w:color="auto"/>
            </w:tcBorders>
            <w:gridSpan w:val="2"/>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Period From August 7</w:t>
            </w:r>
          </w:p>
        </w:tc>
        <w:tc>
          <w:tcPr>
            <w:tcW w:w="120" w:type="dxa"/>
            <w:vAlign w:val="bottom"/>
          </w:tcPr>
          <w:p>
            <w:pPr>
              <w:spacing w:after="0"/>
              <w:rPr>
                <w:sz w:val="16"/>
                <w:szCs w:val="16"/>
                <w:color w:val="auto"/>
              </w:rPr>
            </w:pPr>
          </w:p>
        </w:tc>
        <w:tc>
          <w:tcPr>
            <w:tcW w:w="2060" w:type="dxa"/>
            <w:vAlign w:val="bottom"/>
            <w:gridSpan w:val="2"/>
          </w:tcPr>
          <w:p>
            <w:pPr>
              <w:jc w:val="center"/>
              <w:ind w:right="601"/>
              <w:spacing w:after="0"/>
              <w:rPr>
                <w:sz w:val="20"/>
                <w:szCs w:val="20"/>
                <w:color w:val="auto"/>
              </w:rPr>
            </w:pPr>
            <w:r>
              <w:rPr>
                <w:rFonts w:ascii="Times New Roman" w:cs="Times New Roman" w:eastAsia="Times New Roman" w:hAnsi="Times New Roman"/>
                <w:sz w:val="16"/>
                <w:szCs w:val="16"/>
                <w:b w:val="1"/>
                <w:bCs w:val="1"/>
                <w:color w:val="auto"/>
                <w:w w:val="99"/>
              </w:rPr>
              <w:t>January 1 - August</w:t>
            </w:r>
          </w:p>
        </w:tc>
        <w:tc>
          <w:tcPr>
            <w:tcW w:w="1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ind w:right="278"/>
              <w:spacing w:after="0"/>
              <w:rPr>
                <w:sz w:val="20"/>
                <w:szCs w:val="20"/>
                <w:color w:val="auto"/>
              </w:rPr>
            </w:pPr>
            <w:r>
              <w:rPr>
                <w:rFonts w:ascii="Times New Roman" w:cs="Times New Roman" w:eastAsia="Times New Roman" w:hAnsi="Times New Roman"/>
                <w:sz w:val="16"/>
                <w:szCs w:val="16"/>
                <w:b w:val="1"/>
                <w:bCs w:val="1"/>
                <w:color w:val="auto"/>
                <w:w w:val="99"/>
              </w:rPr>
              <w:t>- December 31,</w:t>
            </w:r>
          </w:p>
        </w:tc>
        <w:tc>
          <w:tcPr>
            <w:tcW w:w="1700" w:type="dxa"/>
            <w:vAlign w:val="bottom"/>
            <w:tcBorders>
              <w:bottom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6,</w:t>
            </w:r>
          </w:p>
        </w:tc>
        <w:tc>
          <w:tcPr>
            <w:tcW w:w="4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2"/>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w:t>
            </w:r>
          </w:p>
        </w:tc>
        <w:tc>
          <w:tcPr>
            <w:tcW w:w="26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periodic costs:</w:t>
            </w:r>
          </w:p>
        </w:tc>
        <w:tc>
          <w:tcPr>
            <w:tcW w:w="26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5"/>
        </w:trPr>
        <w:tc>
          <w:tcPr>
            <w:tcW w:w="20" w:type="dxa"/>
            <w:vAlign w:val="bottom"/>
          </w:tcPr>
          <w:p>
            <w:pPr>
              <w:spacing w:after="0"/>
              <w:rPr>
                <w:sz w:val="23"/>
                <w:szCs w:val="23"/>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680" w:type="dxa"/>
            <w:vAlign w:val="bottom"/>
            <w:tcBorders>
              <w:right w:val="single" w:sz="8" w:color="auto"/>
            </w:tcBorders>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5.7 %</w:t>
            </w:r>
          </w:p>
        </w:tc>
        <w:tc>
          <w:tcPr>
            <w:tcW w:w="1700" w:type="dxa"/>
            <w:vAlign w:val="bottom"/>
            <w:gridSpan w:val="2"/>
          </w:tcPr>
          <w:p>
            <w:pPr>
              <w:jc w:val="right"/>
              <w:ind w:right="257"/>
              <w:spacing w:after="0"/>
              <w:rPr>
                <w:sz w:val="20"/>
                <w:szCs w:val="20"/>
                <w:color w:val="auto"/>
              </w:rPr>
            </w:pPr>
            <w:r>
              <w:rPr>
                <w:rFonts w:ascii="Times New Roman" w:cs="Times New Roman" w:eastAsia="Times New Roman" w:hAnsi="Times New Roman"/>
                <w:sz w:val="18"/>
                <w:szCs w:val="18"/>
                <w:color w:val="auto"/>
              </w:rPr>
              <w:t>6.0 %</w:t>
            </w:r>
          </w:p>
        </w:tc>
        <w:tc>
          <w:tcPr>
            <w:tcW w:w="480" w:type="dxa"/>
            <w:vAlign w:val="bottom"/>
          </w:tcPr>
          <w:p>
            <w:pPr>
              <w:spacing w:after="0"/>
              <w:rPr>
                <w:sz w:val="23"/>
                <w:szCs w:val="23"/>
                <w:color w:val="auto"/>
              </w:rPr>
            </w:pPr>
          </w:p>
        </w:tc>
        <w:tc>
          <w:tcPr>
            <w:tcW w:w="178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5.6 %</w:t>
            </w: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5.9 %</w:t>
            </w:r>
          </w:p>
        </w:tc>
        <w:tc>
          <w:tcPr>
            <w:tcW w:w="20" w:type="dxa"/>
            <w:vAlign w:val="bottom"/>
          </w:tcPr>
          <w:p>
            <w:pPr>
              <w:spacing w:after="0"/>
              <w:rPr>
                <w:sz w:val="23"/>
                <w:szCs w:val="23"/>
                <w:color w:val="auto"/>
              </w:rPr>
            </w:pPr>
          </w:p>
        </w:tc>
      </w:tr>
      <w:tr>
        <w:trPr>
          <w:trHeight w:val="265"/>
        </w:trPr>
        <w:tc>
          <w:tcPr>
            <w:tcW w:w="20" w:type="dxa"/>
            <w:vAlign w:val="bottom"/>
          </w:tcPr>
          <w:p>
            <w:pPr>
              <w:spacing w:after="0"/>
              <w:rPr>
                <w:sz w:val="23"/>
                <w:szCs w:val="23"/>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680" w:type="dxa"/>
            <w:vAlign w:val="bottom"/>
            <w:tcBorders>
              <w:right w:val="single" w:sz="8" w:color="auto"/>
            </w:tcBorders>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5.6 %</w:t>
            </w:r>
          </w:p>
        </w:tc>
        <w:tc>
          <w:tcPr>
            <w:tcW w:w="1700" w:type="dxa"/>
            <w:vAlign w:val="bottom"/>
            <w:gridSpan w:val="2"/>
          </w:tcPr>
          <w:p>
            <w:pPr>
              <w:jc w:val="right"/>
              <w:ind w:right="257"/>
              <w:spacing w:after="0"/>
              <w:rPr>
                <w:sz w:val="20"/>
                <w:szCs w:val="20"/>
                <w:color w:val="auto"/>
              </w:rPr>
            </w:pPr>
            <w:r>
              <w:rPr>
                <w:rFonts w:ascii="Times New Roman" w:cs="Times New Roman" w:eastAsia="Times New Roman" w:hAnsi="Times New Roman"/>
                <w:sz w:val="18"/>
                <w:szCs w:val="18"/>
                <w:color w:val="auto"/>
              </w:rPr>
              <w:t>5.6 %</w:t>
            </w:r>
          </w:p>
        </w:tc>
        <w:tc>
          <w:tcPr>
            <w:tcW w:w="480" w:type="dxa"/>
            <w:vAlign w:val="bottom"/>
          </w:tcPr>
          <w:p>
            <w:pPr>
              <w:spacing w:after="0"/>
              <w:rPr>
                <w:sz w:val="23"/>
                <w:szCs w:val="23"/>
                <w:color w:val="auto"/>
              </w:rPr>
            </w:pPr>
          </w:p>
        </w:tc>
        <w:tc>
          <w:tcPr>
            <w:tcW w:w="178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5.7 %</w:t>
            </w: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5.7 %</w:t>
            </w:r>
          </w:p>
        </w:tc>
        <w:tc>
          <w:tcPr>
            <w:tcW w:w="20" w:type="dxa"/>
            <w:vAlign w:val="bottom"/>
          </w:tcPr>
          <w:p>
            <w:pPr>
              <w:spacing w:after="0"/>
              <w:rPr>
                <w:sz w:val="23"/>
                <w:szCs w:val="23"/>
                <w:color w:val="auto"/>
              </w:rPr>
            </w:pPr>
          </w:p>
        </w:tc>
      </w:tr>
      <w:tr>
        <w:trPr>
          <w:trHeight w:val="265"/>
        </w:trPr>
        <w:tc>
          <w:tcPr>
            <w:tcW w:w="20" w:type="dxa"/>
            <w:vAlign w:val="bottom"/>
          </w:tcPr>
          <w:p>
            <w:pPr>
              <w:spacing w:after="0"/>
              <w:rPr>
                <w:sz w:val="23"/>
                <w:szCs w:val="23"/>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balance interest crediting rate</w:t>
            </w:r>
          </w:p>
        </w:tc>
        <w:tc>
          <w:tcPr>
            <w:tcW w:w="1680" w:type="dxa"/>
            <w:vAlign w:val="bottom"/>
            <w:tcBorders>
              <w:right w:val="single" w:sz="8" w:color="auto"/>
            </w:tcBorders>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5.3 %</w:t>
            </w:r>
          </w:p>
        </w:tc>
        <w:tc>
          <w:tcPr>
            <w:tcW w:w="1700" w:type="dxa"/>
            <w:vAlign w:val="bottom"/>
            <w:gridSpan w:val="2"/>
          </w:tcPr>
          <w:p>
            <w:pPr>
              <w:jc w:val="right"/>
              <w:ind w:right="257"/>
              <w:spacing w:after="0"/>
              <w:rPr>
                <w:sz w:val="20"/>
                <w:szCs w:val="20"/>
                <w:color w:val="auto"/>
              </w:rPr>
            </w:pPr>
            <w:r>
              <w:rPr>
                <w:rFonts w:ascii="Times New Roman" w:cs="Times New Roman" w:eastAsia="Times New Roman" w:hAnsi="Times New Roman"/>
                <w:sz w:val="18"/>
                <w:szCs w:val="18"/>
                <w:color w:val="auto"/>
              </w:rPr>
              <w:t>5.3 %</w:t>
            </w:r>
          </w:p>
        </w:tc>
        <w:tc>
          <w:tcPr>
            <w:tcW w:w="480" w:type="dxa"/>
            <w:vAlign w:val="bottom"/>
          </w:tcPr>
          <w:p>
            <w:pPr>
              <w:spacing w:after="0"/>
              <w:rPr>
                <w:sz w:val="23"/>
                <w:szCs w:val="23"/>
                <w:color w:val="auto"/>
              </w:rPr>
            </w:pPr>
          </w:p>
        </w:tc>
        <w:tc>
          <w:tcPr>
            <w:tcW w:w="178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5.0 %</w:t>
            </w: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5.0 %</w:t>
            </w:r>
          </w:p>
        </w:tc>
        <w:tc>
          <w:tcPr>
            <w:tcW w:w="20" w:type="dxa"/>
            <w:vAlign w:val="bottom"/>
          </w:tcPr>
          <w:p>
            <w:pPr>
              <w:spacing w:after="0"/>
              <w:rPr>
                <w:sz w:val="23"/>
                <w:szCs w:val="23"/>
                <w:color w:val="auto"/>
              </w:rPr>
            </w:pPr>
          </w:p>
        </w:tc>
      </w:tr>
      <w:tr>
        <w:trPr>
          <w:trHeight w:val="265"/>
        </w:trPr>
        <w:tc>
          <w:tcPr>
            <w:tcW w:w="20" w:type="dxa"/>
            <w:vAlign w:val="bottom"/>
          </w:tcPr>
          <w:p>
            <w:pPr>
              <w:spacing w:after="0"/>
              <w:rPr>
                <w:sz w:val="23"/>
                <w:szCs w:val="23"/>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60" w:type="dxa"/>
            <w:vAlign w:val="bottom"/>
          </w:tcPr>
          <w:p>
            <w:pPr>
              <w:spacing w:after="0"/>
              <w:rPr>
                <w:sz w:val="23"/>
                <w:szCs w:val="23"/>
                <w:color w:val="auto"/>
              </w:rPr>
            </w:pPr>
          </w:p>
        </w:tc>
        <w:tc>
          <w:tcPr>
            <w:tcW w:w="1420" w:type="dxa"/>
            <w:vAlign w:val="bottom"/>
            <w:tcBorders>
              <w:right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3"/>
                <w:szCs w:val="23"/>
                <w:color w:val="auto"/>
              </w:rPr>
            </w:pPr>
          </w:p>
        </w:tc>
        <w:tc>
          <w:tcPr>
            <w:tcW w:w="2060" w:type="dxa"/>
            <w:vAlign w:val="bottom"/>
            <w:gridSpan w:val="2"/>
          </w:tcPr>
          <w:p>
            <w:pPr>
              <w:jc w:val="right"/>
              <w:ind w:right="741"/>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3"/>
                <w:szCs w:val="23"/>
                <w:color w:val="auto"/>
              </w:rPr>
            </w:pPr>
          </w:p>
        </w:tc>
      </w:tr>
      <w:tr>
        <w:trPr>
          <w:trHeight w:val="32"/>
        </w:trPr>
        <w:tc>
          <w:tcPr>
            <w:tcW w:w="2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64"/>
        </w:trPr>
        <w:tc>
          <w:tcPr>
            <w:tcW w:w="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3"/>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3"/>
          </w:tcPr>
          <w:p>
            <w:pPr>
              <w:jc w:val="right"/>
              <w:ind w:right="1336"/>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tcBorders>
              <w:bottom w:val="single" w:sz="8" w:color="auto"/>
              <w:right w:val="single" w:sz="8" w:color="auto"/>
            </w:tcBorders>
            <w:gridSpan w:val="3"/>
          </w:tcPr>
          <w:p>
            <w:pPr>
              <w:jc w:val="right"/>
              <w:ind w:right="1217"/>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120" w:type="dxa"/>
            <w:vAlign w:val="bottom"/>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7"/>
              </w:rPr>
              <w:t>At August 7,</w:t>
            </w: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2"/>
        </w:trPr>
        <w:tc>
          <w:tcPr>
            <w:tcW w:w="2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700" w:type="dxa"/>
            <w:vAlign w:val="bottom"/>
            <w:tcBorders>
              <w:bottom w:val="single" w:sz="8" w:color="auto"/>
              <w:right w:val="single" w:sz="8" w:color="auto"/>
            </w:tcBorders>
            <w:gridSpan w:val="2"/>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1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20"/>
                <w:szCs w:val="20"/>
                <w:color w:val="auto"/>
              </w:rPr>
            </w:pPr>
          </w:p>
        </w:tc>
      </w:tr>
      <w:tr>
        <w:trPr>
          <w:trHeight w:val="218"/>
        </w:trPr>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 benefit</w:t>
            </w:r>
          </w:p>
        </w:tc>
        <w:tc>
          <w:tcPr>
            <w:tcW w:w="12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obligations:</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5"/>
        </w:trPr>
        <w:tc>
          <w:tcPr>
            <w:tcW w:w="20" w:type="dxa"/>
            <w:vAlign w:val="bottom"/>
          </w:tcPr>
          <w:p>
            <w:pPr>
              <w:spacing w:after="0"/>
              <w:rPr>
                <w:sz w:val="23"/>
                <w:szCs w:val="23"/>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16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5.4 %</w:t>
            </w:r>
          </w:p>
        </w:tc>
        <w:tc>
          <w:tcPr>
            <w:tcW w:w="1700" w:type="dxa"/>
            <w:vAlign w:val="bottom"/>
            <w:tcBorders>
              <w:right w:val="single" w:sz="8" w:color="auto"/>
            </w:tcBorders>
            <w:gridSpan w:val="2"/>
          </w:tcPr>
          <w:p>
            <w:pPr>
              <w:jc w:val="right"/>
              <w:ind w:right="277"/>
              <w:spacing w:after="0"/>
              <w:rPr>
                <w:sz w:val="20"/>
                <w:szCs w:val="20"/>
                <w:color w:val="auto"/>
              </w:rPr>
            </w:pPr>
            <w:r>
              <w:rPr>
                <w:rFonts w:ascii="Times New Roman" w:cs="Times New Roman" w:eastAsia="Times New Roman" w:hAnsi="Times New Roman"/>
                <w:sz w:val="18"/>
                <w:szCs w:val="18"/>
                <w:color w:val="auto"/>
              </w:rPr>
              <w:t>5.5 %</w:t>
            </w:r>
          </w:p>
        </w:tc>
        <w:tc>
          <w:tcPr>
            <w:tcW w:w="480" w:type="dxa"/>
            <w:vAlign w:val="bottom"/>
          </w:tcPr>
          <w:p>
            <w:pPr>
              <w:spacing w:after="0"/>
              <w:rPr>
                <w:sz w:val="23"/>
                <w:szCs w:val="23"/>
                <w:color w:val="auto"/>
              </w:rPr>
            </w:pPr>
          </w:p>
        </w:tc>
        <w:tc>
          <w:tcPr>
            <w:tcW w:w="178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6.1 %</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5.7 %</w:t>
            </w:r>
          </w:p>
        </w:tc>
        <w:tc>
          <w:tcPr>
            <w:tcW w:w="20" w:type="dxa"/>
            <w:vAlign w:val="bottom"/>
          </w:tcPr>
          <w:p>
            <w:pPr>
              <w:spacing w:after="0"/>
              <w:rPr>
                <w:sz w:val="23"/>
                <w:szCs w:val="23"/>
                <w:color w:val="auto"/>
              </w:rPr>
            </w:pPr>
          </w:p>
        </w:tc>
      </w:tr>
      <w:tr>
        <w:trPr>
          <w:trHeight w:val="265"/>
        </w:trPr>
        <w:tc>
          <w:tcPr>
            <w:tcW w:w="20" w:type="dxa"/>
            <w:vAlign w:val="bottom"/>
          </w:tcPr>
          <w:p>
            <w:pPr>
              <w:spacing w:after="0"/>
              <w:rPr>
                <w:sz w:val="23"/>
                <w:szCs w:val="23"/>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60" w:type="dxa"/>
            <w:vAlign w:val="bottom"/>
          </w:tcPr>
          <w:p>
            <w:pPr>
              <w:spacing w:after="0"/>
              <w:rPr>
                <w:sz w:val="23"/>
                <w:szCs w:val="23"/>
                <w:color w:val="auto"/>
              </w:rPr>
            </w:pPr>
          </w:p>
        </w:tc>
        <w:tc>
          <w:tcPr>
            <w:tcW w:w="14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3"/>
                <w:szCs w:val="23"/>
                <w:color w:val="auto"/>
              </w:rPr>
            </w:pPr>
          </w:p>
        </w:tc>
        <w:tc>
          <w:tcPr>
            <w:tcW w:w="1580" w:type="dxa"/>
            <w:vAlign w:val="bottom"/>
            <w:tcBorders>
              <w:right w:val="single" w:sz="8" w:color="auto"/>
            </w:tcBorders>
          </w:tcPr>
          <w:p>
            <w:pPr>
              <w:jc w:val="right"/>
              <w:ind w:right="277"/>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tcPr>
          <w:p>
            <w:pPr>
              <w:spacing w:after="0"/>
              <w:rPr>
                <w:sz w:val="23"/>
                <w:szCs w:val="23"/>
                <w:color w:val="auto"/>
              </w:rPr>
            </w:pPr>
          </w:p>
        </w:tc>
        <w:tc>
          <w:tcPr>
            <w:tcW w:w="178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23"/>
                <w:szCs w:val="23"/>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5"/>
        </w:trPr>
        <w:tc>
          <w:tcPr>
            <w:tcW w:w="20" w:type="dxa"/>
            <w:vAlign w:val="bottom"/>
            <w:tcBorders>
              <w:bottom w:val="single" w:sz="8" w:color="auto"/>
            </w:tcBorders>
          </w:tcPr>
          <w:p>
            <w:pPr>
              <w:spacing w:after="0"/>
              <w:rPr>
                <w:sz w:val="21"/>
                <w:szCs w:val="21"/>
                <w:color w:val="auto"/>
              </w:rPr>
            </w:pPr>
          </w:p>
        </w:tc>
        <w:tc>
          <w:tcPr>
            <w:tcW w:w="4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3"/>
          </w:tcPr>
          <w:p>
            <w:pPr>
              <w:jc w:val="right"/>
              <w:ind w:right="1336"/>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20" w:type="dxa"/>
            <w:vAlign w:val="bottom"/>
            <w:tcBorders>
              <w:right w:val="single" w:sz="8" w:color="auto"/>
            </w:tcBorders>
          </w:tcPr>
          <w:p>
            <w:pPr>
              <w:spacing w:after="0"/>
              <w:rPr>
                <w:sz w:val="17"/>
                <w:szCs w:val="17"/>
                <w:color w:val="auto"/>
              </w:rPr>
            </w:pPr>
          </w:p>
        </w:tc>
        <w:tc>
          <w:tcPr>
            <w:tcW w:w="2060" w:type="dxa"/>
            <w:vAlign w:val="bottom"/>
            <w:gridSpan w:val="2"/>
          </w:tcPr>
          <w:p>
            <w:pPr>
              <w:jc w:val="center"/>
              <w:ind w:right="501"/>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20" w:type="dxa"/>
            <w:vAlign w:val="bottom"/>
            <w:tcBorders>
              <w:right w:val="single" w:sz="8" w:color="auto"/>
            </w:tcBorders>
          </w:tcPr>
          <w:p>
            <w:pPr>
              <w:spacing w:after="0"/>
              <w:rPr>
                <w:sz w:val="16"/>
                <w:szCs w:val="16"/>
                <w:color w:val="auto"/>
              </w:rPr>
            </w:pPr>
          </w:p>
        </w:tc>
        <w:tc>
          <w:tcPr>
            <w:tcW w:w="2060" w:type="dxa"/>
            <w:vAlign w:val="bottom"/>
            <w:gridSpan w:val="2"/>
          </w:tcPr>
          <w:p>
            <w:pPr>
              <w:jc w:val="center"/>
              <w:ind w:right="481"/>
              <w:spacing w:after="0"/>
              <w:rPr>
                <w:sz w:val="20"/>
                <w:szCs w:val="20"/>
                <w:color w:val="auto"/>
              </w:rPr>
            </w:pPr>
            <w:r>
              <w:rPr>
                <w:rFonts w:ascii="Times New Roman" w:cs="Times New Roman" w:eastAsia="Times New Roman" w:hAnsi="Times New Roman"/>
                <w:sz w:val="16"/>
                <w:szCs w:val="16"/>
                <w:b w:val="1"/>
                <w:bCs w:val="1"/>
                <w:color w:val="auto"/>
                <w:w w:val="99"/>
              </w:rPr>
              <w:t>January 1 - August</w:t>
            </w:r>
          </w:p>
        </w:tc>
        <w:tc>
          <w:tcPr>
            <w:tcW w:w="1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6"/>
                <w:szCs w:val="16"/>
                <w:b w:val="1"/>
                <w:bCs w:val="1"/>
                <w:color w:val="auto"/>
              </w:rPr>
              <w:t>6,</w:t>
            </w: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2"/>
        </w:trPr>
        <w:tc>
          <w:tcPr>
            <w:tcW w:w="2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1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20"/>
                <w:szCs w:val="20"/>
                <w:color w:val="auto"/>
              </w:rPr>
            </w:pPr>
          </w:p>
        </w:tc>
      </w:tr>
      <w:tr>
        <w:trPr>
          <w:trHeight w:val="218"/>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 net</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periodic costs:</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5"/>
        </w:trPr>
        <w:tc>
          <w:tcPr>
            <w:tcW w:w="20" w:type="dxa"/>
            <w:vAlign w:val="bottom"/>
          </w:tcPr>
          <w:p>
            <w:pPr>
              <w:spacing w:after="0"/>
              <w:rPr>
                <w:sz w:val="23"/>
                <w:szCs w:val="23"/>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168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Borders>
              <w:right w:val="single" w:sz="8" w:color="auto"/>
            </w:tcBorders>
          </w:tcPr>
          <w:p>
            <w:pPr>
              <w:spacing w:after="0"/>
              <w:rPr>
                <w:sz w:val="23"/>
                <w:szCs w:val="23"/>
                <w:color w:val="auto"/>
              </w:rPr>
            </w:pPr>
          </w:p>
        </w:tc>
        <w:tc>
          <w:tcPr>
            <w:tcW w:w="158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6.1 %</w:t>
            </w:r>
          </w:p>
        </w:tc>
        <w:tc>
          <w:tcPr>
            <w:tcW w:w="480" w:type="dxa"/>
            <w:vAlign w:val="bottom"/>
          </w:tcPr>
          <w:p>
            <w:pPr>
              <w:spacing w:after="0"/>
              <w:rPr>
                <w:sz w:val="23"/>
                <w:szCs w:val="23"/>
                <w:color w:val="auto"/>
              </w:rPr>
            </w:pPr>
          </w:p>
        </w:tc>
        <w:tc>
          <w:tcPr>
            <w:tcW w:w="178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5.7 %</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6.0 %</w:t>
            </w:r>
          </w:p>
        </w:tc>
        <w:tc>
          <w:tcPr>
            <w:tcW w:w="20" w:type="dxa"/>
            <w:vAlign w:val="bottom"/>
          </w:tcPr>
          <w:p>
            <w:pPr>
              <w:spacing w:after="0"/>
              <w:rPr>
                <w:sz w:val="23"/>
                <w:szCs w:val="23"/>
                <w:color w:val="auto"/>
              </w:rPr>
            </w:pPr>
          </w:p>
        </w:tc>
      </w:tr>
      <w:tr>
        <w:trPr>
          <w:trHeight w:val="265"/>
        </w:trPr>
        <w:tc>
          <w:tcPr>
            <w:tcW w:w="20" w:type="dxa"/>
            <w:vAlign w:val="bottom"/>
          </w:tcPr>
          <w:p>
            <w:pPr>
              <w:spacing w:after="0"/>
              <w:rPr>
                <w:sz w:val="23"/>
                <w:szCs w:val="23"/>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260" w:type="dxa"/>
            <w:vAlign w:val="bottom"/>
          </w:tcPr>
          <w:p>
            <w:pPr>
              <w:spacing w:after="0"/>
              <w:rPr>
                <w:sz w:val="23"/>
                <w:szCs w:val="23"/>
                <w:color w:val="auto"/>
              </w:rPr>
            </w:pPr>
          </w:p>
        </w:tc>
        <w:tc>
          <w:tcPr>
            <w:tcW w:w="14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right w:val="single" w:sz="8" w:color="auto"/>
            </w:tcBorders>
          </w:tcPr>
          <w:p>
            <w:pPr>
              <w:spacing w:after="0"/>
              <w:rPr>
                <w:sz w:val="23"/>
                <w:szCs w:val="23"/>
                <w:color w:val="auto"/>
              </w:rPr>
            </w:pPr>
          </w:p>
        </w:tc>
        <w:tc>
          <w:tcPr>
            <w:tcW w:w="2060" w:type="dxa"/>
            <w:vAlign w:val="bottom"/>
            <w:gridSpan w:val="2"/>
          </w:tcPr>
          <w:p>
            <w:pPr>
              <w:jc w:val="right"/>
              <w:ind w:right="761"/>
              <w:spacing w:after="0"/>
              <w:rPr>
                <w:sz w:val="20"/>
                <w:szCs w:val="20"/>
                <w:color w:val="auto"/>
              </w:rPr>
            </w:pPr>
            <w:r>
              <w:rPr>
                <w:rFonts w:ascii="Times New Roman" w:cs="Times New Roman" w:eastAsia="Times New Roman" w:hAnsi="Times New Roman"/>
                <w:sz w:val="18"/>
                <w:szCs w:val="18"/>
                <w:color w:val="auto"/>
              </w:rPr>
              <w:t>N/A</w:t>
            </w:r>
          </w:p>
        </w:tc>
        <w:tc>
          <w:tcPr>
            <w:tcW w:w="178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23"/>
                <w:szCs w:val="23"/>
                <w:color w:val="auto"/>
              </w:rPr>
            </w:pPr>
          </w:p>
        </w:tc>
      </w:tr>
      <w:tr>
        <w:trPr>
          <w:trHeight w:val="265"/>
        </w:trPr>
        <w:tc>
          <w:tcPr>
            <w:tcW w:w="20" w:type="dxa"/>
            <w:vAlign w:val="bottom"/>
          </w:tcPr>
          <w:p>
            <w:pPr>
              <w:spacing w:after="0"/>
              <w:rPr>
                <w:sz w:val="23"/>
                <w:szCs w:val="23"/>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balance interest crediting rate</w:t>
            </w:r>
          </w:p>
        </w:tc>
        <w:tc>
          <w:tcPr>
            <w:tcW w:w="260" w:type="dxa"/>
            <w:vAlign w:val="bottom"/>
          </w:tcPr>
          <w:p>
            <w:pPr>
              <w:spacing w:after="0"/>
              <w:rPr>
                <w:sz w:val="23"/>
                <w:szCs w:val="23"/>
                <w:color w:val="auto"/>
              </w:rPr>
            </w:pPr>
          </w:p>
        </w:tc>
        <w:tc>
          <w:tcPr>
            <w:tcW w:w="14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right w:val="single" w:sz="8" w:color="auto"/>
            </w:tcBorders>
          </w:tcPr>
          <w:p>
            <w:pPr>
              <w:spacing w:after="0"/>
              <w:rPr>
                <w:sz w:val="23"/>
                <w:szCs w:val="23"/>
                <w:color w:val="auto"/>
              </w:rPr>
            </w:pPr>
          </w:p>
        </w:tc>
        <w:tc>
          <w:tcPr>
            <w:tcW w:w="2060" w:type="dxa"/>
            <w:vAlign w:val="bottom"/>
            <w:gridSpan w:val="2"/>
          </w:tcPr>
          <w:p>
            <w:pPr>
              <w:jc w:val="right"/>
              <w:ind w:right="761"/>
              <w:spacing w:after="0"/>
              <w:rPr>
                <w:sz w:val="20"/>
                <w:szCs w:val="20"/>
                <w:color w:val="auto"/>
              </w:rPr>
            </w:pPr>
            <w:r>
              <w:rPr>
                <w:rFonts w:ascii="Times New Roman" w:cs="Times New Roman" w:eastAsia="Times New Roman" w:hAnsi="Times New Roman"/>
                <w:sz w:val="18"/>
                <w:szCs w:val="18"/>
                <w:color w:val="auto"/>
              </w:rPr>
              <w:t>N/A</w:t>
            </w:r>
          </w:p>
        </w:tc>
        <w:tc>
          <w:tcPr>
            <w:tcW w:w="178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23"/>
                <w:szCs w:val="23"/>
                <w:color w:val="auto"/>
              </w:rPr>
            </w:pPr>
          </w:p>
        </w:tc>
      </w:tr>
      <w:tr>
        <w:trPr>
          <w:trHeight w:val="265"/>
        </w:trPr>
        <w:tc>
          <w:tcPr>
            <w:tcW w:w="20" w:type="dxa"/>
            <w:vAlign w:val="bottom"/>
          </w:tcPr>
          <w:p>
            <w:pPr>
              <w:spacing w:after="0"/>
              <w:rPr>
                <w:sz w:val="23"/>
                <w:szCs w:val="23"/>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60" w:type="dxa"/>
            <w:vAlign w:val="bottom"/>
          </w:tcPr>
          <w:p>
            <w:pPr>
              <w:spacing w:after="0"/>
              <w:rPr>
                <w:sz w:val="23"/>
                <w:szCs w:val="23"/>
                <w:color w:val="auto"/>
              </w:rPr>
            </w:pPr>
          </w:p>
        </w:tc>
        <w:tc>
          <w:tcPr>
            <w:tcW w:w="14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right w:val="single" w:sz="8" w:color="auto"/>
            </w:tcBorders>
          </w:tcPr>
          <w:p>
            <w:pPr>
              <w:spacing w:after="0"/>
              <w:rPr>
                <w:sz w:val="23"/>
                <w:szCs w:val="23"/>
                <w:color w:val="auto"/>
              </w:rPr>
            </w:pPr>
          </w:p>
        </w:tc>
        <w:tc>
          <w:tcPr>
            <w:tcW w:w="2060" w:type="dxa"/>
            <w:vAlign w:val="bottom"/>
            <w:gridSpan w:val="2"/>
          </w:tcPr>
          <w:p>
            <w:pPr>
              <w:jc w:val="right"/>
              <w:ind w:right="761"/>
              <w:spacing w:after="0"/>
              <w:rPr>
                <w:sz w:val="20"/>
                <w:szCs w:val="20"/>
                <w:color w:val="auto"/>
              </w:rPr>
            </w:pPr>
            <w:r>
              <w:rPr>
                <w:rFonts w:ascii="Times New Roman" w:cs="Times New Roman" w:eastAsia="Times New Roman" w:hAnsi="Times New Roman"/>
                <w:sz w:val="18"/>
                <w:szCs w:val="18"/>
                <w:color w:val="auto"/>
              </w:rPr>
              <w:t>N/A</w:t>
            </w:r>
          </w:p>
        </w:tc>
        <w:tc>
          <w:tcPr>
            <w:tcW w:w="178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23"/>
                <w:szCs w:val="23"/>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N/A - not applicable</w:t>
      </w:r>
    </w:p>
    <w:p>
      <w:pPr>
        <w:sectPr>
          <w:pgSz w:w="11900" w:h="16838" w:orient="portrait"/>
          <w:cols w:equalWidth="0" w:num="1">
            <w:col w:w="10780"/>
          </w:cols>
          <w:pgMar w:left="560" w:top="73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II-110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76835</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80"/>
          </w:cols>
          <w:pgMar w:left="560" w:top="735" w:right="559" w:bottom="1440" w:gutter="0" w:footer="0" w:header="0"/>
          <w:type w:val="continuous"/>
        </w:sectPr>
      </w:pPr>
    </w:p>
    <w:bookmarkStart w:id="128" w:name="page129"/>
    <w:bookmarkEnd w:id="128"/>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discount rates are determined primarily based on the yield of a portfolio of high quality bonds, providing cash flows necessary to meet the pension plans’ expected future benefit payments, as determined for the projected benefit obligations. The expected return on plan assets assumption is derived using the current and expected asset allocation of the pension plan assets and considering historical as well as expected returns on various classes of plan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additional assumptions were used in accounting for postretirement benefits.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258"/>
        </w:trPr>
        <w:tc>
          <w:tcPr>
            <w:tcW w:w="5440" w:type="dxa"/>
            <w:vAlign w:val="bottom"/>
            <w:tcBorders>
              <w:top w:val="single" w:sz="8" w:color="auto"/>
            </w:tcBorders>
          </w:tcPr>
          <w:p>
            <w:pPr>
              <w:spacing w:after="0"/>
              <w:rPr>
                <w:sz w:val="22"/>
                <w:szCs w:val="22"/>
                <w:color w:val="auto"/>
              </w:rPr>
            </w:pPr>
          </w:p>
        </w:tc>
        <w:tc>
          <w:tcPr>
            <w:tcW w:w="1580" w:type="dxa"/>
            <w:vAlign w:val="bottom"/>
            <w:tcBorders>
              <w:top w:val="single" w:sz="8" w:color="auto"/>
              <w:bottom w:val="single" w:sz="8" w:color="auto"/>
              <w:right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4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232"/>
        </w:trPr>
        <w:tc>
          <w:tcPr>
            <w:tcW w:w="544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health care cost trend rate (pre-65)</w:t>
            </w:r>
          </w:p>
        </w:tc>
        <w:tc>
          <w:tcPr>
            <w:tcW w:w="15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6.8 %</w:t>
            </w:r>
          </w:p>
        </w:tc>
        <w:tc>
          <w:tcPr>
            <w:tcW w:w="14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7.0 %</w:t>
            </w:r>
          </w:p>
        </w:tc>
      </w:tr>
      <w:tr>
        <w:trPr>
          <w:trHeight w:val="26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health care cost trend rate (post-65)</w:t>
            </w:r>
          </w:p>
        </w:tc>
        <w:tc>
          <w:tcPr>
            <w:tcW w:w="15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6.8 %</w:t>
            </w:r>
          </w:p>
        </w:tc>
        <w:tc>
          <w:tcPr>
            <w:tcW w:w="14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7.0 %</w:t>
            </w:r>
          </w:p>
        </w:tc>
      </w:tr>
      <w:tr>
        <w:trPr>
          <w:trHeight w:val="26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Ultimate trend rate</w:t>
            </w:r>
          </w:p>
        </w:tc>
        <w:tc>
          <w:tcPr>
            <w:tcW w:w="15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5.0 %</w:t>
            </w:r>
          </w:p>
        </w:tc>
        <w:tc>
          <w:tcPr>
            <w:tcW w:w="14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5.0 %</w:t>
            </w:r>
          </w:p>
        </w:tc>
      </w:tr>
      <w:tr>
        <w:trPr>
          <w:trHeight w:val="26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ultimate trend rate is achieved</w:t>
            </w:r>
          </w:p>
        </w:tc>
        <w:tc>
          <w:tcPr>
            <w:tcW w:w="15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2033</w:t>
            </w:r>
          </w:p>
        </w:tc>
        <w:tc>
          <w:tcPr>
            <w:tcW w:w="14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2033</w:t>
            </w:r>
          </w:p>
        </w:tc>
      </w:tr>
      <w:tr>
        <w:trPr>
          <w:trHeight w:val="32"/>
        </w:trPr>
        <w:tc>
          <w:tcPr>
            <w:tcW w:w="544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Plan Assets</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Paramount Global Investments Committee (the “Committee”) determines the strategy for the investment of pension plan assets. The Committee establishes target asset allocations for our pension plan trusts based upon an analysis of the timing and amount of projected benefit payments, projected company contributions, the expected returns and risk of the asset classes and the correlation of those returns. In June 2025, the Committee adopted a new investment policy designed to align the level of investment risk with the domestic plan’s funded status. As of December 31, 2025, the target asset allocation for the Company’s domestic pension plans is to invest 61% - 69% in liability hedging assets, and 31% - 39% in return seeking assets, including equity securities, real estate and real assets, and the remainder in cash, cash equivalents, Class B common stock and other investments. Target asset allocations for the return seeking portfolio is 74% equities, 20% real estate and real assets and 6% Company stock and other investments. At December 31, 2025, the trusts were invested approximately 62% in liability hedging assets, 26% in equity securities, 7% in real estate and real assets, and the remainder in cash, cash equivalents, Class B common stock and other investments. Liability hedging assets consist of a diversified portfolio of fixed income instruments that are substantially investment grade. All equity portfolios are diversified between U.S. and non-U.S. equities and include large and small capitalization equities. The asset allocations are reviewed regularly.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29" w:name="page130"/>
    <w:bookmarkEnd w:id="129"/>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following tables set forth our pension plan assets measured at fair value on a recurring basis at December 31, 2025 (Successor) and December 31, 2024 (Predecessor). These assets have been categorized according to the three-level fair value hierarchy established by the FASB</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which prioritizes the inputs used in measuring fair value. See Note 11 for a description of the levels within this hierarchy. There are no investments categorized as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90805</wp:posOffset>
            </wp:positionV>
            <wp:extent cx="665543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55435" cy="17145"/>
                    </a:xfrm>
                    <a:prstGeom prst="rect">
                      <a:avLst/>
                    </a:prstGeom>
                    <a:noFill/>
                  </pic:spPr>
                </pic:pic>
              </a:graphicData>
            </a:graphic>
          </wp:anchor>
        </w:drawing>
      </w:r>
    </w:p>
    <w:p>
      <w:pPr>
        <w:spacing w:after="0" w:line="156" w:lineRule="exact"/>
        <w:rPr>
          <w:sz w:val="20"/>
          <w:szCs w:val="20"/>
          <w:color w:val="auto"/>
        </w:rPr>
      </w:pPr>
    </w:p>
    <w:tbl>
      <w:tblPr>
        <w:tblLayout w:type="fixed"/>
        <w:tblInd w:w="400" w:type="dxa"/>
        <w:tblCellMar>
          <w:top w:w="0" w:type="dxa"/>
          <w:left w:w="0" w:type="dxa"/>
          <w:bottom w:w="0" w:type="dxa"/>
          <w:right w:w="0" w:type="dxa"/>
        </w:tblCellMar>
      </w:tblPr>
      <w:tr>
        <w:trPr>
          <w:trHeight w:val="233"/>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 (Successor)</w:t>
            </w:r>
          </w:p>
        </w:tc>
        <w:tc>
          <w:tcPr>
            <w:tcW w:w="1480" w:type="dxa"/>
            <w:vAlign w:val="bottom"/>
          </w:tcPr>
          <w:p>
            <w:pPr>
              <w:spacing w:after="0"/>
              <w:rPr>
                <w:sz w:val="20"/>
                <w:szCs w:val="20"/>
                <w:color w:val="auto"/>
              </w:rPr>
            </w:pPr>
          </w:p>
        </w:tc>
        <w:tc>
          <w:tcPr>
            <w:tcW w:w="9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Pr>
          <w:p>
            <w:pPr>
              <w:spacing w:after="0"/>
              <w:rPr>
                <w:sz w:val="20"/>
                <w:szCs w:val="20"/>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
        </w:trPr>
        <w:tc>
          <w:tcPr>
            <w:tcW w:w="5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2"/>
                <w:szCs w:val="22"/>
                <w:color w:val="auto"/>
                <w:vertAlign w:val="superscript"/>
              </w:rPr>
              <w:t>(a)</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1"/>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6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8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88</w:t>
            </w:r>
          </w:p>
        </w:tc>
        <w:tc>
          <w:tcPr>
            <w:tcW w:w="380" w:type="dxa"/>
            <w:vAlign w:val="bottom"/>
          </w:tcPr>
          <w:p>
            <w:pPr>
              <w:spacing w:after="0"/>
              <w:rPr>
                <w:sz w:val="23"/>
                <w:szCs w:val="23"/>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6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Government-related securities</w:t>
            </w:r>
          </w:p>
        </w:tc>
        <w:tc>
          <w:tcPr>
            <w:tcW w:w="148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99"/>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22"/>
                <w:szCs w:val="22"/>
                <w:color w:val="auto"/>
                <w:vertAlign w:val="superscript"/>
              </w:rPr>
              <w:t>(b)</w:t>
            </w:r>
          </w:p>
        </w:tc>
        <w:tc>
          <w:tcPr>
            <w:tcW w:w="1480" w:type="dxa"/>
            <w:vAlign w:val="bottom"/>
          </w:tcPr>
          <w:p>
            <w:pPr>
              <w:spacing w:after="0"/>
              <w:rPr>
                <w:sz w:val="24"/>
                <w:szCs w:val="24"/>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988</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31"/>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Mortgage-backed and asset-backed securities</w:t>
            </w:r>
          </w:p>
        </w:tc>
        <w:tc>
          <w:tcPr>
            <w:tcW w:w="1480" w:type="dxa"/>
            <w:vAlign w:val="bottom"/>
          </w:tcPr>
          <w:p>
            <w:pPr>
              <w:spacing w:after="0"/>
              <w:rPr>
                <w:sz w:val="20"/>
                <w:szCs w:val="20"/>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6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Traded Fund (ETF)</w:t>
            </w:r>
          </w:p>
        </w:tc>
        <w:tc>
          <w:tcPr>
            <w:tcW w:w="148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23"/>
                <w:szCs w:val="23"/>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5"/>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6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large capitalization</w:t>
            </w:r>
          </w:p>
        </w:tc>
        <w:tc>
          <w:tcPr>
            <w:tcW w:w="148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tcPr>
          <w:p>
            <w:pPr>
              <w:spacing w:after="0"/>
              <w:rPr>
                <w:sz w:val="23"/>
                <w:szCs w:val="23"/>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6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small capitalization</w:t>
            </w:r>
          </w:p>
        </w:tc>
        <w:tc>
          <w:tcPr>
            <w:tcW w:w="148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tcPr>
          <w:p>
            <w:pPr>
              <w:spacing w:after="0"/>
              <w:rPr>
                <w:sz w:val="23"/>
                <w:szCs w:val="23"/>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6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Non-U.S. large capitalization</w:t>
            </w:r>
          </w:p>
        </w:tc>
        <w:tc>
          <w:tcPr>
            <w:tcW w:w="148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tcPr>
          <w:p>
            <w:pPr>
              <w:spacing w:after="0"/>
              <w:rPr>
                <w:sz w:val="23"/>
                <w:szCs w:val="23"/>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5"/>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Traded Fund (ETF)</w:t>
            </w:r>
          </w:p>
        </w:tc>
        <w:tc>
          <w:tcPr>
            <w:tcW w:w="148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23"/>
                <w:szCs w:val="23"/>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5"/>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
        </w:trPr>
        <w:tc>
          <w:tcPr>
            <w:tcW w:w="5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in fair value hierarchy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340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1,211</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9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Common collective funds measured at net asset value </w:t>
            </w:r>
            <w:r>
              <w:rPr>
                <w:rFonts w:ascii="Times New Roman" w:cs="Times New Roman" w:eastAsia="Times New Roman" w:hAnsi="Times New Roman"/>
                <w:sz w:val="22"/>
                <w:szCs w:val="22"/>
                <w:color w:val="auto"/>
                <w:vertAlign w:val="superscript"/>
              </w:rPr>
              <w:t>(c) (d)</w:t>
            </w: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65"/>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Limited partnerships measured at net asset value </w:t>
            </w:r>
            <w:r>
              <w:rPr>
                <w:rFonts w:ascii="Times New Roman" w:cs="Times New Roman" w:eastAsia="Times New Roman" w:hAnsi="Times New Roman"/>
                <w:sz w:val="22"/>
                <w:szCs w:val="22"/>
                <w:color w:val="auto"/>
                <w:vertAlign w:val="superscript"/>
              </w:rPr>
              <w:t>(c)</w:t>
            </w:r>
          </w:p>
        </w:tc>
        <w:tc>
          <w:tcPr>
            <w:tcW w:w="1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Mutual funds measured at net asset value </w:t>
            </w:r>
            <w:r>
              <w:rPr>
                <w:rFonts w:ascii="Times New Roman" w:cs="Times New Roman" w:eastAsia="Times New Roman" w:hAnsi="Times New Roman"/>
                <w:sz w:val="22"/>
                <w:szCs w:val="22"/>
                <w:color w:val="auto"/>
                <w:vertAlign w:val="superscript"/>
              </w:rPr>
              <w:t>(c)</w:t>
            </w:r>
          </w:p>
        </w:tc>
        <w:tc>
          <w:tcPr>
            <w:tcW w:w="1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3"/>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32"/>
        </w:trPr>
        <w:tc>
          <w:tcPr>
            <w:tcW w:w="5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30" w:name="page131"/>
    <w:bookmarkEnd w:id="130"/>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270510</wp:posOffset>
            </wp:positionV>
            <wp:extent cx="665543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5543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400" w:type="dxa"/>
        <w:tblCellMar>
          <w:top w:w="0" w:type="dxa"/>
          <w:left w:w="0" w:type="dxa"/>
          <w:bottom w:w="0" w:type="dxa"/>
          <w:right w:w="0" w:type="dxa"/>
        </w:tblCellMar>
      </w:tblPr>
      <w:tr>
        <w:trPr>
          <w:trHeight w:val="233"/>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 (Predecessor)</w:t>
            </w:r>
          </w:p>
        </w:tc>
        <w:tc>
          <w:tcPr>
            <w:tcW w:w="1460" w:type="dxa"/>
            <w:vAlign w:val="bottom"/>
          </w:tcPr>
          <w:p>
            <w:pPr>
              <w:spacing w:after="0"/>
              <w:rPr>
                <w:sz w:val="20"/>
                <w:szCs w:val="20"/>
                <w:color w:val="auto"/>
              </w:rPr>
            </w:pPr>
          </w:p>
        </w:tc>
        <w:tc>
          <w:tcPr>
            <w:tcW w:w="9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Pr>
          <w:p>
            <w:pPr>
              <w:spacing w:after="0"/>
              <w:rPr>
                <w:sz w:val="20"/>
                <w:szCs w:val="20"/>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
        </w:trPr>
        <w:tc>
          <w:tcPr>
            <w:tcW w:w="5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2"/>
                <w:szCs w:val="22"/>
                <w:color w:val="auto"/>
                <w:vertAlign w:val="superscript"/>
              </w:rPr>
              <w:t>(a)</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1"/>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65"/>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6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140</w:t>
            </w:r>
          </w:p>
        </w:tc>
        <w:tc>
          <w:tcPr>
            <w:tcW w:w="380" w:type="dxa"/>
            <w:vAlign w:val="bottom"/>
          </w:tcPr>
          <w:p>
            <w:pPr>
              <w:spacing w:after="0"/>
              <w:rPr>
                <w:sz w:val="23"/>
                <w:szCs w:val="23"/>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65"/>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Government-related securities</w:t>
            </w:r>
          </w:p>
        </w:tc>
        <w:tc>
          <w:tcPr>
            <w:tcW w:w="146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99"/>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22"/>
                <w:szCs w:val="22"/>
                <w:color w:val="auto"/>
                <w:vertAlign w:val="superscript"/>
              </w:rPr>
              <w:t>(b)</w:t>
            </w:r>
          </w:p>
        </w:tc>
        <w:tc>
          <w:tcPr>
            <w:tcW w:w="1460" w:type="dxa"/>
            <w:vAlign w:val="bottom"/>
          </w:tcPr>
          <w:p>
            <w:pPr>
              <w:spacing w:after="0"/>
              <w:rPr>
                <w:sz w:val="24"/>
                <w:szCs w:val="24"/>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1,138</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31"/>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Mortgage-backed and asset-backed securities</w:t>
            </w:r>
          </w:p>
        </w:tc>
        <w:tc>
          <w:tcPr>
            <w:tcW w:w="1460" w:type="dxa"/>
            <w:vAlign w:val="bottom"/>
          </w:tcPr>
          <w:p>
            <w:pPr>
              <w:spacing w:after="0"/>
              <w:rPr>
                <w:sz w:val="20"/>
                <w:szCs w:val="20"/>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6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65"/>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large capitalization</w:t>
            </w:r>
          </w:p>
        </w:tc>
        <w:tc>
          <w:tcPr>
            <w:tcW w:w="146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tcPr>
          <w:p>
            <w:pPr>
              <w:spacing w:after="0"/>
              <w:rPr>
                <w:sz w:val="23"/>
                <w:szCs w:val="23"/>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65"/>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small capitalization</w:t>
            </w:r>
          </w:p>
        </w:tc>
        <w:tc>
          <w:tcPr>
            <w:tcW w:w="146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67</w:t>
            </w:r>
          </w:p>
        </w:tc>
        <w:tc>
          <w:tcPr>
            <w:tcW w:w="380" w:type="dxa"/>
            <w:vAlign w:val="bottom"/>
          </w:tcPr>
          <w:p>
            <w:pPr>
              <w:spacing w:after="0"/>
              <w:rPr>
                <w:sz w:val="23"/>
                <w:szCs w:val="23"/>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65"/>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Non-U.S. large capitalization</w:t>
            </w:r>
          </w:p>
        </w:tc>
        <w:tc>
          <w:tcPr>
            <w:tcW w:w="146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Pr>
          <w:p>
            <w:pPr>
              <w:spacing w:after="0"/>
              <w:rPr>
                <w:sz w:val="23"/>
                <w:szCs w:val="23"/>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5"/>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Non-U.S. small capitalization</w:t>
            </w:r>
          </w:p>
        </w:tc>
        <w:tc>
          <w:tcPr>
            <w:tcW w:w="146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3"/>
                <w:szCs w:val="23"/>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5"/>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Traded Fund (ETF)</w:t>
            </w:r>
          </w:p>
        </w:tc>
        <w:tc>
          <w:tcPr>
            <w:tcW w:w="146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23"/>
                <w:szCs w:val="23"/>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Pr>
          <w:p>
            <w:pPr>
              <w:spacing w:after="0"/>
              <w:rPr>
                <w:sz w:val="23"/>
                <w:szCs w:val="23"/>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
        </w:trPr>
        <w:tc>
          <w:tcPr>
            <w:tcW w:w="5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in fair value hierarchy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309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1,359</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29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Common collective funds measured at net asset value </w:t>
            </w:r>
            <w:r>
              <w:rPr>
                <w:rFonts w:ascii="Times New Roman" w:cs="Times New Roman" w:eastAsia="Times New Roman" w:hAnsi="Times New Roman"/>
                <w:sz w:val="22"/>
                <w:szCs w:val="22"/>
                <w:color w:val="auto"/>
                <w:vertAlign w:val="superscript"/>
              </w:rPr>
              <w:t>(c) (d)</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6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Limited partnerships measured at net asset value </w:t>
            </w:r>
            <w:r>
              <w:rPr>
                <w:rFonts w:ascii="Times New Roman" w:cs="Times New Roman" w:eastAsia="Times New Roman" w:hAnsi="Times New Roman"/>
                <w:sz w:val="22"/>
                <w:szCs w:val="22"/>
                <w:color w:val="auto"/>
                <w:vertAlign w:val="superscript"/>
              </w:rPr>
              <w:t>(c)</w:t>
            </w:r>
          </w:p>
        </w:tc>
        <w:tc>
          <w:tcPr>
            <w:tcW w:w="1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Mutual funds measured at net asset value </w:t>
            </w:r>
            <w:r>
              <w:rPr>
                <w:rFonts w:ascii="Times New Roman" w:cs="Times New Roman" w:eastAsia="Times New Roman" w:hAnsi="Times New Roman"/>
                <w:sz w:val="22"/>
                <w:szCs w:val="22"/>
                <w:color w:val="auto"/>
                <w:vertAlign w:val="superscript"/>
              </w:rPr>
              <w:t>(c)</w:t>
            </w:r>
          </w:p>
        </w:tc>
        <w:tc>
          <w:tcPr>
            <w:tcW w:w="1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3"/>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r>
      <w:tr>
        <w:trPr>
          <w:trHeight w:val="32"/>
        </w:trPr>
        <w:tc>
          <w:tcPr>
            <w:tcW w:w="5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ind w:left="560" w:right="320" w:hanging="236"/>
        <w:spacing w:after="0" w:line="272" w:lineRule="auto"/>
        <w:tabs>
          <w:tab w:leader="none" w:pos="54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for December 31, 2025 reflects a contribution funded on December 31, 2025. The negative cash amount at December 31, 2024 reflects pending trades for investments purchased and sold. Assets categorized as Level 2 in each year reflect investments in money market funds.</w:t>
      </w:r>
    </w:p>
    <w:p>
      <w:pPr>
        <w:spacing w:after="0" w:line="20" w:lineRule="exact"/>
        <w:rPr>
          <w:rFonts w:ascii="Times New Roman" w:cs="Times New Roman" w:eastAsia="Times New Roman" w:hAnsi="Times New Roman"/>
          <w:sz w:val="16"/>
          <w:szCs w:val="16"/>
          <w:color w:val="auto"/>
        </w:rPr>
      </w:pPr>
    </w:p>
    <w:p>
      <w:pPr>
        <w:ind w:left="580" w:hanging="256"/>
        <w:spacing w:after="0"/>
        <w:tabs>
          <w:tab w:leader="none" w:pos="5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of diverse sectors and industries, substantially all investment grade.</w:t>
      </w:r>
    </w:p>
    <w:p>
      <w:pPr>
        <w:spacing w:after="0" w:line="54" w:lineRule="exact"/>
        <w:rPr>
          <w:rFonts w:ascii="Times New Roman" w:cs="Times New Roman" w:eastAsia="Times New Roman" w:hAnsi="Times New Roman"/>
          <w:sz w:val="16"/>
          <w:szCs w:val="16"/>
          <w:color w:val="auto"/>
        </w:rPr>
      </w:pPr>
    </w:p>
    <w:p>
      <w:pPr>
        <w:ind w:left="560" w:right="320" w:hanging="236"/>
        <w:spacing w:after="0" w:line="285" w:lineRule="auto"/>
        <w:tabs>
          <w:tab w:leader="none" w:pos="58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FASB guidance, investments that are measured at fair value using the net asset value per share (or its equivalent) as a practical expedient have not been classified in the fair value hierarchy.</w:t>
      </w:r>
    </w:p>
    <w:p>
      <w:pPr>
        <w:ind w:left="580" w:hanging="256"/>
        <w:spacing w:after="0"/>
        <w:tabs>
          <w:tab w:leader="none" w:pos="5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Underlying investments consist mainly of U.S. large capitalization and international equity securities.</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Money market investments are carried at amortized cost</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which approximates fair value due to the short-term maturity of these investments. Investments in equity securities are reported at fair value based on quoted market prices on national security exchanges. The fair value of investments in common collective funds and mutual funds is determined using the net asset value (“NAV”) provided by the administrator of the fund as a practical expedient. The NAV is determined by each fund’s trustee based upon the fair value of the underlying assets owned by the fund, less liabilities, divided by the number of outstanding units. The fair value of U.S. treasury securities is determined based on quoted market prices in active markets. The fair value of government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related securities and corporate bonds is determined based on quoted market prices on national security exchanges, when available, or using valuation models which incorporate certain other observable inputs</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including recent trading activity for comparable securities and broker quoted prices. The fair value of mortgage-backed and asset-backed securities is based upon valuation models which incorporate available dealer quotes, projected cash flows and market information. The fair value of limited partnerships has been estimated using the NAV of the ownership interest. The NAV is determined using quarterly financial statements issued by the partnership</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which determine the value based on the fair value of the underlying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31" w:name="page132"/>
    <w:bookmarkEnd w:id="131"/>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Future Benefit Payments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Estimated future benefit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71348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2027</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2028</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2029</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2030</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2031-2035</w:t>
            </w:r>
          </w:p>
        </w:tc>
      </w:tr>
      <w:tr>
        <w:trPr>
          <w:trHeight w:val="24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320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315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316</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305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303</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65"/>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65"/>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
        </w:trPr>
        <w:tc>
          <w:tcPr>
            <w:tcW w:w="3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2026, we expect to make $12 million in contributions to our qualified pension plans to satisfy minimum funding requirements and to maintain at least an 80% funding threshold under ERISA and $77 million to our non-qualified pension plans to satisfy benefit payments due under these plans. Also in 2026, we expect to contribute approximately $26 million to our other postretirement benefit plans to satisfy our portion of benefit payments due under these plans.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Multiemployer Pension and Postretirement Benefit Plans</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contribute to a number of multiemployer defined benefit pension plans under the terms of collective bargaining agreements that cover our union-represented employees</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including talent, writers, directors, producers and other employees, primarily in the entertainment industry. The other employers participating in these multiemployer plans are primarily in the entertainment and other related industries. The risks of participating in multiemployer plans are different from single-employer plans as assets contributed to the multiemployer plan by one employer may be used to provide benefits to employees of other participating employers and if a participating employer stops contributing to the plan, the unfunded obligations of the plan may be borne by the remaining participating employers. In addition, if we choose to stop participating in some of its multiemployer plans we may be required to pay those plans a withdrawal liability based on the underfunded status of the plan. We recognize the net periodic cost for multiemployer pension and postretirement benefit plans based on the required contributions to the plans.</w:t>
      </w:r>
    </w:p>
    <w:p>
      <w:pPr>
        <w:spacing w:after="0" w:line="16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financial health of a multiemployer plan is indicated by the zone status, as defined by the Pension Protection Act of 2006. Plans in the red zone are in critical status; those in the yellow zone are in endangered status; and those in the green zone are neither critical nor endangered.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32" w:name="page133"/>
    <w:bookmarkEnd w:id="132"/>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 below presents information concerning our participation in multiemployer 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94615</wp:posOffset>
            </wp:positionV>
            <wp:extent cx="6907530"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07530" cy="16510"/>
                    </a:xfrm>
                    <a:prstGeom prst="rect">
                      <a:avLst/>
                    </a:prstGeom>
                    <a:noFill/>
                  </pic:spPr>
                </pic:pic>
              </a:graphicData>
            </a:graphic>
          </wp:anchor>
        </w:drawing>
      </w:r>
    </w:p>
    <w:p>
      <w:pPr>
        <w:spacing w:after="0" w:line="303"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1760" w:type="dxa"/>
            <w:vAlign w:val="bottom"/>
          </w:tcPr>
          <w:p>
            <w:pPr>
              <w:spacing w:after="0"/>
              <w:rPr>
                <w:sz w:val="14"/>
                <w:szCs w:val="14"/>
                <w:color w:val="auto"/>
              </w:rPr>
            </w:pPr>
          </w:p>
        </w:tc>
        <w:tc>
          <w:tcPr>
            <w:tcW w:w="188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Employer</w:t>
            </w: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Expiration Date of</w:t>
            </w:r>
          </w:p>
        </w:tc>
        <w:tc>
          <w:tcPr>
            <w:tcW w:w="0" w:type="dxa"/>
            <w:vAlign w:val="bottom"/>
          </w:tcPr>
          <w:p>
            <w:pPr>
              <w:spacing w:after="0"/>
              <w:rPr>
                <w:sz w:val="1"/>
                <w:szCs w:val="1"/>
                <w:color w:val="auto"/>
              </w:rPr>
            </w:pPr>
          </w:p>
        </w:tc>
      </w:tr>
      <w:tr>
        <w:trPr>
          <w:trHeight w:val="172"/>
        </w:trPr>
        <w:tc>
          <w:tcPr>
            <w:tcW w:w="1760" w:type="dxa"/>
            <w:vAlign w:val="bottom"/>
          </w:tcPr>
          <w:p>
            <w:pPr>
              <w:spacing w:after="0"/>
              <w:rPr>
                <w:sz w:val="14"/>
                <w:szCs w:val="14"/>
                <w:color w:val="auto"/>
              </w:rPr>
            </w:pPr>
          </w:p>
        </w:tc>
        <w:tc>
          <w:tcPr>
            <w:tcW w:w="1880" w:type="dxa"/>
            <w:vAlign w:val="bottom"/>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Identification</w:t>
            </w:r>
          </w:p>
        </w:tc>
        <w:tc>
          <w:tcPr>
            <w:tcW w:w="540" w:type="dxa"/>
            <w:vAlign w:val="bottom"/>
          </w:tcPr>
          <w:p>
            <w:pPr>
              <w:spacing w:after="0"/>
              <w:rPr>
                <w:sz w:val="14"/>
                <w:szCs w:val="14"/>
                <w:color w:val="auto"/>
              </w:rPr>
            </w:pPr>
          </w:p>
        </w:tc>
        <w:tc>
          <w:tcPr>
            <w:tcW w:w="1080" w:type="dxa"/>
            <w:vAlign w:val="bottom"/>
          </w:tcPr>
          <w:p>
            <w:pPr>
              <w:jc w:val="center"/>
              <w:ind w:right="489"/>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Collective</w:t>
            </w:r>
          </w:p>
        </w:tc>
        <w:tc>
          <w:tcPr>
            <w:tcW w:w="0" w:type="dxa"/>
            <w:vAlign w:val="bottom"/>
          </w:tcPr>
          <w:p>
            <w:pPr>
              <w:spacing w:after="0"/>
              <w:rPr>
                <w:sz w:val="1"/>
                <w:szCs w:val="1"/>
                <w:color w:val="auto"/>
              </w:rPr>
            </w:pPr>
          </w:p>
        </w:tc>
      </w:tr>
      <w:tr>
        <w:trPr>
          <w:trHeight w:val="169"/>
        </w:trPr>
        <w:tc>
          <w:tcPr>
            <w:tcW w:w="17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Pension Plan</w:t>
            </w:r>
          </w:p>
        </w:tc>
        <w:tc>
          <w:tcPr>
            <w:tcW w:w="188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Number/Pension Plan</w:t>
            </w: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Protection Act Zone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7"/>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Company Contributions</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Bargaining</w:t>
            </w:r>
          </w:p>
        </w:tc>
        <w:tc>
          <w:tcPr>
            <w:tcW w:w="0" w:type="dxa"/>
            <w:vAlign w:val="bottom"/>
          </w:tcPr>
          <w:p>
            <w:pPr>
              <w:spacing w:after="0"/>
              <w:rPr>
                <w:sz w:val="1"/>
                <w:szCs w:val="1"/>
                <w:color w:val="auto"/>
              </w:rPr>
            </w:pPr>
          </w:p>
        </w:tc>
      </w:tr>
      <w:tr>
        <w:trPr>
          <w:trHeight w:val="213"/>
        </w:trPr>
        <w:tc>
          <w:tcPr>
            <w:tcW w:w="1760" w:type="dxa"/>
            <w:vAlign w:val="bottom"/>
            <w:tcBorders>
              <w:bottom w:val="single" w:sz="8" w:color="auto"/>
            </w:tcBorders>
            <w:vMerge w:val="continue"/>
          </w:tcPr>
          <w:p>
            <w:pPr>
              <w:spacing w:after="0"/>
              <w:rPr>
                <w:sz w:val="18"/>
                <w:szCs w:val="18"/>
                <w:color w:val="auto"/>
              </w:rPr>
            </w:pPr>
          </w:p>
        </w:tc>
        <w:tc>
          <w:tcPr>
            <w:tcW w:w="1880" w:type="dxa"/>
            <w:vAlign w:val="bottom"/>
            <w:tcBorders>
              <w:bottom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489"/>
              <w:spacing w:after="0"/>
              <w:rPr>
                <w:sz w:val="20"/>
                <w:szCs w:val="20"/>
                <w:color w:val="auto"/>
              </w:rPr>
            </w:pPr>
            <w:r>
              <w:rPr>
                <w:rFonts w:ascii="Times New Roman" w:cs="Times New Roman" w:eastAsia="Times New Roman" w:hAnsi="Times New Roman"/>
                <w:sz w:val="14"/>
                <w:szCs w:val="14"/>
                <w:b w:val="1"/>
                <w:bCs w:val="1"/>
                <w:color w:val="auto"/>
                <w:w w:val="94"/>
              </w:rPr>
              <w:t xml:space="preserve">Status </w:t>
            </w:r>
            <w:r>
              <w:rPr>
                <w:rFonts w:ascii="Times New Roman" w:cs="Times New Roman" w:eastAsia="Times New Roman" w:hAnsi="Times New Roman"/>
                <w:sz w:val="18"/>
                <w:szCs w:val="18"/>
                <w:b w:val="1"/>
                <w:bCs w:val="1"/>
                <w:color w:val="auto"/>
                <w:w w:val="94"/>
                <w:vertAlign w:val="superscript"/>
              </w:rPr>
              <w:t>(a)</w:t>
            </w: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7"/>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Agreement</w:t>
            </w:r>
          </w:p>
        </w:tc>
        <w:tc>
          <w:tcPr>
            <w:tcW w:w="0" w:type="dxa"/>
            <w:vAlign w:val="bottom"/>
          </w:tcPr>
          <w:p>
            <w:pPr>
              <w:spacing w:after="0"/>
              <w:rPr>
                <w:sz w:val="1"/>
                <w:szCs w:val="1"/>
                <w:color w:val="auto"/>
              </w:rPr>
            </w:pPr>
          </w:p>
        </w:tc>
      </w:tr>
      <w:tr>
        <w:trPr>
          <w:trHeight w:val="181"/>
        </w:trPr>
        <w:tc>
          <w:tcPr>
            <w:tcW w:w="17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7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2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7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August 7 -</w:t>
            </w:r>
          </w:p>
        </w:tc>
        <w:tc>
          <w:tcPr>
            <w:tcW w:w="22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January 1 -</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6"/>
            <w:vMerge w:val="continue"/>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7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August 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vMerge w:val="restart"/>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7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7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gridSpan w:val="3"/>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AFTRA Retirement</w:t>
            </w:r>
          </w:p>
        </w:tc>
        <w:tc>
          <w:tcPr>
            <w:tcW w:w="188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rPr>
              <w:t>13-6414972-001</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Green</w:t>
            </w:r>
          </w:p>
        </w:tc>
        <w:tc>
          <w:tcPr>
            <w:tcW w:w="10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Green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2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4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6/30/2026</w:t>
            </w:r>
          </w:p>
        </w:tc>
        <w:tc>
          <w:tcPr>
            <w:tcW w:w="0" w:type="dxa"/>
            <w:vAlign w:val="bottom"/>
          </w:tcPr>
          <w:p>
            <w:pPr>
              <w:spacing w:after="0"/>
              <w:rPr>
                <w:sz w:val="1"/>
                <w:szCs w:val="1"/>
                <w:color w:val="auto"/>
              </w:rPr>
            </w:pPr>
          </w:p>
        </w:tc>
      </w:tr>
      <w:tr>
        <w:trPr>
          <w:trHeight w:val="228"/>
        </w:trPr>
        <w:tc>
          <w:tcPr>
            <w:tcW w:w="1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Plan </w:t>
            </w:r>
            <w:r>
              <w:rPr>
                <w:rFonts w:ascii="Times New Roman" w:cs="Times New Roman" w:eastAsia="Times New Roman" w:hAnsi="Times New Roman"/>
                <w:sz w:val="18"/>
                <w:szCs w:val="18"/>
                <w:color w:val="auto"/>
                <w:vertAlign w:val="superscript"/>
              </w:rPr>
              <w:t>(b)</w:t>
            </w:r>
          </w:p>
        </w:tc>
        <w:tc>
          <w:tcPr>
            <w:tcW w:w="1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Directors Guild of</w:t>
            </w:r>
          </w:p>
        </w:tc>
        <w:tc>
          <w:tcPr>
            <w:tcW w:w="188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rPr>
              <w:t>95-2892780-001</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Green</w:t>
            </w:r>
          </w:p>
        </w:tc>
        <w:tc>
          <w:tcPr>
            <w:tcW w:w="10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Green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4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6/30/2026</w:t>
            </w:r>
          </w:p>
        </w:tc>
        <w:tc>
          <w:tcPr>
            <w:tcW w:w="0" w:type="dxa"/>
            <w:vAlign w:val="bottom"/>
          </w:tcPr>
          <w:p>
            <w:pPr>
              <w:spacing w:after="0"/>
              <w:rPr>
                <w:sz w:val="1"/>
                <w:szCs w:val="1"/>
                <w:color w:val="auto"/>
              </w:rPr>
            </w:pPr>
          </w:p>
        </w:tc>
      </w:tr>
      <w:tr>
        <w:trPr>
          <w:trHeight w:val="169"/>
        </w:trPr>
        <w:tc>
          <w:tcPr>
            <w:tcW w:w="1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America -</w:t>
            </w: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Producer </w:t>
            </w:r>
            <w:r>
              <w:rPr>
                <w:rFonts w:ascii="Times New Roman" w:cs="Times New Roman" w:eastAsia="Times New Roman" w:hAnsi="Times New Roman"/>
                <w:sz w:val="18"/>
                <w:szCs w:val="18"/>
                <w:color w:val="auto"/>
                <w:vertAlign w:val="superscript"/>
              </w:rPr>
              <w:t>(b)</w:t>
            </w: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Producer-Writers</w:t>
            </w:r>
          </w:p>
        </w:tc>
        <w:tc>
          <w:tcPr>
            <w:tcW w:w="188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rPr>
              <w:t>95-2216351-001</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Green</w:t>
            </w:r>
          </w:p>
        </w:tc>
        <w:tc>
          <w:tcPr>
            <w:tcW w:w="10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Green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44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5/1/2026</w:t>
            </w:r>
          </w:p>
        </w:tc>
        <w:tc>
          <w:tcPr>
            <w:tcW w:w="0" w:type="dxa"/>
            <w:vAlign w:val="bottom"/>
          </w:tcPr>
          <w:p>
            <w:pPr>
              <w:spacing w:after="0"/>
              <w:rPr>
                <w:sz w:val="1"/>
                <w:szCs w:val="1"/>
                <w:color w:val="auto"/>
              </w:rPr>
            </w:pPr>
          </w:p>
        </w:tc>
      </w:tr>
      <w:tr>
        <w:trPr>
          <w:trHeight w:val="228"/>
        </w:trPr>
        <w:tc>
          <w:tcPr>
            <w:tcW w:w="1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Guild of America </w:t>
            </w:r>
            <w:r>
              <w:rPr>
                <w:rFonts w:ascii="Times New Roman" w:cs="Times New Roman" w:eastAsia="Times New Roman" w:hAnsi="Times New Roman"/>
                <w:sz w:val="18"/>
                <w:szCs w:val="18"/>
                <w:color w:val="auto"/>
                <w:vertAlign w:val="superscript"/>
              </w:rPr>
              <w:t>(b)</w:t>
            </w:r>
          </w:p>
        </w:tc>
        <w:tc>
          <w:tcPr>
            <w:tcW w:w="1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Screen Actors Guild -</w:t>
            </w:r>
          </w:p>
        </w:tc>
        <w:tc>
          <w:tcPr>
            <w:tcW w:w="188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rPr>
              <w:t>95-2110997-001</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Green</w:t>
            </w:r>
          </w:p>
        </w:tc>
        <w:tc>
          <w:tcPr>
            <w:tcW w:w="10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Green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44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6/30/2026</w:t>
            </w:r>
          </w:p>
        </w:tc>
        <w:tc>
          <w:tcPr>
            <w:tcW w:w="0" w:type="dxa"/>
            <w:vAlign w:val="bottom"/>
          </w:tcPr>
          <w:p>
            <w:pPr>
              <w:spacing w:after="0"/>
              <w:rPr>
                <w:sz w:val="1"/>
                <w:szCs w:val="1"/>
                <w:color w:val="auto"/>
              </w:rPr>
            </w:pPr>
          </w:p>
        </w:tc>
      </w:tr>
      <w:tr>
        <w:trPr>
          <w:trHeight w:val="228"/>
        </w:trPr>
        <w:tc>
          <w:tcPr>
            <w:tcW w:w="1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Producers </w:t>
            </w:r>
            <w:r>
              <w:rPr>
                <w:rFonts w:ascii="Times New Roman" w:cs="Times New Roman" w:eastAsia="Times New Roman" w:hAnsi="Times New Roman"/>
                <w:sz w:val="18"/>
                <w:szCs w:val="18"/>
                <w:color w:val="auto"/>
                <w:vertAlign w:val="superscript"/>
              </w:rPr>
              <w:t>(b)</w:t>
            </w:r>
          </w:p>
        </w:tc>
        <w:tc>
          <w:tcPr>
            <w:tcW w:w="1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Motion Picture</w:t>
            </w:r>
          </w:p>
        </w:tc>
        <w:tc>
          <w:tcPr>
            <w:tcW w:w="188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rPr>
              <w:t>95-1810805-001</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Green</w:t>
            </w:r>
          </w:p>
        </w:tc>
        <w:tc>
          <w:tcPr>
            <w:tcW w:w="10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Green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44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228"/>
        </w:trPr>
        <w:tc>
          <w:tcPr>
            <w:tcW w:w="1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Industry </w:t>
            </w:r>
            <w:r>
              <w:rPr>
                <w:rFonts w:ascii="Times New Roman" w:cs="Times New Roman" w:eastAsia="Times New Roman" w:hAnsi="Times New Roman"/>
                <w:sz w:val="18"/>
                <w:szCs w:val="18"/>
                <w:color w:val="auto"/>
                <w:vertAlign w:val="superscript"/>
              </w:rPr>
              <w:t>(b)</w:t>
            </w:r>
          </w:p>
        </w:tc>
        <w:tc>
          <w:tcPr>
            <w:tcW w:w="1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Other Plans</w:t>
            </w:r>
          </w:p>
        </w:tc>
        <w:tc>
          <w:tcPr>
            <w:tcW w:w="1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7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Total contributions</w:t>
            </w:r>
          </w:p>
        </w:tc>
        <w:tc>
          <w:tcPr>
            <w:tcW w:w="2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17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42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7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20" w:right="320" w:hanging="235"/>
        <w:spacing w:after="0" w:line="290" w:lineRule="auto"/>
        <w:tabs>
          <w:tab w:leader="none" w:pos="284"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zone status for each individual plan listed was certified by each plan’s actuary as of the beginning of the plan years for 2025 and 2024. The plan year is the twelve months ending December 31 for each plan listed above except AFTRA Retirement Plan, which has a plan year ending November 30.</w:t>
      </w:r>
    </w:p>
    <w:p>
      <w:pPr>
        <w:spacing w:after="0" w:line="8" w:lineRule="exact"/>
        <w:rPr>
          <w:rFonts w:ascii="Times New Roman" w:cs="Times New Roman" w:eastAsia="Times New Roman" w:hAnsi="Times New Roman"/>
          <w:sz w:val="14"/>
          <w:szCs w:val="14"/>
          <w:color w:val="auto"/>
        </w:rPr>
      </w:pPr>
    </w:p>
    <w:p>
      <w:pPr>
        <w:ind w:left="280" w:hanging="195"/>
        <w:spacing w:after="0"/>
        <w:tabs>
          <w:tab w:leader="none" w:pos="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was listed in these plan’s most recent Form 5500 as providing more than 5% of total contributions for the plan.</w:t>
      </w:r>
    </w:p>
    <w:p>
      <w:pPr>
        <w:spacing w:after="0" w:line="64" w:lineRule="exact"/>
        <w:rPr>
          <w:rFonts w:ascii="Times New Roman" w:cs="Times New Roman" w:eastAsia="Times New Roman" w:hAnsi="Times New Roman"/>
          <w:sz w:val="14"/>
          <w:szCs w:val="14"/>
          <w:color w:val="auto"/>
        </w:rPr>
      </w:pPr>
    </w:p>
    <w:p>
      <w:pPr>
        <w:ind w:left="280" w:hanging="195"/>
        <w:spacing w:after="0"/>
        <w:tabs>
          <w:tab w:leader="none" w:pos="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dates range from July 31, 2024 through December 1, 2028.</w:t>
      </w:r>
    </w:p>
    <w:p>
      <w:pPr>
        <w:spacing w:after="0" w:line="14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As a result of the above noted zone status there were no funding improvements or rehabilitation plans implemented, as defined by ERISA, nor any surcharges imposed for any of the individual plans listed.</w:t>
      </w:r>
    </w:p>
    <w:p>
      <w:pPr>
        <w:spacing w:after="0" w:line="1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also contribute to multiemployer plans that provide postretirement healthcare and other benefits to certain employees under collective bargaining agreements. The contributions to these plans were $91 million for the Successor period from August 7 - December 31, 2025, $94 million for the Predecessor period from January 1 - August 6, 2025, and $215 million and $172 million for the years ended December 31, 2024 and 2023,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Defined Contribution Plans</w:t>
      </w:r>
    </w:p>
    <w:p>
      <w:pPr>
        <w:spacing w:after="0" w:line="1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We sponsor defined contribution plans for the benefit of employees meeting eligibility requirements. Employer contributions to such plans were $40 million for the Successor period from August 7 - December 31, 2025, $82 million for the Predecessor period from January 1 - August 6, 2025, and $133 million and $151 million for the years ended December 31, 2024 and 2023,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 SEGMENT INFORMATION</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Our operating segments, which are the same as our reportable segments, have been determined in accordance with our internal management structure, which is organized based on products and services, and reflects the information regularly reviewed by the Company’s chief operating decision maker (“CODM”). The CODM is the Company’s Chief Strategy Officer and Chief Operating Officer, Andrew Brandon-Gordon. In the first quarter of 2026, we transitioned our reporting structure into three new segments: </w:t>
      </w:r>
      <w:r>
        <w:rPr>
          <w:rFonts w:ascii="Times New Roman" w:cs="Times New Roman" w:eastAsia="Times New Roman" w:hAnsi="Times New Roman"/>
          <w:sz w:val="19"/>
          <w:szCs w:val="19"/>
          <w:i w:val="1"/>
          <w:iCs w:val="1"/>
          <w:color w:val="auto"/>
        </w:rPr>
        <w:t>Studios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and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33" w:name="page134"/>
    <w:bookmarkEnd w:id="133"/>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began reporting under this new structure in our Quarterly Report on Form 10-Q for the first quarter of 2026. Under the new segment structure, our </w:t>
      </w:r>
      <w:r>
        <w:rPr>
          <w:rFonts w:ascii="Times New Roman" w:cs="Times New Roman" w:eastAsia="Times New Roman" w:hAnsi="Times New Roman"/>
          <w:sz w:val="19"/>
          <w:szCs w:val="19"/>
          <w:i w:val="1"/>
          <w:iCs w:val="1"/>
          <w:color w:val="auto"/>
        </w:rPr>
        <w:t>Studios</w:t>
      </w:r>
      <w:r>
        <w:rPr>
          <w:rFonts w:ascii="Times New Roman" w:cs="Times New Roman" w:eastAsia="Times New Roman" w:hAnsi="Times New Roman"/>
          <w:sz w:val="19"/>
          <w:szCs w:val="19"/>
          <w:color w:val="auto"/>
        </w:rPr>
        <w:t xml:space="preserve"> segment reflects the combination of the historical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with the historical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studio operations, consolidating our content creation activities. Additionally, our premium cable channel, Paramount+ with Showtime, which was previously under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is now managed under the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Concurrent with the change to our segments, we updated our segment expense allocations to better reflect how we operate and make cost decisions across the business. Certain centralized costs that were previously allocated at the segment level are now reported within corporate expenses.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The tables below set forth our financial information by reportable segment. As a result of the new accounting basis established in connection with the Transactions and NAI Transaction, which makes our results of operations not comparable between the Successor and Predecessor periods (see Note 1), we are required to present segment information for the Predecessor periods based on our previous segments, </w:t>
      </w:r>
      <w:r>
        <w:rPr>
          <w:rFonts w:ascii="Times New Roman" w:cs="Times New Roman" w:eastAsia="Times New Roman" w:hAnsi="Times New Roman"/>
          <w:sz w:val="19"/>
          <w:szCs w:val="19"/>
          <w:i w:val="1"/>
          <w:iCs w:val="1"/>
          <w:color w:val="auto"/>
        </w:rPr>
        <w:t>Filmed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Entertainment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Direct-to-Consumer,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TV Media</w:t>
      </w:r>
      <w:r>
        <w:rPr>
          <w:rFonts w:ascii="Times New Roman" w:cs="Times New Roman" w:eastAsia="Times New Roman" w:hAnsi="Times New Roman"/>
          <w:sz w:val="19"/>
          <w:szCs w:val="19"/>
          <w:color w:val="auto"/>
        </w:rPr>
        <w:t>. Accordingly, segment results for the Successor period reflect the new segment presentation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for the Predecessor period reflect the historical presentation. Disclosures at the segment level in Notes 5 and 6 also reflect the new segment presentation for the Successor period and the historical presentation for the Predecessor period. We do not disclose our assets by segment because they are not regularly provided to the CODM and are not used to evaluate our operating performance or in determining the allocation of resources.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Successor</w:t>
      </w:r>
    </w:p>
    <w:p>
      <w:pPr>
        <w:spacing w:after="0" w:line="259" w:lineRule="exact"/>
        <w:rPr>
          <w:sz w:val="20"/>
          <w:szCs w:val="20"/>
          <w:color w:val="auto"/>
        </w:rPr>
      </w:pPr>
    </w:p>
    <w:p>
      <w:pPr>
        <w:jc w:val="both"/>
        <w:ind w:left="640" w:hanging="316"/>
        <w:spacing w:after="0" w:line="274" w:lineRule="auto"/>
        <w:tabs>
          <w:tab w:leader="none" w:pos="628"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Studios—</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Studios </w:t>
      </w:r>
      <w:r>
        <w:rPr>
          <w:rFonts w:ascii="Times New Roman" w:cs="Times New Roman" w:eastAsia="Times New Roman" w:hAnsi="Times New Roman"/>
          <w:sz w:val="19"/>
          <w:szCs w:val="19"/>
          <w:color w:val="auto"/>
        </w:rPr>
        <w:t>segment consists of our television and film studio operations, including CBS Studios, Paramount Television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Studios, Nickelodeon Animation, Paramount Pictures, Paramount Animation, and Miramax, as well as Skydance Animation, Film, Television, and Interactive/Games, and Paramount Sports Entertainment.</w:t>
      </w:r>
    </w:p>
    <w:p>
      <w:pPr>
        <w:spacing w:after="0" w:line="218" w:lineRule="exact"/>
        <w:rPr>
          <w:rFonts w:ascii="Times New Roman" w:cs="Times New Roman" w:eastAsia="Times New Roman" w:hAnsi="Times New Roman"/>
          <w:sz w:val="19"/>
          <w:szCs w:val="19"/>
          <w:color w:val="auto"/>
        </w:rPr>
      </w:pPr>
    </w:p>
    <w:p>
      <w:pPr>
        <w:ind w:left="640" w:hanging="316"/>
        <w:spacing w:after="0" w:line="262" w:lineRule="auto"/>
        <w:tabs>
          <w:tab w:leader="none" w:pos="635" w:val="left"/>
        </w:tabs>
        <w:numPr>
          <w:ilvl w:val="0"/>
          <w:numId w:val="50"/>
        </w:numPr>
        <w:rPr>
          <w:rFonts w:ascii="Arial" w:cs="Arial" w:eastAsia="Arial" w:hAnsi="Arial"/>
          <w:sz w:val="21"/>
          <w:szCs w:val="21"/>
          <w:color w:val="auto"/>
        </w:rPr>
      </w:pP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Direct-to-Consumer </w:t>
      </w:r>
      <w:r>
        <w:rPr>
          <w:rFonts w:ascii="Times New Roman" w:cs="Times New Roman" w:eastAsia="Times New Roman" w:hAnsi="Times New Roman"/>
          <w:sz w:val="19"/>
          <w:szCs w:val="19"/>
          <w:color w:val="auto"/>
        </w:rPr>
        <w:t>segment consists of our portfolio of domestic and international pay and free streaming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services, including Paramount+, Pluto TV, and BET+, as well as our domestic premium cable network, Paramount+ with Showtime.</w:t>
      </w:r>
    </w:p>
    <w:p>
      <w:pPr>
        <w:spacing w:after="0" w:line="200" w:lineRule="exact"/>
        <w:rPr>
          <w:rFonts w:ascii="Arial" w:cs="Arial" w:eastAsia="Arial" w:hAnsi="Arial"/>
          <w:sz w:val="21"/>
          <w:szCs w:val="21"/>
          <w:color w:val="auto"/>
        </w:rPr>
      </w:pPr>
    </w:p>
    <w:p>
      <w:pPr>
        <w:jc w:val="both"/>
        <w:ind w:left="640" w:hanging="316"/>
        <w:spacing w:after="0" w:line="264" w:lineRule="auto"/>
        <w:tabs>
          <w:tab w:leader="none" w:pos="628"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TV Media </w:t>
      </w:r>
      <w:r>
        <w:rPr>
          <w:rFonts w:ascii="Times New Roman" w:cs="Times New Roman" w:eastAsia="Times New Roman" w:hAnsi="Times New Roman"/>
          <w:sz w:val="19"/>
          <w:szCs w:val="19"/>
          <w:color w:val="auto"/>
        </w:rPr>
        <w:t>segment consists of our (1) broadcast operations—the CBS Television Network, our domestic broadcast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television network; CBS Stations, our owned television stations; and our international free-to-air networks, including Network 10 and Channel 5; (2) domestic basic cable networks, including MTV, Comedy Central, Paramount Network, The Smithsonian Channel, Nickelodeon, BET Media Group, CBS Sports Network, and international extensions of certain of these brands; and (3) CBS Media Ventures, which produces and distributes first-run syndicated programming.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also includes a number of digital properties such as CBS News 24/7 for 24-hour news and CBS Sports HQ for sports news and analysis.</w:t>
      </w:r>
    </w:p>
    <w:p>
      <w:pPr>
        <w:spacing w:after="0" w:line="1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In the first quarter of 2026, we also renamed our primary measure of profit and loss for our operating segments from Adjusted OIBDA to Adjusted EBITDA. Although these measures have different starting points, as we define them, they produce the same result. We define Adjusted EBITDA as net earnings (loss) before interest expense and income; provision for (benefit from) income taxes; other items; equity in earnings (loss) of investee companies, net of tax; and depreciation and amortization, adjusted to exclude stock-based compensation expense and certain items identified as affecting comparability that are not part of our normal operations. We define Adjusted OIBDA as operating income before depreciation and amortization, adjusted to exclude stock-based compensation expense and the same items identified as affecting comparability. This change was made to align with the measure our management, including the CODM, began using in 2026, including for planning and forecasting of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34" w:name="page135"/>
    <w:bookmarkEnd w:id="134"/>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evaluating the operating performance of our segments, and making decisions about resource allocation. The items identified as affecting comparability that are excluded in both measures include programming charges, impairment charges, restructuring charges, and gain (loss) on dispositions, each where applicable. Stock-based compensation is a noncash expense that management does not consider to be part of our underlying operating performance and is also excluded in both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90805</wp:posOffset>
            </wp:positionV>
            <wp:extent cx="522478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24780" cy="17145"/>
                    </a:xfrm>
                    <a:prstGeom prst="rect">
                      <a:avLst/>
                    </a:prstGeom>
                    <a:noFill/>
                  </pic:spPr>
                </pic:pic>
              </a:graphicData>
            </a:graphic>
          </wp:anchor>
        </w:drawing>
      </w:r>
    </w:p>
    <w:p>
      <w:pPr>
        <w:spacing w:after="0" w:line="160" w:lineRule="exact"/>
        <w:rPr>
          <w:sz w:val="20"/>
          <w:szCs w:val="20"/>
          <w:color w:val="auto"/>
        </w:rPr>
      </w:pPr>
    </w:p>
    <w:tbl>
      <w:tblPr>
        <w:tblLayout w:type="fixed"/>
        <w:tblInd w:w="1520" w:type="dxa"/>
        <w:tblCellMar>
          <w:top w:w="0" w:type="dxa"/>
          <w:left w:w="0" w:type="dxa"/>
          <w:bottom w:w="0" w:type="dxa"/>
          <w:right w:w="0" w:type="dxa"/>
        </w:tblCellMar>
      </w:tblPr>
      <w:tr>
        <w:trPr>
          <w:trHeight w:val="221"/>
        </w:trPr>
        <w:tc>
          <w:tcPr>
            <w:tcW w:w="60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513"/>
              <w:spacing w:after="0"/>
              <w:rPr>
                <w:sz w:val="20"/>
                <w:szCs w:val="20"/>
                <w:color w:val="auto"/>
              </w:rPr>
            </w:pPr>
            <w:r>
              <w:rPr>
                <w:rFonts w:ascii="Times New Roman" w:cs="Times New Roman" w:eastAsia="Times New Roman" w:hAnsi="Times New Roman"/>
                <w:sz w:val="16"/>
                <w:szCs w:val="16"/>
                <w:b w:val="1"/>
                <w:bCs w:val="1"/>
                <w:color w:val="auto"/>
                <w:w w:val="98"/>
              </w:rPr>
              <w:t>Successor</w:t>
            </w:r>
          </w:p>
        </w:tc>
      </w:tr>
      <w:tr>
        <w:trPr>
          <w:trHeight w:val="196"/>
        </w:trPr>
        <w:tc>
          <w:tcPr>
            <w:tcW w:w="606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Period From August 7 -</w:t>
            </w:r>
          </w:p>
        </w:tc>
      </w:tr>
      <w:tr>
        <w:trPr>
          <w:trHeight w:val="210"/>
        </w:trPr>
        <w:tc>
          <w:tcPr>
            <w:tcW w:w="6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jc w:val="center"/>
              <w:ind w:right="51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31"/>
        </w:trPr>
        <w:tc>
          <w:tcPr>
            <w:tcW w:w="60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5"/>
        </w:trPr>
        <w:tc>
          <w:tcPr>
            <w:tcW w:w="6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493"/>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40"/>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
        </w:trPr>
        <w:tc>
          <w:tcPr>
            <w:tcW w:w="6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3"/>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Theatrical</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154</w:t>
            </w:r>
          </w:p>
        </w:tc>
      </w:tr>
      <w:tr>
        <w:trPr>
          <w:trHeight w:val="265"/>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Licensing and other</w:t>
            </w:r>
          </w:p>
        </w:tc>
        <w:tc>
          <w:tcPr>
            <w:tcW w:w="580" w:type="dxa"/>
            <w:vAlign w:val="bottom"/>
          </w:tcPr>
          <w:p>
            <w:pPr>
              <w:spacing w:after="0"/>
              <w:rPr>
                <w:sz w:val="23"/>
                <w:szCs w:val="23"/>
                <w:color w:val="auto"/>
              </w:rPr>
            </w:pPr>
          </w:p>
        </w:tc>
        <w:tc>
          <w:tcPr>
            <w:tcW w:w="15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2,632</w:t>
            </w:r>
          </w:p>
        </w:tc>
      </w:tr>
      <w:tr>
        <w:trPr>
          <w:trHeight w:val="265"/>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w:t>
            </w:r>
          </w:p>
        </w:tc>
        <w:tc>
          <w:tcPr>
            <w:tcW w:w="580" w:type="dxa"/>
            <w:vAlign w:val="bottom"/>
          </w:tcPr>
          <w:p>
            <w:pPr>
              <w:spacing w:after="0"/>
              <w:rPr>
                <w:sz w:val="23"/>
                <w:szCs w:val="23"/>
                <w:color w:val="auto"/>
              </w:rPr>
            </w:pPr>
          </w:p>
        </w:tc>
        <w:tc>
          <w:tcPr>
            <w:tcW w:w="15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12</w:t>
            </w:r>
          </w:p>
        </w:tc>
      </w:tr>
      <w:tr>
        <w:trPr>
          <w:trHeight w:val="25"/>
        </w:trPr>
        <w:tc>
          <w:tcPr>
            <w:tcW w:w="6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3"/>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Studios</w:t>
            </w:r>
          </w:p>
        </w:tc>
        <w:tc>
          <w:tcPr>
            <w:tcW w:w="580" w:type="dxa"/>
            <w:vAlign w:val="bottom"/>
          </w:tcPr>
          <w:p>
            <w:pPr>
              <w:spacing w:after="0"/>
              <w:rPr>
                <w:sz w:val="20"/>
                <w:szCs w:val="20"/>
                <w:color w:val="auto"/>
              </w:rPr>
            </w:pPr>
          </w:p>
        </w:tc>
        <w:tc>
          <w:tcPr>
            <w:tcW w:w="15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2,798</w:t>
            </w:r>
          </w:p>
        </w:tc>
      </w:tr>
      <w:tr>
        <w:trPr>
          <w:trHeight w:val="26"/>
        </w:trPr>
        <w:tc>
          <w:tcPr>
            <w:tcW w:w="6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3"/>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w:t>
            </w:r>
          </w:p>
        </w:tc>
        <w:tc>
          <w:tcPr>
            <w:tcW w:w="580" w:type="dxa"/>
            <w:vAlign w:val="bottom"/>
          </w:tcPr>
          <w:p>
            <w:pPr>
              <w:spacing w:after="0"/>
              <w:rPr>
                <w:sz w:val="20"/>
                <w:szCs w:val="20"/>
                <w:color w:val="auto"/>
              </w:rPr>
            </w:pPr>
          </w:p>
        </w:tc>
        <w:tc>
          <w:tcPr>
            <w:tcW w:w="15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853</w:t>
            </w:r>
          </w:p>
        </w:tc>
      </w:tr>
      <w:tr>
        <w:trPr>
          <w:trHeight w:val="265"/>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Affiliate and subscription</w:t>
            </w:r>
          </w:p>
        </w:tc>
        <w:tc>
          <w:tcPr>
            <w:tcW w:w="580" w:type="dxa"/>
            <w:vAlign w:val="bottom"/>
          </w:tcPr>
          <w:p>
            <w:pPr>
              <w:spacing w:after="0"/>
              <w:rPr>
                <w:sz w:val="23"/>
                <w:szCs w:val="23"/>
                <w:color w:val="auto"/>
              </w:rPr>
            </w:pPr>
          </w:p>
        </w:tc>
        <w:tc>
          <w:tcPr>
            <w:tcW w:w="15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2,799</w:t>
            </w:r>
          </w:p>
        </w:tc>
      </w:tr>
      <w:tr>
        <w:trPr>
          <w:trHeight w:val="265"/>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Licensing</w:t>
            </w:r>
          </w:p>
        </w:tc>
        <w:tc>
          <w:tcPr>
            <w:tcW w:w="580" w:type="dxa"/>
            <w:vAlign w:val="bottom"/>
          </w:tcPr>
          <w:p>
            <w:pPr>
              <w:spacing w:after="0"/>
              <w:rPr>
                <w:sz w:val="23"/>
                <w:szCs w:val="23"/>
                <w:color w:val="auto"/>
              </w:rPr>
            </w:pPr>
          </w:p>
        </w:tc>
        <w:tc>
          <w:tcPr>
            <w:tcW w:w="15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w:t>
            </w:r>
          </w:p>
        </w:tc>
      </w:tr>
      <w:tr>
        <w:trPr>
          <w:trHeight w:val="25"/>
        </w:trPr>
        <w:tc>
          <w:tcPr>
            <w:tcW w:w="6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3"/>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Direct-to-Consumer</w:t>
            </w:r>
          </w:p>
        </w:tc>
        <w:tc>
          <w:tcPr>
            <w:tcW w:w="580" w:type="dxa"/>
            <w:vAlign w:val="bottom"/>
          </w:tcPr>
          <w:p>
            <w:pPr>
              <w:spacing w:after="0"/>
              <w:rPr>
                <w:sz w:val="20"/>
                <w:szCs w:val="20"/>
                <w:color w:val="auto"/>
              </w:rPr>
            </w:pPr>
          </w:p>
        </w:tc>
        <w:tc>
          <w:tcPr>
            <w:tcW w:w="15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3,653</w:t>
            </w:r>
          </w:p>
        </w:tc>
      </w:tr>
      <w:tr>
        <w:trPr>
          <w:trHeight w:val="25"/>
        </w:trPr>
        <w:tc>
          <w:tcPr>
            <w:tcW w:w="6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3"/>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w:t>
            </w:r>
          </w:p>
        </w:tc>
        <w:tc>
          <w:tcPr>
            <w:tcW w:w="580" w:type="dxa"/>
            <w:vAlign w:val="bottom"/>
          </w:tcPr>
          <w:p>
            <w:pPr>
              <w:spacing w:after="0"/>
              <w:rPr>
                <w:sz w:val="20"/>
                <w:szCs w:val="20"/>
                <w:color w:val="auto"/>
              </w:rPr>
            </w:pPr>
          </w:p>
        </w:tc>
        <w:tc>
          <w:tcPr>
            <w:tcW w:w="15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2,943</w:t>
            </w:r>
          </w:p>
        </w:tc>
      </w:tr>
      <w:tr>
        <w:trPr>
          <w:trHeight w:val="265"/>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Affiliate and subscription</w:t>
            </w:r>
          </w:p>
        </w:tc>
        <w:tc>
          <w:tcPr>
            <w:tcW w:w="580" w:type="dxa"/>
            <w:vAlign w:val="bottom"/>
          </w:tcPr>
          <w:p>
            <w:pPr>
              <w:spacing w:after="0"/>
              <w:rPr>
                <w:sz w:val="23"/>
                <w:szCs w:val="23"/>
                <w:color w:val="auto"/>
              </w:rPr>
            </w:pPr>
          </w:p>
        </w:tc>
        <w:tc>
          <w:tcPr>
            <w:tcW w:w="15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2,630</w:t>
            </w:r>
          </w:p>
        </w:tc>
      </w:tr>
      <w:tr>
        <w:trPr>
          <w:trHeight w:val="265"/>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Licensing and other</w:t>
            </w:r>
          </w:p>
        </w:tc>
        <w:tc>
          <w:tcPr>
            <w:tcW w:w="580" w:type="dxa"/>
            <w:vAlign w:val="bottom"/>
          </w:tcPr>
          <w:p>
            <w:pPr>
              <w:spacing w:after="0"/>
              <w:rPr>
                <w:sz w:val="23"/>
                <w:szCs w:val="23"/>
                <w:color w:val="auto"/>
              </w:rPr>
            </w:pPr>
          </w:p>
        </w:tc>
        <w:tc>
          <w:tcPr>
            <w:tcW w:w="15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268</w:t>
            </w:r>
          </w:p>
        </w:tc>
      </w:tr>
      <w:tr>
        <w:trPr>
          <w:trHeight w:val="25"/>
        </w:trPr>
        <w:tc>
          <w:tcPr>
            <w:tcW w:w="6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3"/>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TV Media</w:t>
            </w:r>
          </w:p>
        </w:tc>
        <w:tc>
          <w:tcPr>
            <w:tcW w:w="580" w:type="dxa"/>
            <w:vAlign w:val="bottom"/>
          </w:tcPr>
          <w:p>
            <w:pPr>
              <w:spacing w:after="0"/>
              <w:rPr>
                <w:sz w:val="20"/>
                <w:szCs w:val="20"/>
                <w:color w:val="auto"/>
              </w:rPr>
            </w:pPr>
          </w:p>
        </w:tc>
        <w:tc>
          <w:tcPr>
            <w:tcW w:w="15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5,841</w:t>
            </w:r>
          </w:p>
        </w:tc>
      </w:tr>
      <w:tr>
        <w:trPr>
          <w:trHeight w:val="25"/>
        </w:trPr>
        <w:tc>
          <w:tcPr>
            <w:tcW w:w="6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3"/>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Eliminations</w:t>
            </w:r>
          </w:p>
        </w:tc>
        <w:tc>
          <w:tcPr>
            <w:tcW w:w="580" w:type="dxa"/>
            <w:vAlign w:val="bottom"/>
          </w:tcPr>
          <w:p>
            <w:pPr>
              <w:spacing w:after="0"/>
              <w:rPr>
                <w:sz w:val="20"/>
                <w:szCs w:val="20"/>
                <w:color w:val="auto"/>
              </w:rPr>
            </w:pPr>
          </w:p>
        </w:tc>
        <w:tc>
          <w:tcPr>
            <w:tcW w:w="158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(23)</w:t>
            </w:r>
          </w:p>
        </w:tc>
      </w:tr>
      <w:tr>
        <w:trPr>
          <w:trHeight w:val="25"/>
        </w:trPr>
        <w:tc>
          <w:tcPr>
            <w:tcW w:w="6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3"/>
        </w:trPr>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12,269</w:t>
            </w:r>
          </w:p>
        </w:tc>
      </w:tr>
      <w:tr>
        <w:trPr>
          <w:trHeight w:val="32"/>
        </w:trPr>
        <w:tc>
          <w:tcPr>
            <w:tcW w:w="6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46" w:lineRule="exact"/>
        <w:rPr>
          <w:sz w:val="20"/>
          <w:szCs w:val="20"/>
          <w:color w:val="auto"/>
        </w:rPr>
      </w:pPr>
      <w:r>
        <w:rPr>
          <w:rFonts w:ascii="Times New Roman" w:cs="Times New Roman" w:eastAsia="Times New Roman" w:hAnsi="Times New Roman"/>
          <w:sz w:val="19"/>
          <w:szCs w:val="19"/>
          <w:color w:val="auto"/>
        </w:rPr>
        <w:t>For content licensed between segments, costs are allocated across segments based on the relative value of the distribution windows within each segment; accordingly, no intersegment licensing revenues or profits are recorded by the licensor segment. Intersegment revenues are comprised of advertising revenues and licensing revenues earned from third parties who license our content to our internal platforms through sub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licensing or co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production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88265</wp:posOffset>
            </wp:positionV>
            <wp:extent cx="522478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24780" cy="17145"/>
                    </a:xfrm>
                    <a:prstGeom prst="rect">
                      <a:avLst/>
                    </a:prstGeom>
                    <a:noFill/>
                  </pic:spPr>
                </pic:pic>
              </a:graphicData>
            </a:graphic>
          </wp:anchor>
        </w:drawing>
      </w:r>
    </w:p>
    <w:p>
      <w:pPr>
        <w:spacing w:after="0" w:line="157" w:lineRule="exact"/>
        <w:rPr>
          <w:sz w:val="20"/>
          <w:szCs w:val="20"/>
          <w:color w:val="auto"/>
        </w:rPr>
      </w:pPr>
    </w:p>
    <w:tbl>
      <w:tblPr>
        <w:tblLayout w:type="fixed"/>
        <w:tblInd w:w="1520" w:type="dxa"/>
        <w:tblCellMar>
          <w:top w:w="0" w:type="dxa"/>
          <w:left w:w="0" w:type="dxa"/>
          <w:bottom w:w="0" w:type="dxa"/>
          <w:right w:w="0" w:type="dxa"/>
        </w:tblCellMar>
      </w:tblPr>
      <w:tr>
        <w:trPr>
          <w:trHeight w:val="221"/>
        </w:trPr>
        <w:tc>
          <w:tcPr>
            <w:tcW w:w="60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516"/>
              <w:spacing w:after="0"/>
              <w:rPr>
                <w:sz w:val="20"/>
                <w:szCs w:val="20"/>
                <w:color w:val="auto"/>
              </w:rPr>
            </w:pPr>
            <w:r>
              <w:rPr>
                <w:rFonts w:ascii="Times New Roman" w:cs="Times New Roman" w:eastAsia="Times New Roman" w:hAnsi="Times New Roman"/>
                <w:sz w:val="16"/>
                <w:szCs w:val="16"/>
                <w:b w:val="1"/>
                <w:bCs w:val="1"/>
                <w:color w:val="auto"/>
                <w:w w:val="98"/>
              </w:rPr>
              <w:t>Successor</w:t>
            </w:r>
          </w:p>
        </w:tc>
      </w:tr>
      <w:tr>
        <w:trPr>
          <w:trHeight w:val="209"/>
        </w:trPr>
        <w:tc>
          <w:tcPr>
            <w:tcW w:w="606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Period From August 7 -</w:t>
            </w:r>
          </w:p>
        </w:tc>
      </w:tr>
      <w:tr>
        <w:trPr>
          <w:trHeight w:val="221"/>
        </w:trPr>
        <w:tc>
          <w:tcPr>
            <w:tcW w:w="60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51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32"/>
        </w:trPr>
        <w:tc>
          <w:tcPr>
            <w:tcW w:w="60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496"/>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40"/>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Intercompany Revenues:</w:t>
            </w: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65"/>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Studios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17</w:t>
            </w:r>
          </w:p>
        </w:tc>
      </w:tr>
      <w:tr>
        <w:trPr>
          <w:trHeight w:val="265"/>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TV Media</w:t>
            </w:r>
          </w:p>
        </w:tc>
        <w:tc>
          <w:tcPr>
            <w:tcW w:w="580" w:type="dxa"/>
            <w:vAlign w:val="bottom"/>
          </w:tcPr>
          <w:p>
            <w:pPr>
              <w:spacing w:after="0"/>
              <w:rPr>
                <w:sz w:val="23"/>
                <w:szCs w:val="23"/>
                <w:color w:val="auto"/>
              </w:rPr>
            </w:pPr>
          </w:p>
        </w:tc>
        <w:tc>
          <w:tcPr>
            <w:tcW w:w="158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6</w:t>
            </w:r>
          </w:p>
        </w:tc>
      </w:tr>
      <w:tr>
        <w:trPr>
          <w:trHeight w:val="25"/>
        </w:trPr>
        <w:tc>
          <w:tcPr>
            <w:tcW w:w="6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3"/>
        </w:trPr>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Intercompany Revenues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23</w:t>
            </w:r>
          </w:p>
        </w:tc>
      </w:tr>
      <w:tr>
        <w:trPr>
          <w:trHeight w:val="32"/>
        </w:trPr>
        <w:tc>
          <w:tcPr>
            <w:tcW w:w="6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35" w:name="page136"/>
    <w:bookmarkEnd w:id="135"/>
    <w:p>
      <w:pPr>
        <w:ind w:left="18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270510</wp:posOffset>
            </wp:positionV>
            <wp:extent cx="590613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06135"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100" w:type="dxa"/>
        <w:tblCellMar>
          <w:top w:w="0" w:type="dxa"/>
          <w:left w:w="0" w:type="dxa"/>
          <w:bottom w:w="0" w:type="dxa"/>
          <w:right w:w="0" w:type="dxa"/>
        </w:tblCellMar>
      </w:tblPr>
      <w:tr>
        <w:trPr>
          <w:trHeight w:val="221"/>
        </w:trPr>
        <w:tc>
          <w:tcPr>
            <w:tcW w:w="7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501"/>
              <w:spacing w:after="0"/>
              <w:rPr>
                <w:sz w:val="20"/>
                <w:szCs w:val="20"/>
                <w:color w:val="auto"/>
              </w:rPr>
            </w:pPr>
            <w:r>
              <w:rPr>
                <w:rFonts w:ascii="Times New Roman" w:cs="Times New Roman" w:eastAsia="Times New Roman" w:hAnsi="Times New Roman"/>
                <w:sz w:val="16"/>
                <w:szCs w:val="16"/>
                <w:b w:val="1"/>
                <w:bCs w:val="1"/>
                <w:color w:val="auto"/>
                <w:w w:val="98"/>
              </w:rPr>
              <w:t>Successor</w:t>
            </w:r>
          </w:p>
        </w:tc>
      </w:tr>
      <w:tr>
        <w:trPr>
          <w:trHeight w:val="196"/>
        </w:trPr>
        <w:tc>
          <w:tcPr>
            <w:tcW w:w="7100" w:type="dxa"/>
            <w:vAlign w:val="bottom"/>
          </w:tcPr>
          <w:p>
            <w:pPr>
              <w:spacing w:after="0"/>
              <w:rPr>
                <w:sz w:val="17"/>
                <w:szCs w:val="17"/>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 August 7 -</w:t>
            </w:r>
          </w:p>
        </w:tc>
      </w:tr>
      <w:tr>
        <w:trPr>
          <w:trHeight w:val="210"/>
        </w:trPr>
        <w:tc>
          <w:tcPr>
            <w:tcW w:w="7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tcPr>
          <w:p>
            <w:pPr>
              <w:jc w:val="center"/>
              <w:ind w:right="52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32"/>
        </w:trPr>
        <w:tc>
          <w:tcPr>
            <w:tcW w:w="7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5"/>
        </w:trPr>
        <w:tc>
          <w:tcPr>
            <w:tcW w:w="7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521"/>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0"/>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Studios</w:t>
            </w:r>
          </w:p>
        </w:tc>
        <w:tc>
          <w:tcPr>
            <w:tcW w:w="6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2,798</w:t>
            </w:r>
          </w:p>
        </w:tc>
      </w:tr>
      <w:tr>
        <w:trPr>
          <w:trHeight w:val="331"/>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Content costs</w:t>
            </w:r>
          </w:p>
        </w:tc>
        <w:tc>
          <w:tcPr>
            <w:tcW w:w="600" w:type="dxa"/>
            <w:vAlign w:val="bottom"/>
          </w:tcPr>
          <w:p>
            <w:pPr>
              <w:spacing w:after="0"/>
              <w:rPr>
                <w:sz w:val="24"/>
                <w:szCs w:val="24"/>
                <w:color w:val="auto"/>
              </w:rPr>
            </w:pPr>
          </w:p>
        </w:tc>
        <w:tc>
          <w:tcPr>
            <w:tcW w:w="16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1,974</w:t>
            </w:r>
          </w:p>
        </w:tc>
      </w:tr>
      <w:tr>
        <w:trPr>
          <w:trHeight w:val="238"/>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600" w:type="dxa"/>
            <w:vAlign w:val="bottom"/>
          </w:tcPr>
          <w:p>
            <w:pPr>
              <w:spacing w:after="0"/>
              <w:rPr>
                <w:sz w:val="20"/>
                <w:szCs w:val="20"/>
                <w:color w:val="auto"/>
              </w:rPr>
            </w:pPr>
          </w:p>
        </w:tc>
        <w:tc>
          <w:tcPr>
            <w:tcW w:w="16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305</w:t>
            </w:r>
          </w:p>
        </w:tc>
      </w:tr>
      <w:tr>
        <w:trPr>
          <w:trHeight w:val="257"/>
        </w:trPr>
        <w:tc>
          <w:tcPr>
            <w:tcW w:w="7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(a)</w:t>
            </w:r>
          </w:p>
        </w:tc>
        <w:tc>
          <w:tcPr>
            <w:tcW w:w="6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335</w:t>
            </w:r>
          </w:p>
        </w:tc>
      </w:tr>
      <w:tr>
        <w:trPr>
          <w:trHeight w:val="214"/>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segment expenses</w:t>
            </w:r>
          </w:p>
        </w:tc>
        <w:tc>
          <w:tcPr>
            <w:tcW w:w="600" w:type="dxa"/>
            <w:vAlign w:val="bottom"/>
          </w:tcPr>
          <w:p>
            <w:pPr>
              <w:spacing w:after="0"/>
              <w:rPr>
                <w:sz w:val="18"/>
                <w:szCs w:val="18"/>
                <w:color w:val="auto"/>
              </w:rPr>
            </w:pPr>
          </w:p>
        </w:tc>
        <w:tc>
          <w:tcPr>
            <w:tcW w:w="16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2,614</w:t>
            </w:r>
          </w:p>
        </w:tc>
      </w:tr>
      <w:tr>
        <w:trPr>
          <w:trHeight w:val="343"/>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Studios Adjusted EBITDA</w:t>
            </w:r>
          </w:p>
        </w:tc>
        <w:tc>
          <w:tcPr>
            <w:tcW w:w="6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184</w:t>
            </w:r>
          </w:p>
        </w:tc>
      </w:tr>
      <w:tr>
        <w:trPr>
          <w:trHeight w:val="220"/>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Direct-to-Consumer</w:t>
            </w:r>
          </w:p>
        </w:tc>
        <w:tc>
          <w:tcPr>
            <w:tcW w:w="6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600" w:type="dxa"/>
            <w:vAlign w:val="bottom"/>
          </w:tcPr>
          <w:p>
            <w:pPr>
              <w:spacing w:after="0"/>
              <w:rPr>
                <w:sz w:val="20"/>
                <w:szCs w:val="20"/>
                <w:color w:val="auto"/>
              </w:rPr>
            </w:pPr>
          </w:p>
        </w:tc>
        <w:tc>
          <w:tcPr>
            <w:tcW w:w="16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3,653</w:t>
            </w:r>
          </w:p>
        </w:tc>
      </w:tr>
      <w:tr>
        <w:trPr>
          <w:trHeight w:val="331"/>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Content costs</w:t>
            </w:r>
          </w:p>
        </w:tc>
        <w:tc>
          <w:tcPr>
            <w:tcW w:w="600" w:type="dxa"/>
            <w:vAlign w:val="bottom"/>
          </w:tcPr>
          <w:p>
            <w:pPr>
              <w:spacing w:after="0"/>
              <w:rPr>
                <w:sz w:val="24"/>
                <w:szCs w:val="24"/>
                <w:color w:val="auto"/>
              </w:rPr>
            </w:pPr>
          </w:p>
        </w:tc>
        <w:tc>
          <w:tcPr>
            <w:tcW w:w="16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1,760</w:t>
            </w:r>
          </w:p>
        </w:tc>
      </w:tr>
      <w:tr>
        <w:trPr>
          <w:trHeight w:val="238"/>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600" w:type="dxa"/>
            <w:vAlign w:val="bottom"/>
          </w:tcPr>
          <w:p>
            <w:pPr>
              <w:spacing w:after="0"/>
              <w:rPr>
                <w:sz w:val="20"/>
                <w:szCs w:val="20"/>
                <w:color w:val="auto"/>
              </w:rPr>
            </w:pPr>
          </w:p>
        </w:tc>
        <w:tc>
          <w:tcPr>
            <w:tcW w:w="16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674</w:t>
            </w:r>
          </w:p>
        </w:tc>
      </w:tr>
      <w:tr>
        <w:trPr>
          <w:trHeight w:val="257"/>
        </w:trPr>
        <w:tc>
          <w:tcPr>
            <w:tcW w:w="7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(b)</w:t>
            </w:r>
          </w:p>
        </w:tc>
        <w:tc>
          <w:tcPr>
            <w:tcW w:w="6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940</w:t>
            </w:r>
          </w:p>
        </w:tc>
      </w:tr>
      <w:tr>
        <w:trPr>
          <w:trHeight w:val="214"/>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segment expenses</w:t>
            </w:r>
          </w:p>
        </w:tc>
        <w:tc>
          <w:tcPr>
            <w:tcW w:w="600" w:type="dxa"/>
            <w:vAlign w:val="bottom"/>
          </w:tcPr>
          <w:p>
            <w:pPr>
              <w:spacing w:after="0"/>
              <w:rPr>
                <w:sz w:val="18"/>
                <w:szCs w:val="18"/>
                <w:color w:val="auto"/>
              </w:rPr>
            </w:pPr>
          </w:p>
        </w:tc>
        <w:tc>
          <w:tcPr>
            <w:tcW w:w="16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3,374</w:t>
            </w:r>
          </w:p>
        </w:tc>
      </w:tr>
      <w:tr>
        <w:trPr>
          <w:trHeight w:val="343"/>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Direct-to-Consumer Adjusted EBITDA</w:t>
            </w:r>
          </w:p>
        </w:tc>
        <w:tc>
          <w:tcPr>
            <w:tcW w:w="6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279</w:t>
            </w:r>
          </w:p>
        </w:tc>
      </w:tr>
      <w:tr>
        <w:trPr>
          <w:trHeight w:val="220"/>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TV Media</w:t>
            </w:r>
          </w:p>
        </w:tc>
        <w:tc>
          <w:tcPr>
            <w:tcW w:w="6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600" w:type="dxa"/>
            <w:vAlign w:val="bottom"/>
          </w:tcPr>
          <w:p>
            <w:pPr>
              <w:spacing w:after="0"/>
              <w:rPr>
                <w:sz w:val="20"/>
                <w:szCs w:val="20"/>
                <w:color w:val="auto"/>
              </w:rPr>
            </w:pPr>
          </w:p>
        </w:tc>
        <w:tc>
          <w:tcPr>
            <w:tcW w:w="16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5,841</w:t>
            </w:r>
          </w:p>
        </w:tc>
      </w:tr>
      <w:tr>
        <w:trPr>
          <w:trHeight w:val="331"/>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Content costs</w:t>
            </w:r>
          </w:p>
        </w:tc>
        <w:tc>
          <w:tcPr>
            <w:tcW w:w="600" w:type="dxa"/>
            <w:vAlign w:val="bottom"/>
          </w:tcPr>
          <w:p>
            <w:pPr>
              <w:spacing w:after="0"/>
              <w:rPr>
                <w:sz w:val="24"/>
                <w:szCs w:val="24"/>
                <w:color w:val="auto"/>
              </w:rPr>
            </w:pPr>
          </w:p>
        </w:tc>
        <w:tc>
          <w:tcPr>
            <w:tcW w:w="16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2,774</w:t>
            </w:r>
          </w:p>
        </w:tc>
      </w:tr>
      <w:tr>
        <w:trPr>
          <w:trHeight w:val="238"/>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600" w:type="dxa"/>
            <w:vAlign w:val="bottom"/>
          </w:tcPr>
          <w:p>
            <w:pPr>
              <w:spacing w:after="0"/>
              <w:rPr>
                <w:sz w:val="20"/>
                <w:szCs w:val="20"/>
                <w:color w:val="auto"/>
              </w:rPr>
            </w:pPr>
          </w:p>
        </w:tc>
        <w:tc>
          <w:tcPr>
            <w:tcW w:w="16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224</w:t>
            </w:r>
          </w:p>
        </w:tc>
      </w:tr>
      <w:tr>
        <w:trPr>
          <w:trHeight w:val="257"/>
        </w:trPr>
        <w:tc>
          <w:tcPr>
            <w:tcW w:w="7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(c)</w:t>
            </w:r>
          </w:p>
        </w:tc>
        <w:tc>
          <w:tcPr>
            <w:tcW w:w="6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1,408</w:t>
            </w:r>
          </w:p>
        </w:tc>
      </w:tr>
      <w:tr>
        <w:trPr>
          <w:trHeight w:val="214"/>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segment expenses</w:t>
            </w:r>
          </w:p>
        </w:tc>
        <w:tc>
          <w:tcPr>
            <w:tcW w:w="600" w:type="dxa"/>
            <w:vAlign w:val="bottom"/>
          </w:tcPr>
          <w:p>
            <w:pPr>
              <w:spacing w:after="0"/>
              <w:rPr>
                <w:sz w:val="18"/>
                <w:szCs w:val="18"/>
                <w:color w:val="auto"/>
              </w:rPr>
            </w:pPr>
          </w:p>
        </w:tc>
        <w:tc>
          <w:tcPr>
            <w:tcW w:w="16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4,406</w:t>
            </w:r>
          </w:p>
        </w:tc>
      </w:tr>
      <w:tr>
        <w:trPr>
          <w:trHeight w:val="343"/>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TV Media Adjusted EBITDA</w:t>
            </w:r>
          </w:p>
        </w:tc>
        <w:tc>
          <w:tcPr>
            <w:tcW w:w="6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1,435</w:t>
            </w:r>
          </w:p>
        </w:tc>
      </w:tr>
      <w:tr>
        <w:trPr>
          <w:trHeight w:val="220"/>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Corporate/Eliminations</w:t>
            </w:r>
          </w:p>
        </w:tc>
        <w:tc>
          <w:tcPr>
            <w:tcW w:w="600" w:type="dxa"/>
            <w:vAlign w:val="bottom"/>
          </w:tcPr>
          <w:p>
            <w:pPr>
              <w:spacing w:after="0"/>
              <w:rPr>
                <w:sz w:val="19"/>
                <w:szCs w:val="19"/>
                <w:color w:val="auto"/>
              </w:rPr>
            </w:pPr>
          </w:p>
        </w:tc>
        <w:tc>
          <w:tcPr>
            <w:tcW w:w="16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rPr>
              <w:t>(540)</w:t>
            </w:r>
          </w:p>
        </w:tc>
      </w:tr>
      <w:tr>
        <w:trPr>
          <w:trHeight w:val="26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0"/>
                <w:szCs w:val="20"/>
                <w:color w:val="auto"/>
                <w:vertAlign w:val="superscript"/>
              </w:rPr>
              <w:t>(d)</w:t>
            </w:r>
          </w:p>
        </w:tc>
        <w:tc>
          <w:tcPr>
            <w:tcW w:w="600" w:type="dxa"/>
            <w:vAlign w:val="bottom"/>
          </w:tcPr>
          <w:p>
            <w:pPr>
              <w:spacing w:after="0"/>
              <w:rPr>
                <w:sz w:val="23"/>
                <w:szCs w:val="23"/>
                <w:color w:val="auto"/>
              </w:rPr>
            </w:pPr>
          </w:p>
        </w:tc>
        <w:tc>
          <w:tcPr>
            <w:tcW w:w="16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rPr>
              <w:t>(91)</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00" w:type="dxa"/>
            <w:vAlign w:val="bottom"/>
          </w:tcPr>
          <w:p>
            <w:pPr>
              <w:spacing w:after="0"/>
              <w:rPr>
                <w:sz w:val="18"/>
                <w:szCs w:val="18"/>
                <w:color w:val="auto"/>
              </w:rPr>
            </w:pPr>
          </w:p>
        </w:tc>
        <w:tc>
          <w:tcPr>
            <w:tcW w:w="16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rPr>
              <w:t>(590)</w:t>
            </w: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Programming charges</w:t>
            </w:r>
          </w:p>
        </w:tc>
        <w:tc>
          <w:tcPr>
            <w:tcW w:w="600" w:type="dxa"/>
            <w:vAlign w:val="bottom"/>
          </w:tcPr>
          <w:p>
            <w:pPr>
              <w:spacing w:after="0"/>
              <w:rPr>
                <w:sz w:val="20"/>
                <w:szCs w:val="20"/>
                <w:color w:val="auto"/>
              </w:rPr>
            </w:pPr>
          </w:p>
        </w:tc>
        <w:tc>
          <w:tcPr>
            <w:tcW w:w="16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rPr>
              <w:t>(41)</w:t>
            </w:r>
          </w:p>
        </w:tc>
      </w:tr>
      <w:tr>
        <w:trPr>
          <w:trHeight w:val="257"/>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xml:space="preserve">Restructuring and transaction-related items </w:t>
            </w:r>
            <w:r>
              <w:rPr>
                <w:rFonts w:ascii="Times New Roman" w:cs="Times New Roman" w:eastAsia="Times New Roman" w:hAnsi="Times New Roman"/>
                <w:sz w:val="20"/>
                <w:szCs w:val="20"/>
                <w:color w:val="auto"/>
                <w:vertAlign w:val="superscript"/>
              </w:rPr>
              <w:t>(d)</w:t>
            </w:r>
          </w:p>
        </w:tc>
        <w:tc>
          <w:tcPr>
            <w:tcW w:w="6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(731)</w:t>
            </w: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600" w:type="dxa"/>
            <w:vAlign w:val="bottom"/>
          </w:tcPr>
          <w:p>
            <w:pPr>
              <w:spacing w:after="0"/>
              <w:rPr>
                <w:sz w:val="18"/>
                <w:szCs w:val="18"/>
                <w:color w:val="auto"/>
              </w:rPr>
            </w:pPr>
          </w:p>
        </w:tc>
        <w:tc>
          <w:tcPr>
            <w:tcW w:w="16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rPr>
              <w:t>(95)</w:t>
            </w:r>
          </w:p>
        </w:tc>
      </w:tr>
      <w:tr>
        <w:trPr>
          <w:trHeight w:val="23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600" w:type="dxa"/>
            <w:vAlign w:val="bottom"/>
          </w:tcPr>
          <w:p>
            <w:pPr>
              <w:spacing w:after="0"/>
              <w:rPr>
                <w:sz w:val="20"/>
                <w:szCs w:val="20"/>
                <w:color w:val="auto"/>
              </w:rPr>
            </w:pPr>
          </w:p>
        </w:tc>
        <w:tc>
          <w:tcPr>
            <w:tcW w:w="16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rPr>
              <w:t>(366)</w:t>
            </w:r>
          </w:p>
        </w:tc>
      </w:tr>
      <w:tr>
        <w:trPr>
          <w:trHeight w:val="238"/>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600" w:type="dxa"/>
            <w:vAlign w:val="bottom"/>
          </w:tcPr>
          <w:p>
            <w:pPr>
              <w:spacing w:after="0"/>
              <w:rPr>
                <w:sz w:val="20"/>
                <w:szCs w:val="20"/>
                <w:color w:val="auto"/>
              </w:rPr>
            </w:pPr>
          </w:p>
        </w:tc>
        <w:tc>
          <w:tcPr>
            <w:tcW w:w="16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64</w:t>
            </w:r>
          </w:p>
        </w:tc>
      </w:tr>
      <w:tr>
        <w:trPr>
          <w:trHeight w:val="238"/>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from investment</w:t>
            </w:r>
          </w:p>
        </w:tc>
        <w:tc>
          <w:tcPr>
            <w:tcW w:w="600" w:type="dxa"/>
            <w:vAlign w:val="bottom"/>
          </w:tcPr>
          <w:p>
            <w:pPr>
              <w:spacing w:after="0"/>
              <w:rPr>
                <w:sz w:val="20"/>
                <w:szCs w:val="20"/>
                <w:color w:val="auto"/>
              </w:rPr>
            </w:pPr>
          </w:p>
        </w:tc>
        <w:tc>
          <w:tcPr>
            <w:tcW w:w="16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rPr>
              <w:t>(40)</w:t>
            </w:r>
          </w:p>
        </w:tc>
      </w:tr>
      <w:tr>
        <w:trPr>
          <w:trHeight w:val="250"/>
        </w:trPr>
        <w:tc>
          <w:tcPr>
            <w:tcW w:w="7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items, net</w:t>
            </w:r>
          </w:p>
        </w:tc>
        <w:tc>
          <w:tcPr>
            <w:tcW w:w="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(39)</w:t>
            </w:r>
          </w:p>
        </w:tc>
      </w:tr>
      <w:tr>
        <w:trPr>
          <w:trHeight w:val="19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 before income taxes and equity in loss of</w:t>
            </w:r>
          </w:p>
        </w:tc>
        <w:tc>
          <w:tcPr>
            <w:tcW w:w="6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21"/>
        </w:trPr>
        <w:tc>
          <w:tcPr>
            <w:tcW w:w="7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investee companies</w:t>
            </w:r>
          </w:p>
        </w:tc>
        <w:tc>
          <w:tcPr>
            <w:tcW w:w="600" w:type="dxa"/>
            <w:vAlign w:val="bottom"/>
          </w:tcPr>
          <w:p>
            <w:pPr>
              <w:spacing w:after="0"/>
              <w:rPr>
                <w:sz w:val="19"/>
                <w:szCs w:val="19"/>
                <w:color w:val="auto"/>
              </w:rPr>
            </w:pPr>
          </w:p>
        </w:tc>
        <w:tc>
          <w:tcPr>
            <w:tcW w:w="16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rPr>
              <w:t>(476)</w:t>
            </w:r>
          </w:p>
        </w:tc>
      </w:tr>
      <w:tr>
        <w:trPr>
          <w:trHeight w:val="23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600" w:type="dxa"/>
            <w:vAlign w:val="bottom"/>
          </w:tcPr>
          <w:p>
            <w:pPr>
              <w:spacing w:after="0"/>
              <w:rPr>
                <w:sz w:val="20"/>
                <w:szCs w:val="20"/>
                <w:color w:val="auto"/>
              </w:rPr>
            </w:pPr>
          </w:p>
        </w:tc>
        <w:tc>
          <w:tcPr>
            <w:tcW w:w="16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40</w:t>
            </w:r>
          </w:p>
        </w:tc>
      </w:tr>
      <w:tr>
        <w:trPr>
          <w:trHeight w:val="250"/>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Equity in loss of investee companies, net of tax</w:t>
            </w:r>
          </w:p>
        </w:tc>
        <w:tc>
          <w:tcPr>
            <w:tcW w:w="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(104)</w:t>
            </w:r>
          </w:p>
        </w:tc>
      </w:tr>
      <w:tr>
        <w:trPr>
          <w:trHeight w:val="220"/>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(Parent and noncontrolling interests)</w:t>
            </w:r>
          </w:p>
        </w:tc>
        <w:tc>
          <w:tcPr>
            <w:tcW w:w="600" w:type="dxa"/>
            <w:vAlign w:val="bottom"/>
          </w:tcPr>
          <w:p>
            <w:pPr>
              <w:spacing w:after="0"/>
              <w:rPr>
                <w:sz w:val="19"/>
                <w:szCs w:val="19"/>
                <w:color w:val="auto"/>
              </w:rPr>
            </w:pPr>
          </w:p>
        </w:tc>
        <w:tc>
          <w:tcPr>
            <w:tcW w:w="16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rPr>
              <w:t>(540)</w:t>
            </w:r>
          </w:p>
        </w:tc>
      </w:tr>
      <w:tr>
        <w:trPr>
          <w:trHeight w:val="250"/>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earnings attributable to noncontrolling interests</w:t>
            </w:r>
          </w:p>
        </w:tc>
        <w:tc>
          <w:tcPr>
            <w:tcW w:w="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(46)</w:t>
            </w:r>
          </w:p>
        </w:tc>
      </w:tr>
      <w:tr>
        <w:trPr>
          <w:trHeight w:val="245"/>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loss attributable to Parent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(586)</w:t>
            </w:r>
          </w:p>
        </w:tc>
      </w:tr>
    </w:tbl>
    <w:p>
      <w:pPr>
        <w:spacing w:after="0" w:line="143" w:lineRule="exact"/>
        <w:rPr>
          <w:sz w:val="20"/>
          <w:szCs w:val="20"/>
          <w:color w:val="auto"/>
        </w:rPr>
      </w:pPr>
    </w:p>
    <w:p>
      <w:pPr>
        <w:ind w:left="240" w:hanging="240"/>
        <w:spacing w:after="0" w:line="275" w:lineRule="auto"/>
        <w:tabs>
          <w:tab w:leader="none" w:pos="23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Studios</w:t>
      </w:r>
      <w:r>
        <w:rPr>
          <w:rFonts w:ascii="Times New Roman" w:cs="Times New Roman" w:eastAsia="Times New Roman" w:hAnsi="Times New Roman"/>
          <w:sz w:val="16"/>
          <w:szCs w:val="16"/>
          <w:color w:val="auto"/>
        </w:rPr>
        <w:t xml:space="preserve"> segment include employee compensation; costs relating to the distribution of our content; costs for occupancy, technology, and professional services; and other costs associated with our operations.</w:t>
      </w:r>
    </w:p>
    <w:p>
      <w:pPr>
        <w:spacing w:after="0" w:line="15" w:lineRule="exact"/>
        <w:rPr>
          <w:rFonts w:ascii="Times New Roman" w:cs="Times New Roman" w:eastAsia="Times New Roman" w:hAnsi="Times New Roman"/>
          <w:sz w:val="16"/>
          <w:szCs w:val="16"/>
          <w:color w:val="auto"/>
        </w:rPr>
      </w:pPr>
    </w:p>
    <w:p>
      <w:pPr>
        <w:ind w:left="240" w:hanging="240"/>
        <w:spacing w:after="0" w:line="275" w:lineRule="auto"/>
        <w:tabs>
          <w:tab w:leader="none" w:pos="23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Direct-to-Consumer</w:t>
      </w:r>
      <w:r>
        <w:rPr>
          <w:rFonts w:ascii="Times New Roman" w:cs="Times New Roman" w:eastAsia="Times New Roman" w:hAnsi="Times New Roman"/>
          <w:sz w:val="16"/>
          <w:szCs w:val="16"/>
          <w:color w:val="auto"/>
        </w:rPr>
        <w:t xml:space="preserve"> segment include employee compensation; revenue-sharing costs, including for third-party distribution; costs for occupancy, technology, and professional services; and other costs associated with our operations.</w:t>
      </w:r>
    </w:p>
    <w:p>
      <w:pPr>
        <w:spacing w:after="0" w:line="15" w:lineRule="exact"/>
        <w:rPr>
          <w:rFonts w:ascii="Times New Roman" w:cs="Times New Roman" w:eastAsia="Times New Roman" w:hAnsi="Times New Roman"/>
          <w:sz w:val="16"/>
          <w:szCs w:val="16"/>
          <w:color w:val="auto"/>
        </w:rPr>
      </w:pPr>
    </w:p>
    <w:p>
      <w:pPr>
        <w:ind w:left="240" w:hanging="240"/>
        <w:spacing w:after="0" w:line="275" w:lineRule="auto"/>
        <w:tabs>
          <w:tab w:leader="none" w:pos="22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segment include employee compensation; revenue-sharing costs to television stations affiliated with the CBS Television Network; costs relating to the distribution of our</w:t>
      </w:r>
    </w:p>
    <w:p>
      <w:pPr>
        <w:sectPr>
          <w:pgSz w:w="11900" w:h="16838" w:orient="portrait"/>
          <w:cols w:equalWidth="0" w:num="1">
            <w:col w:w="9400"/>
          </w:cols>
          <w:pgMar w:left="1200" w:top="735"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II-118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76835</wp:posOffset>
            </wp:positionV>
            <wp:extent cx="71602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400"/>
          </w:cols>
          <w:pgMar w:left="1200" w:top="735" w:right="1299" w:bottom="1440" w:gutter="0" w:footer="0" w:header="0"/>
          <w:type w:val="continuous"/>
        </w:sectPr>
      </w:pPr>
    </w:p>
    <w:bookmarkStart w:id="136" w:name="page137"/>
    <w:bookmarkEnd w:id="136"/>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content; costs for research, occupancy, technology, and professional services; and other costs associated with our operations.</w:t>
      </w:r>
    </w:p>
    <w:p>
      <w:pPr>
        <w:spacing w:after="0" w:line="55" w:lineRule="exact"/>
        <w:rPr>
          <w:sz w:val="20"/>
          <w:szCs w:val="20"/>
          <w:color w:val="auto"/>
        </w:rPr>
      </w:pPr>
    </w:p>
    <w:p>
      <w:pPr>
        <w:ind w:left="1120" w:right="960" w:hanging="240"/>
        <w:spacing w:after="0" w:line="290" w:lineRule="auto"/>
        <w:tabs>
          <w:tab w:leader="none" w:pos="1114"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Successor period from August 7 - December 31, 2025 stock-based compensation expense of $69 million is included in “Restructuring and transaction-related items.”</w:t>
      </w:r>
    </w:p>
    <w:p>
      <w:pPr>
        <w:spacing w:after="0" w:line="1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i w:val="1"/>
          <w:iCs w:val="1"/>
          <w:color w:val="auto"/>
        </w:rPr>
        <w:t>Predecessor</w:t>
      </w:r>
    </w:p>
    <w:p>
      <w:pPr>
        <w:spacing w:after="0" w:line="232" w:lineRule="exact"/>
        <w:rPr>
          <w:sz w:val="20"/>
          <w:szCs w:val="20"/>
          <w:color w:val="auto"/>
        </w:rPr>
      </w:pPr>
    </w:p>
    <w:p>
      <w:pPr>
        <w:jc w:val="both"/>
        <w:ind w:left="640" w:hanging="316"/>
        <w:spacing w:after="0" w:line="261" w:lineRule="auto"/>
        <w:tabs>
          <w:tab w:leader="none" w:pos="628" w:val="left"/>
        </w:tabs>
        <w:numPr>
          <w:ilvl w:val="0"/>
          <w:numId w:val="53"/>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Prior to the segment change, our</w:t>
      </w:r>
      <w:r>
        <w:rPr>
          <w:rFonts w:ascii="Times New Roman" w:cs="Times New Roman" w:eastAsia="Times New Roman" w:hAnsi="Times New Roman"/>
          <w:sz w:val="19"/>
          <w:szCs w:val="19"/>
          <w:i w:val="1"/>
          <w:iCs w:val="1"/>
          <w:color w:val="auto"/>
        </w:rPr>
        <w:t xml:space="preserve"> TV Media </w:t>
      </w:r>
      <w:r>
        <w:rPr>
          <w:rFonts w:ascii="Times New Roman" w:cs="Times New Roman" w:eastAsia="Times New Roman" w:hAnsi="Times New Roman"/>
          <w:sz w:val="19"/>
          <w:szCs w:val="19"/>
          <w:color w:val="auto"/>
        </w:rPr>
        <w:t>segment consisted of our (1) broadcast operations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the CBS Television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Network, our domestic broadcast television network; CBS Stations, our owned television stations; and our international free-to-air networks, including Network 10 and Channel 5; (2) domestic premium and basic cable networks, including Paramount+ with Showtime, MTV, Comedy Central, Paramount Network, The Smithsonian Channel, Nickelodeon, BET Media Group, CBS Sports Network, and international extensions of certain of these brands; and (3) domestic and international television studio operations, including CBS Studios and Paramount Television Studios, as well as CBS Media Ventures, which produces and distributes first-run syndicated programming.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also includes a number of digital properties such as CBS News 24/7 for 24 hour news and CBS Sports HQ for sports news and analysis. On October 23, 2025, we completed the sale of Telefe in Argentina and on January 12, 2026, we completed the sale of Chilevisión in Chile.</w:t>
      </w:r>
    </w:p>
    <w:p>
      <w:pPr>
        <w:spacing w:after="0" w:line="167" w:lineRule="exact"/>
        <w:rPr>
          <w:rFonts w:ascii="Times New Roman" w:cs="Times New Roman" w:eastAsia="Times New Roman" w:hAnsi="Times New Roman"/>
          <w:sz w:val="19"/>
          <w:szCs w:val="19"/>
          <w:b w:val="1"/>
          <w:bCs w:val="1"/>
          <w:i w:val="1"/>
          <w:iCs w:val="1"/>
          <w:color w:val="auto"/>
        </w:rPr>
      </w:pPr>
    </w:p>
    <w:p>
      <w:pPr>
        <w:ind w:left="640" w:hanging="316"/>
        <w:spacing w:after="0" w:line="302" w:lineRule="auto"/>
        <w:tabs>
          <w:tab w:leader="none" w:pos="628" w:val="left"/>
        </w:tabs>
        <w:numPr>
          <w:ilvl w:val="0"/>
          <w:numId w:val="53"/>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Prior to the segment change, our</w:t>
      </w:r>
      <w:r>
        <w:rPr>
          <w:rFonts w:ascii="Times New Roman" w:cs="Times New Roman" w:eastAsia="Times New Roman" w:hAnsi="Times New Roman"/>
          <w:sz w:val="19"/>
          <w:szCs w:val="19"/>
          <w:i w:val="1"/>
          <w:iCs w:val="1"/>
          <w:color w:val="auto"/>
        </w:rPr>
        <w:t xml:space="preserve"> Direct-to-Consumer </w:t>
      </w:r>
      <w:r>
        <w:rPr>
          <w:rFonts w:ascii="Times New Roman" w:cs="Times New Roman" w:eastAsia="Times New Roman" w:hAnsi="Times New Roman"/>
          <w:sz w:val="19"/>
          <w:szCs w:val="19"/>
          <w:color w:val="auto"/>
        </w:rPr>
        <w:t>segment consists of our portfolio of domestic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international pay and free streaming services, including Paramount+, Pluto TV, and BET+.</w:t>
      </w:r>
    </w:p>
    <w:p>
      <w:pPr>
        <w:spacing w:after="0" w:line="152" w:lineRule="exact"/>
        <w:rPr>
          <w:rFonts w:ascii="Times New Roman" w:cs="Times New Roman" w:eastAsia="Times New Roman" w:hAnsi="Times New Roman"/>
          <w:sz w:val="19"/>
          <w:szCs w:val="19"/>
          <w:b w:val="1"/>
          <w:bCs w:val="1"/>
          <w:i w:val="1"/>
          <w:iCs w:val="1"/>
          <w:color w:val="auto"/>
        </w:rPr>
      </w:pPr>
    </w:p>
    <w:p>
      <w:pPr>
        <w:ind w:left="640" w:hanging="316"/>
        <w:spacing w:after="0" w:line="302" w:lineRule="auto"/>
        <w:tabs>
          <w:tab w:leader="none" w:pos="628" w:val="left"/>
        </w:tabs>
        <w:numPr>
          <w:ilvl w:val="0"/>
          <w:numId w:val="53"/>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Prior to the segment change, our</w:t>
      </w:r>
      <w:r>
        <w:rPr>
          <w:rFonts w:ascii="Times New Roman" w:cs="Times New Roman" w:eastAsia="Times New Roman" w:hAnsi="Times New Roman"/>
          <w:sz w:val="19"/>
          <w:szCs w:val="19"/>
          <w:i w:val="1"/>
          <w:iCs w:val="1"/>
          <w:color w:val="auto"/>
        </w:rPr>
        <w:t xml:space="preserve"> Filmed Entertainment </w:t>
      </w:r>
      <w:r>
        <w:rPr>
          <w:rFonts w:ascii="Times New Roman" w:cs="Times New Roman" w:eastAsia="Times New Roman" w:hAnsi="Times New Roman"/>
          <w:sz w:val="19"/>
          <w:szCs w:val="19"/>
          <w:color w:val="auto"/>
        </w:rPr>
        <w:t>segment included Paramount Pictures, Paramount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Players, Paramount Animation, Nickelodeon Studio, and Miramax.</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primary measure of profit and loss for our operating segments in accordance with FASB guidance for segment reporting presented for the Predecessor periods is operating income excluding depreciation and amortization, stock-based compensation, programming charges, impairment charges, restructuring charges, transaction-related items, other corporate matters, and gain on dispositions, each where applicable (“Adjusted OIBDA”). Programming charges consist only of charges related to major strategic changes (see Note 4), and do not include impairment charges that occur as part of our normal operations, which are recorded within content costs in the tables below, where applicable, and are not excluded in Adjusted OIBDA. Adjusted OIBDA was the primary method used by our management, including the CODM, for planning and forecasting of future periods, evaluating the operating performance of our segments, and making decisions about resource allocation. Stock-based compensation is excluded from our segment measure of profit and loss because it is set and approved by our Board of Directors in consultation with corporate executive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37" w:name="page138"/>
    <w:bookmarkEnd w:id="137"/>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270510</wp:posOffset>
            </wp:positionV>
            <wp:extent cx="556958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69585"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1240" w:type="dxa"/>
        <w:tblCellMar>
          <w:top w:w="0" w:type="dxa"/>
          <w:left w:w="0" w:type="dxa"/>
          <w:bottom w:w="0" w:type="dxa"/>
          <w:right w:w="0" w:type="dxa"/>
        </w:tblCellMar>
      </w:tblPr>
      <w:tr>
        <w:trPr>
          <w:trHeight w:val="221"/>
        </w:trPr>
        <w:tc>
          <w:tcPr>
            <w:tcW w:w="48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196"/>
        </w:trPr>
        <w:tc>
          <w:tcPr>
            <w:tcW w:w="4800" w:type="dxa"/>
            <w:vAlign w:val="bottom"/>
          </w:tcPr>
          <w:p>
            <w:pPr>
              <w:spacing w:after="0"/>
              <w:rPr>
                <w:sz w:val="17"/>
                <w:szCs w:val="17"/>
                <w:color w:val="auto"/>
              </w:rPr>
            </w:pPr>
          </w:p>
        </w:tc>
        <w:tc>
          <w:tcPr>
            <w:tcW w:w="1400" w:type="dxa"/>
            <w:vAlign w:val="bottom"/>
            <w:gridSpan w:val="2"/>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9"/>
        </w:trPr>
        <w:tc>
          <w:tcPr>
            <w:tcW w:w="480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January 1 - August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1"/>
        </w:trPr>
        <w:tc>
          <w:tcPr>
            <w:tcW w:w="48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6,</w:t>
            </w:r>
          </w:p>
        </w:tc>
        <w:tc>
          <w:tcPr>
            <w:tcW w:w="1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48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5"/>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4,180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8,180</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w:t>
            </w:r>
          </w:p>
        </w:tc>
      </w:tr>
      <w:tr>
        <w:trPr>
          <w:trHeight w:val="265"/>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Affiliate and subscription</w:t>
            </w:r>
          </w:p>
        </w:tc>
        <w:tc>
          <w:tcPr>
            <w:tcW w:w="400" w:type="dxa"/>
            <w:vAlign w:val="bottom"/>
          </w:tcPr>
          <w:p>
            <w:pPr>
              <w:spacing w:after="0"/>
              <w:rPr>
                <w:sz w:val="23"/>
                <w:szCs w:val="23"/>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4,302</w:t>
            </w:r>
          </w:p>
        </w:tc>
        <w:tc>
          <w:tcPr>
            <w:tcW w:w="160" w:type="dxa"/>
            <w:vAlign w:val="bottom"/>
          </w:tcPr>
          <w:p>
            <w:pPr>
              <w:spacing w:after="0"/>
              <w:rPr>
                <w:sz w:val="23"/>
                <w:szCs w:val="23"/>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7,647</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8,085</w:t>
            </w:r>
          </w:p>
        </w:tc>
      </w:tr>
      <w:tr>
        <w:trPr>
          <w:trHeight w:val="265"/>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Licensing and other</w:t>
            </w:r>
          </w:p>
        </w:tc>
        <w:tc>
          <w:tcPr>
            <w:tcW w:w="400" w:type="dxa"/>
            <w:vAlign w:val="bottom"/>
          </w:tcPr>
          <w:p>
            <w:pPr>
              <w:spacing w:after="0"/>
              <w:rPr>
                <w:sz w:val="23"/>
                <w:szCs w:val="23"/>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1,495</w:t>
            </w:r>
          </w:p>
        </w:tc>
        <w:tc>
          <w:tcPr>
            <w:tcW w:w="160" w:type="dxa"/>
            <w:vAlign w:val="bottom"/>
          </w:tcPr>
          <w:p>
            <w:pPr>
              <w:spacing w:after="0"/>
              <w:rPr>
                <w:sz w:val="23"/>
                <w:szCs w:val="23"/>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2,952</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r>
      <w:tr>
        <w:trPr>
          <w:trHeight w:val="25"/>
        </w:trPr>
        <w:tc>
          <w:tcPr>
            <w:tcW w:w="4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Media</w:t>
            </w:r>
          </w:p>
        </w:tc>
        <w:tc>
          <w:tcPr>
            <w:tcW w:w="400" w:type="dxa"/>
            <w:vAlign w:val="bottom"/>
          </w:tcPr>
          <w:p>
            <w:pPr>
              <w:spacing w:after="0"/>
              <w:rPr>
                <w:sz w:val="20"/>
                <w:szCs w:val="20"/>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9,977</w:t>
            </w:r>
          </w:p>
        </w:tc>
        <w:tc>
          <w:tcPr>
            <w:tcW w:w="160" w:type="dxa"/>
            <w:vAlign w:val="bottom"/>
          </w:tcPr>
          <w:p>
            <w:pPr>
              <w:spacing w:after="0"/>
              <w:rPr>
                <w:sz w:val="20"/>
                <w:szCs w:val="20"/>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18,779</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20,085</w:t>
            </w:r>
          </w:p>
        </w:tc>
      </w:tr>
      <w:tr>
        <w:trPr>
          <w:trHeight w:val="26"/>
        </w:trPr>
        <w:tc>
          <w:tcPr>
            <w:tcW w:w="4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400" w:type="dxa"/>
            <w:vAlign w:val="bottom"/>
          </w:tcPr>
          <w:p>
            <w:pPr>
              <w:spacing w:after="0"/>
              <w:rPr>
                <w:sz w:val="20"/>
                <w:szCs w:val="20"/>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1,146</w:t>
            </w:r>
          </w:p>
        </w:tc>
        <w:tc>
          <w:tcPr>
            <w:tcW w:w="160" w:type="dxa"/>
            <w:vAlign w:val="bottom"/>
          </w:tcPr>
          <w:p>
            <w:pPr>
              <w:spacing w:after="0"/>
              <w:rPr>
                <w:sz w:val="20"/>
                <w:szCs w:val="20"/>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2,114</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65"/>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w:t>
            </w:r>
          </w:p>
        </w:tc>
        <w:tc>
          <w:tcPr>
            <w:tcW w:w="400" w:type="dxa"/>
            <w:vAlign w:val="bottom"/>
          </w:tcPr>
          <w:p>
            <w:pPr>
              <w:spacing w:after="0"/>
              <w:rPr>
                <w:sz w:val="23"/>
                <w:szCs w:val="23"/>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3,940</w:t>
            </w:r>
          </w:p>
        </w:tc>
        <w:tc>
          <w:tcPr>
            <w:tcW w:w="160" w:type="dxa"/>
            <w:vAlign w:val="bottom"/>
          </w:tcPr>
          <w:p>
            <w:pPr>
              <w:spacing w:after="0"/>
              <w:rPr>
                <w:sz w:val="23"/>
                <w:szCs w:val="23"/>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5,506</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r>
      <w:tr>
        <w:trPr>
          <w:trHeight w:val="265"/>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Licensing</w:t>
            </w:r>
          </w:p>
        </w:tc>
        <w:tc>
          <w:tcPr>
            <w:tcW w:w="400" w:type="dxa"/>
            <w:vAlign w:val="bottom"/>
          </w:tcPr>
          <w:p>
            <w:pPr>
              <w:spacing w:after="0"/>
              <w:rPr>
                <w:sz w:val="23"/>
                <w:szCs w:val="23"/>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3"/>
                <w:szCs w:val="23"/>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
        </w:trPr>
        <w:tc>
          <w:tcPr>
            <w:tcW w:w="4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Direct-to-Consumer</w:t>
            </w:r>
          </w:p>
        </w:tc>
        <w:tc>
          <w:tcPr>
            <w:tcW w:w="400" w:type="dxa"/>
            <w:vAlign w:val="bottom"/>
          </w:tcPr>
          <w:p>
            <w:pPr>
              <w:spacing w:after="0"/>
              <w:rPr>
                <w:sz w:val="20"/>
                <w:szCs w:val="20"/>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5,087</w:t>
            </w:r>
          </w:p>
        </w:tc>
        <w:tc>
          <w:tcPr>
            <w:tcW w:w="160" w:type="dxa"/>
            <w:vAlign w:val="bottom"/>
          </w:tcPr>
          <w:p>
            <w:pPr>
              <w:spacing w:after="0"/>
              <w:rPr>
                <w:sz w:val="20"/>
                <w:szCs w:val="20"/>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7,632</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r>
      <w:tr>
        <w:trPr>
          <w:trHeight w:val="26"/>
        </w:trPr>
        <w:tc>
          <w:tcPr>
            <w:tcW w:w="4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Theatrical</w:t>
            </w:r>
          </w:p>
        </w:tc>
        <w:tc>
          <w:tcPr>
            <w:tcW w:w="400" w:type="dxa"/>
            <w:vAlign w:val="bottom"/>
          </w:tcPr>
          <w:p>
            <w:pPr>
              <w:spacing w:after="0"/>
              <w:rPr>
                <w:sz w:val="20"/>
                <w:szCs w:val="20"/>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tcPr>
          <w:p>
            <w:pPr>
              <w:spacing w:after="0"/>
              <w:rPr>
                <w:sz w:val="20"/>
                <w:szCs w:val="20"/>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813</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65"/>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Licensing and other</w:t>
            </w:r>
          </w:p>
        </w:tc>
        <w:tc>
          <w:tcPr>
            <w:tcW w:w="400" w:type="dxa"/>
            <w:vAlign w:val="bottom"/>
          </w:tcPr>
          <w:p>
            <w:pPr>
              <w:spacing w:after="0"/>
              <w:rPr>
                <w:sz w:val="23"/>
                <w:szCs w:val="23"/>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1,112</w:t>
            </w:r>
          </w:p>
        </w:tc>
        <w:tc>
          <w:tcPr>
            <w:tcW w:w="160" w:type="dxa"/>
            <w:vAlign w:val="bottom"/>
          </w:tcPr>
          <w:p>
            <w:pPr>
              <w:spacing w:after="0"/>
              <w:rPr>
                <w:sz w:val="23"/>
                <w:szCs w:val="23"/>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2,126</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r>
      <w:tr>
        <w:trPr>
          <w:trHeight w:val="265"/>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400" w:type="dxa"/>
            <w:vAlign w:val="bottom"/>
          </w:tcPr>
          <w:p>
            <w:pPr>
              <w:spacing w:after="0"/>
              <w:rPr>
                <w:sz w:val="23"/>
                <w:szCs w:val="23"/>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3"/>
                <w:szCs w:val="23"/>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
        </w:trPr>
        <w:tc>
          <w:tcPr>
            <w:tcW w:w="4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400" w:type="dxa"/>
            <w:vAlign w:val="bottom"/>
          </w:tcPr>
          <w:p>
            <w:pPr>
              <w:spacing w:after="0"/>
              <w:rPr>
                <w:sz w:val="20"/>
                <w:szCs w:val="20"/>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1,593</w:t>
            </w:r>
          </w:p>
        </w:tc>
        <w:tc>
          <w:tcPr>
            <w:tcW w:w="160" w:type="dxa"/>
            <w:vAlign w:val="bottom"/>
          </w:tcPr>
          <w:p>
            <w:pPr>
              <w:spacing w:after="0"/>
              <w:rPr>
                <w:sz w:val="20"/>
                <w:szCs w:val="20"/>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2,955</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r>
      <w:tr>
        <w:trPr>
          <w:trHeight w:val="25"/>
        </w:trPr>
        <w:tc>
          <w:tcPr>
            <w:tcW w:w="4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Eliminations</w:t>
            </w:r>
          </w:p>
        </w:tc>
        <w:tc>
          <w:tcPr>
            <w:tcW w:w="400" w:type="dxa"/>
            <w:vAlign w:val="bottom"/>
          </w:tcPr>
          <w:p>
            <w:pPr>
              <w:spacing w:after="0"/>
              <w:rPr>
                <w:sz w:val="20"/>
                <w:szCs w:val="20"/>
                <w:color w:val="auto"/>
              </w:rPr>
            </w:pP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0"/>
                <w:szCs w:val="20"/>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(153)</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5"/>
        </w:trPr>
        <w:tc>
          <w:tcPr>
            <w:tcW w:w="4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16,622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29,213</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29,652</w:t>
            </w:r>
          </w:p>
        </w:tc>
      </w:tr>
      <w:tr>
        <w:trPr>
          <w:trHeight w:val="32"/>
        </w:trPr>
        <w:tc>
          <w:tcPr>
            <w:tcW w:w="4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During the Predecessor period, revenues generated between segments were principally from intersegment arrangements for the distribution of content, rental of studio space, and advertising, as well as licensing revenues earned from third parties who license our content to our internal platforms either through a sub-license or co-production arrangement. These transactions were recorded at market value as if the sales were to third parties and were eliminated in consolidation. For content that is licensed between segments, content costs are allocated across segments based on the relative value of the distribution windows within each segment. Accordingly, no intersegment licensing revenues or profits are recorded by the licensor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103505</wp:posOffset>
            </wp:positionV>
            <wp:extent cx="556133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61330" cy="17145"/>
                    </a:xfrm>
                    <a:prstGeom prst="rect">
                      <a:avLst/>
                    </a:prstGeom>
                    <a:noFill/>
                  </pic:spPr>
                </pic:pic>
              </a:graphicData>
            </a:graphic>
          </wp:anchor>
        </w:drawing>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221"/>
        </w:trPr>
        <w:tc>
          <w:tcPr>
            <w:tcW w:w="4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196"/>
        </w:trPr>
        <w:tc>
          <w:tcPr>
            <w:tcW w:w="4800" w:type="dxa"/>
            <w:vAlign w:val="bottom"/>
          </w:tcPr>
          <w:p>
            <w:pPr>
              <w:spacing w:after="0"/>
              <w:rPr>
                <w:sz w:val="17"/>
                <w:szCs w:val="17"/>
                <w:color w:val="auto"/>
              </w:rPr>
            </w:pPr>
          </w:p>
        </w:tc>
        <w:tc>
          <w:tcPr>
            <w:tcW w:w="1380" w:type="dxa"/>
            <w:vAlign w:val="bottom"/>
            <w:gridSpan w:val="2"/>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5"/>
        </w:trPr>
        <w:tc>
          <w:tcPr>
            <w:tcW w:w="480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January 1 - August</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4"/>
        </w:trPr>
        <w:tc>
          <w:tcPr>
            <w:tcW w:w="4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6,</w:t>
            </w:r>
          </w:p>
        </w:tc>
        <w:tc>
          <w:tcPr>
            <w:tcW w:w="1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48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0"/>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Intercompany Revenues:</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5"/>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TV Media</w:t>
            </w:r>
          </w:p>
        </w:tc>
        <w:tc>
          <w:tcPr>
            <w:tcW w:w="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65"/>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Direct-to-Consumer</w:t>
            </w:r>
          </w:p>
        </w:tc>
        <w:tc>
          <w:tcPr>
            <w:tcW w:w="380" w:type="dxa"/>
            <w:vAlign w:val="bottom"/>
          </w:tcPr>
          <w:p>
            <w:pPr>
              <w:spacing w:after="0"/>
              <w:rPr>
                <w:sz w:val="23"/>
                <w:szCs w:val="23"/>
                <w:color w:val="auto"/>
              </w:rPr>
            </w:pP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5"/>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Filmed Entertainment</w:t>
            </w:r>
          </w:p>
        </w:tc>
        <w:tc>
          <w:tcPr>
            <w:tcW w:w="380" w:type="dxa"/>
            <w:vAlign w:val="bottom"/>
          </w:tcPr>
          <w:p>
            <w:pPr>
              <w:spacing w:after="0"/>
              <w:rPr>
                <w:sz w:val="23"/>
                <w:szCs w:val="23"/>
                <w:color w:val="auto"/>
              </w:rPr>
            </w:pP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3"/>
                <w:szCs w:val="23"/>
                <w:color w:val="auto"/>
              </w:rPr>
            </w:pP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69</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5"/>
        </w:trPr>
        <w:tc>
          <w:tcPr>
            <w:tcW w:w="4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Intercompany Revenues</w:t>
            </w:r>
          </w:p>
        </w:tc>
        <w:tc>
          <w:tcPr>
            <w:tcW w:w="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153</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
        </w:trPr>
        <w:tc>
          <w:tcPr>
            <w:tcW w:w="4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38" w:name="page139"/>
    <w:bookmarkEnd w:id="138"/>
    <w:p>
      <w:pPr>
        <w:ind w:left="160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58"/>
        </w:trPr>
        <w:tc>
          <w:tcPr>
            <w:tcW w:w="4780" w:type="dxa"/>
            <w:vAlign w:val="bottom"/>
            <w:tcBorders>
              <w:top w:val="single" w:sz="8" w:color="auto"/>
            </w:tcBorders>
          </w:tcPr>
          <w:p>
            <w:pPr>
              <w:spacing w:after="0"/>
              <w:rPr>
                <w:sz w:val="22"/>
                <w:szCs w:val="22"/>
                <w:color w:val="auto"/>
              </w:rPr>
            </w:pPr>
          </w:p>
        </w:tc>
        <w:tc>
          <w:tcPr>
            <w:tcW w:w="100" w:type="dxa"/>
            <w:vAlign w:val="bottom"/>
            <w:tcBorders>
              <w:top w:val="single" w:sz="8" w:color="auto"/>
              <w:bottom w:val="single" w:sz="8" w:color="auto"/>
              <w:right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r>
      <w:tr>
        <w:trPr>
          <w:trHeight w:val="196"/>
        </w:trPr>
        <w:tc>
          <w:tcPr>
            <w:tcW w:w="47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9"/>
        </w:trPr>
        <w:tc>
          <w:tcPr>
            <w:tcW w:w="47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1"/>
        </w:trPr>
        <w:tc>
          <w:tcPr>
            <w:tcW w:w="4780" w:type="dxa"/>
            <w:vAlign w:val="bottom"/>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6,</w:t>
            </w:r>
          </w:p>
        </w:tc>
        <w:tc>
          <w:tcPr>
            <w:tcW w:w="1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47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TV Media</w:t>
            </w:r>
          </w:p>
        </w:tc>
        <w:tc>
          <w:tcPr>
            <w:tcW w:w="10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right w:val="single" w:sz="8" w:color="auto"/>
            </w:tcBorders>
          </w:tcPr>
          <w:p>
            <w:pPr>
              <w:spacing w:after="0"/>
              <w:rPr>
                <w:sz w:val="20"/>
                <w:szCs w:val="20"/>
                <w:color w:val="auto"/>
              </w:rPr>
            </w:pPr>
          </w:p>
        </w:tc>
        <w:tc>
          <w:tcPr>
            <w:tcW w:w="4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9,977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18,779</w:t>
            </w:r>
          </w:p>
        </w:tc>
        <w:tc>
          <w:tcPr>
            <w:tcW w:w="3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20,085</w:t>
            </w:r>
          </w:p>
        </w:tc>
      </w:tr>
      <w:tr>
        <w:trPr>
          <w:trHeight w:val="331"/>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Content costs</w:t>
            </w:r>
          </w:p>
        </w:tc>
        <w:tc>
          <w:tcPr>
            <w:tcW w:w="10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4,956</w:t>
            </w:r>
          </w:p>
        </w:tc>
        <w:tc>
          <w:tcPr>
            <w:tcW w:w="160" w:type="dxa"/>
            <w:vAlign w:val="bottom"/>
          </w:tcPr>
          <w:p>
            <w:pPr>
              <w:spacing w:after="0"/>
              <w:rPr>
                <w:sz w:val="24"/>
                <w:szCs w:val="24"/>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9,199</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9,861</w:t>
            </w:r>
          </w:p>
        </w:tc>
      </w:tr>
      <w:tr>
        <w:trPr>
          <w:trHeight w:val="238"/>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328</w:t>
            </w:r>
          </w:p>
        </w:tc>
        <w:tc>
          <w:tcPr>
            <w:tcW w:w="160" w:type="dxa"/>
            <w:vAlign w:val="bottom"/>
          </w:tcPr>
          <w:p>
            <w:pPr>
              <w:spacing w:after="0"/>
              <w:rPr>
                <w:sz w:val="20"/>
                <w:szCs w:val="20"/>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689</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r>
      <w:tr>
        <w:trPr>
          <w:trHeight w:val="257"/>
        </w:trPr>
        <w:tc>
          <w:tcPr>
            <w:tcW w:w="4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(a)</w:t>
            </w:r>
          </w:p>
        </w:tc>
        <w:tc>
          <w:tcPr>
            <w:tcW w:w="1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2,626</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4,543</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4,672</w:t>
            </w:r>
          </w:p>
        </w:tc>
      </w:tr>
      <w:tr>
        <w:trPr>
          <w:trHeight w:val="214"/>
        </w:trPr>
        <w:tc>
          <w:tcPr>
            <w:tcW w:w="4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segment expenses</w:t>
            </w:r>
          </w:p>
        </w:tc>
        <w:tc>
          <w:tcPr>
            <w:tcW w:w="1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7,910</w:t>
            </w:r>
          </w:p>
        </w:tc>
        <w:tc>
          <w:tcPr>
            <w:tcW w:w="1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14,431</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15,294</w:t>
            </w:r>
          </w:p>
        </w:tc>
      </w:tr>
      <w:tr>
        <w:trPr>
          <w:trHeight w:val="343"/>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TV Media Adjusted OIBDA</w:t>
            </w:r>
          </w:p>
        </w:tc>
        <w:tc>
          <w:tcPr>
            <w:tcW w:w="1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2,067</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4,348</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4,791</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Direct-to-Consumer</w:t>
            </w:r>
          </w:p>
        </w:tc>
        <w:tc>
          <w:tcPr>
            <w:tcW w:w="10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8"/>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5,087</w:t>
            </w:r>
          </w:p>
        </w:tc>
        <w:tc>
          <w:tcPr>
            <w:tcW w:w="160" w:type="dxa"/>
            <w:vAlign w:val="bottom"/>
          </w:tcPr>
          <w:p>
            <w:pPr>
              <w:spacing w:after="0"/>
              <w:rPr>
                <w:sz w:val="20"/>
                <w:szCs w:val="20"/>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7,632</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6,736</w:t>
            </w:r>
          </w:p>
        </w:tc>
      </w:tr>
      <w:tr>
        <w:trPr>
          <w:trHeight w:val="331"/>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Content costs</w:t>
            </w:r>
          </w:p>
        </w:tc>
        <w:tc>
          <w:tcPr>
            <w:tcW w:w="10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2,712</w:t>
            </w:r>
          </w:p>
        </w:tc>
        <w:tc>
          <w:tcPr>
            <w:tcW w:w="160" w:type="dxa"/>
            <w:vAlign w:val="bottom"/>
          </w:tcPr>
          <w:p>
            <w:pPr>
              <w:spacing w:after="0"/>
              <w:rPr>
                <w:sz w:val="24"/>
                <w:szCs w:val="24"/>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4,415</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4,459</w:t>
            </w:r>
          </w:p>
        </w:tc>
      </w:tr>
      <w:tr>
        <w:trPr>
          <w:trHeight w:val="238"/>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749</w:t>
            </w:r>
          </w:p>
        </w:tc>
        <w:tc>
          <w:tcPr>
            <w:tcW w:w="160" w:type="dxa"/>
            <w:vAlign w:val="bottom"/>
          </w:tcPr>
          <w:p>
            <w:pPr>
              <w:spacing w:after="0"/>
              <w:rPr>
                <w:sz w:val="20"/>
                <w:szCs w:val="20"/>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1,341</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w:t>
            </w:r>
          </w:p>
        </w:tc>
      </w:tr>
      <w:tr>
        <w:trPr>
          <w:trHeight w:val="257"/>
        </w:trPr>
        <w:tc>
          <w:tcPr>
            <w:tcW w:w="4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(b)</w:t>
            </w:r>
          </w:p>
        </w:tc>
        <w:tc>
          <w:tcPr>
            <w:tcW w:w="1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1,473</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2,373</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2,189</w:t>
            </w:r>
          </w:p>
        </w:tc>
      </w:tr>
      <w:tr>
        <w:trPr>
          <w:trHeight w:val="213"/>
        </w:trPr>
        <w:tc>
          <w:tcPr>
            <w:tcW w:w="4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segment expenses</w:t>
            </w:r>
          </w:p>
        </w:tc>
        <w:tc>
          <w:tcPr>
            <w:tcW w:w="1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4,934</w:t>
            </w:r>
          </w:p>
        </w:tc>
        <w:tc>
          <w:tcPr>
            <w:tcW w:w="1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8,129</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8,399</w:t>
            </w:r>
          </w:p>
        </w:tc>
      </w:tr>
      <w:tr>
        <w:trPr>
          <w:trHeight w:val="343"/>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Direct-to-Consumer Adjusted OIBDA</w:t>
            </w:r>
          </w:p>
        </w:tc>
        <w:tc>
          <w:tcPr>
            <w:tcW w:w="1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153</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(497)</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Filmed Entertainment</w:t>
            </w:r>
          </w:p>
        </w:tc>
        <w:tc>
          <w:tcPr>
            <w:tcW w:w="10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8"/>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1,593</w:t>
            </w:r>
          </w:p>
        </w:tc>
        <w:tc>
          <w:tcPr>
            <w:tcW w:w="160" w:type="dxa"/>
            <w:vAlign w:val="bottom"/>
          </w:tcPr>
          <w:p>
            <w:pPr>
              <w:spacing w:after="0"/>
              <w:rPr>
                <w:sz w:val="20"/>
                <w:szCs w:val="20"/>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2,955</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2,957</w:t>
            </w:r>
          </w:p>
        </w:tc>
      </w:tr>
      <w:tr>
        <w:trPr>
          <w:trHeight w:val="331"/>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Content costs</w:t>
            </w:r>
          </w:p>
        </w:tc>
        <w:tc>
          <w:tcPr>
            <w:tcW w:w="10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846</w:t>
            </w:r>
          </w:p>
        </w:tc>
        <w:tc>
          <w:tcPr>
            <w:tcW w:w="160" w:type="dxa"/>
            <w:vAlign w:val="bottom"/>
          </w:tcPr>
          <w:p>
            <w:pPr>
              <w:spacing w:after="0"/>
              <w:rPr>
                <w:sz w:val="24"/>
                <w:szCs w:val="24"/>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1,496</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r>
      <w:tr>
        <w:trPr>
          <w:trHeight w:val="238"/>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417</w:t>
            </w:r>
          </w:p>
        </w:tc>
        <w:tc>
          <w:tcPr>
            <w:tcW w:w="160" w:type="dxa"/>
            <w:vAlign w:val="bottom"/>
          </w:tcPr>
          <w:p>
            <w:pPr>
              <w:spacing w:after="0"/>
              <w:rPr>
                <w:sz w:val="20"/>
                <w:szCs w:val="20"/>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783</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r>
      <w:tr>
        <w:trPr>
          <w:trHeight w:val="257"/>
        </w:trPr>
        <w:tc>
          <w:tcPr>
            <w:tcW w:w="4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(c)</w:t>
            </w:r>
          </w:p>
        </w:tc>
        <w:tc>
          <w:tcPr>
            <w:tcW w:w="10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430</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772</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13"/>
        </w:trPr>
        <w:tc>
          <w:tcPr>
            <w:tcW w:w="4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segment expenses</w:t>
            </w:r>
          </w:p>
        </w:tc>
        <w:tc>
          <w:tcPr>
            <w:tcW w:w="1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1,693</w:t>
            </w:r>
          </w:p>
        </w:tc>
        <w:tc>
          <w:tcPr>
            <w:tcW w:w="1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3,051</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w:t>
            </w:r>
          </w:p>
        </w:tc>
      </w:tr>
      <w:tr>
        <w:trPr>
          <w:trHeight w:val="343"/>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Filmed Entertainment Adjusted OIBDA</w:t>
            </w:r>
          </w:p>
        </w:tc>
        <w:tc>
          <w:tcPr>
            <w:tcW w:w="1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(96)</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Corporate/Eliminations</w:t>
            </w:r>
          </w:p>
        </w:tc>
        <w:tc>
          <w:tcPr>
            <w:tcW w:w="10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(212)</w:t>
            </w:r>
          </w:p>
        </w:tc>
        <w:tc>
          <w:tcPr>
            <w:tcW w:w="160" w:type="dxa"/>
            <w:vAlign w:val="bottom"/>
          </w:tcPr>
          <w:p>
            <w:pPr>
              <w:spacing w:after="0"/>
              <w:rPr>
                <w:sz w:val="19"/>
                <w:szCs w:val="19"/>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(427)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r>
      <w:tr>
        <w:trPr>
          <w:trHeight w:val="26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0"/>
                <w:szCs w:val="20"/>
                <w:color w:val="auto"/>
                <w:vertAlign w:val="superscript"/>
              </w:rPr>
              <w:t>(d)</w:t>
            </w:r>
          </w:p>
        </w:tc>
        <w:tc>
          <w:tcPr>
            <w:tcW w:w="10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(99)</w:t>
            </w:r>
          </w:p>
        </w:tc>
        <w:tc>
          <w:tcPr>
            <w:tcW w:w="16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(210)</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8"/>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(204)</w:t>
            </w:r>
          </w:p>
        </w:tc>
        <w:tc>
          <w:tcPr>
            <w:tcW w:w="160" w:type="dxa"/>
            <w:vAlign w:val="bottom"/>
          </w:tcPr>
          <w:p>
            <w:pPr>
              <w:spacing w:after="0"/>
              <w:rPr>
                <w:sz w:val="18"/>
                <w:szCs w:val="18"/>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(392)</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r>
      <w:tr>
        <w:trPr>
          <w:trHeight w:val="238"/>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Programming charges</w:t>
            </w:r>
          </w:p>
        </w:tc>
        <w:tc>
          <w:tcPr>
            <w:tcW w:w="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(1,118)</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w:t>
            </w:r>
          </w:p>
        </w:tc>
      </w:tr>
      <w:tr>
        <w:trPr>
          <w:trHeight w:val="238"/>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charges</w:t>
            </w:r>
          </w:p>
        </w:tc>
        <w:tc>
          <w:tcPr>
            <w:tcW w:w="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(157)</w:t>
            </w:r>
          </w:p>
        </w:tc>
        <w:tc>
          <w:tcPr>
            <w:tcW w:w="1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(6,130)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transaction-related items, and other</w:t>
            </w:r>
          </w:p>
        </w:tc>
        <w:tc>
          <w:tcPr>
            <w:tcW w:w="1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2"/>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corporate matters </w:t>
            </w:r>
            <w:r>
              <w:rPr>
                <w:rFonts w:ascii="Times New Roman" w:cs="Times New Roman" w:eastAsia="Times New Roman" w:hAnsi="Times New Roman"/>
                <w:sz w:val="20"/>
                <w:szCs w:val="20"/>
                <w:color w:val="auto"/>
                <w:vertAlign w:val="superscript"/>
              </w:rPr>
              <w:t>(d)</w:t>
            </w:r>
          </w:p>
        </w:tc>
        <w:tc>
          <w:tcPr>
            <w:tcW w:w="10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(454)</w:t>
            </w:r>
          </w:p>
        </w:tc>
        <w:tc>
          <w:tcPr>
            <w:tcW w:w="160" w:type="dxa"/>
            <w:vAlign w:val="bottom"/>
          </w:tcPr>
          <w:p>
            <w:pPr>
              <w:spacing w:after="0"/>
              <w:rPr>
                <w:sz w:val="21"/>
                <w:szCs w:val="21"/>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(747)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9"/>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Gain on dispositions</w:t>
            </w:r>
          </w:p>
        </w:tc>
        <w:tc>
          <w:tcPr>
            <w:tcW w:w="10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0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1,029</w:t>
            </w:r>
          </w:p>
        </w:tc>
        <w:tc>
          <w:tcPr>
            <w:tcW w:w="160" w:type="dxa"/>
            <w:vAlign w:val="bottom"/>
          </w:tcPr>
          <w:p>
            <w:pPr>
              <w:spacing w:after="0"/>
              <w:rPr>
                <w:sz w:val="19"/>
                <w:szCs w:val="19"/>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(5,269)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r>
      <w:tr>
        <w:trPr>
          <w:trHeight w:val="238"/>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(516)</w:t>
            </w:r>
          </w:p>
        </w:tc>
        <w:tc>
          <w:tcPr>
            <w:tcW w:w="1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(860)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r>
      <w:tr>
        <w:trPr>
          <w:trHeight w:val="239"/>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83</w:t>
            </w:r>
          </w:p>
        </w:tc>
        <w:tc>
          <w:tcPr>
            <w:tcW w:w="160" w:type="dxa"/>
            <w:vAlign w:val="bottom"/>
          </w:tcPr>
          <w:p>
            <w:pPr>
              <w:spacing w:after="0"/>
              <w:rPr>
                <w:sz w:val="20"/>
                <w:szCs w:val="20"/>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151</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38"/>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from investments</w:t>
            </w:r>
          </w:p>
        </w:tc>
        <w:tc>
          <w:tcPr>
            <w:tcW w:w="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39"/>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0"/>
        </w:trPr>
        <w:tc>
          <w:tcPr>
            <w:tcW w:w="4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items, net</w:t>
            </w:r>
          </w:p>
        </w:tc>
        <w:tc>
          <w:tcPr>
            <w:tcW w:w="10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(92)</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(182)</w:t>
            </w: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198"/>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from continuing operations before</w:t>
            </w:r>
          </w:p>
        </w:tc>
        <w:tc>
          <w:tcPr>
            <w:tcW w:w="1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1"/>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and equity in loss of investee companies</w:t>
            </w:r>
          </w:p>
        </w:tc>
        <w:tc>
          <w:tcPr>
            <w:tcW w:w="10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504</w:t>
            </w:r>
          </w:p>
        </w:tc>
        <w:tc>
          <w:tcPr>
            <w:tcW w:w="160" w:type="dxa"/>
            <w:vAlign w:val="bottom"/>
          </w:tcPr>
          <w:p>
            <w:pPr>
              <w:spacing w:after="0"/>
              <w:rPr>
                <w:sz w:val="19"/>
                <w:szCs w:val="19"/>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(6,177)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79</w:t>
            </w:r>
          </w:p>
        </w:tc>
        <w:tc>
          <w:tcPr>
            <w:tcW w:w="160" w:type="dxa"/>
            <w:vAlign w:val="bottom"/>
          </w:tcPr>
          <w:p>
            <w:pPr>
              <w:spacing w:after="0"/>
              <w:rPr>
                <w:sz w:val="20"/>
                <w:szCs w:val="20"/>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305</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50"/>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Equity in loss of investee companies, net of tax</w:t>
            </w:r>
          </w:p>
        </w:tc>
        <w:tc>
          <w:tcPr>
            <w:tcW w:w="10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(171)</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(291)</w:t>
            </w: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from continuing operations</w:t>
            </w:r>
          </w:p>
        </w:tc>
        <w:tc>
          <w:tcPr>
            <w:tcW w:w="10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412</w:t>
            </w:r>
          </w:p>
        </w:tc>
        <w:tc>
          <w:tcPr>
            <w:tcW w:w="160" w:type="dxa"/>
            <w:vAlign w:val="bottom"/>
          </w:tcPr>
          <w:p>
            <w:pPr>
              <w:spacing w:after="0"/>
              <w:rPr>
                <w:sz w:val="19"/>
                <w:szCs w:val="19"/>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(6,163)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r>
      <w:tr>
        <w:trPr>
          <w:trHeight w:val="250"/>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earnings from discontinued operations, net of tax</w:t>
            </w:r>
          </w:p>
        </w:tc>
        <w:tc>
          <w:tcPr>
            <w:tcW w:w="10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(Parent and noncontrolling interests)</w:t>
            </w:r>
          </w:p>
        </w:tc>
        <w:tc>
          <w:tcPr>
            <w:tcW w:w="10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412</w:t>
            </w:r>
          </w:p>
        </w:tc>
        <w:tc>
          <w:tcPr>
            <w:tcW w:w="160" w:type="dxa"/>
            <w:vAlign w:val="bottom"/>
          </w:tcPr>
          <w:p>
            <w:pPr>
              <w:spacing w:after="0"/>
              <w:rPr>
                <w:sz w:val="19"/>
                <w:szCs w:val="19"/>
                <w:color w:val="auto"/>
              </w:rPr>
            </w:pP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(6,149)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r>
      <w:tr>
        <w:trPr>
          <w:trHeight w:val="250"/>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earnings attributable to noncontrolling interests</w:t>
            </w:r>
          </w:p>
        </w:tc>
        <w:tc>
          <w:tcPr>
            <w:tcW w:w="10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(447)</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(41)</w:t>
            </w: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45"/>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loss attributable to Parent</w:t>
            </w:r>
          </w:p>
        </w:tc>
        <w:tc>
          <w:tcPr>
            <w:tcW w:w="10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(6,190)</w:t>
            </w:r>
          </w:p>
        </w:tc>
        <w:tc>
          <w:tcPr>
            <w:tcW w:w="3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r>
    </w:tbl>
    <w:p>
      <w:pPr>
        <w:spacing w:after="0" w:line="200" w:lineRule="exact"/>
        <w:rPr>
          <w:sz w:val="20"/>
          <w:szCs w:val="20"/>
          <w:color w:val="auto"/>
        </w:rPr>
      </w:pPr>
    </w:p>
    <w:p>
      <w:pPr>
        <w:sectPr>
          <w:pgSz w:w="11900" w:h="16838" w:orient="portrait"/>
          <w:cols w:equalWidth="0" w:num="1">
            <w:col w:w="9019"/>
          </w:cols>
          <w:pgMar w:left="1440" w:top="735" w:right="1440" w:bottom="9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76835</wp:posOffset>
            </wp:positionV>
            <wp:extent cx="716026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19"/>
          </w:cols>
          <w:pgMar w:left="1440" w:top="735" w:right="1440" w:bottom="918" w:gutter="0" w:footer="0" w:header="0"/>
          <w:type w:val="continuous"/>
        </w:sectPr>
      </w:pPr>
    </w:p>
    <w:bookmarkStart w:id="139" w:name="page140"/>
    <w:bookmarkEnd w:id="139"/>
    <w:p>
      <w:pPr>
        <w:ind w:left="22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83" w:lineRule="exact"/>
        <w:rPr>
          <w:sz w:val="20"/>
          <w:szCs w:val="20"/>
          <w:color w:val="auto"/>
        </w:rPr>
      </w:pPr>
    </w:p>
    <w:p>
      <w:pPr>
        <w:jc w:val="both"/>
        <w:ind w:left="560" w:hanging="239"/>
        <w:spacing w:after="0" w:line="267" w:lineRule="auto"/>
        <w:tabs>
          <w:tab w:leader="none" w:pos="542"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segment include employee compensation; revenue-sharing costs to television stations affiliated with the CBS Television Network; costs relating to the distribution of our content; costs for research, occupancy, technology, and professional services; and other costs associated with our operations.</w:t>
      </w:r>
    </w:p>
    <w:p>
      <w:pPr>
        <w:spacing w:after="0" w:line="8" w:lineRule="exact"/>
        <w:rPr>
          <w:rFonts w:ascii="Times New Roman" w:cs="Times New Roman" w:eastAsia="Times New Roman" w:hAnsi="Times New Roman"/>
          <w:sz w:val="16"/>
          <w:szCs w:val="16"/>
          <w:color w:val="auto"/>
        </w:rPr>
      </w:pPr>
    </w:p>
    <w:p>
      <w:pPr>
        <w:ind w:left="560" w:hanging="239"/>
        <w:spacing w:after="0" w:line="285" w:lineRule="auto"/>
        <w:tabs>
          <w:tab w:leader="none" w:pos="567"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Direct-to-Consumer</w:t>
      </w:r>
      <w:r>
        <w:rPr>
          <w:rFonts w:ascii="Times New Roman" w:cs="Times New Roman" w:eastAsia="Times New Roman" w:hAnsi="Times New Roman"/>
          <w:sz w:val="16"/>
          <w:szCs w:val="16"/>
          <w:color w:val="auto"/>
        </w:rPr>
        <w:t xml:space="preserve"> segment include employee compensation; revenue-sharing costs, including for third-party distribution; costs for occupancy, technology, and professional services; and other costs associated with our operations.</w:t>
      </w:r>
    </w:p>
    <w:p>
      <w:pPr>
        <w:ind w:left="560" w:hanging="239"/>
        <w:spacing w:after="0" w:line="275" w:lineRule="auto"/>
        <w:tabs>
          <w:tab w:leader="none" w:pos="549"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segment include employee compensation; costs relating to the distribution of our content; costs for occupancy, technology, and professional services; and other costs associated with our operations.</w:t>
      </w:r>
    </w:p>
    <w:p>
      <w:pPr>
        <w:spacing w:after="0" w:line="17" w:lineRule="exact"/>
        <w:rPr>
          <w:rFonts w:ascii="Times New Roman" w:cs="Times New Roman" w:eastAsia="Times New Roman" w:hAnsi="Times New Roman"/>
          <w:sz w:val="16"/>
          <w:szCs w:val="16"/>
          <w:color w:val="auto"/>
        </w:rPr>
      </w:pPr>
    </w:p>
    <w:p>
      <w:pPr>
        <w:jc w:val="both"/>
        <w:ind w:left="560" w:hanging="239"/>
        <w:spacing w:after="0" w:line="266" w:lineRule="auto"/>
        <w:tabs>
          <w:tab w:leader="none" w:pos="571"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Predecessor periods from January 1 - August 6, 2025, and the years ended December 31, 2024 and 2023, stock-based compensation expense of $14 million, $35 million, and $5 million, respectively, is included in “Restructuring, transaction-related items, and other corporate matters.”</w:t>
      </w:r>
    </w:p>
    <w:p>
      <w:pPr>
        <w:spacing w:after="0" w:line="190" w:lineRule="exact"/>
        <w:rPr>
          <w:sz w:val="20"/>
          <w:szCs w:val="20"/>
          <w:color w:val="auto"/>
        </w:rPr>
      </w:pPr>
    </w:p>
    <w:tbl>
      <w:tblPr>
        <w:tblLayout w:type="fixed"/>
        <w:tblInd w:w="380" w:type="dxa"/>
        <w:tblCellMar>
          <w:top w:w="0" w:type="dxa"/>
          <w:left w:w="0" w:type="dxa"/>
          <w:bottom w:w="0" w:type="dxa"/>
          <w:right w:w="0" w:type="dxa"/>
        </w:tblCellMar>
      </w:tblPr>
      <w:tr>
        <w:trPr>
          <w:trHeight w:val="258"/>
        </w:trPr>
        <w:tc>
          <w:tcPr>
            <w:tcW w:w="436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right w:val="single" w:sz="8" w:color="auto"/>
            </w:tcBorders>
          </w:tcPr>
          <w:p>
            <w:pPr>
              <w:jc w:val="center"/>
              <w:ind w:right="31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3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r>
      <w:tr>
        <w:trPr>
          <w:trHeight w:val="196"/>
        </w:trPr>
        <w:tc>
          <w:tcPr>
            <w:tcW w:w="4360" w:type="dxa"/>
            <w:vAlign w:val="bottom"/>
          </w:tcPr>
          <w:p>
            <w:pPr>
              <w:spacing w:after="0"/>
              <w:rPr>
                <w:sz w:val="17"/>
                <w:szCs w:val="17"/>
                <w:color w:val="auto"/>
              </w:rPr>
            </w:pPr>
          </w:p>
        </w:tc>
        <w:tc>
          <w:tcPr>
            <w:tcW w:w="1420" w:type="dxa"/>
            <w:vAlign w:val="bottom"/>
            <w:tcBorders>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300" w:type="dxa"/>
            <w:vAlign w:val="bottom"/>
            <w:gridSpan w:val="2"/>
          </w:tcPr>
          <w:p>
            <w:pPr>
              <w:jc w:val="center"/>
              <w:ind w:left="3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4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Borders>
              <w:right w:val="single" w:sz="8" w:color="auto"/>
            </w:tcBorders>
          </w:tcPr>
          <w:p>
            <w:pPr>
              <w:jc w:val="center"/>
              <w:ind w:right="316"/>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00" w:type="dxa"/>
            <w:vAlign w:val="bottom"/>
            <w:gridSpan w:val="2"/>
          </w:tcPr>
          <w:p>
            <w:pPr>
              <w:jc w:val="center"/>
              <w:ind w:left="36"/>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1"/>
        </w:trPr>
        <w:tc>
          <w:tcPr>
            <w:tcW w:w="4360" w:type="dxa"/>
            <w:vAlign w:val="bottom"/>
          </w:tcPr>
          <w:p>
            <w:pPr>
              <w:spacing w:after="0"/>
              <w:rPr>
                <w:sz w:val="19"/>
                <w:szCs w:val="19"/>
                <w:color w:val="auto"/>
              </w:rPr>
            </w:pPr>
          </w:p>
        </w:tc>
        <w:tc>
          <w:tcPr>
            <w:tcW w:w="1420" w:type="dxa"/>
            <w:vAlign w:val="bottom"/>
            <w:tcBorders>
              <w:bottom w:val="single" w:sz="8" w:color="auto"/>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3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4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22"/>
                <w:szCs w:val="22"/>
                <w:b w:val="1"/>
                <w:bCs w:val="1"/>
                <w:color w:val="auto"/>
                <w:vertAlign w:val="superscript"/>
              </w:rPr>
              <w:t>(a)</w:t>
            </w:r>
          </w:p>
        </w:tc>
        <w:tc>
          <w:tcPr>
            <w:tcW w:w="320" w:type="dxa"/>
            <w:vAlign w:val="bottom"/>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31"/>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rPr>
              <w:t>9,966</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13,376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23,688</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23,962</w:t>
            </w:r>
          </w:p>
        </w:tc>
      </w:tr>
      <w:tr>
        <w:trPr>
          <w:trHeight w:val="265"/>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23"/>
                <w:szCs w:val="23"/>
                <w:color w:val="auto"/>
              </w:rPr>
            </w:pPr>
          </w:p>
        </w:tc>
        <w:tc>
          <w:tcPr>
            <w:tcW w:w="110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rPr>
              <w:t>2,303</w:t>
            </w:r>
          </w:p>
        </w:tc>
        <w:tc>
          <w:tcPr>
            <w:tcW w:w="380" w:type="dxa"/>
            <w:vAlign w:val="bottom"/>
          </w:tcPr>
          <w:p>
            <w:pPr>
              <w:spacing w:after="0"/>
              <w:rPr>
                <w:sz w:val="23"/>
                <w:szCs w:val="23"/>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3,246</w:t>
            </w:r>
          </w:p>
        </w:tc>
        <w:tc>
          <w:tcPr>
            <w:tcW w:w="340" w:type="dxa"/>
            <w:vAlign w:val="bottom"/>
          </w:tcPr>
          <w:p>
            <w:pPr>
              <w:spacing w:after="0"/>
              <w:rPr>
                <w:sz w:val="23"/>
                <w:szCs w:val="23"/>
                <w:color w:val="auto"/>
              </w:rPr>
            </w:pPr>
          </w:p>
        </w:tc>
        <w:tc>
          <w:tcPr>
            <w:tcW w:w="9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5,525</w:t>
            </w: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r>
      <w:tr>
        <w:trPr>
          <w:trHeight w:val="25"/>
        </w:trPr>
        <w:tc>
          <w:tcPr>
            <w:tcW w:w="4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rPr>
              <w:t>12,269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16,622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29,213</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29,652</w:t>
            </w:r>
          </w:p>
        </w:tc>
      </w:tr>
      <w:tr>
        <w:trPr>
          <w:trHeight w:val="32"/>
        </w:trPr>
        <w:tc>
          <w:tcPr>
            <w:tcW w:w="4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Revenue classifications are based on the location of the customer or platform.</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22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right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50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245"/>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jc w:val="right"/>
              <w:ind w:right="7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Long-lived Assets: </w:t>
            </w:r>
            <w:r>
              <w:rPr>
                <w:rFonts w:ascii="Times New Roman" w:cs="Times New Roman" w:eastAsia="Times New Roman" w:hAnsi="Times New Roman"/>
                <w:sz w:val="22"/>
                <w:szCs w:val="22"/>
                <w:b w:val="1"/>
                <w:bCs w:val="1"/>
                <w:color w:val="auto"/>
                <w:vertAlign w:val="superscript"/>
              </w:rPr>
              <w:t>(a)</w:t>
            </w:r>
          </w:p>
        </w:tc>
        <w:tc>
          <w:tcPr>
            <w:tcW w:w="460" w:type="dxa"/>
            <w:vAlign w:val="bottom"/>
          </w:tcPr>
          <w:p>
            <w:pPr>
              <w:spacing w:after="0"/>
              <w:rPr>
                <w:sz w:val="23"/>
                <w:szCs w:val="23"/>
                <w:color w:val="auto"/>
              </w:rPr>
            </w:pPr>
          </w:p>
        </w:tc>
        <w:tc>
          <w:tcPr>
            <w:tcW w:w="148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1"/>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color w:val="auto"/>
              </w:rPr>
              <w:t>3,079</w:t>
            </w: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2,325</w:t>
            </w:r>
          </w:p>
        </w:tc>
      </w:tr>
      <w:tr>
        <w:trPr>
          <w:trHeight w:val="265"/>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460" w:type="dxa"/>
            <w:vAlign w:val="bottom"/>
          </w:tcPr>
          <w:p>
            <w:pPr>
              <w:spacing w:after="0"/>
              <w:rPr>
                <w:sz w:val="23"/>
                <w:szCs w:val="23"/>
                <w:color w:val="auto"/>
              </w:rPr>
            </w:pPr>
          </w:p>
        </w:tc>
        <w:tc>
          <w:tcPr>
            <w:tcW w:w="1480" w:type="dxa"/>
            <w:vAlign w:val="bottom"/>
            <w:tcBorders>
              <w:right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color w:val="auto"/>
              </w:rPr>
              <w:t>242</w:t>
            </w:r>
          </w:p>
        </w:tc>
        <w:tc>
          <w:tcPr>
            <w:tcW w:w="500" w:type="dxa"/>
            <w:vAlign w:val="bottom"/>
          </w:tcPr>
          <w:p>
            <w:pPr>
              <w:spacing w:after="0"/>
              <w:rPr>
                <w:sz w:val="23"/>
                <w:szCs w:val="23"/>
                <w:color w:val="auto"/>
              </w:rPr>
            </w:pPr>
          </w:p>
        </w:tc>
        <w:tc>
          <w:tcPr>
            <w:tcW w:w="13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253</w:t>
            </w:r>
          </w:p>
        </w:tc>
      </w:tr>
      <w:tr>
        <w:trPr>
          <w:trHeight w:val="25"/>
        </w:trPr>
        <w:tc>
          <w:tcPr>
            <w:tcW w:w="5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3"/>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color w:val="auto"/>
              </w:rPr>
              <w:t>3,321</w:t>
            </w: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2,578</w:t>
            </w:r>
          </w:p>
        </w:tc>
      </w:tr>
      <w:tr>
        <w:trPr>
          <w:trHeight w:val="32"/>
        </w:trPr>
        <w:tc>
          <w:tcPr>
            <w:tcW w:w="5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ind w:left="220" w:hanging="217"/>
        <w:spacing w:after="0"/>
        <w:tabs>
          <w:tab w:leader="none" w:pos="2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tangible long-lived assets, which are comprised of property and equipment and operating lease assets.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5" w:lineRule="exact"/>
        <w:rPr>
          <w:rFonts w:ascii="Times New Roman" w:cs="Times New Roman" w:eastAsia="Times New Roman" w:hAnsi="Times New Roman"/>
          <w:sz w:val="16"/>
          <w:szCs w:val="16"/>
          <w:color w:val="auto"/>
        </w:rPr>
      </w:pPr>
    </w:p>
    <w:p>
      <w:pPr>
        <w:ind w:left="4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II-122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69215</wp:posOffset>
            </wp:positionV>
            <wp:extent cx="716026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960"/>
          </w:cols>
          <w:pgMar w:left="800" w:top="735" w:right="1139" w:bottom="1440" w:gutter="0" w:footer="0" w:header="0"/>
        </w:sectPr>
      </w:pPr>
    </w:p>
    <w:bookmarkStart w:id="140" w:name="page141"/>
    <w:bookmarkEnd w:id="140"/>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18) COMMITMENTS AND CONTINGENCIES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Commitments</w:t>
      </w:r>
    </w:p>
    <w:p>
      <w:pPr>
        <w:spacing w:after="0" w:line="157" w:lineRule="exact"/>
        <w:rPr>
          <w:sz w:val="20"/>
          <w:szCs w:val="20"/>
          <w:color w:val="auto"/>
        </w:rPr>
      </w:pPr>
    </w:p>
    <w:p>
      <w:pPr>
        <w:jc w:val="both"/>
        <w:ind w:right="120"/>
        <w:spacing w:after="0" w:line="300" w:lineRule="auto"/>
        <w:rPr>
          <w:sz w:val="20"/>
          <w:szCs w:val="20"/>
          <w:color w:val="auto"/>
        </w:rPr>
      </w:pPr>
      <w:r>
        <w:rPr>
          <w:rFonts w:ascii="Times New Roman" w:cs="Times New Roman" w:eastAsia="Times New Roman" w:hAnsi="Times New Roman"/>
          <w:sz w:val="19"/>
          <w:szCs w:val="19"/>
          <w:color w:val="auto"/>
        </w:rPr>
        <w:t>Our long-term commitments not recorded on the balance sheet primarily consist of programming and talent commitments and purchase obligations for goods and services resulting from our normal course of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Off-Balance Sheet Arrangements</w:t>
      </w:r>
    </w:p>
    <w:p>
      <w:pPr>
        <w:spacing w:after="0" w:line="155"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19"/>
          <w:szCs w:val="19"/>
          <w:color w:val="auto"/>
        </w:rPr>
        <w:t>Our long-term programming and talent commitments not recorded on the balance sheet, estimated to aggregate to $36.08 billion as of December 31, 2025, include $31.96 billion for sports programming rights and $4.12 billion relating to the production and licensing of television and film programming, including talent contracts. We also have long-term committed purchase obligations which include agreements to purchase goods or services in the future that totaled $1.68 billion as of December 31, 2025. These commitments are payable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90805</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3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5"/>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20"/>
        </w:trPr>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2031 and</w:t>
            </w:r>
          </w:p>
        </w:tc>
      </w:tr>
      <w:tr>
        <w:trPr>
          <w:trHeight w:val="250"/>
        </w:trPr>
        <w:tc>
          <w:tcPr>
            <w:tcW w:w="37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2027</w:t>
            </w: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2028</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2029</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2030</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4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and talent commitments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36,083</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4,803</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4,930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5,236</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5,050</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4,714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6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1,675</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643</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559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376</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3"/>
                <w:szCs w:val="23"/>
                <w:color w:val="auto"/>
              </w:rPr>
            </w:pPr>
          </w:p>
        </w:tc>
      </w:tr>
      <w:tr>
        <w:trPr>
          <w:trHeight w:val="32"/>
        </w:trPr>
        <w:tc>
          <w:tcPr>
            <w:tcW w:w="3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On-Balance Sheet Arrangements</w:t>
      </w:r>
    </w:p>
    <w:p>
      <w:pPr>
        <w:spacing w:after="0" w:line="155" w:lineRule="exact"/>
        <w:rPr>
          <w:sz w:val="20"/>
          <w:szCs w:val="20"/>
          <w:color w:val="auto"/>
        </w:rPr>
      </w:pPr>
    </w:p>
    <w:p>
      <w:pPr>
        <w:jc w:val="both"/>
        <w:ind w:right="100"/>
        <w:spacing w:after="0" w:line="300" w:lineRule="auto"/>
        <w:rPr>
          <w:sz w:val="20"/>
          <w:szCs w:val="20"/>
          <w:color w:val="auto"/>
        </w:rPr>
      </w:pPr>
      <w:r>
        <w:rPr>
          <w:rFonts w:ascii="Times New Roman" w:cs="Times New Roman" w:eastAsia="Times New Roman" w:hAnsi="Times New Roman"/>
          <w:sz w:val="19"/>
          <w:szCs w:val="19"/>
          <w:color w:val="auto"/>
        </w:rPr>
        <w:t>At December 31, 2025, we also had long-term contractual obligations for programming liabilities, participations, and residuals. These long-term contractual obligations are payable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71755</wp:posOffset>
            </wp:positionV>
            <wp:extent cx="4997450"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97450" cy="16510"/>
                    </a:xfrm>
                    <a:prstGeom prst="rect">
                      <a:avLst/>
                    </a:prstGeom>
                    <a:noFill/>
                  </pic:spPr>
                </pic:pic>
              </a:graphicData>
            </a:graphic>
          </wp:anchor>
        </w:drawing>
      </w:r>
    </w:p>
    <w:p>
      <w:pPr>
        <w:spacing w:after="0" w:line="1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27940</wp:posOffset>
            </wp:positionV>
            <wp:extent cx="49974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48" w:lineRule="exact"/>
        <w:rPr>
          <w:sz w:val="20"/>
          <w:szCs w:val="20"/>
          <w:color w:val="auto"/>
        </w:rPr>
      </w:pPr>
    </w:p>
    <w:tbl>
      <w:tblPr>
        <w:tblLayout w:type="fixed"/>
        <w:tblInd w:w="168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2031 and</w:t>
            </w:r>
          </w:p>
        </w:tc>
      </w:tr>
      <w:tr>
        <w:trPr>
          <w:trHeight w:val="250"/>
        </w:trPr>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2027</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4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2029</w:t>
            </w: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2030</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7"/>
              </w:rPr>
              <w:t>Thereafter</w:t>
            </w:r>
          </w:p>
        </w:tc>
      </w:tr>
      <w:tr>
        <w:trPr>
          <w:trHeight w:val="240"/>
        </w:trPr>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1,761</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1,124</w:t>
            </w:r>
          </w:p>
        </w:tc>
        <w:tc>
          <w:tcPr>
            <w:tcW w:w="9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372</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192</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
        </w:trPr>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right="100"/>
        <w:spacing w:after="0" w:line="300" w:lineRule="auto"/>
        <w:rPr>
          <w:sz w:val="20"/>
          <w:szCs w:val="20"/>
          <w:color w:val="auto"/>
        </w:rPr>
      </w:pPr>
      <w:r>
        <w:rPr>
          <w:rFonts w:ascii="Times New Roman" w:cs="Times New Roman" w:eastAsia="Times New Roman" w:hAnsi="Times New Roman"/>
          <w:sz w:val="19"/>
          <w:szCs w:val="19"/>
          <w:color w:val="auto"/>
        </w:rPr>
        <w:t>We also have long-term lease commitments for office space, equipment, transponders and studio facilities, which are recorded on the Consolidated Balance Sheet at December 31, 2025. See Note 10 for details of our operating lease commitments.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Guarantees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Letters of Credit and Surety Bonds</w:t>
      </w:r>
    </w:p>
    <w:p>
      <w:pPr>
        <w:spacing w:after="0" w:line="155"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9"/>
          <w:szCs w:val="19"/>
          <w:color w:val="auto"/>
        </w:rPr>
        <w:t>At December 31, 2025, we had outstanding letters of credit and surety bonds of $235 million that were not recorded on the Consolidated Balance Sheet, as well as a $1.9 billion standby letter of credit facility. In accordance with the contractual requirements of one of our commitments, the letter of credit outstanding under this facility increases and decreases consistent with the related contractual commitment. The amount outstanding was zero at December 31, 2025 and $1.82 billion in January 2026. Letters of credit and surety bonds are primarily used as security against non-performance in the normal course of business under contractual requirements of certain of our commitments. The standby letter of credit facility, which matures in May 2027, is subject to provisions similar to the Credit Facility, including the same principal financial covenant (see 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II-123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735" w:right="239" w:bottom="1440" w:gutter="0" w:footer="0" w:header="0"/>
        </w:sectPr>
      </w:pPr>
    </w:p>
    <w:bookmarkStart w:id="141" w:name="page142"/>
    <w:bookmarkEnd w:id="141"/>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the course of our business, we both provide and receive indemnities that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Matters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General</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Relating to the Transactions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In connection with the Transactions, in July 2024, Scott Baker, a purported holder of Paramount Global Class B Common Stock, filed a putative class action lawsuit in the Court of Chancery of the State of Delaware against NAI, Shari E. Redstone, Barbara M. Byrne, Linda M. Griego, Judith A. McHale, Charles E. Phillips, Jr., Susan Schuman, Skydance and David Ellison (the “Baker Action”). The complaint alleges breaches of fiduciary duties to Paramount Global Class B stockholders in connection with the negotiation and approval of the Transaction Agreement, among other claims, and seeks unspecified damages, costs and expenses, as well as other relief. In November 2024, the Court granted the parties’ stipulation in the Baker Action to (i) postpone briefing on the motions to dismiss until the filing or designation of an operative complaint following resolution of the plaintiff’s motion to appoint him and the Baerlocher Family Trust, a purported holder of Paramount Global Class B Common Stock, as co-lead plaintiffs and Berger Montague PC as interim class counsel (the “Baker Leadership Motion”), and</w:t>
      </w:r>
    </w:p>
    <w:p>
      <w:pPr>
        <w:spacing w:after="0" w:line="4" w:lineRule="exact"/>
        <w:rPr>
          <w:sz w:val="20"/>
          <w:szCs w:val="20"/>
          <w:color w:val="auto"/>
        </w:rPr>
      </w:pPr>
    </w:p>
    <w:p>
      <w:pPr>
        <w:jc w:val="both"/>
        <w:ind w:firstLine="6"/>
        <w:spacing w:after="0" w:line="258" w:lineRule="auto"/>
        <w:tabs>
          <w:tab w:leader="none" w:pos="304"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stay discovery until resolution of any motion to dismiss an operative complaint following resolution of the Baker Leadership Motion. In October 2024, various purported stockholders filed motions to intervene to oppose the Baker Leadership Motion. In December 2024, the plaintiff, along with Mark Baerlocher, as trustee for the Baerlocher Family Trust, filed an amended complaint alleging the same breaches of fiduciary duties against the same defendants as in the original complaint. In June 2025, counsel for Mr. Baker informed the Court that the Baker Leadership Motion would be withdrawn without prejudice and that the group of purported stockholders seeking lead plaintiff status would meet and confer to propose a schedule for resolving lead plaintiff applications.</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In April 2024, the State of Rhode Island Office of the General Treasurer, on behalf of the Employees’ Retirement System of Rhode Island, a purported holder of Paramount Global Class B Common Stock, filed a verified complaint for the inspection of books and records under Section 220 of the General Corporation Law of the State of Delaware (the “DGCL”) in the Court of Chancery of the State of Delaware against us, seeking the inspection of books and records to investigate whether Paramount Global’s Board of Directors, NAI, Shari E. Redstone and/or certain executive officers may have breached their fiduciary duties to stockholders for alleged diversion of corporate opportunities (the “220 Action”). The magistrate judge held a trial in July 2024 and denied the request for inspection. The plaintiff filed an exception to the Court, and in January 2025, the Court ruled that the plaintiff was entitled to obtain books and records that were both necessary and sufficient to fulfill the purpose of its request. In February 2025, the Court granted an implementing order returning the 220 Action to the magistrate judge for further proceedings on the scope of production. In March 2025, the Court granted our application for certification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42" w:name="page143"/>
    <w:bookmarkEnd w:id="142"/>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of interlocutory appeal to the Delaware Supreme Court, which was accepted in April 2025. The Court heard oral argument in November 2025, and the Court reserved decision. Certain other purported holders of Paramount Global Class B Common Stock and Class A Common Stock have delivered demand letters to investigate similar alleged breaches of fiduciary duties in connection with the Transactions and requested the inspection of books and records. We have also received demand letters from purported holders of Paramount Global Class B Common Stock related to alleged omissions in our registration statement on Form S-4.</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Additionally, in August 2024, LiveVideo.AI Corp. filed a lawsuit in the U.S. District Court for the Southern District of New York against Shari E. Redstone, NAI, Christine Varney and Monica Seligman, alleging that the defendants did not fairly consider its offer to purchase Paramount Global. The complaint asserts claims for unfair competition, tortious interference, unjust enrichment and aiding and abetting breach of fiduciary duty, among others, and seeks unspecified monetary damages, costs and other relief. The defendants were never served. The parties exchanged several filings related to service and default. In August 2025, the magistrate judge issued a Report and Recommendation recommending that the case be dismissed and that the Court impose $10,000 in monetary sanctions against LiveVideo.AI Corp. In September 2025, the district judge adopted the report in full, dismissed the case, imposed the sanctions, and enjoined LiveVideo.AI Corp. from filing any further lawsuits in any federal district court arising out of the Transactions. LiveVideo.AI filed a Notice of Appeal in November 2025.</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In August 2025, Gabelli Value 25 Fund Inc. (“Gabelli”) filed a putative class action complaint in the Court of Chancery of the State of Delaware against Barbara M. Byrne, Linda M. Griego, Judith A. McHale, Charles E. Phillips, Jr., Susan Schuman, Harbor Lights (f/k/a National Amusements, Inc.) and Shari E. Redstone (the “NAI Defendants”), and Skydance Media, LLC and RB Tentpole LP (the “Skydance Defendants”), alleging breach of fiduciary duty against all defendants and unjust enrichment against the NAI Defendants. Gabelli seeks a declaratory judgment, damages, including rescissory damages and/or quasi-appraisal damages, disgorgement of NAI’s profits, fees and costs, and pre- and post-judgment interest. In September 2025, the Skydance Defendants filed placeholder motions to dismiss, and Gabelli filed a motion to be appointed as interim lead plaintiff representing former minority holders of Paramount Global Class A Common Stock (the “Gabelli Class A Leadership Motion”). In October 2025, counsel for Gabelli filed a letter with the Court indicating that no competing motions or objections to the Gabelli Class A Leadership Motion were filed and proposed that the Court appoint Gabelli as lead plaintiff. In November 2025, the Court granted the Gabelli Class A Leadership Motion and appointed Gabelli as lead plaintiff to prosecute the claims on behalf of the Class A minority shareholders. Defendants moved to stay discovery pending resolution of any filed and forthcoming motions to dismiss, and this motion to stay is currently pending before the Court.</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In February 2025, New York City Employees’ Retirement System, the New York City Fire Department Pension Fund, the New York City Police Pension Fund, the New York City Board of Education Retirement System, and the Teachers’ Retirement System of the City of New York, purported holders of Paramount Global Class B Common Stock and Class A Common Stock, filed a putative class action lawsuit in the Court of Chancery of the State of Delaware against Barbara M. Byrne, Linda M. Griego, Judith A. McHale and Susan Schuman, alleging breaches of fiduciary duties for their alleged failure to sufficiently consider an alternative offer that the plaintiffs claimed was superior to the Transactions (the “NYCERS Action”). The plaintiffs argue that the no-shop provision in the Transaction Agreement should be declared invalid and unenforceable because it prevented the parties from engaging in further deal discussions and negotiations with companies other than Skydance, including, specifically, Project Rise Partners, after the no-shop period began. The plaintiffs further assert that the Court has the power to invalidate this provision because Skydance allegedly aided and abetted NAI’s and Shari E. Redstone’s breach of fiduciary duties, including by agreeing to indemnify Shari E. Redstone (through Skydance’s separate agreement with NAI) for any breach of fiduciary duty claims arising out of the Transactions up to a certain amount. Skydance, NAI, Shari E. Redstone and Paramount Global were not named as defendants in the original complaint.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43" w:name="page144"/>
    <w:bookmarkEnd w:id="143"/>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NYCERS Action originally sought, among other forms of relief, an order from the Court enjoining the closing of the Transactions until the Court reached a final resolution on the plaintiffs’ claims and an order compelling the special committee of Paramount Global’s Board of Directors to evaluate Project Rise Partners’ alternative offer to, among other things, acquire Paramount Global Class A Common Stock for $23.00 per share and Paramount Global Class B Common Stock for $19.00 per share. The Project Rise Partners’ offer was made after the go-shop period in the Transaction Agreement had ended. The plaintiffs filed a motion for expedited proceedings along with their complaint. In February 2025, the plaintiffs moved to join Paramount Global, Skydance, Shari E. Redstone, NAI and various other entities named in the Transaction Agreement as necessary parties to the litigation and moved for a temporary restraining order preventing the closing of the Transactions until the Court considered the plaintiffs’ anticipated motion for injunctive relief following expedited discovery. In March 2025, the court allowed plaintiffs to amend the complaint to add Paramount Global, Skydance, Shari E. Redstone, NAI and the various other entities as defendants. The amended complaint seeks compensatory damages. The parties reached an agreement to withdraw the plaintiffs’ request for expedition and their application for injunctive relief in exchange for targeted discovery from certain of the defendants and third parties. The matter is in discovery.</w:t>
      </w:r>
    </w:p>
    <w:p>
      <w:pPr>
        <w:spacing w:after="0" w:line="200" w:lineRule="exact"/>
        <w:rPr>
          <w:sz w:val="20"/>
          <w:szCs w:val="20"/>
          <w:color w:val="auto"/>
        </w:rPr>
      </w:pP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In April 2025, Metropolitan Water Reclamation District Retirement Fund, Laborers’ and Retirement Board Employees’ Annuity and Benefit Fund of Chicago, Gary Mendelsohn, and Park Employees’ Annuity and Benefit Fund of Chicago, purported holders of Paramount Global Class B Common Stock, filed a complaint for the inspection of books and records under Section 220 of the DGCL in the Court of Chancery of the State of Delaware against us to maintain standing to enforce their statutory inspection rights and seek an order to produce all the books and records identified in their Section 220 demands to investigate possible breaches of fiduciary duties in connection with the Transactions. The complaint alleges that the documents produced to such purported stockholders thus far pursuant to their Section 220 demands are insufficient. The complaint seeks an order requiring us to produce the documents identified in their Section 220 demands, among other relief. In November 2025, the parties contacted the Court with a request to lift the stay and schedule a trial. In December 2025, the Court entered a case schedule. Under the schedule, briefing is set to conclude by February 13, 2026, and trial on the books and records demand is set for March 11,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Related to Distribution Agreements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In October 2024, Sony Pictures Television Inc., along with Jeopardy Productions, Inc. and Califon Productions, Inc. (collectively, “Sony”), filed a civil complaint for damages against CBS Studios Inc. in the Superior Court of the State of California, for Los Angeles County, asserting a breach of contract claim against us relating to our exclusive right to distribute Wheel of Fortune and Jeopardy! (the “Distribution Agreements”). In December 2024, we filed a cross-complaint against Sony seeking, among other things, a declaration that the Distribution Agreements remain in full force and effect. On February 3, 2025, Sony purported to assume our distribution functions, and on February 4, 2025, we filed an ex parte application, seeking a temporary restraining order preventing Sony from assuming these distribution functions, which the trial court granted on February 5, 2025. On April 10, 2025, the trial court declined to issue a preliminary injunction preventing Sony from assuming these distribution functions for the duration of the litigation. On April 11, 2025, we appealed the trial court’s ruling and requested a stay of the order denying the preliminary injunction, which was granted on April 16, 2025. The parties have reached a settlement of this matter.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Claims Related to Former Businesses</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Asbestos</w:t>
      </w:r>
    </w:p>
    <w:p>
      <w:pPr>
        <w:spacing w:after="0" w:line="16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We are a defendant in lawsuits claiming various personal injuries related to asbestos and other materials, which allegedly occurred as a result of exposure caused by various products manufactured by Westinghouse, a</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44" w:name="page145"/>
    <w:bookmarkEnd w:id="144"/>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December 31, 2025 (Successor), we had pending approximately 17,490 asbestos claims, as compared with approximately 18,310 as of December 31, 2024 (Predecessor). For the period from August 7 - December 31, 2025 (Successor) and for the period from January 1 - August 6, 2025 (Predecessor) we received approximately 1,300 and 1,890 new claims, respectively, and closed or moved to an inactive docket approximately 1,810 and 2,200 claims, respectively.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settlement and defense of asbestos claims after insurance recoveries and net of tax, were approximately $23 million for the Successor period from August 7 - December 31, 2025, $11 million and $34 million for the Predecessor periods from January 1 - August 6, 2025, and the year ended December 31, 2024, respectively. Our costs for settlement and defense of asbestos claims may vary year to year and insurance proceeds are not always recovered in the same period as the insured portion of the expenses.</w:t>
      </w:r>
    </w:p>
    <w:p>
      <w:pPr>
        <w:spacing w:after="0" w:line="200" w:lineRule="exact"/>
        <w:rPr>
          <w:sz w:val="20"/>
          <w:szCs w:val="20"/>
          <w:color w:val="auto"/>
        </w:rPr>
      </w:pPr>
    </w:p>
    <w:p>
      <w:pPr>
        <w:spacing w:after="0" w:line="2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A significant number of pending claims against us are non-cancer claims. It is difficult to predict long-term future asbestos liabilities, as events and circumstances may impact the estimate.</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Environmental and Other</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From time to time, we also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Contingent Liabilities Relating to Former Businesses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connection with recording Paramount Global’s net assets at the Ultimate Parent’s basis, “Other liabilities” was increased to reflect the fair value of Paramount Global’s estimated contingent liabilities for the defense and settlement of asbestos lawsuits as well as claims from federal and state environmental regulatory agencies and other entities asserting liability for environmental cleanup costs and related damages (See Note 2). The estimated fair value of the asbestos-related liability was determined in consultation with a third-party firm with expertise in estimating asbestos liability and represents the estimate of the amount a third party would pay to take on the risk of any asbestos-related future losses.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45" w:name="page146"/>
    <w:bookmarkEnd w:id="145"/>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We record an accrual for a loss contingency when it is both probable that a liability has been incurred and when the amount of the loss can be reasonably estimated. The reasonably estimable period for our long-term asbestos liability is 10 years, which we determine in consultation with a third-party firm with expertise in estimating asbestos liability and is due to the inherent uncertainties in the tort litigation system. This estimate is based upon many factors, including the number of outstanding claims, estimated average cost per claim, the breakdown of claims by disease type, historic claim filings, costs per claim of resolution and the filing of new claims, and is assessed in consultation with the third-party firm. Based on an assessment of these factors during the fourth quarters of 2024 and 2023 (Predecessor), we increased the accrual for asbestos matters by $57 million and $23 million, respectively, which were recorded as charges in “Restructuring, transaction-related items, and other corporate matters” on the Consolidated Statements of Operations. The increased accrual in each year was primarily the result of a lower-than-expected rate of decline in new claims. No adjustment to the accrual was required as of December 31, 2025. While we believe that our accruals for these matters are adequate, there can be no assurance that circumstances will not change in future periods and, as a result, our actual liabilities may be higher or lower than our accrual.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19) SUPPLEMENTAL FINANCIAL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the components of “Other items, net” on the Consolidated Statements of Operations.</w:t>
      </w:r>
    </w:p>
    <w:p>
      <w:pPr>
        <w:spacing w:after="0" w:line="195" w:lineRule="exact"/>
        <w:rPr>
          <w:sz w:val="20"/>
          <w:szCs w:val="20"/>
          <w:color w:val="auto"/>
        </w:rPr>
      </w:pPr>
    </w:p>
    <w:tbl>
      <w:tblPr>
        <w:tblLayout w:type="fixed"/>
        <w:tblInd w:w="500" w:type="dxa"/>
        <w:tblCellMar>
          <w:top w:w="0" w:type="dxa"/>
          <w:left w:w="0" w:type="dxa"/>
          <w:bottom w:w="0" w:type="dxa"/>
          <w:right w:w="0" w:type="dxa"/>
        </w:tblCellMar>
      </w:tblPr>
      <w:tr>
        <w:trPr>
          <w:trHeight w:val="258"/>
        </w:trPr>
        <w:tc>
          <w:tcPr>
            <w:tcW w:w="476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w w:val="95"/>
              </w:rPr>
              <w:t>Predecessor</w:t>
            </w: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r>
      <w:tr>
        <w:trPr>
          <w:trHeight w:val="196"/>
        </w:trPr>
        <w:tc>
          <w:tcPr>
            <w:tcW w:w="47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60" w:type="dxa"/>
            <w:vAlign w:val="bottom"/>
            <w:gridSpan w:val="2"/>
          </w:tcPr>
          <w:p>
            <w:pPr>
              <w:jc w:val="center"/>
              <w:ind w:left="36"/>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5"/>
        </w:trPr>
        <w:tc>
          <w:tcPr>
            <w:tcW w:w="4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Borders>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60" w:type="dxa"/>
            <w:vAlign w:val="bottom"/>
            <w:gridSpan w:val="2"/>
          </w:tcPr>
          <w:p>
            <w:pPr>
              <w:jc w:val="center"/>
              <w:ind w:left="36"/>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4"/>
        </w:trPr>
        <w:tc>
          <w:tcPr>
            <w:tcW w:w="4760" w:type="dxa"/>
            <w:vAlign w:val="bottom"/>
          </w:tcPr>
          <w:p>
            <w:pPr>
              <w:spacing w:after="0"/>
              <w:rPr>
                <w:sz w:val="20"/>
                <w:szCs w:val="20"/>
                <w:color w:val="auto"/>
              </w:rPr>
            </w:pPr>
          </w:p>
        </w:tc>
        <w:tc>
          <w:tcPr>
            <w:tcW w:w="1520" w:type="dxa"/>
            <w:vAlign w:val="bottom"/>
            <w:tcBorders>
              <w:bottom w:val="single" w:sz="8" w:color="auto"/>
              <w:right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2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4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37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65"/>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losses</w:t>
            </w:r>
          </w:p>
        </w:tc>
        <w:tc>
          <w:tcPr>
            <w:tcW w:w="340" w:type="dxa"/>
            <w:vAlign w:val="bottom"/>
          </w:tcPr>
          <w:p>
            <w:pPr>
              <w:spacing w:after="0"/>
              <w:rPr>
                <w:sz w:val="23"/>
                <w:szCs w:val="23"/>
                <w:color w:val="auto"/>
              </w:rPr>
            </w:pPr>
          </w:p>
        </w:tc>
        <w:tc>
          <w:tcPr>
            <w:tcW w:w="1180" w:type="dxa"/>
            <w:vAlign w:val="bottom"/>
            <w:tcBorders>
              <w:right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23"/>
                <w:szCs w:val="23"/>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3"/>
                <w:szCs w:val="23"/>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65"/>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3"/>
                <w:szCs w:val="23"/>
                <w:color w:val="auto"/>
              </w:rPr>
            </w:pP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23"/>
                <w:szCs w:val="23"/>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3"/>
                <w:szCs w:val="23"/>
                <w:color w:val="auto"/>
              </w:rPr>
            </w:pP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
        </w:trPr>
        <w:tc>
          <w:tcPr>
            <w:tcW w:w="4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(182)</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32"/>
        </w:trPr>
        <w:tc>
          <w:tcPr>
            <w:tcW w:w="4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Supplemental Cash Flow Information</w:t>
      </w:r>
    </w:p>
    <w:p>
      <w:pPr>
        <w:spacing w:after="0" w:line="184" w:lineRule="exact"/>
        <w:rPr>
          <w:sz w:val="20"/>
          <w:szCs w:val="20"/>
          <w:color w:val="auto"/>
        </w:rPr>
      </w:pPr>
    </w:p>
    <w:tbl>
      <w:tblPr>
        <w:tblLayout w:type="fixed"/>
        <w:tblInd w:w="420" w:type="dxa"/>
        <w:tblCellMar>
          <w:top w:w="0" w:type="dxa"/>
          <w:left w:w="0" w:type="dxa"/>
          <w:bottom w:w="0" w:type="dxa"/>
          <w:right w:w="0" w:type="dxa"/>
        </w:tblCellMar>
      </w:tblPr>
      <w:tr>
        <w:trPr>
          <w:trHeight w:val="258"/>
        </w:trPr>
        <w:tc>
          <w:tcPr>
            <w:tcW w:w="476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4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r>
      <w:tr>
        <w:trPr>
          <w:trHeight w:val="209"/>
        </w:trPr>
        <w:tc>
          <w:tcPr>
            <w:tcW w:w="476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540" w:type="dxa"/>
            <w:vAlign w:val="bottom"/>
            <w:gridSpan w:val="2"/>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5"/>
        </w:trPr>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Borders>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540" w:type="dxa"/>
            <w:vAlign w:val="bottom"/>
            <w:gridSpan w:val="2"/>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1"/>
        </w:trPr>
        <w:tc>
          <w:tcPr>
            <w:tcW w:w="476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6,</w:t>
            </w:r>
          </w:p>
        </w:tc>
        <w:tc>
          <w:tcPr>
            <w:tcW w:w="3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2"/>
        </w:trPr>
        <w:tc>
          <w:tcPr>
            <w:tcW w:w="4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0"/>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296</w:t>
            </w:r>
          </w:p>
        </w:tc>
        <w:tc>
          <w:tcPr>
            <w:tcW w:w="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524</w:t>
            </w:r>
          </w:p>
        </w:tc>
        <w:tc>
          <w:tcPr>
            <w:tcW w:w="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833</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318"/>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5"/>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Continued operations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70</w:t>
            </w:r>
          </w:p>
        </w:tc>
        <w:tc>
          <w:tcPr>
            <w:tcW w:w="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201</w:t>
            </w:r>
          </w:p>
        </w:tc>
        <w:tc>
          <w:tcPr>
            <w:tcW w:w="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184</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5"/>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tcPr>
          <w:p>
            <w:pPr>
              <w:spacing w:after="0"/>
              <w:rPr>
                <w:sz w:val="23"/>
                <w:szCs w:val="23"/>
                <w:color w:val="auto"/>
              </w:rPr>
            </w:pP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6"/>
        </w:trPr>
        <w:tc>
          <w:tcPr>
            <w:tcW w:w="4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paid for income taxes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70</w:t>
            </w:r>
          </w:p>
        </w:tc>
        <w:tc>
          <w:tcPr>
            <w:tcW w:w="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201</w:t>
            </w:r>
          </w:p>
        </w:tc>
        <w:tc>
          <w:tcPr>
            <w:tcW w:w="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184</w:t>
            </w:r>
          </w:p>
        </w:tc>
        <w:tc>
          <w:tcPr>
            <w:tcW w:w="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2"/>
        </w:trPr>
        <w:tc>
          <w:tcPr>
            <w:tcW w:w="4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cash balance on August 6, 2025 (Predecessor) was $2.46 billion. The cash balance on August 7, 2025 (Successor) was $3.85 billion. The difference reflects the proceeds received from the PIPE Transaction (see Note 1) and cash received from Skydance’s opening balance sheet, offset by cash paid for transaction-related costs incurred prior to the Closing Date.</w:t>
      </w:r>
    </w:p>
    <w:p>
      <w:pPr>
        <w:spacing w:after="0" w:line="182"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color w:val="auto"/>
        </w:rPr>
        <w:t>In connection with the closing of the Transactions, on August 7, 2025 (Successor), borrowings outstanding of $720 million under Skydance’s revolving credit facility were repaid in full.</w:t>
      </w:r>
    </w:p>
    <w:p>
      <w:pPr>
        <w:sectPr>
          <w:pgSz w:w="11900" w:h="16838" w:orient="portrait"/>
          <w:cols w:equalWidth="0" w:num="1">
            <w:col w:w="11240"/>
          </w:cols>
          <w:pgMar w:left="320" w:top="7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type w:val="continuous"/>
        </w:sectPr>
      </w:pPr>
    </w:p>
    <w:bookmarkStart w:id="146" w:name="page147"/>
    <w:bookmarkEnd w:id="146"/>
    <w:p>
      <w:pPr>
        <w:ind w:left="27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1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Discontinued Operations (Predecessor)</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On October 30, 2023, we completed the sale of Simon &amp; Schuster to affiliates of Kohlberg Kravis Roberts &amp; Co. for $1.62 billion. As a result, we recognized a pretax gain during the fourth quarter of 2023 of $695 million. During 2024, as a result of working capital adjustments we recorded additional pretax gains on the sale totaling $19 million ($14 million, net of tax).</w:t>
      </w:r>
    </w:p>
    <w:p>
      <w:pPr>
        <w:spacing w:after="0" w:line="19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The following table sets forth details of net earnings from discontinued operations for the year ended December 31, 2023, which primarily relates to Simon &amp; Schuster.</w:t>
      </w:r>
    </w:p>
    <w:p>
      <w:pPr>
        <w:spacing w:after="0" w:line="93" w:lineRule="exact"/>
        <w:rPr>
          <w:sz w:val="20"/>
          <w:szCs w:val="20"/>
          <w:color w:val="auto"/>
        </w:rPr>
      </w:pPr>
    </w:p>
    <w:tbl>
      <w:tblPr>
        <w:tblLayout w:type="fixed"/>
        <w:tblInd w:w="640" w:type="dxa"/>
        <w:tblCellMar>
          <w:top w:w="0" w:type="dxa"/>
          <w:left w:w="0" w:type="dxa"/>
          <w:bottom w:w="0" w:type="dxa"/>
          <w:right w:w="0" w:type="dxa"/>
        </w:tblCellMar>
      </w:tblPr>
      <w:tr>
        <w:trPr>
          <w:trHeight w:val="292"/>
        </w:trPr>
        <w:tc>
          <w:tcPr>
            <w:tcW w:w="4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540" w:type="dxa"/>
            <w:vAlign w:val="bottom"/>
            <w:tcBorders>
              <w:top w:val="single" w:sz="8" w:color="auto"/>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2"/>
                <w:szCs w:val="22"/>
                <w:b w:val="1"/>
                <w:bCs w:val="1"/>
                <w:color w:val="auto"/>
                <w:vertAlign w:val="superscript"/>
              </w:rPr>
              <w:t>(a)</w:t>
            </w:r>
          </w:p>
        </w:tc>
        <w:tc>
          <w:tcPr>
            <w:tcW w:w="4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958</w:t>
            </w: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6"/>
        </w:trPr>
        <w:tc>
          <w:tcPr>
            <w:tcW w:w="4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65"/>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1500" w:type="dxa"/>
            <w:vAlign w:val="bottom"/>
          </w:tcPr>
          <w:p>
            <w:pPr>
              <w:spacing w:after="0"/>
              <w:rPr>
                <w:sz w:val="23"/>
                <w:szCs w:val="23"/>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580</w:t>
            </w:r>
          </w:p>
        </w:tc>
        <w:tc>
          <w:tcPr>
            <w:tcW w:w="420" w:type="dxa"/>
            <w:vAlign w:val="bottom"/>
          </w:tcPr>
          <w:p>
            <w:pPr>
              <w:spacing w:after="0"/>
              <w:rPr>
                <w:sz w:val="23"/>
                <w:szCs w:val="23"/>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65"/>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00" w:type="dxa"/>
            <w:vAlign w:val="bottom"/>
          </w:tcPr>
          <w:p>
            <w:pPr>
              <w:spacing w:after="0"/>
              <w:rPr>
                <w:sz w:val="23"/>
                <w:szCs w:val="23"/>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149</w:t>
            </w:r>
          </w:p>
        </w:tc>
        <w:tc>
          <w:tcPr>
            <w:tcW w:w="420" w:type="dxa"/>
            <w:vAlign w:val="bottom"/>
          </w:tcPr>
          <w:p>
            <w:pPr>
              <w:spacing w:after="0"/>
              <w:rPr>
                <w:sz w:val="23"/>
                <w:szCs w:val="23"/>
                <w:color w:val="auto"/>
              </w:rPr>
            </w:pP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65"/>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500" w:type="dxa"/>
            <w:vAlign w:val="bottom"/>
          </w:tcPr>
          <w:p>
            <w:pPr>
              <w:spacing w:after="0"/>
              <w:rPr>
                <w:sz w:val="23"/>
                <w:szCs w:val="23"/>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3"/>
                <w:szCs w:val="23"/>
                <w:color w:val="auto"/>
              </w:rPr>
            </w:pP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
        </w:trPr>
        <w:tc>
          <w:tcPr>
            <w:tcW w:w="4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00" w:type="dxa"/>
            <w:vAlign w:val="bottom"/>
          </w:tcPr>
          <w:p>
            <w:pPr>
              <w:spacing w:after="0"/>
              <w:rPr>
                <w:sz w:val="20"/>
                <w:szCs w:val="20"/>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731</w:t>
            </w:r>
          </w:p>
        </w:tc>
        <w:tc>
          <w:tcPr>
            <w:tcW w:w="420" w:type="dxa"/>
            <w:vAlign w:val="bottom"/>
          </w:tcPr>
          <w:p>
            <w:pPr>
              <w:spacing w:after="0"/>
              <w:rPr>
                <w:sz w:val="20"/>
                <w:szCs w:val="20"/>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6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00" w:type="dxa"/>
            <w:vAlign w:val="bottom"/>
          </w:tcPr>
          <w:p>
            <w:pPr>
              <w:spacing w:after="0"/>
              <w:rPr>
                <w:sz w:val="23"/>
                <w:szCs w:val="23"/>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227</w:t>
            </w:r>
          </w:p>
        </w:tc>
        <w:tc>
          <w:tcPr>
            <w:tcW w:w="420" w:type="dxa"/>
            <w:vAlign w:val="bottom"/>
          </w:tcPr>
          <w:p>
            <w:pPr>
              <w:spacing w:after="0"/>
              <w:rPr>
                <w:sz w:val="23"/>
                <w:szCs w:val="23"/>
                <w:color w:val="auto"/>
              </w:rPr>
            </w:pP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6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500" w:type="dxa"/>
            <w:vAlign w:val="bottom"/>
          </w:tcPr>
          <w:p>
            <w:pPr>
              <w:spacing w:after="0"/>
              <w:rPr>
                <w:sz w:val="23"/>
                <w:szCs w:val="23"/>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23"/>
                <w:szCs w:val="23"/>
                <w:color w:val="auto"/>
              </w:rPr>
            </w:pP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
        </w:trPr>
        <w:tc>
          <w:tcPr>
            <w:tcW w:w="4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00" w:type="dxa"/>
            <w:vAlign w:val="bottom"/>
          </w:tcPr>
          <w:p>
            <w:pPr>
              <w:spacing w:after="0"/>
              <w:rPr>
                <w:sz w:val="20"/>
                <w:szCs w:val="20"/>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218</w:t>
            </w:r>
          </w:p>
        </w:tc>
        <w:tc>
          <w:tcPr>
            <w:tcW w:w="420" w:type="dxa"/>
            <w:vAlign w:val="bottom"/>
          </w:tcPr>
          <w:p>
            <w:pPr>
              <w:spacing w:after="0"/>
              <w:rPr>
                <w:sz w:val="20"/>
                <w:szCs w:val="20"/>
                <w:color w:val="auto"/>
              </w:rPr>
            </w:pP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6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500" w:type="dxa"/>
            <w:vAlign w:val="bottom"/>
          </w:tcPr>
          <w:p>
            <w:pPr>
              <w:spacing w:after="0"/>
              <w:rPr>
                <w:sz w:val="23"/>
                <w:szCs w:val="23"/>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23"/>
                <w:szCs w:val="23"/>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
        </w:trPr>
        <w:tc>
          <w:tcPr>
            <w:tcW w:w="4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1500" w:type="dxa"/>
            <w:vAlign w:val="bottom"/>
          </w:tcPr>
          <w:p>
            <w:pPr>
              <w:spacing w:after="0"/>
              <w:rPr>
                <w:sz w:val="20"/>
                <w:szCs w:val="20"/>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230</w:t>
            </w:r>
          </w:p>
        </w:tc>
        <w:tc>
          <w:tcPr>
            <w:tcW w:w="420" w:type="dxa"/>
            <w:vAlign w:val="bottom"/>
          </w:tcPr>
          <w:p>
            <w:pPr>
              <w:spacing w:after="0"/>
              <w:rPr>
                <w:sz w:val="20"/>
                <w:szCs w:val="20"/>
                <w:color w:val="auto"/>
              </w:rPr>
            </w:pP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90"/>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Gain on sale (net of tax of $258 million) </w:t>
            </w:r>
            <w:r>
              <w:rPr>
                <w:rFonts w:ascii="Times New Roman" w:cs="Times New Roman" w:eastAsia="Times New Roman" w:hAnsi="Times New Roman"/>
                <w:sz w:val="22"/>
                <w:szCs w:val="22"/>
                <w:color w:val="auto"/>
                <w:vertAlign w:val="superscript"/>
              </w:rPr>
              <w:t>(b)</w:t>
            </w:r>
          </w:p>
        </w:tc>
        <w:tc>
          <w:tcPr>
            <w:tcW w:w="1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437</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3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667</w:t>
            </w: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32"/>
        </w:trPr>
        <w:tc>
          <w:tcPr>
            <w:tcW w:w="4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ind w:left="620" w:hanging="217"/>
        <w:spacing w:after="0"/>
        <w:tabs>
          <w:tab w:leader="none" w:pos="6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indemnification obligations for leases associated with the previously discontinued operations of Famous Players Inc.</w:t>
      </w:r>
    </w:p>
    <w:p>
      <w:pPr>
        <w:spacing w:after="0" w:line="54" w:lineRule="exact"/>
        <w:rPr>
          <w:rFonts w:ascii="Times New Roman" w:cs="Times New Roman" w:eastAsia="Times New Roman" w:hAnsi="Times New Roman"/>
          <w:sz w:val="16"/>
          <w:szCs w:val="16"/>
          <w:color w:val="auto"/>
        </w:rPr>
      </w:pPr>
    </w:p>
    <w:p>
      <w:pPr>
        <w:ind w:left="640" w:right="640" w:hanging="237"/>
        <w:spacing w:after="0" w:line="272" w:lineRule="auto"/>
        <w:tabs>
          <w:tab w:leader="none" w:pos="63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provision on the gain on sale differs from the amount that would be expected at the U.S. federal statutory income tax rate primarily because the goodwill was not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147" w:name="page148"/>
    <w:bookmarkEnd w:id="147"/>
    <w:p>
      <w:pPr>
        <w:spacing w:after="0" w:line="10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2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b w:val="1"/>
          <w:bCs w:val="1"/>
          <w:color w:val="auto"/>
        </w:rPr>
        <w:t>SCHEDULE II</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VALUATION AND QUALIFYING ACCOUNTS</w:t>
      </w:r>
    </w:p>
    <w:p>
      <w:pPr>
        <w:spacing w:after="0" w:line="3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(Tabular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68065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0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Col. A</w:t>
            </w:r>
          </w:p>
        </w:tc>
        <w:tc>
          <w:tcPr>
            <w:tcW w:w="280" w:type="dxa"/>
            <w:vAlign w:val="bottom"/>
          </w:tcPr>
          <w:p>
            <w:pPr>
              <w:spacing w:after="0"/>
              <w:rPr>
                <w:sz w:val="20"/>
                <w:szCs w:val="20"/>
                <w:color w:val="auto"/>
              </w:rPr>
            </w:pPr>
          </w:p>
        </w:tc>
        <w:tc>
          <w:tcPr>
            <w:tcW w:w="10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Col. B</w:t>
            </w:r>
          </w:p>
        </w:tc>
        <w:tc>
          <w:tcPr>
            <w:tcW w:w="380" w:type="dxa"/>
            <w:vAlign w:val="bottom"/>
          </w:tcPr>
          <w:p>
            <w:pPr>
              <w:spacing w:after="0"/>
              <w:rPr>
                <w:sz w:val="20"/>
                <w:szCs w:val="20"/>
                <w:color w:val="auto"/>
              </w:rPr>
            </w:pPr>
          </w:p>
        </w:tc>
        <w:tc>
          <w:tcPr>
            <w:tcW w:w="122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7"/>
              </w:rPr>
              <w:t>Col. C</w:t>
            </w:r>
          </w:p>
        </w:tc>
        <w:tc>
          <w:tcPr>
            <w:tcW w:w="36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 D</w:t>
            </w:r>
          </w:p>
        </w:tc>
        <w:tc>
          <w:tcPr>
            <w:tcW w:w="260" w:type="dxa"/>
            <w:vAlign w:val="bottom"/>
          </w:tcPr>
          <w:p>
            <w:pPr>
              <w:spacing w:after="0"/>
              <w:rPr>
                <w:sz w:val="20"/>
                <w:szCs w:val="20"/>
                <w:color w:val="auto"/>
              </w:rPr>
            </w:pPr>
          </w:p>
        </w:tc>
        <w:tc>
          <w:tcPr>
            <w:tcW w:w="920" w:type="dxa"/>
            <w:vAlign w:val="bottom"/>
          </w:tcPr>
          <w:p>
            <w:pPr>
              <w:jc w:val="center"/>
              <w:ind w:right="193"/>
              <w:spacing w:after="0"/>
              <w:rPr>
                <w:sz w:val="20"/>
                <w:szCs w:val="20"/>
                <w:color w:val="auto"/>
              </w:rPr>
            </w:pPr>
            <w:r>
              <w:rPr>
                <w:rFonts w:ascii="Times New Roman" w:cs="Times New Roman" w:eastAsia="Times New Roman" w:hAnsi="Times New Roman"/>
                <w:sz w:val="18"/>
                <w:szCs w:val="18"/>
                <w:b w:val="1"/>
                <w:bCs w:val="1"/>
                <w:color w:val="auto"/>
                <w:w w:val="99"/>
              </w:rPr>
              <w:t>Col. E</w:t>
            </w:r>
          </w:p>
        </w:tc>
        <w:tc>
          <w:tcPr>
            <w:tcW w:w="0" w:type="dxa"/>
            <w:vAlign w:val="bottom"/>
          </w:tcPr>
          <w:p>
            <w:pPr>
              <w:spacing w:after="0"/>
              <w:rPr>
                <w:sz w:val="1"/>
                <w:szCs w:val="1"/>
                <w:color w:val="auto"/>
              </w:rPr>
            </w:pPr>
          </w:p>
        </w:tc>
      </w:tr>
      <w:tr>
        <w:trPr>
          <w:trHeight w:val="26"/>
        </w:trPr>
        <w:tc>
          <w:tcPr>
            <w:tcW w:w="4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6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Charged to</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0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Beginning of</w:t>
            </w:r>
          </w:p>
        </w:tc>
        <w:tc>
          <w:tcPr>
            <w:tcW w:w="16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Expenses and</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Balance at End</w:t>
            </w:r>
          </w:p>
        </w:tc>
        <w:tc>
          <w:tcPr>
            <w:tcW w:w="0" w:type="dxa"/>
            <w:vAlign w:val="bottom"/>
          </w:tcPr>
          <w:p>
            <w:pPr>
              <w:spacing w:after="0"/>
              <w:rPr>
                <w:sz w:val="1"/>
                <w:szCs w:val="1"/>
                <w:color w:val="auto"/>
              </w:rPr>
            </w:pPr>
          </w:p>
        </w:tc>
      </w:tr>
      <w:tr>
        <w:trPr>
          <w:trHeight w:val="234"/>
        </w:trPr>
        <w:tc>
          <w:tcPr>
            <w:tcW w:w="5100" w:type="dxa"/>
            <w:vAlign w:val="bottom"/>
            <w:tcBorders>
              <w:bottom w:val="single" w:sz="8" w:color="auto"/>
            </w:tcBorders>
            <w:gridSpan w:val="2"/>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160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Other Accounts</w:t>
            </w:r>
          </w:p>
        </w:tc>
        <w:tc>
          <w:tcPr>
            <w:tcW w:w="1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0" w:type="dxa"/>
            <w:vAlign w:val="bottom"/>
          </w:tcPr>
          <w:p>
            <w:pPr>
              <w:spacing w:after="0"/>
              <w:rPr>
                <w:sz w:val="1"/>
                <w:szCs w:val="1"/>
                <w:color w:val="auto"/>
              </w:rPr>
            </w:pPr>
          </w:p>
        </w:tc>
      </w:tr>
      <w:tr>
        <w:trPr>
          <w:trHeight w:val="24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 from August 7 - December 31, 2025 (Successor)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1"/>
                <w:szCs w:val="11"/>
                <w:color w:val="auto"/>
              </w:rPr>
              <w:t>(a)</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3"/>
                <w:szCs w:val="23"/>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25"/>
        </w:trPr>
        <w:tc>
          <w:tcPr>
            <w:tcW w:w="48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2"/>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 from January 1 - August 6, 2025 (Predecessor)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4"/>
                <w:szCs w:val="24"/>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65"/>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2024 (Predecessor)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23"/>
                <w:szCs w:val="23"/>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65"/>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2023 (Predecessor)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3"/>
                <w:szCs w:val="23"/>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53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Valuation allowance on deferred tax assets: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 from August 7 - December 31, 2025 (Successor)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3"/>
                <w:szCs w:val="23"/>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125"/>
        </w:trPr>
        <w:tc>
          <w:tcPr>
            <w:tcW w:w="48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2"/>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 from January 1 - August 6, 2025 (Predecessor)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655</w:t>
            </w:r>
          </w:p>
        </w:tc>
        <w:tc>
          <w:tcPr>
            <w:tcW w:w="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4"/>
                <w:szCs w:val="24"/>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65"/>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2024 (Predecessor)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tcPr>
          <w:p>
            <w:pPr>
              <w:spacing w:after="0"/>
              <w:rPr>
                <w:sz w:val="23"/>
                <w:szCs w:val="23"/>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65"/>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2023 (Predecessor)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3"/>
                <w:szCs w:val="23"/>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32"/>
        </w:trPr>
        <w:tc>
          <w:tcPr>
            <w:tcW w:w="4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80" w:hanging="236"/>
        <w:spacing w:after="0" w:line="272" w:lineRule="auto"/>
        <w:tabs>
          <w:tab w:leader="none" w:pos="25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7, 2025, the allowance for doubtful accounts was reversed as a result of the adjustment of accounts receivable to fair value. See Note 2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F-1</w:t>
      </w:r>
    </w:p>
    <w:sectPr>
      <w:pgSz w:w="11900" w:h="16838" w:orient="portrait"/>
      <w:cols w:equalWidth="0" w:num="1">
        <w:col w:w="10800"/>
      </w:cols>
      <w:pgMar w:left="60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01"/>
    </w:lvl>
    <w:lvl w:ilvl="1">
      <w:lvlJc w:val="left"/>
      <w:lvlText w:val="%2."/>
      <w:numFmt w:val="decimal"/>
      <w:start w:val="101"/>
    </w:lvl>
  </w:abstractNum>
  <w:abstractNum w:abstractNumId="3">
    <w:nsid w:val="7C3DBD3D"/>
    <w:multiLevelType w:val="hybridMultilevel"/>
    <w:lvl w:ilvl="0">
      <w:lvlJc w:val="left"/>
      <w:lvlText w:val="%1."/>
      <w:numFmt w:val="decimal"/>
      <w:start w:val="101"/>
    </w:lvl>
  </w:abstractNum>
  <w:abstractNum w:abstractNumId="4">
    <w:nsid w:val="737B8DDC"/>
    <w:multiLevelType w:val="hybridMultilevel"/>
    <w:lvl w:ilvl="0">
      <w:lvlJc w:val="left"/>
      <w:lvlText w:val="%1."/>
      <w:numFmt w:val="decimal"/>
      <w:start w:val="101"/>
    </w:lvl>
  </w:abstractNum>
  <w:abstractNum w:abstractNumId="5">
    <w:nsid w:val="6CEAF087"/>
    <w:multiLevelType w:val="hybridMultilevel"/>
    <w:lvl w:ilvl="0">
      <w:lvlJc w:val="left"/>
      <w:lvlText w:val="%1."/>
      <w:numFmt w:val="decimal"/>
      <w:start w:val="101"/>
    </w:lvl>
  </w:abstractNum>
  <w:abstractNum w:abstractNumId="6">
    <w:nsid w:val="22221A70"/>
    <w:multiLevelType w:val="hybridMultilevel"/>
    <w:lvl w:ilvl="0">
      <w:lvlJc w:val="left"/>
      <w:lvlText w:val="%1."/>
      <w:numFmt w:val="decimal"/>
      <w:start w:val="101"/>
    </w:lvl>
  </w:abstractNum>
  <w:abstractNum w:abstractNumId="7">
    <w:nsid w:val="4516DDE9"/>
    <w:multiLevelType w:val="hybridMultilevel"/>
    <w:lvl w:ilvl="0">
      <w:lvlJc w:val="left"/>
      <w:lvlText w:val="%1"/>
      <w:numFmt w:val="decimal"/>
      <w:start w:val="104"/>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lowerLetter"/>
      <w:start w:val="1"/>
    </w:lvl>
  </w:abstractNum>
  <w:abstractNum w:abstractNumId="12">
    <w:nsid w:val="440BADFC"/>
    <w:multiLevelType w:val="hybridMultilevel"/>
    <w:lvl w:ilvl="0">
      <w:lvlJc w:val="left"/>
      <w:lvlText w:val="(%1)"/>
      <w:numFmt w:val="lowerLetter"/>
      <w:start w:val="1"/>
    </w:lvl>
  </w:abstractNum>
  <w:abstractNum w:abstractNumId="13">
    <w:nsid w:val="5072367"/>
    <w:multiLevelType w:val="hybridMultilevel"/>
    <w:lvl w:ilvl="0">
      <w:lvlJc w:val="left"/>
      <w:lvlText w:val="(%1)"/>
      <w:numFmt w:val="lowerLetter"/>
      <w:start w:val="1"/>
    </w:lvl>
  </w:abstractNum>
  <w:abstractNum w:abstractNumId="14">
    <w:nsid w:val="3804823E"/>
    <w:multiLevelType w:val="hybridMultilevel"/>
    <w:lvl w:ilvl="0">
      <w:lvlJc w:val="left"/>
      <w:lvlText w:val="(%1)"/>
      <w:numFmt w:val="lowerLetter"/>
      <w:start w:val="7"/>
    </w:lvl>
  </w:abstractNum>
  <w:abstractNum w:abstractNumId="15">
    <w:nsid w:val="77465F01"/>
    <w:multiLevelType w:val="hybridMultilevel"/>
    <w:lvl w:ilvl="0">
      <w:lvlJc w:val="left"/>
      <w:lvlText w:val="(%1)"/>
      <w:numFmt w:val="lowerLetter"/>
      <w:start w:val="1"/>
    </w:lvl>
  </w:abstractNum>
  <w:abstractNum w:abstractNumId="16">
    <w:nsid w:val="7724C67E"/>
    <w:multiLevelType w:val="hybridMultilevel"/>
    <w:lvl w:ilvl="0">
      <w:lvlJc w:val="left"/>
      <w:lvlText w:val="(%1)"/>
      <w:numFmt w:val="lowerLetter"/>
      <w:start w:val="8"/>
    </w:lvl>
  </w:abstractNum>
  <w:abstractNum w:abstractNumId="17">
    <w:nsid w:val="5C482A97"/>
    <w:multiLevelType w:val="hybridMultilevel"/>
    <w:lvl w:ilvl="0">
      <w:lvlJc w:val="left"/>
      <w:lvlText w:val="(%1)"/>
      <w:numFmt w:val="lowerLetter"/>
      <w:start w:val="1"/>
    </w:lvl>
  </w:abstractNum>
  <w:abstractNum w:abstractNumId="18">
    <w:nsid w:val="2463B9EA"/>
    <w:multiLevelType w:val="hybridMultilevel"/>
    <w:lvl w:ilvl="0">
      <w:lvlJc w:val="left"/>
      <w:lvlText w:val="(%1)"/>
      <w:numFmt w:val="lowerLetter"/>
      <w:start w:val="1"/>
    </w:lvl>
  </w:abstractNum>
  <w:abstractNum w:abstractNumId="19">
    <w:nsid w:val="5E884ADC"/>
    <w:multiLevelType w:val="hybridMultilevel"/>
    <w:lvl w:ilvl="0">
      <w:lvlJc w:val="left"/>
      <w:lvlText w:val="(%1)"/>
      <w:numFmt w:val="lowerLetter"/>
      <w:start w:val="1"/>
    </w:lvl>
  </w:abstractNum>
  <w:abstractNum w:abstractNumId="20">
    <w:nsid w:val="51EAD36B"/>
    <w:multiLevelType w:val="hybridMultilevel"/>
    <w:lvl w:ilvl="0">
      <w:lvlJc w:val="left"/>
      <w:lvlText w:val="(%1)"/>
      <w:numFmt w:val="lowerLetter"/>
      <w:start w:val="1"/>
    </w:lvl>
  </w:abstractNum>
  <w:abstractNum w:abstractNumId="21">
    <w:nsid w:val="2D517796"/>
    <w:multiLevelType w:val="hybridMultilevel"/>
    <w:lvl w:ilvl="0">
      <w:lvlJc w:val="left"/>
      <w:lvlText w:val="(%1)"/>
      <w:numFmt w:val="lowerLetter"/>
      <w:start w:val="1"/>
    </w:lvl>
  </w:abstractNum>
  <w:abstractNum w:abstractNumId="22">
    <w:nsid w:val="580BD78F"/>
    <w:multiLevelType w:val="hybridMultilevel"/>
    <w:lvl w:ilvl="0">
      <w:lvlJc w:val="left"/>
      <w:lvlText w:val="(%1)"/>
      <w:numFmt w:val="lowerLetter"/>
      <w:start w:val="1"/>
    </w:lvl>
  </w:abstractNum>
  <w:abstractNum w:abstractNumId="23">
    <w:nsid w:val="153EA438"/>
    <w:multiLevelType w:val="hybridMultilevel"/>
    <w:lvl w:ilvl="0">
      <w:lvlJc w:val="left"/>
      <w:lvlText w:val="(%1)"/>
      <w:numFmt w:val="lowerLetter"/>
      <w:start w:val="1"/>
    </w:lvl>
  </w:abstractNum>
  <w:abstractNum w:abstractNumId="24">
    <w:nsid w:val="3855585C"/>
    <w:multiLevelType w:val="hybridMultilevel"/>
    <w:lvl w:ilvl="0">
      <w:lvlJc w:val="left"/>
      <w:lvlText w:val="(%1)"/>
      <w:numFmt w:val="lowerLetter"/>
      <w:start w:val="1"/>
    </w:lvl>
  </w:abstractNum>
  <w:abstractNum w:abstractNumId="25">
    <w:nsid w:val="70A64E2A"/>
    <w:multiLevelType w:val="hybridMultilevel"/>
    <w:lvl w:ilvl="0">
      <w:lvlJc w:val="left"/>
      <w:lvlText w:val="(%1)"/>
      <w:numFmt w:val="lowerLetter"/>
      <w:start w:val="1"/>
    </w:lvl>
  </w:abstractNum>
  <w:abstractNum w:abstractNumId="26">
    <w:nsid w:val="6A2342EC"/>
    <w:multiLevelType w:val="hybridMultilevel"/>
    <w:lvl w:ilvl="0">
      <w:lvlJc w:val="left"/>
      <w:lvlText w:val="(%1)"/>
      <w:numFmt w:val="lowerLetter"/>
      <w:start w:val="1"/>
    </w:lvl>
  </w:abstractNum>
  <w:abstractNum w:abstractNumId="27">
    <w:nsid w:val="2A487CB0"/>
    <w:multiLevelType w:val="hybridMultilevel"/>
    <w:lvl w:ilvl="0">
      <w:lvlJc w:val="left"/>
      <w:lvlText w:val="(%1)"/>
      <w:numFmt w:val="lowerLetter"/>
      <w:start w:val="1"/>
    </w:lvl>
  </w:abstractNum>
  <w:abstractNum w:abstractNumId="28">
    <w:nsid w:val="1D4ED43B"/>
    <w:multiLevelType w:val="hybridMultilevel"/>
    <w:lvl w:ilvl="0">
      <w:lvlJc w:val="left"/>
      <w:lvlText w:val="(%1)"/>
      <w:numFmt w:val="lowerLetter"/>
      <w:start w:val="1"/>
    </w:lvl>
  </w:abstractNum>
  <w:abstractNum w:abstractNumId="29">
    <w:nsid w:val="725A06FB"/>
    <w:multiLevelType w:val="hybridMultilevel"/>
    <w:lvl w:ilvl="0">
      <w:lvlJc w:val="left"/>
      <w:lvlText w:val="(%1)"/>
      <w:numFmt w:val="lowerLetter"/>
      <w:start w:val="1"/>
    </w:lvl>
  </w:abstractNum>
  <w:abstractNum w:abstractNumId="30">
    <w:nsid w:val="2CD89A32"/>
    <w:multiLevelType w:val="hybridMultilevel"/>
    <w:lvl w:ilvl="0">
      <w:lvlJc w:val="left"/>
      <w:lvlText w:val="(%1)"/>
      <w:numFmt w:val="lowerLetter"/>
      <w:start w:val="1"/>
    </w:lvl>
  </w:abstractNum>
  <w:abstractNum w:abstractNumId="31">
    <w:nsid w:val="57E4CCAF"/>
    <w:multiLevelType w:val="hybridMultilevel"/>
    <w:lvl w:ilvl="0">
      <w:lvlJc w:val="left"/>
      <w:lvlText w:val="(%1)"/>
      <w:numFmt w:val="lowerLetter"/>
      <w:start w:val="1"/>
    </w:lvl>
  </w:abstractNum>
  <w:abstractNum w:abstractNumId="32">
    <w:nsid w:val="7A6D8D3C"/>
    <w:multiLevelType w:val="hybridMultilevel"/>
    <w:lvl w:ilvl="0">
      <w:lvlJc w:val="left"/>
      <w:lvlText w:val="(%1)"/>
      <w:numFmt w:val="lowerLetter"/>
      <w:start w:val="1"/>
    </w:lvl>
  </w:abstractNum>
  <w:abstractNum w:abstractNumId="33">
    <w:nsid w:val="4B588F54"/>
    <w:multiLevelType w:val="hybridMultilevel"/>
    <w:lvl w:ilvl="0">
      <w:lvlJc w:val="left"/>
      <w:lvlText w:val="(%1)"/>
      <w:numFmt w:val="lowerLetter"/>
      <w:start w:val="1"/>
    </w:lvl>
  </w:abstractNum>
  <w:abstractNum w:abstractNumId="34">
    <w:nsid w:val="542289EC"/>
    <w:multiLevelType w:val="hybridMultilevel"/>
    <w:lvl w:ilvl="0">
      <w:lvlJc w:val="left"/>
      <w:lvlText w:val="(%1)"/>
      <w:numFmt w:val="lowerLetter"/>
      <w:start w:val="1"/>
    </w:lvl>
  </w:abstractNum>
  <w:abstractNum w:abstractNumId="35">
    <w:nsid w:val="6DE91B18"/>
    <w:multiLevelType w:val="hybridMultilevel"/>
    <w:lvl w:ilvl="0">
      <w:lvlJc w:val="left"/>
      <w:lvlText w:val="(%1)"/>
      <w:numFmt w:val="lowerLetter"/>
      <w:start w:val="1"/>
    </w:lvl>
  </w:abstractNum>
  <w:abstractNum w:abstractNumId="36">
    <w:nsid w:val="38437FDB"/>
    <w:multiLevelType w:val="hybridMultilevel"/>
    <w:lvl w:ilvl="0">
      <w:lvlJc w:val="left"/>
      <w:lvlText w:val="(%1)"/>
      <w:numFmt w:val="lowerLetter"/>
      <w:start w:val="1"/>
    </w:lvl>
  </w:abstractNum>
  <w:abstractNum w:abstractNumId="37">
    <w:nsid w:val="7644A45C"/>
    <w:multiLevelType w:val="hybridMultilevel"/>
    <w:lvl w:ilvl="0">
      <w:lvlJc w:val="left"/>
      <w:lvlText w:val="(%1)"/>
      <w:numFmt w:val="lowerLetter"/>
      <w:start w:val="3"/>
    </w:lvl>
  </w:abstractNum>
  <w:abstractNum w:abstractNumId="38">
    <w:nsid w:val="32FFF902"/>
    <w:multiLevelType w:val="hybridMultilevel"/>
    <w:lvl w:ilvl="0">
      <w:lvlJc w:val="left"/>
      <w:lvlText w:val="%1"/>
      <w:numFmt w:val="decimal"/>
      <w:start w:val="1"/>
    </w:lvl>
    <w:lvl w:ilvl="1">
      <w:lvlJc w:val="left"/>
      <w:lvlText w:val="(%2)"/>
      <w:numFmt w:val="lowerLetter"/>
      <w:start w:val="5"/>
    </w:lvl>
  </w:abstractNum>
  <w:abstractNum w:abstractNumId="39">
    <w:nsid w:val="684A481A"/>
    <w:multiLevelType w:val="hybridMultilevel"/>
    <w:lvl w:ilvl="0">
      <w:lvlJc w:val="left"/>
      <w:lvlText w:val="%1)"/>
      <w:numFmt w:val="decimal"/>
      <w:start w:val="3"/>
    </w:lvl>
    <w:lvl w:ilvl="1">
      <w:lvlJc w:val="left"/>
      <w:lvlText w:val="%2"/>
      <w:numFmt w:val="lowerLetter"/>
      <w:start w:val="1"/>
    </w:lvl>
  </w:abstractNum>
  <w:abstractNum w:abstractNumId="40">
    <w:nsid w:val="579478FE"/>
    <w:multiLevelType w:val="hybridMultilevel"/>
    <w:lvl w:ilvl="0">
      <w:lvlJc w:val="left"/>
      <w:lvlText w:val="(%1)"/>
      <w:numFmt w:val="lowerLetter"/>
      <w:start w:val="1"/>
    </w:lvl>
  </w:abstractNum>
  <w:abstractNum w:abstractNumId="41">
    <w:nsid w:val="749ABB43"/>
    <w:multiLevelType w:val="hybridMultilevel"/>
    <w:lvl w:ilvl="0">
      <w:lvlJc w:val="left"/>
      <w:lvlText w:val="(%1)"/>
      <w:numFmt w:val="lowerLetter"/>
      <w:start w:val="1"/>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1)"/>
      <w:numFmt w:val="lowerLetter"/>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lowerLetter"/>
      <w:start w:val="4"/>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lowerRoman"/>
      <w:start w:val="2"/>
    </w:lvl>
  </w:abstractNum>
  <w:abstractNum w:abstractNumId="56">
    <w:nsid w:val="180115BE"/>
    <w:multiLevelType w:val="hybridMultilevel"/>
    <w:lvl w:ilvl="0">
      <w:lvlJc w:val="left"/>
      <w:lvlText w:val="(%1)"/>
      <w:numFmt w:val="lowerLetter"/>
      <w:start w:val="1"/>
    </w:lvl>
  </w:abstractNum>
  <w:abstractNum w:abstractNumId="57">
    <w:nsid w:val="235BA86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2026-05-13T16:26:53Z</dcterms:created>
  <dcterms:modified xsi:type="dcterms:W3CDTF">2026-05-13T16:26:53Z</dcterms:modified>
</cp:coreProperties>
</file>