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9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SCHEDULE TO/A</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Prince Sub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511"/>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Paramount Skydance Corporation</w:t>
      </w:r>
    </w:p>
    <w:p>
      <w:pPr>
        <w:spacing w:after="0" w:line="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Series A Common Stock, par value $0.01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934423104</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Makan Delrahim</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1515 Broadway</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258-6000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tbl>
      <w:tblPr>
        <w:tblLayout w:type="fixed"/>
        <w:tblInd w:w="1592" w:type="dxa"/>
        <w:tblCellMar>
          <w:top w:w="0" w:type="dxa"/>
          <w:left w:w="0" w:type="dxa"/>
          <w:bottom w:w="0" w:type="dxa"/>
          <w:right w:w="0" w:type="dxa"/>
        </w:tblCellMar>
      </w:tblPr>
      <w:tr>
        <w:trPr>
          <w:trHeight w:val="220"/>
        </w:trPr>
        <w:tc>
          <w:tcPr>
            <w:tcW w:w="2940" w:type="dxa"/>
            <w:vAlign w:val="bottom"/>
          </w:tcPr>
          <w:p>
            <w:pPr>
              <w:spacing w:after="0"/>
              <w:rPr>
                <w:sz w:val="19"/>
                <w:szCs w:val="19"/>
                <w:color w:val="auto"/>
              </w:rPr>
            </w:pPr>
          </w:p>
        </w:tc>
        <w:tc>
          <w:tcPr>
            <w:tcW w:w="500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i w:val="1"/>
                <w:iCs w:val="1"/>
                <w:color w:val="auto"/>
                <w:w w:val="99"/>
              </w:rPr>
              <w:t>With a copy to:</w:t>
            </w:r>
          </w:p>
        </w:tc>
      </w:tr>
      <w:tr>
        <w:trPr>
          <w:trHeight w:val="234"/>
        </w:trPr>
        <w:tc>
          <w:tcPr>
            <w:tcW w:w="2940" w:type="dxa"/>
            <w:vAlign w:val="bottom"/>
          </w:tcPr>
          <w:p>
            <w:pPr>
              <w:spacing w:after="0"/>
              <w:rPr>
                <w:sz w:val="20"/>
                <w:szCs w:val="20"/>
                <w:color w:val="auto"/>
              </w:rPr>
            </w:pPr>
          </w:p>
        </w:tc>
        <w:tc>
          <w:tcPr>
            <w:tcW w:w="5000" w:type="dxa"/>
            <w:vAlign w:val="bottom"/>
          </w:tcPr>
          <w:p>
            <w:pPr>
              <w:jc w:val="center"/>
              <w:ind w:right="2730"/>
              <w:spacing w:after="0"/>
              <w:rPr>
                <w:sz w:val="20"/>
                <w:szCs w:val="20"/>
                <w:color w:val="auto"/>
              </w:rPr>
            </w:pPr>
            <w:r>
              <w:rPr>
                <w:rFonts w:ascii="Times New Roman" w:cs="Times New Roman" w:eastAsia="Times New Roman" w:hAnsi="Times New Roman"/>
                <w:sz w:val="18"/>
                <w:szCs w:val="18"/>
                <w:color w:val="auto"/>
              </w:rPr>
              <w:t>Copies to:</w:t>
            </w:r>
          </w:p>
        </w:tc>
      </w:tr>
      <w:tr>
        <w:trPr>
          <w:trHeight w:val="410"/>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Faiza J. Saeed</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Ian Nussbaum</w:t>
            </w: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Andrew J. Pitts</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Max Schleusener</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 Daniel Haaren</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Daniel J. Cerqueira</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1271 Avenue of the Americas</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Claudia J. Ricciardi</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Cravath, Swaine &amp; Moore LLP</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(212) 906-1200</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Two Manhattan West</w:t>
            </w:r>
          </w:p>
        </w:tc>
        <w:tc>
          <w:tcPr>
            <w:tcW w:w="5000" w:type="dxa"/>
            <w:vAlign w:val="bottom"/>
          </w:tcPr>
          <w:p>
            <w:pPr>
              <w:spacing w:after="0"/>
              <w:rPr>
                <w:sz w:val="18"/>
                <w:szCs w:val="18"/>
                <w:color w:val="auto"/>
              </w:rPr>
            </w:pP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375 Ninth Avenue</w:t>
            </w:r>
          </w:p>
        </w:tc>
        <w:tc>
          <w:tcPr>
            <w:tcW w:w="5000" w:type="dxa"/>
            <w:vAlign w:val="bottom"/>
          </w:tcPr>
          <w:p>
            <w:pPr>
              <w:spacing w:after="0"/>
              <w:rPr>
                <w:sz w:val="18"/>
                <w:szCs w:val="18"/>
                <w:color w:val="auto"/>
              </w:rPr>
            </w:pPr>
          </w:p>
        </w:tc>
      </w:tr>
      <w:tr>
        <w:trPr>
          <w:trHeight w:val="238"/>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c>
          <w:tcPr>
            <w:tcW w:w="5000" w:type="dxa"/>
            <w:vAlign w:val="bottom"/>
          </w:tcPr>
          <w:p>
            <w:pPr>
              <w:spacing w:after="0"/>
              <w:rPr>
                <w:sz w:val="20"/>
                <w:szCs w:val="20"/>
                <w:color w:val="auto"/>
              </w:rPr>
            </w:pPr>
          </w:p>
        </w:tc>
      </w:tr>
    </w:tbl>
    <w:p>
      <w:pPr>
        <w:ind w:left="2672" w:hanging="426"/>
        <w:spacing w:after="0"/>
        <w:tabs>
          <w:tab w:leader="none" w:pos="267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474-1000</w:t>
      </w:r>
    </w:p>
    <w:p>
      <w:pPr>
        <w:spacing w:after="0" w:line="206" w:lineRule="exact"/>
        <w:rPr>
          <w:rFonts w:ascii="Times New Roman" w:cs="Times New Roman" w:eastAsia="Times New Roman" w:hAnsi="Times New Roman"/>
          <w:sz w:val="18"/>
          <w:szCs w:val="18"/>
          <w:b w:val="1"/>
          <w:bCs w:val="1"/>
          <w:color w:val="auto"/>
        </w:rPr>
      </w:pPr>
    </w:p>
    <w:p>
      <w:pPr>
        <w:ind w:left="972" w:right="1160" w:hanging="972"/>
        <w:spacing w:after="0" w:line="477"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4"/>
          <w:szCs w:val="24"/>
          <w:color w:val="auto"/>
        </w:rPr>
      </w:pPr>
    </w:p>
    <w:p>
      <w:pPr>
        <w:ind w:left="652" w:hanging="652"/>
        <w:spacing w:after="0"/>
        <w:tabs>
          <w:tab w:leader="none" w:pos="6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ind w:left="992"/>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992"/>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ectPr>
          <w:pgSz w:w="11900" w:h="16838" w:orient="portrait"/>
          <w:cols w:equalWidth="0" w:num="1">
            <w:col w:w="10632"/>
          </w:cols>
          <w:pgMar w:left="328" w:top="754" w:right="939" w:bottom="0" w:gutter="0" w:footer="0" w:header="0"/>
        </w:sectPr>
      </w:pPr>
    </w:p>
    <w:bookmarkStart w:id="1" w:name="page2"/>
    <w:bookmarkEnd w:id="1"/>
    <w:p>
      <w:pPr>
        <w:ind w:left="652" w:hanging="652"/>
        <w:spacing w:after="0"/>
        <w:tabs>
          <w:tab w:leader="none" w:pos="65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196215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633095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337" w:right="1440"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color w:val="auto"/>
        </w:rPr>
        <w:t>This Amendment No. 7 to Schedule TO (together with any exhibits and annexes attached hereto, and as it may be amended or supplemented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filed by (i) Prince Sub Inc., a Delaware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 a Delaware corporation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and (ii) Paramount, and amends and supplements the Tender Offer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Schedule TO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8, 2025 (together with any amendments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thereto,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by the Purchaser and Paramount. This Schedule TO relates to the offer by the Purchaser to purchase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Series A Common Stock, par value $0.01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Warner Bros. Discovery,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at $30.00 per share, net to the seller in cash, without interest and less any required withholding taxes, upon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conditions set forth in the Offer to Purchase, dated December 8, 2025 (as it may be amended or supplemented from time to time, the “</w:t>
      </w:r>
      <w:r>
        <w:rPr>
          <w:rFonts w:ascii="Times New Roman" w:cs="Times New Roman" w:eastAsia="Times New Roman" w:hAnsi="Times New Roman"/>
          <w:sz w:val="17"/>
          <w:szCs w:val="17"/>
          <w:b w:val="1"/>
          <w:bCs w:val="1"/>
          <w:color w:val="auto"/>
        </w:rPr>
        <w:t>Offer to Purchase</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which is attached as Exhibit (a)(1)(A) to the Schedule TO filed with the SEC on December 8, 2025, and in the related Letter of Transmittal (as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amended or supplemented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a copy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attached as Exhibit (a)(1)(B) to the Schedule TO filed with the SEC on December 8, 2025.</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in the Schedule TO remains unchanged and is incorporated herein by reference to the extent relevant to the items in this Amendment. Capitalized terms used but not defined herein have the meanings ascribed to them in the Schedule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11</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Offer to Purchase, Letter of Transmittal and Items 1 through 9 and 11 of the Schedule TO, to the extent such Items incorporate by reference the information contained in the Offer to Purchase, are hereby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ind w:left="328" w:right="120"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was scheduled to expire at 5:00 p.m., New York City time, on January 8, 2026. The Expiration Date of the Offer is extended until 5:00 p.m., New York City time, on January 21, 2026, unless further extended. As of December 19, 2025, 397,252 Shares had validly tendered in, and not withdrawn from, the Offer.</w:t>
      </w:r>
    </w:p>
    <w:p>
      <w:pPr>
        <w:spacing w:after="0" w:line="175" w:lineRule="exact"/>
        <w:rPr>
          <w:rFonts w:ascii="Times New Roman" w:cs="Times New Roman" w:eastAsia="Times New Roman" w:hAnsi="Times New Roman"/>
          <w:sz w:val="18"/>
          <w:szCs w:val="18"/>
          <w:color w:val="auto"/>
        </w:rPr>
      </w:pPr>
    </w:p>
    <w:p>
      <w:pPr>
        <w:ind w:left="328"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regarding the scheduled expiration of the Offer being “5:00 p.m., New York City time, on January 8, 2026” set forth in the Offer to Purchase or Letter of Transmittal are hereby amended and replaced with “5:00 p.m., New York City time, on January 21, 2026.”</w:t>
      </w:r>
    </w:p>
    <w:p>
      <w:pPr>
        <w:spacing w:after="0" w:line="161"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third, fourth and fifth paragraphs on the cover page of the Offer to Purchase are hereby amended and restated in their entirety as follows:</w:t>
      </w:r>
    </w:p>
    <w:p>
      <w:pPr>
        <w:spacing w:after="0" w:line="161" w:lineRule="exact"/>
        <w:rPr>
          <w:rFonts w:ascii="Times New Roman" w:cs="Times New Roman" w:eastAsia="Times New Roman" w:hAnsi="Times New Roman"/>
          <w:sz w:val="18"/>
          <w:szCs w:val="18"/>
          <w:color w:val="auto"/>
        </w:rPr>
      </w:pPr>
    </w:p>
    <w:p>
      <w:pPr>
        <w:ind w:left="32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are seeking to enter into a definitive agreement for the acquisition of Warner Bros. by Paramount, and are prepared to engage with Warner Bros. immediately. On December 4, 2025, we made a proposal to acquire Warner Bros. for $30.00 per Share pursuant to a merger agreement and related equity and debt financing commitments, which are attached to this Offer to Purchase as part of Annex A (our “</w:t>
      </w:r>
      <w:r>
        <w:rPr>
          <w:rFonts w:ascii="Times New Roman" w:cs="Times New Roman" w:eastAsia="Times New Roman" w:hAnsi="Times New Roman"/>
          <w:sz w:val="17"/>
          <w:szCs w:val="17"/>
          <w:b w:val="1"/>
          <w:bCs w:val="1"/>
          <w:color w:val="auto"/>
        </w:rPr>
        <w:t>Prior Proposal</w:t>
      </w:r>
      <w:r>
        <w:rPr>
          <w:rFonts w:ascii="Times New Roman" w:cs="Times New Roman" w:eastAsia="Times New Roman" w:hAnsi="Times New Roman"/>
          <w:sz w:val="17"/>
          <w:szCs w:val="17"/>
          <w:color w:val="auto"/>
        </w:rPr>
        <w:t>”, and the form of merger agreement contained within the Prior Proposal and attached to this Offer to Purchase as part of Annex A, the “</w:t>
      </w:r>
      <w:r>
        <w:rPr>
          <w:rFonts w:ascii="Times New Roman" w:cs="Times New Roman" w:eastAsia="Times New Roman" w:hAnsi="Times New Roman"/>
          <w:sz w:val="17"/>
          <w:szCs w:val="17"/>
          <w:b w:val="1"/>
          <w:bCs w:val="1"/>
          <w:color w:val="auto"/>
        </w:rPr>
        <w:t>December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Paramount/Warner Bros. Merger Agreement</w:t>
      </w:r>
      <w:r>
        <w:rPr>
          <w:rFonts w:ascii="Times New Roman" w:cs="Times New Roman" w:eastAsia="Times New Roman" w:hAnsi="Times New Roman"/>
          <w:sz w:val="17"/>
          <w:szCs w:val="17"/>
          <w:color w:val="auto"/>
        </w:rPr>
        <w:t>”). On December 8, 2025, we filed this Offer on Schedule TO to bring the Prior Proposal directly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Warner Bros. stockholders and the board of directors of Warner Bros (the Offer, on the terms and conditions contained in this Offer to Purchase prior to the Amendment No. 7 to the Schedule TO to which this Offer to Purchase forms a part, the “</w:t>
      </w:r>
      <w:r>
        <w:rPr>
          <w:rFonts w:ascii="Times New Roman" w:cs="Times New Roman" w:eastAsia="Times New Roman" w:hAnsi="Times New Roman"/>
          <w:sz w:val="17"/>
          <w:szCs w:val="17"/>
          <w:b w:val="1"/>
          <w:bCs w:val="1"/>
          <w:color w:val="auto"/>
        </w:rPr>
        <w:t>December 8 Offer</w:t>
      </w:r>
      <w:r>
        <w:rPr>
          <w:rFonts w:ascii="Times New Roman" w:cs="Times New Roman" w:eastAsia="Times New Roman" w:hAnsi="Times New Roman"/>
          <w:sz w:val="17"/>
          <w:szCs w:val="17"/>
          <w:color w:val="auto"/>
        </w:rPr>
        <w:t>”). We amended this Offer to address Warner Bros. stated concerns regarding the Prior Proposal and the December 8 Offer by adding the additional provisions and changes described herein (the Offer, on the terms and conditions contained in this Offer to Purchase as amended by Amendment No. 7 to the Schedule TO-T to which this Offer to Purchase forms a part, the “</w:t>
      </w:r>
      <w:r>
        <w:rPr>
          <w:rFonts w:ascii="Times New Roman" w:cs="Times New Roman" w:eastAsia="Times New Roman" w:hAnsi="Times New Roman"/>
          <w:sz w:val="17"/>
          <w:szCs w:val="17"/>
          <w:b w:val="1"/>
          <w:bCs w:val="1"/>
          <w:color w:val="auto"/>
        </w:rPr>
        <w:t>December 22 Offer</w:t>
      </w:r>
      <w:r>
        <w:rPr>
          <w:rFonts w:ascii="Times New Roman" w:cs="Times New Roman" w:eastAsia="Times New Roman" w:hAnsi="Times New Roman"/>
          <w:sz w:val="17"/>
          <w:szCs w:val="17"/>
          <w:color w:val="auto"/>
        </w:rPr>
        <w:t>”), which amendment includes in Annex B a proposed merger agreement to be entered into between Paramount and Warner Bros., related equity and debt financing commitments, and evidence of the ownership of approximately 1.16 billion shares of the common stock of Oracle Corporation (NYSE: ORCL) (“</w:t>
      </w:r>
      <w:r>
        <w:rPr>
          <w:rFonts w:ascii="Times New Roman" w:cs="Times New Roman" w:eastAsia="Times New Roman" w:hAnsi="Times New Roman"/>
          <w:sz w:val="17"/>
          <w:szCs w:val="17"/>
          <w:b w:val="1"/>
          <w:bCs w:val="1"/>
          <w:color w:val="auto"/>
        </w:rPr>
        <w:t>Oracle</w:t>
      </w:r>
      <w:r>
        <w:rPr>
          <w:rFonts w:ascii="Times New Roman" w:cs="Times New Roman" w:eastAsia="Times New Roman" w:hAnsi="Times New Roman"/>
          <w:sz w:val="17"/>
          <w:szCs w:val="17"/>
          <w:color w:val="auto"/>
        </w:rPr>
        <w:t>”) by The Lawrence J. Ellison Revocable Trust, u/a/d 1/22/88, as amended (the “</w:t>
      </w:r>
      <w:r>
        <w:rPr>
          <w:rFonts w:ascii="Times New Roman" w:cs="Times New Roman" w:eastAsia="Times New Roman" w:hAnsi="Times New Roman"/>
          <w:sz w:val="17"/>
          <w:szCs w:val="17"/>
          <w:b w:val="1"/>
          <w:bCs w:val="1"/>
          <w:color w:val="auto"/>
        </w:rPr>
        <w:t>Ellison Trust</w:t>
      </w:r>
      <w:r>
        <w:rPr>
          <w:rFonts w:ascii="Times New Roman" w:cs="Times New Roman" w:eastAsia="Times New Roman" w:hAnsi="Times New Roman"/>
          <w:sz w:val="17"/>
          <w:szCs w:val="17"/>
          <w:color w:val="auto"/>
        </w:rPr>
        <w:t>”). Warner Bros. chose a financially inferior and more uncertain and complex transaction as contemplated by the Netflix Merger Agreement (the “</w:t>
      </w:r>
      <w:r>
        <w:rPr>
          <w:rFonts w:ascii="Times New Roman" w:cs="Times New Roman" w:eastAsia="Times New Roman" w:hAnsi="Times New Roman"/>
          <w:sz w:val="17"/>
          <w:szCs w:val="17"/>
          <w:b w:val="1"/>
          <w:bCs w:val="1"/>
          <w:color w:val="auto"/>
        </w:rPr>
        <w:t>Proposed Netflix Transaction</w:t>
      </w:r>
      <w:r>
        <w:rPr>
          <w:rFonts w:ascii="Times New Roman" w:cs="Times New Roman" w:eastAsia="Times New Roman" w:hAnsi="Times New Roman"/>
          <w:sz w:val="17"/>
          <w:szCs w:val="17"/>
          <w:color w:val="auto"/>
        </w:rPr>
        <w:t>”) instead of our clearly superior Prior Proposal. We are making the Offer directly to Warner Bros. stockholders to enable them to take action to receive the superior value of the Offer.</w:t>
      </w:r>
    </w:p>
    <w:p>
      <w:pPr>
        <w:spacing w:after="0" w:line="177" w:lineRule="exact"/>
        <w:rPr>
          <w:rFonts w:ascii="Times New Roman" w:cs="Times New Roman" w:eastAsia="Times New Roman" w:hAnsi="Times New Roman"/>
          <w:sz w:val="18"/>
          <w:szCs w:val="18"/>
          <w:color w:val="auto"/>
        </w:rPr>
      </w:pPr>
    </w:p>
    <w:p>
      <w:pPr>
        <w:ind w:left="328"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THIS OFFER IS NOT SUBJECT TO ANY FINANCING CONDITION. </w:t>
      </w:r>
      <w:r>
        <w:rPr>
          <w:rFonts w:ascii="Times New Roman" w:cs="Times New Roman" w:eastAsia="Times New Roman" w:hAnsi="Times New Roman"/>
          <w:sz w:val="18"/>
          <w:szCs w:val="18"/>
          <w:color w:val="auto"/>
        </w:rPr>
        <w:t>The Ellison Trust and a fund affiliated with RedBird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w:t>
      </w:r>
      <w:r>
        <w:rPr>
          <w:rFonts w:ascii="Times New Roman" w:cs="Times New Roman" w:eastAsia="Times New Roman" w:hAnsi="Times New Roman"/>
          <w:sz w:val="18"/>
          <w:szCs w:val="18"/>
          <w:b w:val="1"/>
          <w:bCs w:val="1"/>
          <w:color w:val="auto"/>
        </w:rPr>
        <w:t>RedBird</w:t>
      </w:r>
      <w:r>
        <w:rPr>
          <w:rFonts w:ascii="Times New Roman" w:cs="Times New Roman" w:eastAsia="Times New Roman" w:hAnsi="Times New Roman"/>
          <w:sz w:val="18"/>
          <w:szCs w:val="18"/>
          <w:color w:val="auto"/>
        </w:rPr>
        <w:t>”) will provide the necessary equity financing for the payment of the Offer Price for all Shares in the Offer. Such equity financing will be provided pursuant to equity financing commitments substantially consistent with those included in our Prior Proposal (with such changes as are necessary to reflect the Offer and a second-step merger rather than the single-step merger in such Prior Proposal). The Ellison Trust has financial resources well in excess of what would be required to meet its commitments to be entered into in connection with the Offer and the second-step merger, including, among many other assets and financial resources available to it, record and beneficial ownership of approximately 1.16 billion shares of Oracle stock with a market value of approximately $252 billion as of the date of this Offer to Purchase. As has been previously disclosed in public filings, the Ellison Trust provided an equity commitment to Skydance in the Paramount-Skydance combination (which information is publicly available with the SEC and FCC), publicly files information about its sales of Oracle stock with the SEC on Form 144, and has publicly participated in other major transactions such as the take private of Twitter, among others. Based upon the combination of Paramount’s financial resources, the subscription agreements to be entered into by the Ellison Trust and RedBird in connection with the Offer, and future financing transactions (or amounts available under a senior secured bridge facility of up to $54 billion), we will have sufficient funds to pay the Offer Price for all Shares in the Offer. Mr. Larry Ellison is providing a personal guarantee of the Ellison Trust’s $40.4 billion funding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4" w:name="page5"/>
    <w:bookmarkEnd w:id="4"/>
    <w:p>
      <w:pPr>
        <w:ind w:left="328"/>
        <w:spacing w:after="0" w:line="251" w:lineRule="auto"/>
        <w:rPr>
          <w:sz w:val="20"/>
          <w:szCs w:val="20"/>
          <w:color w:val="auto"/>
        </w:rPr>
      </w:pPr>
      <w:r>
        <w:rPr>
          <w:rFonts w:ascii="Times New Roman" w:cs="Times New Roman" w:eastAsia="Times New Roman" w:hAnsi="Times New Roman"/>
          <w:sz w:val="18"/>
          <w:szCs w:val="18"/>
          <w:color w:val="auto"/>
        </w:rPr>
        <w:t>Consummation of the Offer is conditioned upon, among other things, the following conditions: (i) Warner Bros. shall have entered into a definitive merger agreement with Paramount and the Purchaser substantially in the form of the merger agreement attached to the Offer to Purchase as part of Annex B (the “</w:t>
      </w:r>
      <w:r>
        <w:rPr>
          <w:rFonts w:ascii="Times New Roman" w:cs="Times New Roman" w:eastAsia="Times New Roman" w:hAnsi="Times New Roman"/>
          <w:sz w:val="18"/>
          <w:szCs w:val="18"/>
          <w:b w:val="1"/>
          <w:bCs w:val="1"/>
          <w:color w:val="auto"/>
        </w:rPr>
        <w:t>December 22 Paramount/Warner Bros. Merger Agreement</w:t>
      </w:r>
      <w:r>
        <w:rPr>
          <w:rFonts w:ascii="Times New Roman" w:cs="Times New Roman" w:eastAsia="Times New Roman" w:hAnsi="Times New Roman"/>
          <w:sz w:val="18"/>
          <w:szCs w:val="18"/>
          <w:color w:val="auto"/>
        </w:rPr>
        <w:t>”), other than changes required to reflect completion of the Offer followed by a second-step merger under Section 251(h) of the DGCL and any other changes mutually agreed between Warner Bros. and Paramount; (ii) the Warner Bros. Separation (as defined in “</w:t>
      </w:r>
      <w:r>
        <w:rPr>
          <w:rFonts w:ascii="Times New Roman" w:cs="Times New Roman" w:eastAsia="Times New Roman" w:hAnsi="Times New Roman"/>
          <w:sz w:val="18"/>
          <w:szCs w:val="18"/>
          <w:i w:val="1"/>
          <w:iCs w:val="1"/>
          <w:color w:val="auto"/>
        </w:rPr>
        <w:t>The Offer - Section 8 - Certain Information Concerning Warner Bros.”</w:t>
      </w:r>
      <w:r>
        <w:rPr>
          <w:rFonts w:ascii="Times New Roman" w:cs="Times New Roman" w:eastAsia="Times New Roman" w:hAnsi="Times New Roman"/>
          <w:sz w:val="18"/>
          <w:szCs w:val="18"/>
          <w:color w:val="auto"/>
        </w:rPr>
        <w:t>) shall not have been consummated (and no dividend to effectuate the Warner Bros. Separation shall have been declared or made); (iii) Warner Bros. stockholders shall have validly tendered and not withdrawn prior to the expiration of the Offer at least that number of Shares that constitutes a majority of the then-outstanding Shares on a fully diluted basis; (iv) the restrictions on business combinations under Section 203 of the DGCL shall be inapplicable to the second-step merger following the Offer; (v) the waiting period applicable to the Offer and the second-step merger under the Hart-Scott-Rodino Antitrust 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 (vi) no governmental entity shall after the date of the Offer to Purchase have enacted, issued or promulgated any law or order that is in effect and that restrains, enjoins or otherwise prohibits consummation of the Offer or the second-step merger; (vii) there shall not have occurred any effect, event, development, change, state of facts, condition, circumstance or occurrence, that, individually or in the aggregate, has had, or would reasonably be expected to have, a Material Adverse Effect (as defined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Offer-Section 14-Conditions of the Offer”</w:t>
      </w:r>
      <w:r>
        <w:rPr>
          <w:rFonts w:ascii="Times New Roman" w:cs="Times New Roman" w:eastAsia="Times New Roman" w:hAnsi="Times New Roman"/>
          <w:sz w:val="18"/>
          <w:szCs w:val="18"/>
          <w:color w:val="auto"/>
        </w:rPr>
        <w:t>); (viii) no approval, clearance, consent, registration, permit, authorization or other confirmation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(ix) the Agreement and Plan of Merger, dated December 4, 2025 (as amended from time to time, the “</w:t>
      </w:r>
      <w:r>
        <w:rPr>
          <w:rFonts w:ascii="Times New Roman" w:cs="Times New Roman" w:eastAsia="Times New Roman" w:hAnsi="Times New Roman"/>
          <w:sz w:val="18"/>
          <w:szCs w:val="18"/>
          <w:b w:val="1"/>
          <w:bCs w:val="1"/>
          <w:color w:val="auto"/>
        </w:rPr>
        <w:t>Netflix Merger Agreement</w:t>
      </w:r>
      <w:r>
        <w:rPr>
          <w:rFonts w:ascii="Times New Roman" w:cs="Times New Roman" w:eastAsia="Times New Roman" w:hAnsi="Times New Roman"/>
          <w:sz w:val="18"/>
          <w:szCs w:val="18"/>
          <w:color w:val="auto"/>
        </w:rPr>
        <w:t>”), among Netflix, Inc., a Delaware corporation (“</w:t>
      </w:r>
      <w:r>
        <w:rPr>
          <w:rFonts w:ascii="Times New Roman" w:cs="Times New Roman" w:eastAsia="Times New Roman" w:hAnsi="Times New Roman"/>
          <w:sz w:val="18"/>
          <w:szCs w:val="18"/>
          <w:b w:val="1"/>
          <w:bCs w:val="1"/>
          <w:color w:val="auto"/>
        </w:rPr>
        <w:t>Netflix</w:t>
      </w:r>
      <w:r>
        <w:rPr>
          <w:rFonts w:ascii="Times New Roman" w:cs="Times New Roman" w:eastAsia="Times New Roman" w:hAnsi="Times New Roman"/>
          <w:sz w:val="18"/>
          <w:szCs w:val="18"/>
          <w:color w:val="auto"/>
        </w:rPr>
        <w:t>”), Nightingale Sub, Inc., a Delaware corporation and wholly owned subsidiary of Netflix, Warner Bros. and New Topco 25, Inc., a Delaware corporation and wholly owned subsidiary of Warner Bros., shall have been validly terminated in accordance with its terms and Warner Bros. stockholders shall not have adopted the Netflix Merger Agreement and shall not have approved the transactions contemplated thereby; and (x) Warner Bros. shall have retained 100% ownership of its Global Networks business.</w:t>
      </w:r>
    </w:p>
    <w:p>
      <w:pPr>
        <w:spacing w:after="0" w:line="204" w:lineRule="exact"/>
        <w:rPr>
          <w:sz w:val="20"/>
          <w:szCs w:val="20"/>
          <w:color w:val="auto"/>
        </w:rPr>
      </w:pPr>
    </w:p>
    <w:p>
      <w:pPr>
        <w:ind w:left="328" w:right="80"/>
        <w:spacing w:after="0" w:line="261" w:lineRule="auto"/>
        <w:rPr>
          <w:sz w:val="20"/>
          <w:szCs w:val="20"/>
          <w:color w:val="auto"/>
        </w:rPr>
      </w:pPr>
      <w:r>
        <w:rPr>
          <w:rFonts w:ascii="Times New Roman" w:cs="Times New Roman" w:eastAsia="Times New Roman" w:hAnsi="Times New Roman"/>
          <w:sz w:val="18"/>
          <w:szCs w:val="18"/>
          <w:color w:val="auto"/>
        </w:rPr>
        <w:t>The December 22 Paramount/Warner Bros. Merger Agreement also contains other closing conditions to the Offer and the second-step merger. Please see the sections of this Offer to Purchase entitled “</w:t>
      </w:r>
      <w:r>
        <w:rPr>
          <w:rFonts w:ascii="Times New Roman" w:cs="Times New Roman" w:eastAsia="Times New Roman" w:hAnsi="Times New Roman"/>
          <w:sz w:val="18"/>
          <w:szCs w:val="18"/>
          <w:i w:val="1"/>
          <w:iCs w:val="1"/>
          <w:color w:val="auto"/>
        </w:rPr>
        <w:t>The Offer-Section 14-Conditions of the Offer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Offer-Section 11-Background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 Other Transactions with Warner Bros.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Offer - Section 12 - Purpose of the Offer and the Potential Merger; Plans for Warner Bros.; Statutory Requirements; Approval of the Potential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28" w:right="58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in the section of the Offer to Purchase entitled “Summary Term Sheet” is hereby amended and restated in its entirety as follows:</w:t>
      </w:r>
    </w:p>
    <w:p>
      <w:pPr>
        <w:spacing w:after="0" w:line="157" w:lineRule="exact"/>
        <w:rPr>
          <w:rFonts w:ascii="Times New Roman" w:cs="Times New Roman" w:eastAsia="Times New Roman" w:hAnsi="Times New Roman"/>
          <w:sz w:val="18"/>
          <w:szCs w:val="18"/>
          <w:color w:val="auto"/>
        </w:rPr>
      </w:pPr>
    </w:p>
    <w:p>
      <w:pPr>
        <w:ind w:left="328"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Prince Sub Inc., a Delaware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direct wholly-owned subsidiary of Paramount Skydance Corporation, a Delaware corporation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is offering to purchase all of the outstanding shares of Series A Common Stock, par value $0.01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Warner Bros. Discovery, Inc., a Delaware corporation (“</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at $30.00 per Share, net to the seller in cash, without interest and less any required withholding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upon the terms and subject to the conditions set forth in this offer to purchase (as it may be amended or supplemented from time to time, this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related letter of transmittal that accompanies this Offer to Purchase (as it may be amended or supplemented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and the Offer as made on the terms and conditions contained in this Offer to Purchase prior to the Amendment No. 7 to the Schedule TO to which this Offer to Purchase forms a part, the “</w:t>
      </w:r>
      <w:r>
        <w:rPr>
          <w:rFonts w:ascii="Times New Roman" w:cs="Times New Roman" w:eastAsia="Times New Roman" w:hAnsi="Times New Roman"/>
          <w:sz w:val="18"/>
          <w:szCs w:val="18"/>
          <w:b w:val="1"/>
          <w:bCs w:val="1"/>
          <w:color w:val="auto"/>
        </w:rPr>
        <w:t>December 8 Offer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 w:name="page6"/>
    <w:bookmarkEnd w:id="5"/>
    <w:p>
      <w:pPr>
        <w:ind w:left="328" w:right="200" w:hanging="328"/>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questions in the section of the Offer to Purchase entitled “Summary Term Sheet” are hereby amended and restated in their entirety as follows:</w:t>
      </w:r>
    </w:p>
    <w:p>
      <w:pPr>
        <w:spacing w:after="0" w:line="15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Why is Paramount making the Offer?</w:t>
      </w:r>
    </w:p>
    <w:p>
      <w:pPr>
        <w:spacing w:after="0" w:line="229" w:lineRule="exact"/>
        <w:rPr>
          <w:sz w:val="20"/>
          <w:szCs w:val="20"/>
          <w:color w:val="auto"/>
        </w:rPr>
      </w:pPr>
    </w:p>
    <w:p>
      <w:pPr>
        <w:ind w:left="328" w:right="100" w:firstLine="648"/>
        <w:spacing w:after="0" w:line="256" w:lineRule="auto"/>
        <w:rPr>
          <w:sz w:val="20"/>
          <w:szCs w:val="20"/>
          <w:color w:val="auto"/>
        </w:rPr>
      </w:pPr>
      <w:r>
        <w:rPr>
          <w:rFonts w:ascii="Times New Roman" w:cs="Times New Roman" w:eastAsia="Times New Roman" w:hAnsi="Times New Roman"/>
          <w:sz w:val="18"/>
          <w:szCs w:val="18"/>
          <w:color w:val="auto"/>
        </w:rPr>
        <w:t>On December 4, 2025, we submitted our Prior Proposal to acquire Warner Bros. for $30.00 per Share pursuant to the December 4 Paramount/Warner Bros. Merger Agreement and related equity and debt financing commitments. On December 8, 2025, we brought the Prior Proposal directly to Warner Bros. stockholders and the Warner Bros. Board through the filing of the December 8 Offer. Warner Bros. chose a financially inferior and more uncertain and complex transaction as contemplated by the Netflix Merger Agreement instead of our clearly superior Prior Proposal. We are making the Offer directly to Warner Bros. stockholders to enable them to take action to receive the superior value of the Offer.</w:t>
      </w:r>
    </w:p>
    <w:p>
      <w:pPr>
        <w:spacing w:after="0" w:line="183" w:lineRule="exact"/>
        <w:rPr>
          <w:sz w:val="20"/>
          <w:szCs w:val="20"/>
          <w:color w:val="auto"/>
        </w:rPr>
      </w:pPr>
    </w:p>
    <w:p>
      <w:pPr>
        <w:ind w:left="328"/>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THIS OFFER IS NOT SUBJECT TO ANY FINANCING CONDITION. </w:t>
      </w:r>
      <w:r>
        <w:rPr>
          <w:rFonts w:ascii="Times New Roman" w:cs="Times New Roman" w:eastAsia="Times New Roman" w:hAnsi="Times New Roman"/>
          <w:sz w:val="17"/>
          <w:szCs w:val="17"/>
          <w:color w:val="auto"/>
        </w:rPr>
        <w:t>The Lawrence J. Ellison Revocable Trust u/a/d 1/22/88, as amended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Ellison Trust</w:t>
      </w:r>
      <w:r>
        <w:rPr>
          <w:rFonts w:ascii="Times New Roman" w:cs="Times New Roman" w:eastAsia="Times New Roman" w:hAnsi="Times New Roman"/>
          <w:sz w:val="17"/>
          <w:szCs w:val="17"/>
          <w:color w:val="auto"/>
        </w:rPr>
        <w:t>”) and a fund affiliated with RedBird Capital Management (“</w:t>
      </w:r>
      <w:r>
        <w:rPr>
          <w:rFonts w:ascii="Times New Roman" w:cs="Times New Roman" w:eastAsia="Times New Roman" w:hAnsi="Times New Roman"/>
          <w:sz w:val="17"/>
          <w:szCs w:val="17"/>
          <w:b w:val="1"/>
          <w:bCs w:val="1"/>
          <w:color w:val="auto"/>
        </w:rPr>
        <w:t>RedBird</w:t>
      </w:r>
      <w:r>
        <w:rPr>
          <w:rFonts w:ascii="Times New Roman" w:cs="Times New Roman" w:eastAsia="Times New Roman" w:hAnsi="Times New Roman"/>
          <w:sz w:val="17"/>
          <w:szCs w:val="17"/>
          <w:color w:val="auto"/>
        </w:rPr>
        <w:t>”) will provide the necessary equity financing for the payment of the Offer Price for all Shares in the Offer. Such equity financing will be provided pursuant to equity financing commitments substantially consistent with those included in our Prior Proposal (with such changes as are necessary to reflect the Offer and a second-step merger rather than the single-step merger in such Prior Proposal). The Ellison Trust has financial resources well in excess of what would be required to meet its commitments to be entered into in connection with the Offer and the second-step merger, including, among many other assets and financial resources available to it, record and beneficial ownership of approximately 1.16 billion shares of Oracle Corporation (NYSE: ORCL) (“</w:t>
      </w:r>
      <w:r>
        <w:rPr>
          <w:rFonts w:ascii="Times New Roman" w:cs="Times New Roman" w:eastAsia="Times New Roman" w:hAnsi="Times New Roman"/>
          <w:sz w:val="17"/>
          <w:szCs w:val="17"/>
          <w:b w:val="1"/>
          <w:bCs w:val="1"/>
          <w:color w:val="auto"/>
        </w:rPr>
        <w:t>Oracle</w:t>
      </w:r>
      <w:r>
        <w:rPr>
          <w:rFonts w:ascii="Times New Roman" w:cs="Times New Roman" w:eastAsia="Times New Roman" w:hAnsi="Times New Roman"/>
          <w:sz w:val="17"/>
          <w:szCs w:val="17"/>
          <w:color w:val="auto"/>
        </w:rPr>
        <w:t>”) stock with a market value of approximately $252 billion as of the date of this Offer to Purchase. As has been previously disclosed in public filings, the Ellison Trust provided an equity commitment to Skydance in the Paramount-Skydance combination (which information is publicly available with the SEC and FCC), publicly files information about its sales of Oracle stock with the SEC on Form 144, and has publicly participated in other major transactions such as the take private of Twitter, among others. Based upon the combination of Paramount’s financial resources, the subscription agreements to be entered into by the Ellison Trust and RedBird in connection with the Offer, and future financing transactions (or amounts available under a senior secured bridge facility of up to $54 billion), we will have sufficient funds to pay the Offer Price for all Shares in the Offer. Mr. Larry Ellison is providing a personal guarantee of the Ellison Trust’s $40.4 billion funding obligation.</w:t>
      </w:r>
    </w:p>
    <w:p>
      <w:pPr>
        <w:spacing w:after="0" w:line="17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How does the Offer relate to the Warner Bros. Separation?</w:t>
      </w:r>
    </w:p>
    <w:p>
      <w:pPr>
        <w:spacing w:after="0" w:line="229" w:lineRule="exact"/>
        <w:rPr>
          <w:sz w:val="20"/>
          <w:szCs w:val="20"/>
          <w:color w:val="auto"/>
        </w:rPr>
      </w:pPr>
    </w:p>
    <w:p>
      <w:pPr>
        <w:ind w:left="328" w:right="180" w:firstLine="648"/>
        <w:spacing w:after="0" w:line="266" w:lineRule="auto"/>
        <w:rPr>
          <w:sz w:val="20"/>
          <w:szCs w:val="20"/>
          <w:color w:val="auto"/>
        </w:rPr>
      </w:pPr>
      <w:r>
        <w:rPr>
          <w:rFonts w:ascii="Times New Roman" w:cs="Times New Roman" w:eastAsia="Times New Roman" w:hAnsi="Times New Roman"/>
          <w:sz w:val="18"/>
          <w:szCs w:val="18"/>
          <w:color w:val="auto"/>
        </w:rPr>
        <w:t>Paramount is seeking to acquire all of Warner Bros. The Offer is conditioned on the Warner Bros. Separation not being consummated (and no dividend to effectuate the Warner Bros. Separation shall have been declared or made). The Offer is further conditioned on Warner Bros. having retained 100% of its Global Networks business.</w:t>
      </w:r>
    </w:p>
    <w:p>
      <w:pPr>
        <w:spacing w:after="0" w:line="17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Have you discussed the Offer with the Warner Bros. Board?</w:t>
      </w:r>
    </w:p>
    <w:p>
      <w:pPr>
        <w:spacing w:after="0" w:line="229" w:lineRule="exact"/>
        <w:rPr>
          <w:sz w:val="20"/>
          <w:szCs w:val="20"/>
          <w:color w:val="auto"/>
        </w:rPr>
      </w:pPr>
    </w:p>
    <w:p>
      <w:pPr>
        <w:ind w:left="328" w:right="20" w:firstLine="648"/>
        <w:spacing w:after="0" w:line="255" w:lineRule="auto"/>
        <w:rPr>
          <w:sz w:val="20"/>
          <w:szCs w:val="20"/>
          <w:color w:val="auto"/>
        </w:rPr>
      </w:pPr>
      <w:r>
        <w:rPr>
          <w:rFonts w:ascii="Times New Roman" w:cs="Times New Roman" w:eastAsia="Times New Roman" w:hAnsi="Times New Roman"/>
          <w:sz w:val="18"/>
          <w:szCs w:val="18"/>
          <w:color w:val="auto"/>
        </w:rPr>
        <w:t>No. Prior to the commencement of the Offer, Paramount had submitted six acquisition proposals to the Warner Bros. Board over the preceding twelve weeks, each of which was rejected. Paramount believes that the Offer is clearly superior to the Proposed Netflix Transaction. We brought the December 8 Offer directly to the Warner Bros. stockholders and the Warner Bros. Board to ensure that they had the full terms of our Prior Proposal and the December 8 Offer. On December 17, 2025, Warner Bros. filed a solicitation/recommendation statement on Schedule 14D-9 containing the recommendation of the Warner Bros. Board that Warner Bros. stockholders not tender their shares to Paramount in the December 8 Offer. For more information, please see the section of this Offer to Purchase entitled “</w:t>
      </w:r>
      <w:r>
        <w:rPr>
          <w:rFonts w:ascii="Times New Roman" w:cs="Times New Roman" w:eastAsia="Times New Roman" w:hAnsi="Times New Roman"/>
          <w:sz w:val="18"/>
          <w:szCs w:val="18"/>
          <w:i w:val="1"/>
          <w:iCs w:val="1"/>
          <w:color w:val="auto"/>
        </w:rPr>
        <w:t>The Offer- Section 11-Background of the Offer;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Warner Bros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are the conditions of the Offer?</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Offer is conditioned upon, among other things, the following:</w:t>
      </w:r>
    </w:p>
    <w:p>
      <w:pPr>
        <w:spacing w:after="0" w:line="223" w:lineRule="exact"/>
        <w:rPr>
          <w:sz w:val="20"/>
          <w:szCs w:val="20"/>
          <w:color w:val="auto"/>
        </w:rPr>
      </w:pPr>
    </w:p>
    <w:p>
      <w:pPr>
        <w:ind w:left="420" w:hanging="316"/>
        <w:spacing w:after="0" w:line="257"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Paramount/Warner Bros. Merger Agreement Condition</w:t>
      </w:r>
      <w:r>
        <w:rPr>
          <w:rFonts w:ascii="Times New Roman" w:cs="Times New Roman" w:eastAsia="Times New Roman" w:hAnsi="Times New Roman"/>
          <w:sz w:val="18"/>
          <w:szCs w:val="18"/>
          <w:color w:val="auto"/>
        </w:rPr>
        <w:t>-Warner Bros. shall have entered into a definitive merger agreement with Paramount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Purchaser substantially in the form of the merger agreement attached to the Offer to Purchase as part of Annex B (the “</w:t>
      </w:r>
      <w:r>
        <w:rPr>
          <w:rFonts w:ascii="Times New Roman" w:cs="Times New Roman" w:eastAsia="Times New Roman" w:hAnsi="Times New Roman"/>
          <w:sz w:val="18"/>
          <w:szCs w:val="18"/>
          <w:b w:val="1"/>
          <w:bCs w:val="1"/>
          <w:color w:val="auto"/>
        </w:rPr>
        <w:t>December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Paramount/Warner Bros. Merger Agreement</w:t>
      </w:r>
      <w:r>
        <w:rPr>
          <w:rFonts w:ascii="Times New Roman" w:cs="Times New Roman" w:eastAsia="Times New Roman" w:hAnsi="Times New Roman"/>
          <w:sz w:val="18"/>
          <w:szCs w:val="18"/>
          <w:color w:val="auto"/>
        </w:rPr>
        <w:t>”), other than changes required to reflect completion of the Offer followed by a second-step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under Section 251(h) of the DGCL and any other changes mutually agreed between Warner Bros. and Paramount. For a description of certain provisions of the December 22 Paramount/Warner Bros. Merger Agreement, please see the section of this Offer to Purchase entitled “</w:t>
      </w:r>
      <w:r>
        <w:rPr>
          <w:rFonts w:ascii="Times New Roman" w:cs="Times New Roman" w:eastAsia="Times New Roman" w:hAnsi="Times New Roman"/>
          <w:sz w:val="18"/>
          <w:szCs w:val="18"/>
          <w:i w:val="1"/>
          <w:iCs w:val="1"/>
          <w:color w:val="auto"/>
        </w:rPr>
        <w:t>Background of the Offer; Other Transactions with Warner Bros.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420" w:right="500" w:hanging="316"/>
        <w:spacing w:after="0" w:line="284"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Warner Bros. Separation Condition-</w:t>
      </w:r>
      <w:r>
        <w:rPr>
          <w:rFonts w:ascii="Times New Roman" w:cs="Times New Roman" w:eastAsia="Times New Roman" w:hAnsi="Times New Roman"/>
          <w:sz w:val="18"/>
          <w:szCs w:val="18"/>
          <w:color w:val="auto"/>
        </w:rPr>
        <w:t>The Warner Bros. Separation shall not have been consummated (and no dividend to effectuate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Warner Bros. Separation shall have been declared or made).</w:t>
      </w:r>
    </w:p>
    <w:p>
      <w:pPr>
        <w:spacing w:after="0" w:line="158" w:lineRule="exact"/>
        <w:rPr>
          <w:rFonts w:ascii="Times New Roman" w:cs="Times New Roman" w:eastAsia="Times New Roman" w:hAnsi="Times New Roman"/>
          <w:sz w:val="18"/>
          <w:szCs w:val="18"/>
          <w:color w:val="auto"/>
        </w:rPr>
      </w:pPr>
    </w:p>
    <w:p>
      <w:pPr>
        <w:ind w:left="420" w:right="140" w:hanging="316"/>
        <w:spacing w:after="0" w:line="284"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Tender Condition</w:t>
      </w:r>
      <w:r>
        <w:rPr>
          <w:rFonts w:ascii="Times New Roman" w:cs="Times New Roman" w:eastAsia="Times New Roman" w:hAnsi="Times New Roman"/>
          <w:sz w:val="18"/>
          <w:szCs w:val="18"/>
          <w:color w:val="auto"/>
        </w:rPr>
        <w:t>-Warner Bros. stockholders shall have validly tendered and not withdrawn prior to the expiration of the Offer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that number of Shares that constitutes a majority of the then-outstanding Shares on a fully diluted basis.</w:t>
      </w:r>
    </w:p>
    <w:p>
      <w:pPr>
        <w:spacing w:after="0" w:line="158" w:lineRule="exact"/>
        <w:rPr>
          <w:rFonts w:ascii="Times New Roman" w:cs="Times New Roman" w:eastAsia="Times New Roman" w:hAnsi="Times New Roman"/>
          <w:sz w:val="18"/>
          <w:szCs w:val="18"/>
          <w:color w:val="auto"/>
        </w:rPr>
      </w:pPr>
    </w:p>
    <w:p>
      <w:pPr>
        <w:ind w:left="420" w:right="240" w:hanging="316"/>
        <w:spacing w:after="0" w:line="284"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203 Condition</w:t>
      </w:r>
      <w:r>
        <w:rPr>
          <w:rFonts w:ascii="Times New Roman" w:cs="Times New Roman" w:eastAsia="Times New Roman" w:hAnsi="Times New Roman"/>
          <w:sz w:val="18"/>
          <w:szCs w:val="18"/>
          <w:color w:val="auto"/>
        </w:rPr>
        <w:t>-The restrictions on business combinations under Section 203 of the DGCL shall be inapplicable to the second-step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following the Offer.</w:t>
      </w:r>
    </w:p>
    <w:p>
      <w:pPr>
        <w:spacing w:after="0" w:line="158" w:lineRule="exact"/>
        <w:rPr>
          <w:rFonts w:ascii="Times New Roman" w:cs="Times New Roman" w:eastAsia="Times New Roman" w:hAnsi="Times New Roman"/>
          <w:sz w:val="18"/>
          <w:szCs w:val="18"/>
          <w:color w:val="auto"/>
        </w:rPr>
      </w:pPr>
    </w:p>
    <w:p>
      <w:pPr>
        <w:ind w:left="420" w:right="80" w:hanging="316"/>
        <w:spacing w:after="0" w:line="258"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Laws Condition</w:t>
      </w:r>
      <w:r>
        <w:rPr>
          <w:rFonts w:ascii="Times New Roman" w:cs="Times New Roman" w:eastAsia="Times New Roman" w:hAnsi="Times New Roman"/>
          <w:sz w:val="18"/>
          <w:szCs w:val="18"/>
          <w:color w:val="auto"/>
        </w:rPr>
        <w:t>-The waiting period applicable to the Offer and the second-step merger under the Hart-Scott-Rodino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w:t>
      </w:r>
    </w:p>
    <w:p>
      <w:pPr>
        <w:spacing w:after="0" w:line="183" w:lineRule="exact"/>
        <w:rPr>
          <w:rFonts w:ascii="Times New Roman" w:cs="Times New Roman" w:eastAsia="Times New Roman" w:hAnsi="Times New Roman"/>
          <w:sz w:val="18"/>
          <w:szCs w:val="18"/>
          <w:color w:val="auto"/>
        </w:rPr>
      </w:pPr>
    </w:p>
    <w:p>
      <w:pPr>
        <w:ind w:left="420" w:right="260" w:hanging="316"/>
        <w:spacing w:after="0" w:line="284"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Injunction Condition</w:t>
      </w:r>
      <w:r>
        <w:rPr>
          <w:rFonts w:ascii="Times New Roman" w:cs="Times New Roman" w:eastAsia="Times New Roman" w:hAnsi="Times New Roman"/>
          <w:sz w:val="18"/>
          <w:szCs w:val="18"/>
          <w:color w:val="auto"/>
        </w:rPr>
        <w:t>-No governmental entity shall after the date of the Offer to Purchase have enacted, issued or promulgated any law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that is in effect and that restrains, enjoins or otherwise prohibits consummation of the Offer or the second-step merger.</w:t>
      </w:r>
    </w:p>
    <w:p>
      <w:pPr>
        <w:spacing w:after="0" w:line="158" w:lineRule="exact"/>
        <w:rPr>
          <w:rFonts w:ascii="Times New Roman" w:cs="Times New Roman" w:eastAsia="Times New Roman" w:hAnsi="Times New Roman"/>
          <w:sz w:val="18"/>
          <w:szCs w:val="18"/>
          <w:color w:val="auto"/>
        </w:rPr>
      </w:pPr>
    </w:p>
    <w:p>
      <w:pPr>
        <w:ind w:left="420" w:right="340" w:hanging="316"/>
        <w:spacing w:after="0" w:line="267"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Adverse Effect Condition</w:t>
      </w:r>
      <w:r>
        <w:rPr>
          <w:rFonts w:ascii="Times New Roman" w:cs="Times New Roman" w:eastAsia="Times New Roman" w:hAnsi="Times New Roman"/>
          <w:sz w:val="18"/>
          <w:szCs w:val="18"/>
          <w:color w:val="auto"/>
        </w:rPr>
        <w:t>-There shall not have occurred any effect, event, development, change, state of facts,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 or occurrence, that, individually or in the aggregate, has had, or would reasonably be expected to have, a Material Adverse Effect.</w:t>
      </w:r>
    </w:p>
    <w:p>
      <w:pPr>
        <w:spacing w:after="0" w:line="173" w:lineRule="exact"/>
        <w:rPr>
          <w:rFonts w:ascii="Times New Roman" w:cs="Times New Roman" w:eastAsia="Times New Roman" w:hAnsi="Times New Roman"/>
          <w:sz w:val="18"/>
          <w:szCs w:val="18"/>
          <w:color w:val="auto"/>
        </w:rPr>
      </w:pPr>
    </w:p>
    <w:p>
      <w:pPr>
        <w:ind w:left="420" w:right="160" w:hanging="316"/>
        <w:spacing w:after="0" w:line="258"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Material Adverse Effect Condition</w:t>
      </w:r>
      <w:r>
        <w:rPr>
          <w:rFonts w:ascii="Times New Roman" w:cs="Times New Roman" w:eastAsia="Times New Roman" w:hAnsi="Times New Roman"/>
          <w:sz w:val="18"/>
          <w:szCs w:val="18"/>
          <w:color w:val="auto"/>
        </w:rPr>
        <w:t>-No approval, clearance, consent, registration, permit, authorization or other confirmation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w:t>
      </w:r>
    </w:p>
    <w:p>
      <w:pPr>
        <w:spacing w:after="0" w:line="183" w:lineRule="exact"/>
        <w:rPr>
          <w:rFonts w:ascii="Times New Roman" w:cs="Times New Roman" w:eastAsia="Times New Roman" w:hAnsi="Times New Roman"/>
          <w:sz w:val="18"/>
          <w:szCs w:val="18"/>
          <w:color w:val="auto"/>
        </w:rPr>
      </w:pPr>
    </w:p>
    <w:p>
      <w:pPr>
        <w:ind w:left="420" w:right="120" w:hanging="316"/>
        <w:spacing w:after="0" w:line="26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Netflix Merger Agreement/Shareholder Vote Condition</w:t>
      </w:r>
      <w:r>
        <w:rPr>
          <w:rFonts w:ascii="Times New Roman" w:cs="Times New Roman" w:eastAsia="Times New Roman" w:hAnsi="Times New Roman"/>
          <w:sz w:val="18"/>
          <w:szCs w:val="18"/>
          <w:color w:val="auto"/>
        </w:rPr>
        <w:t>-The Agreement and Plan of Merger, dated December 4,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b w:val="1"/>
          <w:bCs w:val="1"/>
          <w:color w:val="auto"/>
        </w:rPr>
        <w:t>Netflix Merger Agreement</w:t>
      </w:r>
      <w:r>
        <w:rPr>
          <w:rFonts w:ascii="Times New Roman" w:cs="Times New Roman" w:eastAsia="Times New Roman" w:hAnsi="Times New Roman"/>
          <w:sz w:val="18"/>
          <w:szCs w:val="18"/>
          <w:color w:val="auto"/>
        </w:rPr>
        <w:t>”), among Netflix, Nightingale Sub, Warner Bros. and Newco shall have been validly terminated in accordance with its terms and Warner Bros. stockholders shall not have adopted the Netflix Merger Agreement and shall not have approved the transactions contemplated thereby.</w:t>
      </w:r>
    </w:p>
    <w:p>
      <w:pPr>
        <w:spacing w:after="0" w:line="206"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Networks Ownership Condition</w:t>
      </w:r>
      <w:r>
        <w:rPr>
          <w:rFonts w:ascii="Times New Roman" w:cs="Times New Roman" w:eastAsia="Times New Roman" w:hAnsi="Times New Roman"/>
          <w:sz w:val="18"/>
          <w:szCs w:val="18"/>
          <w:color w:val="auto"/>
        </w:rPr>
        <w:t>- Warner Bros. shall have retained 100% ownership of its Global Networks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464185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 w:name="page8"/>
    <w:bookmarkEnd w:id="7"/>
    <w:p>
      <w:pPr>
        <w:ind w:left="660" w:right="140"/>
        <w:spacing w:after="0" w:line="268" w:lineRule="auto"/>
        <w:rPr>
          <w:sz w:val="20"/>
          <w:szCs w:val="20"/>
          <w:color w:val="auto"/>
        </w:rPr>
      </w:pPr>
      <w:r>
        <w:rPr>
          <w:rFonts w:ascii="Times New Roman" w:cs="Times New Roman" w:eastAsia="Times New Roman" w:hAnsi="Times New Roman"/>
          <w:sz w:val="18"/>
          <w:szCs w:val="18"/>
          <w:color w:val="auto"/>
        </w:rPr>
        <w:t>The Offer is not subject to any financing conditions, Committee on Foreign Investment in the United States (“</w:t>
      </w:r>
      <w:r>
        <w:rPr>
          <w:rFonts w:ascii="Times New Roman" w:cs="Times New Roman" w:eastAsia="Times New Roman" w:hAnsi="Times New Roman"/>
          <w:sz w:val="18"/>
          <w:szCs w:val="18"/>
          <w:b w:val="1"/>
          <w:bCs w:val="1"/>
          <w:color w:val="auto"/>
        </w:rPr>
        <w:t>CFIUS</w:t>
      </w:r>
      <w:r>
        <w:rPr>
          <w:rFonts w:ascii="Times New Roman" w:cs="Times New Roman" w:eastAsia="Times New Roman" w:hAnsi="Times New Roman"/>
          <w:sz w:val="18"/>
          <w:szCs w:val="18"/>
          <w:color w:val="auto"/>
        </w:rPr>
        <w:t>”) clearance and, so long as Warner Bros. provides certain cooperation contemplated by the December 22 Paramount/Warner Bros. Merger Agreement, Federal Communications Commission (“</w:t>
      </w:r>
      <w:r>
        <w:rPr>
          <w:rFonts w:ascii="Times New Roman" w:cs="Times New Roman" w:eastAsia="Times New Roman" w:hAnsi="Times New Roman"/>
          <w:sz w:val="18"/>
          <w:szCs w:val="18"/>
          <w:b w:val="1"/>
          <w:bCs w:val="1"/>
          <w:color w:val="auto"/>
        </w:rPr>
        <w:t>FCC</w:t>
      </w:r>
      <w:r>
        <w:rPr>
          <w:rFonts w:ascii="Times New Roman" w:cs="Times New Roman" w:eastAsia="Times New Roman" w:hAnsi="Times New Roman"/>
          <w:sz w:val="18"/>
          <w:szCs w:val="18"/>
          <w:color w:val="auto"/>
        </w:rPr>
        <w:t>”) approval.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please see the section of this Offer to Purchase entitled “</w:t>
      </w:r>
      <w:r>
        <w:rPr>
          <w:rFonts w:ascii="Times New Roman" w:cs="Times New Roman" w:eastAsia="Times New Roman" w:hAnsi="Times New Roman"/>
          <w:sz w:val="18"/>
          <w:szCs w:val="18"/>
          <w:i w:val="1"/>
          <w:iCs w:val="1"/>
          <w:color w:val="auto"/>
        </w:rPr>
        <w:t>The Offer-Section 14-Conditions of the Offer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What does the Warner Bros. Board think of the Offer?</w:t>
      </w:r>
    </w:p>
    <w:p>
      <w:pPr>
        <w:spacing w:after="0" w:line="229" w:lineRule="exact"/>
        <w:rPr>
          <w:sz w:val="20"/>
          <w:szCs w:val="20"/>
          <w:color w:val="auto"/>
        </w:rPr>
      </w:pPr>
    </w:p>
    <w:p>
      <w:pPr>
        <w:jc w:val="both"/>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On December 17, 2025, Warner Bros. filed a solicitation/recommendation statement on Schedule 14D-9 containing the recommendation of the Warner Bros. Board that Warner Bros. stockholders not tender their shares to Paramount in the December 8 Offer. See “</w:t>
      </w:r>
      <w:r>
        <w:rPr>
          <w:rFonts w:ascii="Times New Roman" w:cs="Times New Roman" w:eastAsia="Times New Roman" w:hAnsi="Times New Roman"/>
          <w:sz w:val="18"/>
          <w:szCs w:val="18"/>
          <w:i w:val="1"/>
          <w:iCs w:val="1"/>
          <w:color w:val="auto"/>
        </w:rPr>
        <w:t>The Offer - 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11 - Background of the Offer; Other Transactions with Warner Bros.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How do the terms of the December 22 Paramount/Warner Bros. Merger Agreement compare to the terms contained in the Netflix Merger Agreement?</w:t>
      </w:r>
    </w:p>
    <w:p>
      <w:pPr>
        <w:spacing w:after="0" w:line="159" w:lineRule="exact"/>
        <w:rPr>
          <w:sz w:val="20"/>
          <w:szCs w:val="20"/>
          <w:color w:val="auto"/>
        </w:rPr>
      </w:pPr>
    </w:p>
    <w:p>
      <w:pPr>
        <w:ind w:left="660" w:right="680" w:firstLine="648"/>
        <w:spacing w:after="0" w:line="289" w:lineRule="auto"/>
        <w:rPr>
          <w:sz w:val="20"/>
          <w:szCs w:val="20"/>
          <w:color w:val="auto"/>
        </w:rPr>
      </w:pPr>
      <w:r>
        <w:rPr>
          <w:rFonts w:ascii="Times New Roman" w:cs="Times New Roman" w:eastAsia="Times New Roman" w:hAnsi="Times New Roman"/>
          <w:sz w:val="17"/>
          <w:szCs w:val="17"/>
          <w:color w:val="auto"/>
        </w:rPr>
        <w:t>We believe that our proposal to acquire Warner Bros. is clearly superior and offers greater value and certainty to Warner Bros. stockholders. A tabular comparison of key terms of the December 22 Paramount/Warner Bros. Merger Agreement and the Netflix Merger Agreement is provided below, which comparison is qualified in its entirety by reference to the full text of the corresponding agreements: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w:t>
            </w:r>
          </w:p>
        </w:tc>
        <w:tc>
          <w:tcPr>
            <w:tcW w:w="52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Netflix Merger Agreement</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December 22 Paramount/Warner Bros. Merger</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Structure</w:t>
            </w:r>
          </w:p>
        </w:tc>
        <w:tc>
          <w:tcPr>
            <w:tcW w:w="526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Acquisition of the Streaming &amp; Studios businesses following an</w:t>
            </w:r>
          </w:p>
        </w:tc>
        <w:tc>
          <w:tcPr>
            <w:tcW w:w="370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      Acquisition of all of Warner Bros.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internal reorganization and a spin-off of the Global Networks</w:t>
            </w:r>
          </w:p>
        </w:tc>
        <w:tc>
          <w:tcPr>
            <w:tcW w:w="370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businesses and other assets into SpinCo</w:t>
            </w:r>
          </w:p>
        </w:tc>
        <w:tc>
          <w:tcPr>
            <w:tcW w:w="370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Consideration</w:t>
            </w:r>
          </w:p>
        </w:tc>
        <w:tc>
          <w:tcPr>
            <w:tcW w:w="526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$23.25 per Warner Bros. share in cash, plus</w:t>
            </w:r>
          </w:p>
        </w:tc>
        <w:tc>
          <w:tcPr>
            <w:tcW w:w="3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      $30 per Warner Bros. share in cash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    a to-be-determined number of shares of Netflix stock equal</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to:</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80"/>
              <w:spacing w:after="0"/>
              <w:rPr>
                <w:sz w:val="20"/>
                <w:szCs w:val="20"/>
                <w:color w:val="auto"/>
              </w:rPr>
            </w:pPr>
            <w:r>
              <w:rPr>
                <w:rFonts w:ascii="Wingdings" w:cs="Wingdings" w:eastAsia="Wingdings" w:hAnsi="Wingdings"/>
                <w:sz w:val="18"/>
                <w:szCs w:val="18"/>
                <w:b w:val="1"/>
                <w:bCs w:val="1"/>
                <w:color w:val="auto"/>
                <w:w w:val="99"/>
              </w:rPr>
              <w:t>§</w:t>
            </w:r>
            <w:r>
              <w:rPr>
                <w:rFonts w:ascii="Times New Roman" w:cs="Times New Roman" w:eastAsia="Times New Roman" w:hAnsi="Times New Roman"/>
                <w:sz w:val="18"/>
                <w:szCs w:val="18"/>
                <w:color w:val="auto"/>
                <w:w w:val="99"/>
              </w:rPr>
              <w:t>      0.0376, if the 15-day volume-weighted average trading</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price prior to closing (the “Netflix VWAP”) is equal</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to or greater than $119.67;</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80"/>
              <w:spacing w:after="0"/>
              <w:rPr>
                <w:sz w:val="20"/>
                <w:szCs w:val="20"/>
                <w:color w:val="auto"/>
              </w:rPr>
            </w:pPr>
            <w:r>
              <w:rPr>
                <w:rFonts w:ascii="Wingdings" w:cs="Wingdings" w:eastAsia="Wingdings" w:hAnsi="Wingdings"/>
                <w:sz w:val="18"/>
                <w:szCs w:val="18"/>
                <w:b w:val="1"/>
                <w:bCs w:val="1"/>
                <w:color w:val="auto"/>
                <w:w w:val="99"/>
              </w:rPr>
              <w:t xml:space="preserve">§ </w:t>
            </w:r>
            <w:r>
              <w:rPr>
                <w:rFonts w:ascii="Times New Roman" w:cs="Times New Roman" w:eastAsia="Times New Roman" w:hAnsi="Times New Roman"/>
                <w:sz w:val="18"/>
                <w:szCs w:val="18"/>
                <w:color w:val="auto"/>
                <w:w w:val="99"/>
              </w:rPr>
              <w:t>    the quotient obtained by dividing $4.50 by the Netflix</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VWAP, if the Netflix VWAP is greater than $97.91</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but less than $119.67; or</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0.0460, if the Netflix VWAP is less than or equal to</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$97.91</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Consideration payable to Warner Bros. stockholders is subject to</w:t>
            </w:r>
          </w:p>
        </w:tc>
        <w:tc>
          <w:tcPr>
            <w:tcW w:w="3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No reduction to consideration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dollar-for-dollar reduction based on the net debt of SpinCo</w:t>
            </w:r>
          </w:p>
        </w:tc>
        <w:tc>
          <w:tcPr>
            <w:tcW w:w="370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(which reduction in consideration is left to Warner Bros., in its</w:t>
            </w:r>
          </w:p>
        </w:tc>
        <w:tc>
          <w:tcPr>
            <w:tcW w:w="370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sole discretion)</w:t>
            </w:r>
          </w:p>
        </w:tc>
        <w:tc>
          <w:tcPr>
            <w:tcW w:w="370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Financing</w:t>
            </w:r>
          </w:p>
        </w:tc>
        <w:tc>
          <w:tcPr>
            <w:tcW w:w="526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w w:val="99"/>
              </w:rPr>
              <w:t>·      $59.0 billion of debt financing provided by Wells Fargo, BNP and</w:t>
            </w:r>
          </w:p>
        </w:tc>
        <w:tc>
          <w:tcPr>
            <w:tcW w:w="3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       $40.7 billion of equity capital provided by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HSBC</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Ellison Trust and RedBird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      Mr. Larry Ellison is providing</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a personal guarantee of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Ellison Trust’s $40.4 billion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equity commitment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$54.0 billion of debt financing provided by</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BofA, Citi and Apollo</w:t>
            </w:r>
          </w:p>
        </w:tc>
      </w:tr>
      <w:tr>
        <w:trPr>
          <w:trHeight w:val="669"/>
        </w:trPr>
        <w:tc>
          <w:tcPr>
            <w:tcW w:w="2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Regulatory Efforts</w:t>
            </w:r>
          </w:p>
        </w:tc>
        <w:tc>
          <w:tcPr>
            <w:tcW w:w="52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No requirement to agree to any remedy that:</w:t>
            </w:r>
          </w:p>
        </w:tc>
        <w:tc>
          <w:tcPr>
            <w:tcW w:w="3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No requirement to agree to any remedy that,</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52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      would, individually or in the aggregate, reasonably be</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individually or in the aggregate with all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expected to have a material adverse effect on the business</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other remedies, would reasonably be</w:t>
            </w: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or financial condition of Streaming &amp; Studios; or</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expected to have a material adverse effect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involves, applies to, restricts, or affects the operation,</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on Paramount and its subsidiaries,</w:t>
            </w:r>
          </w:p>
        </w:tc>
      </w:tr>
      <w:tr>
        <w:trPr>
          <w:trHeight w:val="220"/>
        </w:trPr>
        <w:tc>
          <w:tcPr>
            <w:tcW w:w="2280" w:type="dxa"/>
            <w:vAlign w:val="bottom"/>
            <w:tcBorders>
              <w:left w:val="single" w:sz="8" w:color="auto"/>
              <w:right w:val="single" w:sz="8" w:color="auto"/>
            </w:tcBorders>
          </w:tcPr>
          <w:p>
            <w:pPr>
              <w:spacing w:after="0"/>
              <w:rPr>
                <w:sz w:val="19"/>
                <w:szCs w:val="19"/>
                <w:color w:val="auto"/>
              </w:rPr>
            </w:pPr>
          </w:p>
        </w:tc>
        <w:tc>
          <w:tcPr>
            <w:tcW w:w="52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contracts, business or assets of Netflix</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including Warner Bros. and its subsidiaries</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Commitment to litigate</w:t>
            </w:r>
          </w:p>
        </w:tc>
        <w:tc>
          <w:tcPr>
            <w:tcW w:w="3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Commitment to litigate</w:t>
            </w: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Regulatory Reverse</w:t>
            </w:r>
          </w:p>
        </w:tc>
        <w:tc>
          <w:tcPr>
            <w:tcW w:w="5260" w:type="dxa"/>
            <w:vAlign w:val="bottom"/>
            <w:tcBorders>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color w:val="auto"/>
              </w:rPr>
              <w:t>·      $5.8 billion, payable by Netflix upon, among other things,</w:t>
            </w:r>
          </w:p>
        </w:tc>
        <w:tc>
          <w:tcPr>
            <w:tcW w:w="3700" w:type="dxa"/>
            <w:vAlign w:val="bottom"/>
            <w:tcBorders>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      Same</w:t>
            </w:r>
          </w:p>
        </w:tc>
      </w:tr>
      <w:tr>
        <w:trPr>
          <w:trHeight w:val="238"/>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52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termination for failure to obtain required regulatory approvals</w:t>
            </w:r>
          </w:p>
        </w:tc>
        <w:tc>
          <w:tcPr>
            <w:tcW w:w="370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Outside Date</w:t>
            </w:r>
          </w:p>
        </w:tc>
        <w:tc>
          <w:tcPr>
            <w:tcW w:w="526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21 months (15 months plus two 3-month extensions if required</w:t>
            </w:r>
          </w:p>
        </w:tc>
        <w:tc>
          <w:tcPr>
            <w:tcW w:w="370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     18 months (12 months plus two 3-month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regulatory approvals have not been obtained)</w:t>
            </w:r>
          </w:p>
        </w:tc>
        <w:tc>
          <w:tcPr>
            <w:tcW w:w="37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extensions if required regulatory approvals</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have not been obtained)</w:t>
            </w: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Warner Bros. Termination</w:t>
            </w:r>
          </w:p>
        </w:tc>
        <w:tc>
          <w:tcPr>
            <w:tcW w:w="5260" w:type="dxa"/>
            <w:vAlign w:val="bottom"/>
            <w:tcBorders>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color w:val="auto"/>
              </w:rPr>
              <w:t>·      $2.8 billion (~3.89% of equity value), payable by Warner Bros.</w:t>
            </w:r>
          </w:p>
        </w:tc>
        <w:tc>
          <w:tcPr>
            <w:tcW w:w="3700" w:type="dxa"/>
            <w:vAlign w:val="bottom"/>
            <w:tcBorders>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      3.75% of equity value (~$2.9 billion),</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Fee</w:t>
            </w:r>
          </w:p>
        </w:tc>
        <w:tc>
          <w:tcPr>
            <w:tcW w:w="52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upon, among other things, termination for Superior Proposal</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payable by Warner Bros. upon, among</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other things, termination for Superior</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Proposal</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2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Does Paramount have the financial resources available to it to pay for the Shares?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Yes, the Offer is not subject to a financing condition.</w:t>
      </w:r>
    </w:p>
    <w:p>
      <w:pPr>
        <w:spacing w:after="0" w:line="225" w:lineRule="exact"/>
        <w:rPr>
          <w:sz w:val="20"/>
          <w:szCs w:val="20"/>
          <w:color w:val="auto"/>
        </w:rPr>
      </w:pPr>
    </w:p>
    <w:p>
      <w:pPr>
        <w:jc w:val="both"/>
        <w:ind w:left="660" w:right="200" w:firstLine="648"/>
        <w:spacing w:after="0" w:line="272" w:lineRule="auto"/>
        <w:rPr>
          <w:sz w:val="20"/>
          <w:szCs w:val="20"/>
          <w:color w:val="auto"/>
        </w:rPr>
      </w:pPr>
      <w:r>
        <w:rPr>
          <w:rFonts w:ascii="Times New Roman" w:cs="Times New Roman" w:eastAsia="Times New Roman" w:hAnsi="Times New Roman"/>
          <w:sz w:val="17"/>
          <w:szCs w:val="17"/>
          <w:color w:val="auto"/>
        </w:rPr>
        <w:t>We estimate that the total amount of cash required to complete the transactions contemplated by the Offer and the second-step merger, including purchase of all of the outstanding Shares in the Offer, payment of any fees, expenses and other related amounts incurred in connection with the Offer and the Potential Merger and the refinancing of Warner Bros.’s outstanding indebtedness, will be approximately $99.9 billion.</w:t>
      </w:r>
    </w:p>
    <w:p>
      <w:pPr>
        <w:spacing w:after="0" w:line="2" w:lineRule="exact"/>
        <w:rPr>
          <w:sz w:val="20"/>
          <w:szCs w:val="20"/>
          <w:color w:val="auto"/>
        </w:rPr>
      </w:pPr>
    </w:p>
    <w:p>
      <w:pPr>
        <w:ind w:left="660" w:right="180"/>
        <w:spacing w:after="0" w:line="253" w:lineRule="auto"/>
        <w:rPr>
          <w:sz w:val="20"/>
          <w:szCs w:val="20"/>
          <w:color w:val="auto"/>
        </w:rPr>
      </w:pPr>
      <w:r>
        <w:rPr>
          <w:rFonts w:ascii="Times New Roman" w:cs="Times New Roman" w:eastAsia="Times New Roman" w:hAnsi="Times New Roman"/>
          <w:sz w:val="18"/>
          <w:szCs w:val="18"/>
          <w:color w:val="auto"/>
        </w:rPr>
        <w:t>Based upon the combination of Paramount’s financial resources, the subscription agreements to be entered into by the Ellison Trust and RedBird in connection with the Offer, and future financing transactions (or amounts available under a senior secured bridge facility of up to $54 billion), we will have sufficient funds to pay the Offer Price for all Shares in the Offer. More specifically, with respect to the debt and equity financing, required for the payment of the Offer Price for all Shares in the Offer:</w:t>
      </w:r>
    </w:p>
    <w:p>
      <w:pPr>
        <w:spacing w:after="0" w:line="185" w:lineRule="exact"/>
        <w:rPr>
          <w:sz w:val="20"/>
          <w:szCs w:val="20"/>
          <w:color w:val="auto"/>
        </w:rPr>
      </w:pPr>
    </w:p>
    <w:p>
      <w:pPr>
        <w:ind w:left="980" w:right="60" w:hanging="324"/>
        <w:spacing w:after="0" w:line="259"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entered into a commitment letter (as amended by that certain Amendment No. 1 thereto,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pursuant to which BofA Securities, Inc., Bank of America, N.A., Citigroup Global Markets Inc., Apollo Global Funding, LLC and Apollo Capital Management, L.P. (collectively, the “</w:t>
      </w:r>
      <w:r>
        <w:rPr>
          <w:rFonts w:ascii="Times New Roman" w:cs="Times New Roman" w:eastAsia="Times New Roman" w:hAnsi="Times New Roman"/>
          <w:sz w:val="18"/>
          <w:szCs w:val="18"/>
          <w:b w:val="1"/>
          <w:bCs w:val="1"/>
          <w:color w:val="auto"/>
        </w:rPr>
        <w:t>Debt Commitment Parties</w:t>
      </w:r>
      <w:r>
        <w:rPr>
          <w:rFonts w:ascii="Times New Roman" w:cs="Times New Roman" w:eastAsia="Times New Roman" w:hAnsi="Times New Roman"/>
          <w:sz w:val="18"/>
          <w:szCs w:val="18"/>
          <w:color w:val="auto"/>
        </w:rPr>
        <w:t>”) have committed to provide, subject to certain conditions, financing for Paramount’s acquisition of Warner Bros. The Debt Commitment Letter provides for a senior secured bridge facility of up to $54 billion for purposes of financing Paramount’s acquisition of Warner Bros. (the “</w:t>
      </w:r>
      <w:r>
        <w:rPr>
          <w:rFonts w:ascii="Times New Roman" w:cs="Times New Roman" w:eastAsia="Times New Roman" w:hAnsi="Times New Roman"/>
          <w:sz w:val="18"/>
          <w:szCs w:val="18"/>
          <w:b w:val="1"/>
          <w:bCs w:val="1"/>
          <w:color w:val="auto"/>
        </w:rPr>
        <w:t>Debt Financing Commitment</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concurrently with the entry into the December 22 Paramount/Warner Bros. Merger Agreement, Paramount, the Ellison Trust and RedBird will enter into Subscription Agreements providing for a private placement investment in an aggregate amount of up to $40,650,000,000. For further information about the equity financing, see “</w:t>
      </w:r>
      <w:r>
        <w:rPr>
          <w:rFonts w:ascii="Times New Roman" w:cs="Times New Roman" w:eastAsia="Times New Roman" w:hAnsi="Times New Roman"/>
          <w:sz w:val="18"/>
          <w:szCs w:val="18"/>
          <w:i w:val="1"/>
          <w:iCs w:val="1"/>
          <w:color w:val="auto"/>
        </w:rPr>
        <w:t>The Offer - Section 10 -Source and Amount of Funds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ind w:left="328"/>
        <w:spacing w:after="0"/>
        <w:rPr>
          <w:sz w:val="20"/>
          <w:szCs w:val="20"/>
          <w:color w:val="auto"/>
        </w:rPr>
      </w:pPr>
      <w:r>
        <w:rPr>
          <w:rFonts w:ascii="Times New Roman" w:cs="Times New Roman" w:eastAsia="Times New Roman" w:hAnsi="Times New Roman"/>
          <w:sz w:val="18"/>
          <w:szCs w:val="18"/>
          <w:color w:val="auto"/>
        </w:rPr>
        <w:t>Mr. Larry Ellison is providing a personal guarantee of the Ellison Trust’s $40.4 billion funding obligation.</w:t>
      </w:r>
    </w:p>
    <w:p>
      <w:pPr>
        <w:spacing w:after="0" w:line="22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THIS OFFER IS NOT SUBJECT TO ANY FINANCING CONDITION.</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Is your financial condition material to my decision to tender in the Offer?</w:t>
      </w:r>
    </w:p>
    <w:p>
      <w:pPr>
        <w:spacing w:after="0" w:line="229" w:lineRule="exact"/>
        <w:rPr>
          <w:sz w:val="20"/>
          <w:szCs w:val="20"/>
          <w:color w:val="auto"/>
        </w:rPr>
      </w:pPr>
    </w:p>
    <w:p>
      <w:pPr>
        <w:ind w:left="328" w:firstLine="648"/>
        <w:spacing w:after="0" w:line="255" w:lineRule="auto"/>
        <w:rPr>
          <w:sz w:val="20"/>
          <w:szCs w:val="20"/>
          <w:color w:val="auto"/>
        </w:rPr>
      </w:pPr>
      <w:r>
        <w:rPr>
          <w:rFonts w:ascii="Times New Roman" w:cs="Times New Roman" w:eastAsia="Times New Roman" w:hAnsi="Times New Roman"/>
          <w:sz w:val="18"/>
          <w:szCs w:val="18"/>
          <w:color w:val="auto"/>
        </w:rPr>
        <w:t>We do not believe that our financial condition is material to your decision whether to tender Shares and accept the Offer because the Offer is being made for all Shares solely for cash. The Offer is not subject to any financing condition; and as described in “</w:t>
      </w:r>
      <w:r>
        <w:rPr>
          <w:rFonts w:ascii="Times New Roman" w:cs="Times New Roman" w:eastAsia="Times New Roman" w:hAnsi="Times New Roman"/>
          <w:sz w:val="18"/>
          <w:szCs w:val="18"/>
          <w:i w:val="1"/>
          <w:iCs w:val="1"/>
          <w:color w:val="auto"/>
        </w:rPr>
        <w:t>The Offer - Section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Source and Amount of Funds</w:t>
      </w:r>
      <w:r>
        <w:rPr>
          <w:rFonts w:ascii="Times New Roman" w:cs="Times New Roman" w:eastAsia="Times New Roman" w:hAnsi="Times New Roman"/>
          <w:sz w:val="18"/>
          <w:szCs w:val="18"/>
          <w:color w:val="auto"/>
        </w:rPr>
        <w:t>” below, the Purchaser, through Paramount, will have sufficient funds available to purchase all Shares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tendered into the Offer. The Bridge Facility (as defined in “</w:t>
      </w:r>
      <w:r>
        <w:rPr>
          <w:rFonts w:ascii="Times New Roman" w:cs="Times New Roman" w:eastAsia="Times New Roman" w:hAnsi="Times New Roman"/>
          <w:sz w:val="18"/>
          <w:szCs w:val="18"/>
          <w:i w:val="1"/>
          <w:iCs w:val="1"/>
          <w:color w:val="auto"/>
        </w:rPr>
        <w:t>The Offer - Section 10 - Source and Amount of Funds</w:t>
      </w:r>
      <w:r>
        <w:rPr>
          <w:rFonts w:ascii="Times New Roman" w:cs="Times New Roman" w:eastAsia="Times New Roman" w:hAnsi="Times New Roman"/>
          <w:sz w:val="18"/>
          <w:szCs w:val="18"/>
          <w:color w:val="auto"/>
        </w:rPr>
        <w:t>”) arranged for Paramount in connection with the Offer and the Subscription Agreements provide for a “certain funds” commitment and do not contain any financial covenant conditions that would prevent Paramount from consummating the Offer. Mr. Larry Ellison is providing a personal guarantee of the Ellison Trust’s $40.4 billion funding obligation.</w:t>
      </w:r>
    </w:p>
    <w:p>
      <w:pPr>
        <w:spacing w:after="0" w:line="189" w:lineRule="exact"/>
        <w:rPr>
          <w:sz w:val="20"/>
          <w:szCs w:val="20"/>
          <w:color w:val="auto"/>
        </w:rPr>
      </w:pPr>
    </w:p>
    <w:p>
      <w:pPr>
        <w:ind w:left="328" w:right="440"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fourth, fifth and eighth paragraphs in the Introduction to the Offer to Purchase are hereby amended and restated in their entirety as follows:</w:t>
      </w:r>
    </w:p>
    <w:p>
      <w:pPr>
        <w:spacing w:after="0" w:line="157" w:lineRule="exact"/>
        <w:rPr>
          <w:rFonts w:ascii="Times New Roman" w:cs="Times New Roman" w:eastAsia="Times New Roman" w:hAnsi="Times New Roman"/>
          <w:sz w:val="18"/>
          <w:szCs w:val="18"/>
          <w:color w:val="auto"/>
        </w:rPr>
      </w:pPr>
    </w:p>
    <w:p>
      <w:pPr>
        <w:ind w:left="328"/>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THIS OFFER IS NOT SUBJECT TO ANY FINANCING CONDITION. </w:t>
      </w:r>
      <w:r>
        <w:rPr>
          <w:rFonts w:ascii="Times New Roman" w:cs="Times New Roman" w:eastAsia="Times New Roman" w:hAnsi="Times New Roman"/>
          <w:sz w:val="17"/>
          <w:szCs w:val="17"/>
          <w:color w:val="auto"/>
        </w:rPr>
        <w:t>The Lawrence J. Ellison Revocable Trust u/a/d 1/22/88, as amended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Ellison Trust</w:t>
      </w:r>
      <w:r>
        <w:rPr>
          <w:rFonts w:ascii="Times New Roman" w:cs="Times New Roman" w:eastAsia="Times New Roman" w:hAnsi="Times New Roman"/>
          <w:sz w:val="17"/>
          <w:szCs w:val="17"/>
          <w:color w:val="auto"/>
        </w:rPr>
        <w:t>”) and a fund affiliated with RedBird Capital Management (“</w:t>
      </w:r>
      <w:r>
        <w:rPr>
          <w:rFonts w:ascii="Times New Roman" w:cs="Times New Roman" w:eastAsia="Times New Roman" w:hAnsi="Times New Roman"/>
          <w:sz w:val="17"/>
          <w:szCs w:val="17"/>
          <w:b w:val="1"/>
          <w:bCs w:val="1"/>
          <w:color w:val="auto"/>
        </w:rPr>
        <w:t>RedBird</w:t>
      </w:r>
      <w:r>
        <w:rPr>
          <w:rFonts w:ascii="Times New Roman" w:cs="Times New Roman" w:eastAsia="Times New Roman" w:hAnsi="Times New Roman"/>
          <w:sz w:val="17"/>
          <w:szCs w:val="17"/>
          <w:color w:val="auto"/>
        </w:rPr>
        <w:t>”) will provide the necessary equity financing for the payment of the Offer Price for all Shares in the Offer. Such equity financing will be provided pursuant to equity financing commitments substantially consistent with those included in our Prior Proposal (with such changes as are necessary to reflect the Offer and a second-step merger rather than the single-step merger in such Prior Proposal). The Ellison Trust has financial resources well in excess of what would be required to meet its commitments to be entered into in connection with the Offer and the second-step merger, including, among many other assets and financial resources available to it, record and beneficial ownership of approximately 1.16 billion shares of Oracle Corporation (NYSE: ORCL) (“</w:t>
      </w:r>
      <w:r>
        <w:rPr>
          <w:rFonts w:ascii="Times New Roman" w:cs="Times New Roman" w:eastAsia="Times New Roman" w:hAnsi="Times New Roman"/>
          <w:sz w:val="17"/>
          <w:szCs w:val="17"/>
          <w:b w:val="1"/>
          <w:bCs w:val="1"/>
          <w:color w:val="auto"/>
        </w:rPr>
        <w:t>Oracle</w:t>
      </w:r>
      <w:r>
        <w:rPr>
          <w:rFonts w:ascii="Times New Roman" w:cs="Times New Roman" w:eastAsia="Times New Roman" w:hAnsi="Times New Roman"/>
          <w:sz w:val="17"/>
          <w:szCs w:val="17"/>
          <w:color w:val="auto"/>
        </w:rPr>
        <w:t>”) stock with a market value of approximately $252 billion as of the date of this Offer to Purchase. As has been previously disclosed in public filings, the Ellison Trust provided an equity commitment to Skydance in the Paramount-Skydance combination (which information is publicly available with the SEC and FCC), publicly files information about its sales of Oracle stock with the SEC on Form 144, and has publicly participated in other major transactions such as the take private of Twitter, among others. Based upon the combination of Paramount’s cash on hand, the subscription agreements to be entered into by the Ellison Trust and RedBird in connection with the Offer, and future financing transactions (or amounts available under a senior secured bridge facility of up to $54 billion), we will have sufficient funds to pay the Offer Price for all Shares in the Offer. Mr. Larry Ellison is providing a personal guarantee of the Ellison Trust’s $40.4 billion funding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415290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10" w:name="page11"/>
    <w:bookmarkEnd w:id="10"/>
    <w:p>
      <w:pPr>
        <w:ind w:left="328"/>
        <w:spacing w:after="0" w:line="251" w:lineRule="auto"/>
        <w:rPr>
          <w:sz w:val="20"/>
          <w:szCs w:val="20"/>
          <w:color w:val="auto"/>
        </w:rPr>
      </w:pPr>
      <w:r>
        <w:rPr>
          <w:rFonts w:ascii="Times New Roman" w:cs="Times New Roman" w:eastAsia="Times New Roman" w:hAnsi="Times New Roman"/>
          <w:sz w:val="18"/>
          <w:szCs w:val="18"/>
          <w:color w:val="auto"/>
        </w:rPr>
        <w:t>Consummation of the Offer is conditioned upon, among other things, the following conditions: (i) Warner Bros. shall have entered into a definitive merger agreement with Paramount and the Purchaser substantially in the form of the merger agreement attached to the Offer to Purchase as part of Annex B (the “</w:t>
      </w:r>
      <w:r>
        <w:rPr>
          <w:rFonts w:ascii="Times New Roman" w:cs="Times New Roman" w:eastAsia="Times New Roman" w:hAnsi="Times New Roman"/>
          <w:sz w:val="18"/>
          <w:szCs w:val="18"/>
          <w:b w:val="1"/>
          <w:bCs w:val="1"/>
          <w:color w:val="auto"/>
        </w:rPr>
        <w:t>December 22 Paramount/Warner Bros. Merger Agreement</w:t>
      </w:r>
      <w:r>
        <w:rPr>
          <w:rFonts w:ascii="Times New Roman" w:cs="Times New Roman" w:eastAsia="Times New Roman" w:hAnsi="Times New Roman"/>
          <w:sz w:val="18"/>
          <w:szCs w:val="18"/>
          <w:color w:val="auto"/>
        </w:rPr>
        <w:t>”), other than changes required to reflect completion of the Offer followed by a second-step merger under Section 251(h) of the DGCL and any other changes mutually agreed between Warner Bros. and Paramount; (ii) the Warner Bros. Separation (as defined in “</w:t>
      </w:r>
      <w:r>
        <w:rPr>
          <w:rFonts w:ascii="Times New Roman" w:cs="Times New Roman" w:eastAsia="Times New Roman" w:hAnsi="Times New Roman"/>
          <w:sz w:val="18"/>
          <w:szCs w:val="18"/>
          <w:i w:val="1"/>
          <w:iCs w:val="1"/>
          <w:color w:val="auto"/>
        </w:rPr>
        <w:t>The Offer - Section 8 - Certain Information Concerning Warner Bros.”</w:t>
      </w:r>
      <w:r>
        <w:rPr>
          <w:rFonts w:ascii="Times New Roman" w:cs="Times New Roman" w:eastAsia="Times New Roman" w:hAnsi="Times New Roman"/>
          <w:sz w:val="18"/>
          <w:szCs w:val="18"/>
          <w:color w:val="auto"/>
        </w:rPr>
        <w:t>) shall not have been consummated (and no dividend to effectuate the Warner Bros. Separation shall have been declared or made); (iii) Warner Bros. stockholders shall have validly tendered and not withdrawn prior to the expiration of the Offer at least that number of Shares that constitutes a majority of the then-outstanding Shares on a fully diluted basis; (iv) the restrictions on business combinations under Section 203 of the DGCL shall be inapplicable to the second-step merger following the Offer; (v) the waiting period applicable to the Offer and the second-step merger under the Hart-Scott-Rodino Antitrust 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 (vi) no governmental entity shall after the date of the Offer to Purchase have enacted, issued or promulgated any law or order that is in effect and that restrains, enjoins or otherwise prohibits consummation of the Offer or the second-step merger; (vii) there shall not have occurred any effect, event, development, change, state of facts, condition, circumstance or occurrence, that, individually or in the aggregate, has had, or would reasonably be expected to have, a Material Adverse Effect (as defined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Offer-Section 14-Conditions of the Offer”</w:t>
      </w:r>
      <w:r>
        <w:rPr>
          <w:rFonts w:ascii="Times New Roman" w:cs="Times New Roman" w:eastAsia="Times New Roman" w:hAnsi="Times New Roman"/>
          <w:sz w:val="18"/>
          <w:szCs w:val="18"/>
          <w:color w:val="auto"/>
        </w:rPr>
        <w:t>); (viii) no approval, clearance, consent, registration, permit, authorization or other confirmation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(ix) the Agreement and Plan of Merger, dated December 4, 2025 (as amended from time to time, the “</w:t>
      </w:r>
      <w:r>
        <w:rPr>
          <w:rFonts w:ascii="Times New Roman" w:cs="Times New Roman" w:eastAsia="Times New Roman" w:hAnsi="Times New Roman"/>
          <w:sz w:val="18"/>
          <w:szCs w:val="18"/>
          <w:b w:val="1"/>
          <w:bCs w:val="1"/>
          <w:color w:val="auto"/>
        </w:rPr>
        <w:t>Netflix Merger Agreement</w:t>
      </w:r>
      <w:r>
        <w:rPr>
          <w:rFonts w:ascii="Times New Roman" w:cs="Times New Roman" w:eastAsia="Times New Roman" w:hAnsi="Times New Roman"/>
          <w:sz w:val="18"/>
          <w:szCs w:val="18"/>
          <w:color w:val="auto"/>
        </w:rPr>
        <w:t>”), among Netflix, Inc., a Delaware corporation (“</w:t>
      </w:r>
      <w:r>
        <w:rPr>
          <w:rFonts w:ascii="Times New Roman" w:cs="Times New Roman" w:eastAsia="Times New Roman" w:hAnsi="Times New Roman"/>
          <w:sz w:val="18"/>
          <w:szCs w:val="18"/>
          <w:b w:val="1"/>
          <w:bCs w:val="1"/>
          <w:color w:val="auto"/>
        </w:rPr>
        <w:t>Netflix</w:t>
      </w:r>
      <w:r>
        <w:rPr>
          <w:rFonts w:ascii="Times New Roman" w:cs="Times New Roman" w:eastAsia="Times New Roman" w:hAnsi="Times New Roman"/>
          <w:sz w:val="18"/>
          <w:szCs w:val="18"/>
          <w:color w:val="auto"/>
        </w:rPr>
        <w:t>”), Nightingale Sub, Inc., a Delaware corporation and wholly owned subsidiary of Netflix, Warner Bros. and New Topco 25, Inc., a Delaware corporation and wholly owned subsidiary of Warner Bros., shall have been validly terminated in accordance with its terms and Warner Bros. stockholders shall not have adopted the Netflix Merger Agreement and shall not have approved the transactions contemplated thereby; and (x) Warner Bros. shall have retained 100% ownership of its Global Networks business.</w:t>
      </w:r>
    </w:p>
    <w:p>
      <w:pPr>
        <w:spacing w:after="0" w:line="204" w:lineRule="exact"/>
        <w:rPr>
          <w:sz w:val="20"/>
          <w:szCs w:val="20"/>
          <w:color w:val="auto"/>
        </w:rPr>
      </w:pPr>
    </w:p>
    <w:p>
      <w:pPr>
        <w:ind w:left="328" w:right="80"/>
        <w:spacing w:after="0" w:line="261" w:lineRule="auto"/>
        <w:rPr>
          <w:sz w:val="20"/>
          <w:szCs w:val="20"/>
          <w:color w:val="auto"/>
        </w:rPr>
      </w:pPr>
      <w:r>
        <w:rPr>
          <w:rFonts w:ascii="Times New Roman" w:cs="Times New Roman" w:eastAsia="Times New Roman" w:hAnsi="Times New Roman"/>
          <w:sz w:val="18"/>
          <w:szCs w:val="18"/>
          <w:color w:val="auto"/>
        </w:rPr>
        <w:t>The December 22 Paramount/Warner Bros. Merger Agreement also contains other closing conditions to the Offer and the second-step merger. Please see the sections of this Offer to Purchase entitled “</w:t>
      </w:r>
      <w:r>
        <w:rPr>
          <w:rFonts w:ascii="Times New Roman" w:cs="Times New Roman" w:eastAsia="Times New Roman" w:hAnsi="Times New Roman"/>
          <w:sz w:val="18"/>
          <w:szCs w:val="18"/>
          <w:i w:val="1"/>
          <w:iCs w:val="1"/>
          <w:color w:val="auto"/>
        </w:rPr>
        <w:t>The Offer-Section 14-Conditions of the Offer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Offer-Section 11-Background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 Other Transactions with Warner Bros.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Offer - Section 12 - Purpose of the Offer and the Potential Merger; Plans for Warner Bros.; Statutory Requirements; Approval of the Potential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We are seeking to enter into a definitive agreement for the acquisition of Warner Bros. by Paramount, and are prepared to engage with Warner</w:t>
      </w:r>
    </w:p>
    <w:p>
      <w:pPr>
        <w:spacing w:after="0" w:line="2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Bros. immediately. On December 4, 2025, we made a proposal to acquire Warner Bros. for $30.00 per Share pursuant to a merger agreement and</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related equity and debt financing commitments, which are attached to this Offer to Purchase as part of Annex A (our “</w:t>
      </w:r>
      <w:r>
        <w:rPr>
          <w:rFonts w:ascii="Times New Roman" w:cs="Times New Roman" w:eastAsia="Times New Roman" w:hAnsi="Times New Roman"/>
          <w:sz w:val="18"/>
          <w:szCs w:val="18"/>
          <w:b w:val="1"/>
          <w:bCs w:val="1"/>
          <w:color w:val="auto"/>
        </w:rPr>
        <w:t>Prior Proposal</w:t>
      </w:r>
      <w:r>
        <w:rPr>
          <w:rFonts w:ascii="Times New Roman" w:cs="Times New Roman" w:eastAsia="Times New Roman" w:hAnsi="Times New Roman"/>
          <w:sz w:val="18"/>
          <w:szCs w:val="18"/>
          <w:color w:val="auto"/>
        </w:rPr>
        <w:t>”). On</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December 22, we amended this Offer to include a new, improved proposal to Warner Bros. stockholders (the Offer, on the terms and conditions</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contained in this Offer to Purchase as amended by Amendment No. 7 to the Schedule TO to which this Offer to Purchase forms a part, the</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22 Offer</w:t>
      </w:r>
      <w:r>
        <w:rPr>
          <w:rFonts w:ascii="Times New Roman" w:cs="Times New Roman" w:eastAsia="Times New Roman" w:hAnsi="Times New Roman"/>
          <w:sz w:val="18"/>
          <w:szCs w:val="18"/>
          <w:color w:val="auto"/>
        </w:rPr>
        <w:t>”), which amendment includes in Annex B a proposed merger agreement to be entered into between Paramount and Warner</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Bros., related equity and debt financing commitments, and evidence of the ownership of approximately 1.16 billion shares of the common stock of</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Oracle by the Ellison Trust. Warner Bros. chose a financially inferior and more uncertain and complex transaction as contemplated by the Netflix</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Merger Agreement (the “</w:t>
      </w:r>
      <w:r>
        <w:rPr>
          <w:rFonts w:ascii="Times New Roman" w:cs="Times New Roman" w:eastAsia="Times New Roman" w:hAnsi="Times New Roman"/>
          <w:sz w:val="18"/>
          <w:szCs w:val="18"/>
          <w:b w:val="1"/>
          <w:bCs w:val="1"/>
          <w:color w:val="auto"/>
        </w:rPr>
        <w:t>Proposed Netflix Transaction</w:t>
      </w:r>
      <w:r>
        <w:rPr>
          <w:rFonts w:ascii="Times New Roman" w:cs="Times New Roman" w:eastAsia="Times New Roman" w:hAnsi="Times New Roman"/>
          <w:sz w:val="18"/>
          <w:szCs w:val="18"/>
          <w:color w:val="auto"/>
        </w:rPr>
        <w:t>”) instead of our clearly superior Prior Proposal. We are making the Offer directly to</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Warner Bros. stockholders to enable them to take action to receive the superior value of the Offer.</w:t>
      </w:r>
    </w:p>
    <w:p>
      <w:pPr>
        <w:spacing w:after="0" w:line="207" w:lineRule="exact"/>
        <w:rPr>
          <w:sz w:val="20"/>
          <w:szCs w:val="20"/>
          <w:color w:val="auto"/>
        </w:rPr>
      </w:pPr>
    </w:p>
    <w:p>
      <w:pPr>
        <w:ind w:left="328" w:right="520"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subsection “Debt Financing” under the section of the Offer to Purchase entitled “Source and Amount of Funds” is hereby amended and restated in its entirety as follows:</w:t>
      </w:r>
    </w:p>
    <w:p>
      <w:pPr>
        <w:spacing w:after="0" w:line="157" w:lineRule="exact"/>
        <w:rPr>
          <w:rFonts w:ascii="Times New Roman" w:cs="Times New Roman" w:eastAsia="Times New Roman" w:hAnsi="Times New Roman"/>
          <w:sz w:val="18"/>
          <w:szCs w:val="18"/>
          <w:color w:val="auto"/>
        </w:rPr>
      </w:pPr>
    </w:p>
    <w:p>
      <w:pPr>
        <w:ind w:left="328" w:right="1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entered into a commitment letter (as amended by that certain Amendment No. 1 thereto,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pursuant to which the Debt Commitment Parties committed to provide, subject to certain conditions, a senior secured bridge facility of up to $54 billion for purposes of financing Paramount’s acquisition of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414020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1" w:name="page12"/>
    <w:bookmarkEnd w:id="11"/>
    <w:p>
      <w:pPr>
        <w:ind w:left="328" w:right="240" w:hanging="328"/>
        <w:spacing w:after="0" w:line="312" w:lineRule="auto"/>
        <w:tabs>
          <w:tab w:leader="none" w:pos="32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reference to the “Paramount/Warner Bros. Merger Agreement” in the subsection “Debt Facility” under the section of the Offer to Purchase entitled “Source and Amount of Funds” is hereby amended and replaced to read “December 22 Paramount/Warner Bros. Merger Agreement”.</w:t>
      </w:r>
    </w:p>
    <w:p>
      <w:pPr>
        <w:spacing w:after="0" w:line="139" w:lineRule="exact"/>
        <w:rPr>
          <w:rFonts w:ascii="Times New Roman" w:cs="Times New Roman" w:eastAsia="Times New Roman" w:hAnsi="Times New Roman"/>
          <w:sz w:val="17"/>
          <w:szCs w:val="17"/>
          <w:color w:val="auto"/>
        </w:rPr>
      </w:pPr>
    </w:p>
    <w:p>
      <w:pPr>
        <w:ind w:left="328" w:right="80"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subsections “Equity Financing”, “Subscription Agreements”, “Equity Commitment Letter” and “Limited Guarantee” under the section of the Offer to Purchase entitled “Source and Amount of Funds” are hereby amended and restated in their entirety as follows:</w:t>
      </w:r>
    </w:p>
    <w:p>
      <w:pPr>
        <w:spacing w:after="0" w:line="15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Financing</w:t>
      </w:r>
    </w:p>
    <w:p>
      <w:pPr>
        <w:spacing w:after="0" w:line="227" w:lineRule="exact"/>
        <w:rPr>
          <w:rFonts w:ascii="Times New Roman" w:cs="Times New Roman" w:eastAsia="Times New Roman" w:hAnsi="Times New Roman"/>
          <w:sz w:val="18"/>
          <w:szCs w:val="18"/>
          <w:color w:val="auto"/>
        </w:rPr>
      </w:pPr>
    </w:p>
    <w:p>
      <w:pPr>
        <w:ind w:left="328"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debt commitments, Paramount will enter into certain equity financing arrangements prior to or substantially concurrently with the entry into the December 22 Paramount/Warner Bros. Merger Agreement.</w:t>
      </w:r>
    </w:p>
    <w:p>
      <w:pPr>
        <w:spacing w:after="0" w:line="15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Agreements</w:t>
      </w:r>
    </w:p>
    <w:p>
      <w:pPr>
        <w:spacing w:after="0" w:line="227" w:lineRule="exact"/>
        <w:rPr>
          <w:rFonts w:ascii="Times New Roman" w:cs="Times New Roman" w:eastAsia="Times New Roman" w:hAnsi="Times New Roman"/>
          <w:sz w:val="18"/>
          <w:szCs w:val="18"/>
          <w:color w:val="auto"/>
        </w:rPr>
      </w:pPr>
    </w:p>
    <w:p>
      <w:pPr>
        <w:ind w:left="328"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concurrently with the execution of the December 22 Paramount/Warner Bros. Merger Agreement, Paramount and each of the Ellison Trust and RedBird Capital Partners Fund IV (Master), L.P. (the “</w:t>
      </w:r>
      <w:r>
        <w:rPr>
          <w:rFonts w:ascii="Times New Roman" w:cs="Times New Roman" w:eastAsia="Times New Roman" w:hAnsi="Times New Roman"/>
          <w:sz w:val="18"/>
          <w:szCs w:val="18"/>
          <w:b w:val="1"/>
          <w:bCs w:val="1"/>
          <w:color w:val="auto"/>
        </w:rPr>
        <w:t>RedBird Investor</w:t>
      </w:r>
      <w:r>
        <w:rPr>
          <w:rFonts w:ascii="Times New Roman" w:cs="Times New Roman" w:eastAsia="Times New Roman" w:hAnsi="Times New Roman"/>
          <w:sz w:val="18"/>
          <w:szCs w:val="18"/>
          <w:color w:val="auto"/>
        </w:rPr>
        <w:t>” and together with the Ellison Trust (in this capacity), the “</w:t>
      </w:r>
      <w:r>
        <w:rPr>
          <w:rFonts w:ascii="Times New Roman" w:cs="Times New Roman" w:eastAsia="Times New Roman" w:hAnsi="Times New Roman"/>
          <w:sz w:val="18"/>
          <w:szCs w:val="18"/>
          <w:b w:val="1"/>
          <w:bCs w:val="1"/>
          <w:color w:val="auto"/>
        </w:rPr>
        <w:t>PIPE Equity Investors</w:t>
      </w:r>
      <w:r>
        <w:rPr>
          <w:rFonts w:ascii="Times New Roman" w:cs="Times New Roman" w:eastAsia="Times New Roman" w:hAnsi="Times New Roman"/>
          <w:sz w:val="18"/>
          <w:szCs w:val="18"/>
          <w:color w:val="auto"/>
        </w:rPr>
        <w:t>”) will enter into a subscription agreement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providing for a private placement investment in an aggregate amount of up to $40,650,000,000 in exchange for shares of Class B Common Stock, par value $0.001 per share (the “</w:t>
      </w:r>
      <w:r>
        <w:rPr>
          <w:rFonts w:ascii="Times New Roman" w:cs="Times New Roman" w:eastAsia="Times New Roman" w:hAnsi="Times New Roman"/>
          <w:sz w:val="18"/>
          <w:szCs w:val="18"/>
          <w:b w:val="1"/>
          <w:bCs w:val="1"/>
          <w:color w:val="auto"/>
        </w:rPr>
        <w:t>Paramount Class B Common Stock</w:t>
      </w:r>
      <w:r>
        <w:rPr>
          <w:rFonts w:ascii="Times New Roman" w:cs="Times New Roman" w:eastAsia="Times New Roman" w:hAnsi="Times New Roman"/>
          <w:sz w:val="18"/>
          <w:szCs w:val="18"/>
          <w:color w:val="auto"/>
        </w:rPr>
        <w:t>”), of Paramount with the price per share to be determined by a special committee of the board of directors of Paramount (the “</w:t>
      </w:r>
      <w:r>
        <w:rPr>
          <w:rFonts w:ascii="Times New Roman" w:cs="Times New Roman" w:eastAsia="Times New Roman" w:hAnsi="Times New Roman"/>
          <w:sz w:val="18"/>
          <w:szCs w:val="18"/>
          <w:b w:val="1"/>
          <w:bCs w:val="1"/>
          <w:color w:val="auto"/>
        </w:rPr>
        <w:t>PIPE Transaction</w:t>
      </w:r>
      <w:r>
        <w:rPr>
          <w:rFonts w:ascii="Times New Roman" w:cs="Times New Roman" w:eastAsia="Times New Roman" w:hAnsi="Times New Roman"/>
          <w:sz w:val="18"/>
          <w:szCs w:val="18"/>
          <w:color w:val="auto"/>
        </w:rPr>
        <w:t>”). The closing of the PIPE Transaction is conditioned solely upon (i) the prior or substantially concurrent consummation of the Offer and (ii) the absence of a governmental law or order prohibiting consummation of the PIPE Transaction. The PIPE Transaction will occur substantially concurrently with the consummation of the Offer.</w:t>
      </w:r>
    </w:p>
    <w:p>
      <w:pPr>
        <w:spacing w:after="0" w:line="191" w:lineRule="exact"/>
        <w:rPr>
          <w:rFonts w:ascii="Times New Roman" w:cs="Times New Roman" w:eastAsia="Times New Roman" w:hAnsi="Times New Roman"/>
          <w:sz w:val="18"/>
          <w:szCs w:val="18"/>
          <w:color w:val="auto"/>
        </w:rPr>
      </w:pPr>
    </w:p>
    <w:p>
      <w:pPr>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under its Subscription Agreement, the Ellison Trust has committed to an additional private placement investment in exchange for shares of Paramount Class B Common Stock at the price per share to be determined by a special committee of the board of directors of Paramount of $5,800,000,000, representing the amount that Paramount would have to pay to Warner Bros. in respect of the Regulatory Termination Fee, if and when such fee becomes due and payable.</w:t>
      </w:r>
    </w:p>
    <w:p>
      <w:pPr>
        <w:spacing w:after="0" w:line="179" w:lineRule="exact"/>
        <w:rPr>
          <w:rFonts w:ascii="Times New Roman" w:cs="Times New Roman" w:eastAsia="Times New Roman" w:hAnsi="Times New Roman"/>
          <w:sz w:val="18"/>
          <w:szCs w:val="18"/>
          <w:color w:val="auto"/>
        </w:rPr>
      </w:pPr>
    </w:p>
    <w:p>
      <w:pPr>
        <w:ind w:left="328"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Ellison Trust has financial resources well in excess of what would be required to meet its financial obligations under the Subscription Agreement, including, among many other assets and financial resources available to it, record and beneficial ownership of approximately 1.16 billion shares of Oracle stock with a market value of approximately $252 billion as of the date of this Offer to Purchase. As has been previously disclosed in public filings, the Ellison Trust provided an equity commitment in the Paramount-Skydance combination (which information is publicly available on filings with the SEC and FCC), publicly files information about its sale of Oracle stock with the SEC on Form 144, and has publicly participated in other major transactions such as the take private of Twitter among others.</w:t>
      </w:r>
    </w:p>
    <w:p>
      <w:pPr>
        <w:spacing w:after="0" w:line="18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Ellison Guarantee</w:t>
      </w:r>
    </w:p>
    <w:p>
      <w:pPr>
        <w:spacing w:after="0" w:line="2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Ellison Trust’s Subscription Agreement, the Ellison Trust and Mr. Larry Ellison (collectively, the</w:t>
      </w:r>
    </w:p>
    <w:p>
      <w:pPr>
        <w:spacing w:after="0" w:line="27" w:lineRule="exact"/>
        <w:rPr>
          <w:rFonts w:ascii="Times New Roman" w:cs="Times New Roman" w:eastAsia="Times New Roman" w:hAnsi="Times New Roman"/>
          <w:sz w:val="18"/>
          <w:szCs w:val="18"/>
          <w:color w:val="auto"/>
        </w:rPr>
      </w:pPr>
    </w:p>
    <w:p>
      <w:pPr>
        <w:ind w:left="328"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will execute and deliver a guarantee (the “</w:t>
      </w:r>
      <w:r>
        <w:rPr>
          <w:rFonts w:ascii="Times New Roman" w:cs="Times New Roman" w:eastAsia="Times New Roman" w:hAnsi="Times New Roman"/>
          <w:sz w:val="18"/>
          <w:szCs w:val="18"/>
          <w:b w:val="1"/>
          <w:bCs w:val="1"/>
          <w:color w:val="auto"/>
        </w:rPr>
        <w:t>Ellison Guarantee</w:t>
      </w:r>
      <w:r>
        <w:rPr>
          <w:rFonts w:ascii="Times New Roman" w:cs="Times New Roman" w:eastAsia="Times New Roman" w:hAnsi="Times New Roman"/>
          <w:sz w:val="18"/>
          <w:szCs w:val="18"/>
          <w:color w:val="auto"/>
        </w:rPr>
        <w:t>”) in favor of Warner Bros. The Guarantors absolutely, irrevocably and unconditionally guarantee, on the terms and conditions set forth in the Ellison Guarantee, the due and punctual payment, performance and discharge, if and when due, of (1) the funding of $40.4 billion of the Merger Consideration (as defined in the December 22 Paramount/Warner Bros. Merger Agreement), (2) any monetary damages payable by Paramount under the December 22 Paramount/Warner Bros. Merger Agreement and (3) the Regulatory Termination Fee (as defined in the December 22 Paramount/Warner Bros.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421640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04" w:right="379" w:bottom="1440" w:gutter="0" w:footer="0" w:header="0"/>
        </w:sectPr>
      </w:pPr>
    </w:p>
    <w:bookmarkStart w:id="12" w:name="page13"/>
    <w:bookmarkEnd w:id="12"/>
    <w:p>
      <w:pPr>
        <w:ind w:left="328" w:right="400"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the last paragraph of the section of the Offer to Purchase entitled “Terms of the Offer” is hereby amended and restated as follows:</w:t>
      </w:r>
    </w:p>
    <w:p>
      <w:pPr>
        <w:spacing w:after="0" w:line="161" w:lineRule="exact"/>
        <w:rPr>
          <w:rFonts w:ascii="Times New Roman" w:cs="Times New Roman" w:eastAsia="Times New Roman" w:hAnsi="Times New Roman"/>
          <w:sz w:val="18"/>
          <w:szCs w:val="18"/>
          <w:color w:val="auto"/>
        </w:rPr>
      </w:pPr>
    </w:p>
    <w:p>
      <w:pPr>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 and the Letter of Transmittal will be mailed, transmitted or otherwise made available to record holders of Shares whose names appear on Warner Bros.’s stockholder list and will be furnished, for subsequent transmittal to beneficial owners of Shares, to brokers, dealers, banks, trust companies and similar persons whose names, or the names of whose nominees, appear on the stockholder list, or if applicable, who are listed as participants in a clearing agency’s security position listing.</w:t>
      </w:r>
    </w:p>
    <w:p>
      <w:pPr>
        <w:spacing w:after="0" w:line="179" w:lineRule="exact"/>
        <w:rPr>
          <w:rFonts w:ascii="Times New Roman" w:cs="Times New Roman" w:eastAsia="Times New Roman" w:hAnsi="Times New Roman"/>
          <w:sz w:val="18"/>
          <w:szCs w:val="18"/>
          <w:color w:val="auto"/>
        </w:rPr>
      </w:pPr>
    </w:p>
    <w:p>
      <w:pPr>
        <w:ind w:left="328" w:right="880"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Offer to Purchase entitled “Background of the Offer; Other Transactions with Warner Bros.” is hereby amended and supplemented by adding the following paragraphs at the end of the section:</w:t>
      </w:r>
    </w:p>
    <w:p>
      <w:pPr>
        <w:spacing w:after="0" w:line="161" w:lineRule="exact"/>
        <w:rPr>
          <w:rFonts w:ascii="Times New Roman" w:cs="Times New Roman" w:eastAsia="Times New Roman" w:hAnsi="Times New Roman"/>
          <w:sz w:val="18"/>
          <w:szCs w:val="18"/>
          <w:color w:val="auto"/>
        </w:rPr>
      </w:pPr>
    </w:p>
    <w:p>
      <w:pPr>
        <w:ind w:left="328"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Shortly thereafter, on December 8, 2025, Larry Ellison and David Ellison, as the ultimate parent entities of Paramount, submitted premerger notification filings under the HSR Act to begin U.S. antitrust review in connection with the Offer.</w:t>
      </w:r>
    </w:p>
    <w:p>
      <w:pPr>
        <w:spacing w:after="0" w:line="16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 in the day on December 8, 2025, Warner Bros. issued a “stop, look and listen” press release with respect to the December 8 Offer.</w:t>
      </w:r>
    </w:p>
    <w:p>
      <w:pPr>
        <w:spacing w:after="0" w:line="225" w:lineRule="exact"/>
        <w:rPr>
          <w:rFonts w:ascii="Times New Roman" w:cs="Times New Roman" w:eastAsia="Times New Roman" w:hAnsi="Times New Roman"/>
          <w:sz w:val="18"/>
          <w:szCs w:val="18"/>
          <w:color w:val="auto"/>
        </w:rPr>
      </w:pPr>
    </w:p>
    <w:p>
      <w:pPr>
        <w:ind w:left="328"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8, 2025, Paramount sent Warner Bros. a letter under Section 220 of the DGCL requesting Warner Bros. stockholder information, to which Warner Bros. responded on December 15, 2025.</w:t>
      </w:r>
    </w:p>
    <w:p>
      <w:pPr>
        <w:spacing w:after="0" w:line="159" w:lineRule="exact"/>
        <w:rPr>
          <w:rFonts w:ascii="Times New Roman" w:cs="Times New Roman" w:eastAsia="Times New Roman" w:hAnsi="Times New Roman"/>
          <w:sz w:val="18"/>
          <w:szCs w:val="18"/>
          <w:color w:val="auto"/>
        </w:rPr>
      </w:pPr>
    </w:p>
    <w:p>
      <w:pPr>
        <w:ind w:left="328" w:right="8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9, 2025, Paramount published a summary advertisement with respect to the Offer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commencing the Offer under Exchange Act rules.</w:t>
      </w:r>
    </w:p>
    <w:p>
      <w:pPr>
        <w:spacing w:after="0" w:line="160" w:lineRule="exact"/>
        <w:rPr>
          <w:rFonts w:ascii="Times New Roman" w:cs="Times New Roman" w:eastAsia="Times New Roman" w:hAnsi="Times New Roman"/>
          <w:sz w:val="18"/>
          <w:szCs w:val="18"/>
          <w:color w:val="auto"/>
        </w:rPr>
      </w:pPr>
    </w:p>
    <w:p>
      <w:pPr>
        <w:ind w:left="328" w:right="6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On December 10, 2025, Paramount issued a press release containing the following letter from David Ellison to Warner Bros. shareholders outlining the reasons that the December 8 Offer was superior to the transactions contemplated by the Netflix Merger Agreement:</w:t>
      </w:r>
    </w:p>
    <w:p>
      <w:pPr>
        <w:spacing w:after="0" w:line="13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Dear Warner Bros. Discovery Shareholder:</w:t>
      </w:r>
    </w:p>
    <w:p>
      <w:pPr>
        <w:spacing w:after="0" w:line="225" w:lineRule="exact"/>
        <w:rPr>
          <w:rFonts w:ascii="Times New Roman" w:cs="Times New Roman" w:eastAsia="Times New Roman" w:hAnsi="Times New Roman"/>
          <w:sz w:val="18"/>
          <w:szCs w:val="18"/>
          <w:color w:val="auto"/>
        </w:rPr>
      </w:pPr>
    </w:p>
    <w:p>
      <w:pPr>
        <w:ind w:left="328" w:right="4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Paramount began pursuing Warner Bros. Discovery ("WBD") because we, along with our partner RedBird Capital, believe we are the best stewards not only to build long-term value for the asset but also delight audiences and help cultivate a more vibrant creative community. We funded, founded and then merged Skydance with Paramount and know the sacrifices and investment it takes to capitalize and grow a media business. I am passionate and dedicated to this pursuit, committed to putting my own money in, and that is why I am writing to you today.</w:t>
      </w:r>
    </w:p>
    <w:p>
      <w:pPr>
        <w:spacing w:after="0" w:line="164" w:lineRule="exact"/>
        <w:rPr>
          <w:rFonts w:ascii="Times New Roman" w:cs="Times New Roman" w:eastAsia="Times New Roman" w:hAnsi="Times New Roman"/>
          <w:sz w:val="18"/>
          <w:szCs w:val="18"/>
          <w:color w:val="auto"/>
        </w:rPr>
      </w:pPr>
    </w:p>
    <w:p>
      <w:pPr>
        <w:ind w:left="328" w:right="10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the past 12 weeks, Paramount presented six proposals to the WBD Board of Directors and management to acquire all of WBD. On Monday, we launched a $30.00 per share all-cash tender offer to present our superior transaction to you directly.</w:t>
      </w:r>
    </w:p>
    <w:p>
      <w:pPr>
        <w:spacing w:after="0" w:line="158" w:lineRule="exact"/>
        <w:rPr>
          <w:rFonts w:ascii="Times New Roman" w:cs="Times New Roman" w:eastAsia="Times New Roman" w:hAnsi="Times New Roman"/>
          <w:sz w:val="18"/>
          <w:szCs w:val="18"/>
          <w:color w:val="auto"/>
        </w:rPr>
      </w:pPr>
    </w:p>
    <w:p>
      <w:pPr>
        <w:ind w:left="328" w:right="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tender offer documents filed with the Securities and Exchange Commission include the complete bid package we submitted to the WBD Board of Directors on December 4. We want you to see firsthand what Paramount proposed and what we, along with our equity and debt financing partners, were prepared to execute on that very day.</w:t>
      </w:r>
    </w:p>
    <w:p>
      <w:pPr>
        <w:spacing w:after="0" w:line="173" w:lineRule="exact"/>
        <w:rPr>
          <w:rFonts w:ascii="Times New Roman" w:cs="Times New Roman" w:eastAsia="Times New Roman" w:hAnsi="Times New Roman"/>
          <w:sz w:val="18"/>
          <w:szCs w:val="18"/>
          <w:color w:val="auto"/>
        </w:rPr>
      </w:pPr>
    </w:p>
    <w:p>
      <w:pPr>
        <w:jc w:val="both"/>
        <w:ind w:left="328" w:right="2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 xml:space="preserve">Our public offer – identical to the terms we presented to WBD privately – delivers superior value and a faster, more certain path to completion than the transaction announced with Netflix. </w:t>
      </w:r>
      <w:r>
        <w:rPr>
          <w:rFonts w:ascii="Times New Roman" w:cs="Times New Roman" w:eastAsia="Times New Roman" w:hAnsi="Times New Roman"/>
          <w:sz w:val="17"/>
          <w:szCs w:val="17"/>
          <w:b w:val="1"/>
          <w:bCs w:val="1"/>
          <w:i w:val="1"/>
          <w:iCs w:val="1"/>
          <w:color w:val="auto"/>
        </w:rPr>
        <w:t>IT IS NOT TOO LATE TO REALIZE THE BENEFITS OF PARAMOUNT'S PROPOSAL IF</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CHOOSE TO ACT NOW AND TENDER YOUR SHARES.</w:t>
      </w:r>
    </w:p>
    <w:p>
      <w:pPr>
        <w:spacing w:after="0" w:line="20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Paramount's $30.00 All-Cash Offer for All of WBD Delivers Greater Value Than Netflix</w:t>
      </w:r>
    </w:p>
    <w:p>
      <w:pPr>
        <w:spacing w:after="0" w:line="225" w:lineRule="exact"/>
        <w:rPr>
          <w:rFonts w:ascii="Times New Roman" w:cs="Times New Roman" w:eastAsia="Times New Roman" w:hAnsi="Times New Roman"/>
          <w:sz w:val="18"/>
          <w:szCs w:val="18"/>
          <w:color w:val="auto"/>
        </w:rPr>
      </w:pPr>
    </w:p>
    <w:p>
      <w:pPr>
        <w:ind w:left="328" w:right="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offer is financially superior to Netflix's transaction, which </w:t>
      </w:r>
      <w:r>
        <w:rPr>
          <w:rFonts w:ascii="Times New Roman" w:cs="Times New Roman" w:eastAsia="Times New Roman" w:hAnsi="Times New Roman"/>
          <w:sz w:val="18"/>
          <w:szCs w:val="18"/>
          <w:b w:val="1"/>
          <w:bCs w:val="1"/>
          <w:i w:val="1"/>
          <w:iCs w:val="1"/>
          <w:color w:val="auto"/>
        </w:rPr>
        <w:t>provides WBD shareholders with lower value, less cash and significantly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certainty</w:t>
      </w:r>
      <w:r>
        <w:rPr>
          <w:rFonts w:ascii="Times New Roman" w:cs="Times New Roman" w:eastAsia="Times New Roman" w:hAnsi="Times New Roman"/>
          <w:sz w:val="18"/>
          <w:szCs w:val="18"/>
          <w:i w:val="1"/>
          <w:iCs w:val="1"/>
          <w:color w:val="auto"/>
        </w:rPr>
        <w:t>. On its face, Netflix is offering WBD shareholders $23.25 per share in cash, $4.50 in stock and a share in WBD's Global Networks spin-off. In reality, however, the total value is materially lower than advertised: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414020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13" w:name="page14"/>
    <w:bookmarkEnd w:id="13"/>
    <w:p>
      <w:pPr>
        <w:ind w:left="324" w:hanging="324"/>
        <w:spacing w:after="0"/>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Netflix's cash component is ~$18 billion lower than Paramount's </w:t>
      </w:r>
      <w:r>
        <w:rPr>
          <w:rFonts w:ascii="Times New Roman" w:cs="Times New Roman" w:eastAsia="Times New Roman" w:hAnsi="Times New Roman"/>
          <w:sz w:val="18"/>
          <w:szCs w:val="18"/>
          <w:i w:val="1"/>
          <w:iCs w:val="1"/>
          <w:color w:val="auto"/>
        </w:rPr>
        <w:t>in the aggregate (~$7 per share).</w:t>
      </w:r>
    </w:p>
    <w:p>
      <w:pPr>
        <w:spacing w:after="0" w:line="225" w:lineRule="exact"/>
        <w:rPr>
          <w:rFonts w:ascii="Times New Roman" w:cs="Times New Roman" w:eastAsia="Times New Roman" w:hAnsi="Times New Roman"/>
          <w:sz w:val="18"/>
          <w:szCs w:val="18"/>
          <w:color w:val="auto"/>
        </w:rPr>
      </w:pPr>
    </w:p>
    <w:p>
      <w:pPr>
        <w:ind w:left="324" w:right="700" w:hanging="324"/>
        <w:spacing w:after="0" w:line="286"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Netflix's stock price closed at $96.71 on Tuesday and, as of this writing, is trading at $93.81, </w:t>
      </w:r>
      <w:r>
        <w:rPr>
          <w:rFonts w:ascii="Times New Roman" w:cs="Times New Roman" w:eastAsia="Times New Roman" w:hAnsi="Times New Roman"/>
          <w:sz w:val="18"/>
          <w:szCs w:val="18"/>
          <w:b w:val="1"/>
          <w:bCs w:val="1"/>
          <w:i w:val="1"/>
          <w:iCs w:val="1"/>
          <w:color w:val="auto"/>
        </w:rPr>
        <w:t>more than $4 below the low-end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collar </w:t>
      </w:r>
      <w:r>
        <w:rPr>
          <w:rFonts w:ascii="Times New Roman" w:cs="Times New Roman" w:eastAsia="Times New Roman" w:hAnsi="Times New Roman"/>
          <w:sz w:val="18"/>
          <w:szCs w:val="18"/>
          <w:i w:val="1"/>
          <w:iCs w:val="1"/>
          <w:color w:val="auto"/>
        </w:rPr>
        <w:t>on its stock consideration. This reduces the value of Netflix's offer.</w:t>
      </w:r>
    </w:p>
    <w:p>
      <w:pPr>
        <w:spacing w:after="0" w:line="156" w:lineRule="exact"/>
        <w:rPr>
          <w:rFonts w:ascii="Times New Roman" w:cs="Times New Roman" w:eastAsia="Times New Roman" w:hAnsi="Times New Roman"/>
          <w:sz w:val="18"/>
          <w:szCs w:val="18"/>
          <w:color w:val="auto"/>
        </w:rPr>
      </w:pPr>
    </w:p>
    <w:p>
      <w:pPr>
        <w:ind w:left="324" w:right="220" w:hanging="324"/>
        <w:spacing w:after="0" w:line="261"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During the pendency of a regulatory review process that could take two years or more, WBD shareholders will be exposed to Netflix stock's downside risk, including technology sector volatility, a lofty ~25x forward EBITDA multiple and the uncertainty of seven future quarterly earnings results. For reference, </w:t>
      </w:r>
      <w:r>
        <w:rPr>
          <w:rFonts w:ascii="Times New Roman" w:cs="Times New Roman" w:eastAsia="Times New Roman" w:hAnsi="Times New Roman"/>
          <w:sz w:val="18"/>
          <w:szCs w:val="18"/>
          <w:b w:val="1"/>
          <w:bCs w:val="1"/>
          <w:i w:val="1"/>
          <w:iCs w:val="1"/>
          <w:color w:val="auto"/>
        </w:rPr>
        <w:t>Netflix has lost approximately one quarter of its market capitalization ($110+ billion) since its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quarterly earnings report and amid its pursuit of WBD.</w:t>
      </w:r>
    </w:p>
    <w:p>
      <w:pPr>
        <w:spacing w:after="0" w:line="177" w:lineRule="exact"/>
        <w:rPr>
          <w:rFonts w:ascii="Times New Roman" w:cs="Times New Roman" w:eastAsia="Times New Roman" w:hAnsi="Times New Roman"/>
          <w:sz w:val="18"/>
          <w:szCs w:val="18"/>
          <w:color w:val="auto"/>
        </w:rPr>
      </w:pPr>
    </w:p>
    <w:p>
      <w:pPr>
        <w:ind w:left="324" w:right="40" w:hanging="324"/>
        <w:spacing w:after="0" w:line="268"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Buried in an 8-K filing on Friday was a </w:t>
      </w:r>
      <w:r>
        <w:rPr>
          <w:rFonts w:ascii="Times New Roman" w:cs="Times New Roman" w:eastAsia="Times New Roman" w:hAnsi="Times New Roman"/>
          <w:sz w:val="18"/>
          <w:szCs w:val="18"/>
          <w:b w:val="1"/>
          <w:bCs w:val="1"/>
          <w:i w:val="1"/>
          <w:iCs w:val="1"/>
          <w:color w:val="auto"/>
        </w:rPr>
        <w:t>mechanism providing a dollar-for-dollar reduction in the purchase price</w:t>
      </w:r>
      <w:r>
        <w:rPr>
          <w:rFonts w:ascii="Times New Roman" w:cs="Times New Roman" w:eastAsia="Times New Roman" w:hAnsi="Times New Roman"/>
          <w:sz w:val="18"/>
          <w:szCs w:val="18"/>
          <w:i w:val="1"/>
          <w:iCs w:val="1"/>
          <w:color w:val="auto"/>
        </w:rPr>
        <w:t xml:space="preserve"> if more debt gets allocated to Streaming &amp; Studios because of an unspecified cap on Global Networks. While the limit is undisclosed, every $1 billion above it could represent a reduction of ~$0.40 / share.</w:t>
      </w:r>
    </w:p>
    <w:p>
      <w:pPr>
        <w:spacing w:after="0" w:line="170" w:lineRule="exact"/>
        <w:rPr>
          <w:rFonts w:ascii="Times New Roman" w:cs="Times New Roman" w:eastAsia="Times New Roman" w:hAnsi="Times New Roman"/>
          <w:sz w:val="18"/>
          <w:szCs w:val="18"/>
          <w:color w:val="auto"/>
        </w:rPr>
      </w:pPr>
    </w:p>
    <w:p>
      <w:pPr>
        <w:ind w:left="324" w:right="40" w:hanging="324"/>
        <w:spacing w:after="0" w:line="278" w:lineRule="auto"/>
        <w:tabs>
          <w:tab w:leader="none" w:pos="32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Netflix's transaction leaves </w:t>
      </w:r>
      <w:r>
        <w:rPr>
          <w:rFonts w:ascii="Times New Roman" w:cs="Times New Roman" w:eastAsia="Times New Roman" w:hAnsi="Times New Roman"/>
          <w:sz w:val="17"/>
          <w:szCs w:val="17"/>
          <w:b w:val="1"/>
          <w:bCs w:val="1"/>
          <w:i w:val="1"/>
          <w:iCs w:val="1"/>
          <w:color w:val="auto"/>
        </w:rPr>
        <w:t>WBD shareholders with 100% of the risk of the Global Networks standalone plan</w:t>
      </w:r>
      <w:r>
        <w:rPr>
          <w:rFonts w:ascii="Times New Roman" w:cs="Times New Roman" w:eastAsia="Times New Roman" w:hAnsi="Times New Roman"/>
          <w:sz w:val="17"/>
          <w:szCs w:val="17"/>
          <w:i w:val="1"/>
          <w:iCs w:val="1"/>
          <w:color w:val="auto"/>
        </w:rPr>
        <w:t xml:space="preserve">. As outlined on our December 8 investor call, we believe </w:t>
      </w:r>
      <w:r>
        <w:rPr>
          <w:rFonts w:ascii="Times New Roman" w:cs="Times New Roman" w:eastAsia="Times New Roman" w:hAnsi="Times New Roman"/>
          <w:sz w:val="17"/>
          <w:szCs w:val="17"/>
          <w:b w:val="1"/>
          <w:bCs w:val="1"/>
          <w:i w:val="1"/>
          <w:iCs w:val="1"/>
          <w:color w:val="auto"/>
        </w:rPr>
        <w:t>Global Networks is worth ~$1</w:t>
      </w:r>
      <w:r>
        <w:rPr>
          <w:rFonts w:ascii="Times New Roman" w:cs="Times New Roman" w:eastAsia="Times New Roman" w:hAnsi="Times New Roman"/>
          <w:sz w:val="17"/>
          <w:szCs w:val="17"/>
          <w:i w:val="1"/>
          <w:iCs w:val="1"/>
          <w:color w:val="auto"/>
        </w:rPr>
        <w:t xml:space="preserve"> / share which would mean a </w:t>
      </w:r>
      <w:r>
        <w:rPr>
          <w:rFonts w:ascii="Times New Roman" w:cs="Times New Roman" w:eastAsia="Times New Roman" w:hAnsi="Times New Roman"/>
          <w:sz w:val="17"/>
          <w:szCs w:val="17"/>
          <w:b w:val="1"/>
          <w:bCs w:val="1"/>
          <w:i w:val="1"/>
          <w:iCs w:val="1"/>
          <w:color w:val="auto"/>
        </w:rPr>
        <w:t>total headline value to WBD shareholders in</w:t>
      </w:r>
    </w:p>
    <w:p>
      <w:pPr>
        <w:spacing w:after="0" w:line="1" w:lineRule="exact"/>
        <w:rPr>
          <w:rFonts w:ascii="Times New Roman" w:cs="Times New Roman" w:eastAsia="Times New Roman" w:hAnsi="Times New Roman"/>
          <w:sz w:val="17"/>
          <w:szCs w:val="17"/>
          <w:color w:val="auto"/>
        </w:rPr>
      </w:pPr>
    </w:p>
    <w:p>
      <w:pPr>
        <w:ind w:left="324" w:right="400"/>
        <w:spacing w:after="0" w:line="22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the Netflix deal of $28.75 – below our $30.00 all-cash offer</w:t>
      </w:r>
      <w:r>
        <w:rPr>
          <w:rFonts w:ascii="Times New Roman" w:cs="Times New Roman" w:eastAsia="Times New Roman" w:hAnsi="Times New Roman"/>
          <w:sz w:val="18"/>
          <w:szCs w:val="18"/>
          <w:i w:val="1"/>
          <w:iCs w:val="1"/>
          <w:color w:val="auto"/>
        </w:rPr>
        <w:t>. This is before any risk adjustments described above and any time-value-of-money discounting of Netflix's offer to account for the substantially longer timeline to close (~$1.25 / share for every six months).</w:t>
      </w:r>
      <w:r>
        <w:rPr>
          <w:rFonts w:ascii="Times New Roman" w:cs="Times New Roman" w:eastAsia="Times New Roman" w:hAnsi="Times New Roman"/>
          <w:sz w:val="29"/>
          <w:szCs w:val="29"/>
          <w:b w:val="1"/>
          <w:bCs w:val="1"/>
          <w:i w:val="1"/>
          <w:iCs w:val="1"/>
          <w:color w:val="auto"/>
          <w:vertAlign w:val="superscript"/>
        </w:rPr>
        <w:t>1</w:t>
      </w:r>
      <w:r>
        <w:rPr>
          <w:rFonts w:ascii="Times New Roman" w:cs="Times New Roman" w:eastAsia="Times New Roman" w:hAnsi="Times New Roman"/>
          <w:sz w:val="18"/>
          <w:szCs w:val="18"/>
          <w:i w:val="1"/>
          <w:iCs w:val="1"/>
          <w:color w:val="auto"/>
        </w:rPr>
        <w:t xml:space="preserve"> In addition, the Netflix transaction would further exacerbate the decline of Global Networks.</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Paramount Has Air Tight Financing to Deliver on its Offer to You</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Paramount has lined up all necessary financing to deliver its $30.00 per share all-cash offer to WBD shareholders.</w:t>
      </w:r>
    </w:p>
    <w:p>
      <w:pPr>
        <w:spacing w:after="0" w:line="227" w:lineRule="exact"/>
        <w:rPr>
          <w:sz w:val="20"/>
          <w:szCs w:val="20"/>
          <w:color w:val="auto"/>
        </w:rPr>
      </w:pPr>
    </w:p>
    <w:p>
      <w:pPr>
        <w:ind w:left="4" w:right="340"/>
        <w:spacing w:after="0" w:line="262" w:lineRule="auto"/>
        <w:rPr>
          <w:sz w:val="20"/>
          <w:szCs w:val="20"/>
          <w:color w:val="auto"/>
        </w:rPr>
      </w:pPr>
      <w:r>
        <w:rPr>
          <w:rFonts w:ascii="Times New Roman" w:cs="Times New Roman" w:eastAsia="Times New Roman" w:hAnsi="Times New Roman"/>
          <w:sz w:val="18"/>
          <w:szCs w:val="18"/>
          <w:i w:val="1"/>
          <w:iCs w:val="1"/>
          <w:color w:val="auto"/>
        </w:rPr>
        <w:t>As presented to the WBD Board, Paramount's offer is not subject to any financing conditions and will be financed by $41 billion of new equity backstopped by the Ellison family and RedBird Capital and $54 billion of debt commitments from Bank of America, Citi and Apollo.</w:t>
      </w:r>
    </w:p>
    <w:p>
      <w:pPr>
        <w:ind w:left="4" w:right="140"/>
        <w:spacing w:after="0" w:line="252" w:lineRule="auto"/>
        <w:rPr>
          <w:sz w:val="20"/>
          <w:szCs w:val="20"/>
          <w:color w:val="auto"/>
        </w:rPr>
      </w:pPr>
      <w:r>
        <w:rPr>
          <w:rFonts w:ascii="Times New Roman" w:cs="Times New Roman" w:eastAsia="Times New Roman" w:hAnsi="Times New Roman"/>
          <w:sz w:val="18"/>
          <w:szCs w:val="18"/>
          <w:i w:val="1"/>
          <w:iCs w:val="1"/>
          <w:color w:val="auto"/>
        </w:rPr>
        <w:t>On December 3, WBD told us they wanted an Ellison family backstop on our equity financing. We delivered it to them less than 24 hours later. Our December 4 offer included an equity commitment from the Ellison family trust, which contains over $250 billion of assets (more than 6x the equity funding commitment) including approximately 1.16 billion Oracle shares and tens of billions of dollars in other assets. This information is publicly available; and, notably, the trust has been a counterparty in other completed public company transactions including for Twitter, which involved one of WBD's advisors. In fact, the equity commitment papers submitted to WBD were identical in all material respects to commitments that the advisors to WBD had agreed to in other large transactions such as Twitter and Electronic Arts.</w:t>
      </w:r>
    </w:p>
    <w:p>
      <w:pPr>
        <w:spacing w:after="0" w:line="186"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To suggest that we are not "good for the money" (or might commit fraud to try to escape our obligations), as certain reports have speculated, is absurd. That absurdity is underscored by the fact that WBD and its advisors never picked up the phone or typed out a responsive text or email to raise any question or concern or to seek any clarification about either the trust or our equity commitment papers.</w:t>
      </w:r>
    </w:p>
    <w:p>
      <w:pPr>
        <w:ind w:left="4" w:right="340"/>
        <w:spacing w:after="0" w:line="290" w:lineRule="auto"/>
        <w:rPr>
          <w:sz w:val="20"/>
          <w:szCs w:val="20"/>
          <w:color w:val="auto"/>
        </w:rPr>
      </w:pPr>
      <w:r>
        <w:rPr>
          <w:rFonts w:ascii="Times New Roman" w:cs="Times New Roman" w:eastAsia="Times New Roman" w:hAnsi="Times New Roman"/>
          <w:sz w:val="17"/>
          <w:szCs w:val="17"/>
          <w:i w:val="1"/>
          <w:iCs w:val="1"/>
          <w:color w:val="auto"/>
        </w:rPr>
        <w:t>Our debt commitments are not conditioned upon Paramount's financial condition nor is there any "material adverse change" condition tied to Paramount. The conditions dovetail with our proposed merger agreement, which provided maximum certainty to WBD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403225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Netflix Faces Severe Regulatory Uncertainty &amp; Closing Risk – Paramount Does Not</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Paramount's offer not only delivers superior value and certainty, but also a much shorter and more certain path to completion. </w:t>
      </w:r>
      <w:r>
        <w:rPr>
          <w:rFonts w:ascii="Times New Roman" w:cs="Times New Roman" w:eastAsia="Times New Roman" w:hAnsi="Times New Roman"/>
          <w:sz w:val="18"/>
          <w:szCs w:val="18"/>
          <w:i w:val="1"/>
          <w:iCs w:val="1"/>
          <w:color w:val="auto"/>
        </w:rPr>
        <w:t>To underscore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our confidence, we have already filed for Hart-Scott-Rodino (HSR) approval in the United States and announced the case to the European Commission, opening the path to pre-notification discussions. We look forward to working collaboratively with the relevant authorities to work through the review process and deliver this transaction to you and our other stakeholders.</w:t>
      </w:r>
    </w:p>
    <w:p>
      <w:pPr>
        <w:spacing w:after="0" w:line="17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WBD's transaction with Netflix, on the other hand, appears to be in for a long and bumpy ride as it navigates the global regulatory review process. </w:t>
      </w:r>
      <w:r>
        <w:rPr>
          <w:rFonts w:ascii="Times New Roman" w:cs="Times New Roman" w:eastAsia="Times New Roman" w:hAnsi="Times New Roman"/>
          <w:sz w:val="17"/>
          <w:szCs w:val="17"/>
          <w:i w:val="1"/>
          <w:iCs w:val="1"/>
          <w:color w:val="auto"/>
        </w:rPr>
        <w:t>Netflix is the #1 streaming business globally by subscriber count and HBO Max is #4. Combining these two yields an overwhelming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market share of ~43% – more than 2x the #2. This is in addition to the other serious competition concerns raised, including from vertically integrating WBD's film and TV production studios into Netflix, which will give Netflix greater leverage over theatrical exhibitors and creative talent alike. Notably, and as an indicator of its global dominance, Netflix's current equity market capitalization dwarfs that of all other major media companies and theatrical exhibitors combined (even after the above-mentioned $110+ billion loss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3574415" cy="2074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7441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Outside the United States, Netflix's regulatory path is particularly challenged in Europe where its dominance is far more entrenched. </w:t>
      </w:r>
      <w:r>
        <w:rPr>
          <w:rFonts w:ascii="Times New Roman" w:cs="Times New Roman" w:eastAsia="Times New Roman" w:hAnsi="Times New Roman"/>
          <w:sz w:val="17"/>
          <w:szCs w:val="17"/>
          <w:b w:val="1"/>
          <w:bCs w:val="1"/>
          <w:i w:val="1"/>
          <w:iCs w:val="1"/>
          <w:color w:val="auto"/>
        </w:rPr>
        <w:t>Our analysis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was conducted by the former deputies of merger enforcements for the European Commission and the U.K.'s Competition and Markets Authority</w:t>
      </w:r>
      <w:r>
        <w:rPr>
          <w:rFonts w:ascii="Times New Roman" w:cs="Times New Roman" w:eastAsia="Times New Roman" w:hAnsi="Times New Roman"/>
          <w:sz w:val="17"/>
          <w:szCs w:val="17"/>
          <w:i w:val="1"/>
          <w:iCs w:val="1"/>
          <w:color w:val="auto"/>
        </w:rPr>
        <w:t>. Netflix is by far the dominant streaming service in Europe, accounting for 51% of the total European OTT subscription revenue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2024, with Disney a distant second at only 10%. </w:t>
      </w:r>
      <w:r>
        <w:rPr>
          <w:rFonts w:ascii="Times New Roman" w:cs="Times New Roman" w:eastAsia="Times New Roman" w:hAnsi="Times New Roman"/>
          <w:sz w:val="17"/>
          <w:szCs w:val="17"/>
          <w:b w:val="1"/>
          <w:bCs w:val="1"/>
          <w:i w:val="1"/>
          <w:iCs w:val="1"/>
          <w:color w:val="auto"/>
        </w:rPr>
        <w:t>The acquisition of WBD's Streaming &amp; Studios business is a blatant attempt to eliminate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of Netflix's only viable international competitors in HBO Max</w:t>
      </w:r>
      <w:r>
        <w:rPr>
          <w:rFonts w:ascii="Times New Roman" w:cs="Times New Roman" w:eastAsia="Times New Roman" w:hAnsi="Times New Roman"/>
          <w:sz w:val="17"/>
          <w:szCs w:val="17"/>
          <w:i w:val="1"/>
          <w:iCs w:val="1"/>
          <w:color w:val="auto"/>
        </w:rPr>
        <w:t>. Market share analysis aside, Netflix also needs to satisfy Europe's new landmark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Digital Services Act and Digital Markets Act created for a situation precisely like this – protecting consumers from Big Tech overreach.</w:t>
      </w:r>
    </w:p>
    <w:p>
      <w:pPr>
        <w:spacing w:after="0" w:line="1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argument being advanced publicly by Netflix and its proxies states that regulators should ignore the SVOD market and instead utilize a gerrymandered market definition that includes services like YouTube, TikTok, Instagram, and Facebook. Netflix's claim boils down to trying to mask its dominance in SVOD by grouping together all internet-enabled video, media, social media, or otherwise. </w:t>
      </w:r>
      <w:r>
        <w:rPr>
          <w:rFonts w:ascii="Times New Roman" w:cs="Times New Roman" w:eastAsia="Times New Roman" w:hAnsi="Times New Roman"/>
          <w:sz w:val="18"/>
          <w:szCs w:val="18"/>
          <w:b w:val="1"/>
          <w:bCs w:val="1"/>
          <w:i w:val="1"/>
          <w:iCs w:val="1"/>
          <w:color w:val="auto"/>
        </w:rPr>
        <w:t>No regulator has ever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such a broad approach to market definition, and to do so would require regulators to give up on merger enforcement in media and social media alike.</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It is noteworthy that, unlike Paramount's willingness to agree to remedies up to a "material adverse effect" on the combined company, Netflix's regulatory remedy commitments expressly state no remedy whatsoever can be imposed on Netflix's business. Netflix also has a longer timeline — an "outside date" of 21 months. Paramount backed up its commitments with a $5 billion regulatory reverse termination fee. Netflix's incremental $800 million over that amount does not close the gap between the differences in regulatory complexity and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418465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0" w:right="359" w:bottom="1440" w:gutter="0" w:footer="0" w:header="0"/>
        </w:sectPr>
      </w:pPr>
    </w:p>
    <w:bookmarkStart w:id="15" w:name="page16"/>
    <w:bookmarkEnd w:id="15"/>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 the avoidance of doubt, our $6 billion synergy estimate does not rely on cuts to content budgets at our studios and we intend to continue running both separately post-close. </w:t>
      </w:r>
      <w:r>
        <w:rPr>
          <w:rFonts w:ascii="Times New Roman" w:cs="Times New Roman" w:eastAsia="Times New Roman" w:hAnsi="Times New Roman"/>
          <w:sz w:val="18"/>
          <w:szCs w:val="18"/>
          <w:i w:val="1"/>
          <w:iCs w:val="1"/>
          <w:color w:val="auto"/>
        </w:rPr>
        <w:t>Our synergy analysis relies on efficiencies elsewhere across the combined organization, including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linear networks optimization, and real estate rationalization. Having experienced what it is like to act in and produce films first-hand, I have profound respect for creative talent. This is why we are fully pro-Hollywood, dedicated to supporting a growing theatrical slate of over 30 films per year and investing in the people and storytelling that drive the industry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WBD's Murky Sale Process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Over the last few days, we have heard from WBD shareholders and other stakeholders all asking the same question—what happened? Frankly, we are asking the same question.</w:t>
      </w:r>
    </w:p>
    <w:p>
      <w:pPr>
        <w:spacing w:after="0" w:line="158"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The WBD sale "process" was unusual in that, over the entire period, its advisors never delivered to Paramount a single markup of any of our transaction documents—not our merger agreement nor our equity commitment documents. In addition, there was not a single "real time" negotiating session with us.</w:t>
      </w:r>
    </w:p>
    <w:p>
      <w:pPr>
        <w:spacing w:after="0" w:line="173"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When Paramount submitted its fifth proposal on December 1, a proposal accompanied by full transaction documents that we stated we were prepared to sign, we offered $26.50 / share in cash.</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On December 3, WBD provided feedback on Paramount's proposal and communicated that the WBD Board would be "meeting periodically over the course of this week" but they never asked for a re-bid (which is strange if your goal is to maximize value for shareholders). On that call, our advisors asked whether the WBD Board continued to prioritize cash consideration as they had consistently communicated to us. WBD's lead advisor's response: "Isn't cash </w:t>
      </w:r>
      <w:r>
        <w:rPr>
          <w:rFonts w:ascii="Times New Roman" w:cs="Times New Roman" w:eastAsia="Times New Roman" w:hAnsi="Times New Roman"/>
          <w:sz w:val="18"/>
          <w:szCs w:val="18"/>
          <w:i w:val="1"/>
          <w:iCs w:val="1"/>
          <w:u w:val="single" w:color="auto"/>
          <w:color w:val="auto"/>
        </w:rPr>
        <w:t>always</w:t>
      </w:r>
      <w:r>
        <w:rPr>
          <w:rFonts w:ascii="Times New Roman" w:cs="Times New Roman" w:eastAsia="Times New Roman" w:hAnsi="Times New Roman"/>
          <w:sz w:val="18"/>
          <w:szCs w:val="18"/>
          <w:i w:val="1"/>
          <w:iCs w:val="1"/>
          <w:color w:val="auto"/>
        </w:rPr>
        <w:t xml:space="preserve"> king?" One must ask: was that same message being delivered to Netflix?</w:t>
      </w:r>
    </w:p>
    <w:p>
      <w:pPr>
        <w:spacing w:after="0" w:line="180"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Despite the opaque process, Paramount proactively submitted a revised offer with full transaction documentation in under 24 hours (at 11:00 am ET on December 4) and stated that Paramount and our funding sources were ready to sign it immediately. This revised offer addressed </w:t>
      </w:r>
      <w:r>
        <w:rPr>
          <w:rFonts w:ascii="Times New Roman" w:cs="Times New Roman" w:eastAsia="Times New Roman" w:hAnsi="Times New Roman"/>
          <w:sz w:val="18"/>
          <w:szCs w:val="18"/>
          <w:b w:val="1"/>
          <w:bCs w:val="1"/>
          <w:i w:val="1"/>
          <w:iCs w:val="1"/>
          <w:color w:val="auto"/>
        </w:rPr>
        <w:t>all</w:t>
      </w:r>
      <w:r>
        <w:rPr>
          <w:rFonts w:ascii="Times New Roman" w:cs="Times New Roman" w:eastAsia="Times New Roman" w:hAnsi="Times New Roman"/>
          <w:sz w:val="18"/>
          <w:szCs w:val="18"/>
          <w:i w:val="1"/>
          <w:iCs w:val="1"/>
          <w:color w:val="auto"/>
        </w:rPr>
        <w:t xml:space="preserve"> of the scarce feedback that Paramount received.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Yet on that final pivotal day when WBD's fate hung in the balance, we received not a single call, text or email to clarify anything</w:t>
      </w:r>
    </w:p>
    <w:p>
      <w:pPr>
        <w:spacing w:after="0" w:line="29"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about Paramount's $30 per share all cash offer. Instead, and while in possession of our superior and fully committed bid and documents that entire day, the </w:t>
      </w:r>
      <w:r>
        <w:rPr>
          <w:rFonts w:ascii="Times New Roman" w:cs="Times New Roman" w:eastAsia="Times New Roman" w:hAnsi="Times New Roman"/>
          <w:sz w:val="18"/>
          <w:szCs w:val="18"/>
          <w:b w:val="1"/>
          <w:bCs w:val="1"/>
          <w:i w:val="1"/>
          <w:iCs w:val="1"/>
          <w:color w:val="auto"/>
        </w:rPr>
        <w:t>WBD Board and its advisors sprinted toward a deal with Netflix (even ignoring two separate texts from myself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and Paramount's advisors stating that we had never said "best and final").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WBD Shareholders Have the Power to Get WBD on the Right Path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proposal represents a compelling opportunity for WBD shareholders. We are committed to seeing this transaction through.</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Since Monday, we have had the opportunity to speak with a number of WBD shareholders who have expressed confusion and disappointment at the process that WBD conducted, which appears to have prioritized a deal with Netflix over shareholder value maximization. Multiple equity research notes published over the last 48 hours have also agreed that our offer is superior and that the Global Networks spin-off does not close the gap to $30.00 in cash.</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From here, you can expect WBD to respond to our tender offer within 10 business days via a 14D-9 filing with the SEC. Our tender offer will remain open for at least 20 business days. The closing of the tender offer is conditioned upon, among other things, a majority of WBD shares tendering in our favor, receipt of regulatory approvals, termination of the Netflix merger agreement and entry into a definitive merger agreement with us.</w:t>
      </w:r>
    </w:p>
    <w:p>
      <w:pPr>
        <w:spacing w:after="0" w:line="1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URGE YOU TO REGISTER YOUR VIEW WITH THE WBD BOARD THAT YOU DEEM PARAMOUNT'S OFFER TO BE SUPERIOR BY TENDERING YOUR SHARES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403860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6" w:name="page17"/>
    <w:bookmarkEnd w:id="16"/>
    <w:p>
      <w:pPr>
        <w:ind w:left="328"/>
        <w:spacing w:after="0"/>
        <w:rPr>
          <w:sz w:val="20"/>
          <w:szCs w:val="20"/>
          <w:color w:val="auto"/>
        </w:rPr>
      </w:pPr>
      <w:r>
        <w:rPr>
          <w:rFonts w:ascii="Times New Roman" w:cs="Times New Roman" w:eastAsia="Times New Roman" w:hAnsi="Times New Roman"/>
          <w:sz w:val="18"/>
          <w:szCs w:val="18"/>
          <w:i w:val="1"/>
          <w:iCs w:val="1"/>
          <w:color w:val="auto"/>
        </w:rPr>
        <w:t>Sincerely,</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David Ellison</w:t>
      </w:r>
    </w:p>
    <w:p>
      <w:pPr>
        <w:spacing w:after="0" w:line="2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pacing w:after="0" w:line="9" w:lineRule="exact"/>
        <w:rPr>
          <w:sz w:val="20"/>
          <w:szCs w:val="20"/>
          <w:color w:val="auto"/>
        </w:rPr>
      </w:pPr>
    </w:p>
    <w:p>
      <w:pPr>
        <w:jc w:val="center"/>
        <w:ind w:right="-387"/>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328" w:right="740"/>
        <w:spacing w:after="0" w:line="260" w:lineRule="auto"/>
        <w:rPr>
          <w:sz w:val="20"/>
          <w:szCs w:val="20"/>
          <w:color w:val="auto"/>
        </w:rPr>
      </w:pPr>
      <w:r>
        <w:rPr>
          <w:rFonts w:ascii="Times New Roman" w:cs="Times New Roman" w:eastAsia="Times New Roman" w:hAnsi="Times New Roman"/>
          <w:sz w:val="18"/>
          <w:szCs w:val="18"/>
          <w:color w:val="auto"/>
        </w:rPr>
        <w:t>Between December 12 and December 16, 2025, Paramount and Warner Bros. each certified the return or destruction of the other party’s confidential information.</w:t>
      </w:r>
    </w:p>
    <w:p>
      <w:pPr>
        <w:spacing w:after="0" w:line="181" w:lineRule="exact"/>
        <w:rPr>
          <w:sz w:val="20"/>
          <w:szCs w:val="20"/>
          <w:color w:val="auto"/>
        </w:rPr>
      </w:pPr>
    </w:p>
    <w:p>
      <w:pPr>
        <w:jc w:val="both"/>
        <w:ind w:left="328" w:right="160"/>
        <w:spacing w:after="0" w:line="266" w:lineRule="auto"/>
        <w:rPr>
          <w:sz w:val="20"/>
          <w:szCs w:val="20"/>
          <w:color w:val="auto"/>
        </w:rPr>
      </w:pPr>
      <w:r>
        <w:rPr>
          <w:rFonts w:ascii="Times New Roman" w:cs="Times New Roman" w:eastAsia="Times New Roman" w:hAnsi="Times New Roman"/>
          <w:sz w:val="18"/>
          <w:szCs w:val="18"/>
          <w:color w:val="auto"/>
        </w:rPr>
        <w:t>On December 17, 2025, Warner Bros. filed its solicitation/recommendation statement on Schedule 14D-9 with respect to the December 8 Offer (the “</w:t>
      </w:r>
      <w:r>
        <w:rPr>
          <w:rFonts w:ascii="Times New Roman" w:cs="Times New Roman" w:eastAsia="Times New Roman" w:hAnsi="Times New Roman"/>
          <w:sz w:val="18"/>
          <w:szCs w:val="18"/>
          <w:b w:val="1"/>
          <w:bCs w:val="1"/>
          <w:color w:val="auto"/>
        </w:rPr>
        <w:t>Warner Bros. 14D-9</w:t>
      </w:r>
      <w:r>
        <w:rPr>
          <w:rFonts w:ascii="Times New Roman" w:cs="Times New Roman" w:eastAsia="Times New Roman" w:hAnsi="Times New Roman"/>
          <w:sz w:val="18"/>
          <w:szCs w:val="18"/>
          <w:color w:val="auto"/>
        </w:rPr>
        <w:t>”). The Warner Bros. 14D-9 contained a number of materially misleading statements regarding the Offer and the sale “process” conducted by Warner Bros., including:</w:t>
      </w:r>
    </w:p>
    <w:p>
      <w:pPr>
        <w:spacing w:after="0" w:line="174" w:lineRule="exact"/>
        <w:rPr>
          <w:sz w:val="20"/>
          <w:szCs w:val="20"/>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is illusory</w:t>
      </w:r>
    </w:p>
    <w:p>
      <w:pPr>
        <w:spacing w:after="0" w:line="227" w:lineRule="exact"/>
        <w:rPr>
          <w:sz w:val="20"/>
          <w:szCs w:val="20"/>
          <w:color w:val="auto"/>
        </w:rPr>
      </w:pPr>
    </w:p>
    <w:p>
      <w:pPr>
        <w:ind w:left="968" w:right="140" w:hanging="320"/>
        <w:spacing w:after="0" w:line="258"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the December 8 Offer is “illusory”. This is simply not accurate and, similar to Warner Bros.’ unfounded claims regarding Paramount’s equity financing documents, reflects another attempt by Warner Bros. to mischaracterize standard long-standing market practice. The Offer contains customary terms and conditions and was made in accordance with all legal requirements. It is supported by fully committed equity and debt financing, with no financing condition. Paramount has already made antitrust regulatory filings to begin antitrust review of the Offer and intends to secure all necessary regulatory approvals expeditiously.</w:t>
      </w:r>
    </w:p>
    <w:p>
      <w:pPr>
        <w:spacing w:after="0" w:line="18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financial condition and creditworthiness of Paramount raises substantial risks for its acquisition of Warner Bros.</w:t>
      </w:r>
    </w:p>
    <w:p>
      <w:pPr>
        <w:spacing w:after="0" w:line="227" w:lineRule="exact"/>
        <w:rPr>
          <w:rFonts w:ascii="Times New Roman" w:cs="Times New Roman" w:eastAsia="Times New Roman" w:hAnsi="Times New Roman"/>
          <w:sz w:val="18"/>
          <w:szCs w:val="18"/>
          <w:color w:val="auto"/>
        </w:rPr>
      </w:pPr>
    </w:p>
    <w:p>
      <w:pPr>
        <w:ind w:left="968" w:hanging="320"/>
        <w:spacing w:after="0" w:line="253"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22 Offer is, and each of the December 8 Offer and the Prior Proposal was, an all-cash offer. Warner Bros. stockholders will have no investment in Paramount following the completion of the Offer. The whole-company transaction proposed by Paramount inoculates Warner Bros. stockholders from ownership of the highly leveraged and declining Global Networks business with which they would be saddled by the Netflix Transaction, and protects Warner Bros. stockholders from the dollar-for-dollar reduction in the consideration payable under the Netflix Merger Agreement that would be triggered by indebtedness on the Streaming &amp; Studios business exceeding an undisclosed number.</w:t>
      </w:r>
    </w:p>
    <w:p>
      <w:pPr>
        <w:spacing w:after="0" w:line="5" w:lineRule="exact"/>
        <w:rPr>
          <w:rFonts w:ascii="Times New Roman" w:cs="Times New Roman" w:eastAsia="Times New Roman" w:hAnsi="Times New Roman"/>
          <w:sz w:val="18"/>
          <w:szCs w:val="18"/>
          <w:color w:val="auto"/>
        </w:rPr>
      </w:pPr>
    </w:p>
    <w:p>
      <w:pPr>
        <w:ind w:left="968" w:hanging="320"/>
        <w:spacing w:after="0" w:line="255"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this claim by Warner Bros. and further demonstrating Paramount’s determination to keep knocking down the hurdles Warner Bros. keeps erecting to avoid simply engaging in good faith on Paramount’s financially superior offer.</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creditworthiness of the Trust is not certain and is subject to change</w:t>
      </w:r>
    </w:p>
    <w:p>
      <w:pPr>
        <w:spacing w:after="0" w:line="227" w:lineRule="exact"/>
        <w:rPr>
          <w:rFonts w:ascii="Times New Roman" w:cs="Times New Roman" w:eastAsia="Times New Roman" w:hAnsi="Times New Roman"/>
          <w:sz w:val="18"/>
          <w:szCs w:val="18"/>
          <w:color w:val="auto"/>
        </w:rPr>
      </w:pPr>
    </w:p>
    <w:p>
      <w:pPr>
        <w:ind w:left="968" w:hanging="320"/>
        <w:spacing w:after="0" w:line="253"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knew, based on the December 1 Improved Proposal, that the Ellison Trust would be the contracting party. Moreover, before submitting the Prior Proposal on December 4th, a representative of Cravath called a representative of Wachtell Lipton and asked if there were any other issues in the December 1 Improved Proposal that needed to be addressed that had not been previously raised with Paramount or its advisors. In light of the emphasis Warner Bros. now places on the Ellison Trust’s participation as a reason for recommending against the December 8 Offer, it is surprising that at no time between December 1 and December 4 did any representative of Warner Bros. express any concern with the Ellison Trust as the contracting party, let alone request a personal guarantee from Larry Ellison. Yet, during a December 18th interview, an advisor to Warner Bros. alleged that Warner Bros. had “repeatedly” asked for information about the Ellison Trust.</w:t>
      </w:r>
    </w:p>
    <w:p>
      <w:pPr>
        <w:jc w:val="both"/>
        <w:ind w:left="968" w:right="260" w:hanging="320"/>
        <w:spacing w:after="0" w:line="253"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never asked a single question or raised any concern with Paramount about the Ellison Trust during the sale “process” or prior to entering into the inferior Netflix Merger Agreement. However, in spite of these failures, and after finding out from this Offer about the creditworthiness of the Ellison Trust, Warner Bros. has since publicly asserted claims regarding the creditworthiness of the Ellison Trust, including the baseless claim that it is an “opaque”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422910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8"/>
          </w:cols>
          <w:pgMar w:left="652" w:top="902" w:right="399" w:bottom="1440" w:gutter="0" w:footer="0" w:header="0"/>
        </w:sectPr>
      </w:pPr>
    </w:p>
    <w:bookmarkStart w:id="17" w:name="page18"/>
    <w:bookmarkEnd w:id="17"/>
    <w:p>
      <w:pPr>
        <w:jc w:val="both"/>
        <w:ind w:left="968" w:right="140" w:hanging="320"/>
        <w:spacing w:after="0" w:line="272" w:lineRule="auto"/>
        <w:tabs>
          <w:tab w:leader="none" w:pos="96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that basic due diligence which sell-side advisors customarily undertake could and would have rendered this purported concern moot, there are various public disclosures, including in the materials accompanying the Offer, that detail information regarding the Ellison Trust. The Ellison Trust has engaged in thousands of transactions, including three multi-billion-dollar transactions.</w:t>
      </w:r>
    </w:p>
    <w:p>
      <w:pPr>
        <w:spacing w:after="0" w:line="1" w:lineRule="exact"/>
        <w:rPr>
          <w:rFonts w:ascii="Times New Roman" w:cs="Times New Roman" w:eastAsia="Times New Roman" w:hAnsi="Times New Roman"/>
          <w:sz w:val="17"/>
          <w:szCs w:val="17"/>
          <w:color w:val="auto"/>
        </w:rPr>
      </w:pPr>
    </w:p>
    <w:p>
      <w:pPr>
        <w:ind w:left="968" w:right="2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Furthermore, at no point during the sale “process” did Warner Bros. request information regarding the Ellison Trust or indicate to Paramount that it was expecting Larry Ellison to take the unprecedented step of personally guaranteeing the equity financing. The omission of this important context – which recharacterizes the purported issue raised by Warner Bros. – raises the question of whether this concern was a factor in Warner Bros.’ decision to enter into the Netflix Merger Agreement or whether this “issue” is being raised post-hoc in an attempt to discredit the Offer.</w:t>
      </w:r>
    </w:p>
    <w:p>
      <w:pPr>
        <w:spacing w:after="0" w:line="1" w:lineRule="exact"/>
        <w:rPr>
          <w:rFonts w:ascii="Times New Roman" w:cs="Times New Roman" w:eastAsia="Times New Roman" w:hAnsi="Times New Roman"/>
          <w:sz w:val="17"/>
          <w:szCs w:val="17"/>
          <w:color w:val="auto"/>
        </w:rPr>
      </w:pPr>
    </w:p>
    <w:p>
      <w:pPr>
        <w:ind w:left="968" w:right="20" w:hanging="320"/>
        <w:spacing w:after="0" w:line="253"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this claim by Warner Bros. and further demonstrating Paramount’s determination to keep knocking down the hurdles Warner Bros. keeps erecting to avoid simply engaging in good faith on Paramount’s financially superior offer. Moreover, the Ellison Trust has provided in the December 22 Offer evidence of its ownership of approximately 1.16 billion shares of the common stock of Oracle Corporation.</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had “no equity commitment or backstop from the Ellison family”</w:t>
      </w:r>
    </w:p>
    <w:p>
      <w:pPr>
        <w:spacing w:after="0" w:line="227" w:lineRule="exact"/>
        <w:rPr>
          <w:rFonts w:ascii="Times New Roman" w:cs="Times New Roman" w:eastAsia="Times New Roman" w:hAnsi="Times New Roman"/>
          <w:sz w:val="18"/>
          <w:szCs w:val="18"/>
          <w:color w:val="auto"/>
        </w:rPr>
      </w:pPr>
    </w:p>
    <w:p>
      <w:pPr>
        <w:ind w:left="968" w:right="200" w:hanging="320"/>
        <w:spacing w:after="0" w:line="255"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Prior Proposal and Paramount’s December 8 Offer, the Ellison family provided a customary equity backstop specifically enforceable by Warner Bros. to cause the equity funding to occur at the closing. In fact, the equity commitment in Paramount’s prior offers tracked the structures used in other transactions that Warner Bros.’ advisors are familiar with and have advised on, including but not limited to Twitter, Electronic Arts and Covanta.</w:t>
      </w:r>
    </w:p>
    <w:p>
      <w:pPr>
        <w:spacing w:after="0" w:line="2" w:lineRule="exact"/>
        <w:rPr>
          <w:rFonts w:ascii="Times New Roman" w:cs="Times New Roman" w:eastAsia="Times New Roman" w:hAnsi="Times New Roman"/>
          <w:sz w:val="18"/>
          <w:szCs w:val="18"/>
          <w:color w:val="auto"/>
        </w:rPr>
      </w:pPr>
    </w:p>
    <w:p>
      <w:pPr>
        <w:ind w:left="968" w:right="280" w:hanging="320"/>
        <w:spacing w:after="0" w:line="250"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Nonetheless, just as Paramount repeatedly responded to the limited feedback offered by Warner Bros. during the sale “process”, in response to the new and novel demand by Warner Bros. for a personal guarantee from Larry Ellison, Paramount’s December 22 Offer provides for a </w:t>
      </w:r>
      <w:r>
        <w:rPr>
          <w:rFonts w:ascii="Times New Roman" w:cs="Times New Roman" w:eastAsia="Times New Roman" w:hAnsi="Times New Roman"/>
          <w:sz w:val="18"/>
          <w:szCs w:val="18"/>
          <w:i w:val="1"/>
          <w:iCs w:val="1"/>
          <w:color w:val="auto"/>
        </w:rPr>
        <w:t>personal</w:t>
      </w:r>
      <w:r>
        <w:rPr>
          <w:rFonts w:ascii="Times New Roman" w:cs="Times New Roman" w:eastAsia="Times New Roman" w:hAnsi="Times New Roman"/>
          <w:sz w:val="18"/>
          <w:szCs w:val="18"/>
          <w:color w:val="auto"/>
        </w:rPr>
        <w:t xml:space="preserve"> guarantee by Larry Ellison of $40.4 billion of the equity financing, in addition to a guarantee from the Ellison Trust as co-guarantor.</w:t>
      </w:r>
    </w:p>
    <w:p>
      <w:pPr>
        <w:spacing w:after="0" w:line="1" w:lineRule="exact"/>
        <w:rPr>
          <w:rFonts w:ascii="Times New Roman" w:cs="Times New Roman" w:eastAsia="Times New Roman" w:hAnsi="Times New Roman"/>
          <w:sz w:val="18"/>
          <w:szCs w:val="18"/>
          <w:color w:val="auto"/>
        </w:rPr>
      </w:pPr>
    </w:p>
    <w:p>
      <w:pPr>
        <w:ind w:left="968" w:right="80" w:hanging="320"/>
        <w:spacing w:after="0" w:line="250"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14D-9 in effect states that the Warner Bros. Board requires a personal guarantee from Larry Ellison to even consider the Offer actionable. This position came as a surprise to Paramount because Warner Bros. never asked for a personal guarantee from Larry Ellison yet relies on the absence of the personal guarantee as a critical reason for recommending against the Offer and evidence of Paramount’s unresponsiveness to Warner Bros. “feedback”.</w:t>
      </w:r>
    </w:p>
    <w:p>
      <w:pPr>
        <w:spacing w:after="0" w:line="1" w:lineRule="exact"/>
        <w:rPr>
          <w:rFonts w:ascii="Times New Roman" w:cs="Times New Roman" w:eastAsia="Times New Roman" w:hAnsi="Times New Roman"/>
          <w:sz w:val="18"/>
          <w:szCs w:val="18"/>
          <w:color w:val="auto"/>
        </w:rPr>
      </w:pPr>
    </w:p>
    <w:p>
      <w:pPr>
        <w:ind w:left="968" w:right="60" w:hanging="320"/>
        <w:spacing w:after="0" w:line="260"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Warner Bros. previously articulated this issue, including in any of the three written responses to Paramount’s proposals, or provided a single markup addressing this point, Paramount would have addressed the concern at that time, just as it is doing now.</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liability for monetary damages under the limited guarantee was improperly capped</w:t>
      </w:r>
    </w:p>
    <w:p>
      <w:pPr>
        <w:spacing w:after="0" w:line="227" w:lineRule="exact"/>
        <w:rPr>
          <w:rFonts w:ascii="Times New Roman" w:cs="Times New Roman" w:eastAsia="Times New Roman" w:hAnsi="Times New Roman"/>
          <w:sz w:val="18"/>
          <w:szCs w:val="18"/>
          <w:color w:val="auto"/>
        </w:rPr>
      </w:pPr>
    </w:p>
    <w:p>
      <w:pPr>
        <w:ind w:left="968" w:hanging="320"/>
        <w:spacing w:after="0" w:line="257"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credibility of Paramount’s entire equity financing is brought into doubt due to a cap on the Ellison Trust’s liability for monetary damages equal to 7% of the equity commitment, yet another concern that was not raised with Paramount during the sale “process” or prior to entering into the inferior Netflix Merger Agreement.</w:t>
      </w:r>
    </w:p>
    <w:p>
      <w:pPr>
        <w:spacing w:after="0" w:line="1" w:lineRule="exact"/>
        <w:rPr>
          <w:rFonts w:ascii="Times New Roman" w:cs="Times New Roman" w:eastAsia="Times New Roman" w:hAnsi="Times New Roman"/>
          <w:sz w:val="18"/>
          <w:szCs w:val="18"/>
          <w:color w:val="auto"/>
        </w:rPr>
      </w:pPr>
    </w:p>
    <w:p>
      <w:pPr>
        <w:ind w:left="968" w:right="300" w:hanging="320"/>
        <w:spacing w:after="0" w:line="250"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guarantee is a standard document in transactions that require equity and debt financing and, as is customary in such transactions, offered Warner Bros. an alternative, monetary path to recovery should it choose not to seek specific performance, which already provides recourse to the full equity backstop.</w:t>
      </w:r>
    </w:p>
    <w:p>
      <w:pPr>
        <w:spacing w:after="0" w:line="1" w:lineRule="exact"/>
        <w:rPr>
          <w:rFonts w:ascii="Times New Roman" w:cs="Times New Roman" w:eastAsia="Times New Roman" w:hAnsi="Times New Roman"/>
          <w:sz w:val="18"/>
          <w:szCs w:val="18"/>
          <w:color w:val="auto"/>
        </w:rPr>
      </w:pPr>
    </w:p>
    <w:p>
      <w:pPr>
        <w:ind w:left="968" w:right="20" w:hanging="320"/>
        <w:spacing w:after="0" w:line="255"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this claim by Warner Bros. and further demonstrating Paramount’s determination to keep knocking down the hurdles Warner Bros. keeps erecting to avoid simply engaging in good faith on Paramount’s financially superior offer.</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Paramount’s equity financing can be syndicated at will</w:t>
      </w:r>
    </w:p>
    <w:p>
      <w:pPr>
        <w:spacing w:after="0" w:line="227" w:lineRule="exact"/>
        <w:rPr>
          <w:rFonts w:ascii="Times New Roman" w:cs="Times New Roman" w:eastAsia="Times New Roman" w:hAnsi="Times New Roman"/>
          <w:sz w:val="18"/>
          <w:szCs w:val="18"/>
          <w:color w:val="auto"/>
        </w:rPr>
      </w:pPr>
    </w:p>
    <w:p>
      <w:pPr>
        <w:ind w:left="968" w:right="300" w:hanging="320"/>
        <w:spacing w:after="0" w:line="26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Ellison Trust and RedBird Capital Partners “have full flexibility and discretion to syndicate any or all of their respective equity commitments between signing and closing, despite the risk that such transactions could require additional regulatory approvals that could delay or frustrate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414655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652" w:top="904" w:right="379" w:bottom="1440" w:gutter="0" w:footer="0" w:header="0"/>
        </w:sectPr>
      </w:pPr>
    </w:p>
    <w:bookmarkStart w:id="18" w:name="page19"/>
    <w:bookmarkEnd w:id="18"/>
    <w:p>
      <w:pPr>
        <w:jc w:val="both"/>
        <w:ind w:left="968" w:right="260" w:hanging="320"/>
        <w:spacing w:after="0" w:line="257"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 to Warner Bros.’ assertions, no equity syndication could result in incremental risk to the acquisition of Warner Bros. because there is no financing condition to the Merger Agreement and both the Ellison Trust and RedBird remain obligated to fund all amounts under their commitment without regard to any assignment.</w:t>
      </w:r>
    </w:p>
    <w:p>
      <w:pPr>
        <w:spacing w:after="0" w:line="1" w:lineRule="exact"/>
        <w:rPr>
          <w:rFonts w:ascii="Times New Roman" w:cs="Times New Roman" w:eastAsia="Times New Roman" w:hAnsi="Times New Roman"/>
          <w:sz w:val="18"/>
          <w:szCs w:val="18"/>
          <w:color w:val="auto"/>
        </w:rPr>
      </w:pPr>
    </w:p>
    <w:p>
      <w:pPr>
        <w:ind w:left="968" w:right="60" w:hanging="320"/>
        <w:spacing w:after="0" w:line="250"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Warner Bros.’ advisors on December 1, 2025 specifically asked for the Ellison family to backstop $40.4 billion of equity and syndicate that equity if it chooses through an investment vehicle—which is the exact structure provided for in the Prior Proposal and that was used in the Twitter transaction.</w:t>
      </w:r>
    </w:p>
    <w:p>
      <w:pPr>
        <w:spacing w:after="0" w:line="1" w:lineRule="exact"/>
        <w:rPr>
          <w:rFonts w:ascii="Times New Roman" w:cs="Times New Roman" w:eastAsia="Times New Roman" w:hAnsi="Times New Roman"/>
          <w:sz w:val="18"/>
          <w:szCs w:val="18"/>
          <w:color w:val="auto"/>
        </w:rPr>
      </w:pPr>
    </w:p>
    <w:p>
      <w:pPr>
        <w:ind w:left="968" w:right="40" w:hanging="320"/>
        <w:spacing w:after="0" w:line="260"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any such concerns regarding a syndication.</w:t>
      </w:r>
    </w:p>
    <w:p>
      <w:pPr>
        <w:spacing w:after="0" w:line="179" w:lineRule="exact"/>
        <w:rPr>
          <w:rFonts w:ascii="Times New Roman" w:cs="Times New Roman" w:eastAsia="Times New Roman" w:hAnsi="Times New Roman"/>
          <w:sz w:val="18"/>
          <w:szCs w:val="18"/>
          <w:color w:val="auto"/>
        </w:rPr>
      </w:pPr>
    </w:p>
    <w:p>
      <w:pPr>
        <w:ind w:left="328" w:right="220" w:hanging="328"/>
        <w:spacing w:after="0" w:line="284"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that Warner Bros. had “extensive engagement” with Paramount and that Paramount “has essentially remained entirely unresponsive to WBD’s “feedback”</w:t>
      </w:r>
    </w:p>
    <w:p>
      <w:pPr>
        <w:spacing w:after="0" w:line="160" w:lineRule="exact"/>
        <w:rPr>
          <w:rFonts w:ascii="Times New Roman" w:cs="Times New Roman" w:eastAsia="Times New Roman" w:hAnsi="Times New Roman"/>
          <w:sz w:val="18"/>
          <w:szCs w:val="18"/>
          <w:color w:val="auto"/>
        </w:rPr>
      </w:pPr>
    </w:p>
    <w:p>
      <w:pPr>
        <w:ind w:left="968" w:right="220" w:hanging="320"/>
        <w:spacing w:after="0" w:line="255"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never having engaged in a single “real time” negotiating session with Paramount or providing a single mark-up of a single transaction document to Paramount, Warner Bros. misleadingly characterizes its unusual sale “process” as having included “extensive engagement” and makes numerous incorrect allegations that Paramount was not responsive to “specific” feedback provided by Warner Bros.</w:t>
      </w:r>
    </w:p>
    <w:p>
      <w:pPr>
        <w:spacing w:after="0" w:line="2" w:lineRule="exact"/>
        <w:rPr>
          <w:rFonts w:ascii="Times New Roman" w:cs="Times New Roman" w:eastAsia="Times New Roman" w:hAnsi="Times New Roman"/>
          <w:sz w:val="18"/>
          <w:szCs w:val="18"/>
          <w:color w:val="auto"/>
        </w:rPr>
      </w:pPr>
    </w:p>
    <w:p>
      <w:pPr>
        <w:ind w:left="968" w:right="160" w:hanging="320"/>
        <w:spacing w:after="0" w:line="250"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example, Warner Bros. cites desired flexibility with respect to interim operating covenants, notably omitting that Paramount repeatedly assured Warner Bros. and its representatives, including in writing, that it was prepared to provide flexibility on these items if only Warner Bros. would provide specific guidance as to the flexibility it required.</w:t>
      </w:r>
    </w:p>
    <w:p>
      <w:pPr>
        <w:spacing w:after="0" w:line="1" w:lineRule="exact"/>
        <w:rPr>
          <w:rFonts w:ascii="Times New Roman" w:cs="Times New Roman" w:eastAsia="Times New Roman" w:hAnsi="Times New Roman"/>
          <w:sz w:val="18"/>
          <w:szCs w:val="18"/>
          <w:color w:val="auto"/>
        </w:rPr>
      </w:pPr>
    </w:p>
    <w:p>
      <w:pPr>
        <w:ind w:left="968" w:right="20" w:hanging="320"/>
        <w:spacing w:after="0" w:line="250"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telling that Warner Bros. noted in the Warner Bros. 14D-9 that, on December 3, 2025, “[t]he WBD Board also instructed WBD’s management and advisors to remain engaged with the other bidders” and not only Netflix. Instead, Warner Bros. inexplicably chose on December 4th to make no effort to even speak with Paramount or its representatives about anything despite being in possession of a $30 per share cash offer that addressed the concerns actually articulated by Warner Bros. to Paramount, not the purported issues that Warner Bros. and its advisors now may wish they had articulated to Paramount to justify their conduct and decision-making. In the Warner Bros. 14D-9, Warner Bros. states in conclusory fashion that the Prior Proposal “did not present any actionable improved proposal for consideration” (despite reflecting an increase of $3.50 from Paramount's last offer and a full equity backstop from the Ellison family) and, for some reason, that “it would not have been appropriate to [respond to Paramount] in the midst of the WBD Board’s deliberations” about the Netflix transaction. What was not “appropriate” was racing to conclude the inferior transaction without lifting a finger to attempt to secure the superior one.</w:t>
      </w:r>
    </w:p>
    <w:p>
      <w:pPr>
        <w:spacing w:after="0" w:line="3" w:lineRule="exact"/>
        <w:rPr>
          <w:rFonts w:ascii="Times New Roman" w:cs="Times New Roman" w:eastAsia="Times New Roman" w:hAnsi="Times New Roman"/>
          <w:sz w:val="18"/>
          <w:szCs w:val="18"/>
          <w:color w:val="auto"/>
        </w:rPr>
      </w:pPr>
    </w:p>
    <w:p>
      <w:pPr>
        <w:ind w:left="968" w:hanging="320"/>
        <w:spacing w:after="0" w:line="252"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cites these mischaracterizations to justify its argument that the Paramount transaction was not capable of immediate execution. As Paramount repeatedly assured Warner Bros. and its representatives, including in writing, despite the facts that Warner Bros. never engaged in a single “real time” negotiating session with Paramount or provided a single mark-up of a single transaction document to Paramount, Paramount was prepared to execute the transaction documents it submitted with its December 4 $30 all-cash offer and enter into a transaction immediately. Had Warner Bros. provided even minimal engagement, let alone the level of engagement that Netflix received from Warner Bros. and its representatives throughout the week of December 1, Warner Bros. stockholders would have been provided with the best transaction available.</w:t>
      </w:r>
    </w:p>
    <w:p>
      <w:pPr>
        <w:spacing w:after="0" w:line="186" w:lineRule="exact"/>
        <w:rPr>
          <w:rFonts w:ascii="Times New Roman" w:cs="Times New Roman" w:eastAsia="Times New Roman" w:hAnsi="Times New Roman"/>
          <w:sz w:val="18"/>
          <w:szCs w:val="18"/>
          <w:color w:val="auto"/>
        </w:rPr>
      </w:pPr>
    </w:p>
    <w:p>
      <w:pPr>
        <w:ind w:left="328" w:right="260" w:hanging="328"/>
        <w:spacing w:after="0" w:line="284"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would restrict Warner Bros. from refinancing its bridge loan and potentially cause Warner Bros. to incur $1.5 billion in additional financing costs</w:t>
      </w:r>
    </w:p>
    <w:p>
      <w:pPr>
        <w:spacing w:after="0" w:line="160" w:lineRule="exact"/>
        <w:rPr>
          <w:rFonts w:ascii="Times New Roman" w:cs="Times New Roman" w:eastAsia="Times New Roman" w:hAnsi="Times New Roman"/>
          <w:sz w:val="18"/>
          <w:szCs w:val="18"/>
          <w:color w:val="auto"/>
        </w:rPr>
      </w:pPr>
    </w:p>
    <w:p>
      <w:pPr>
        <w:ind w:left="968" w:right="360" w:hanging="320"/>
        <w:spacing w:after="0" w:line="289" w:lineRule="auto"/>
        <w:tabs>
          <w:tab w:leader="none" w:pos="96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Warner Bros. asserts that the December 4 Paramount/Warner Bros. Merger Agreement would have provided Paramount an “absolute consent right” over the terms of Warner Bros.’ refinancing of its bridge loan facility and the right to require that Warner Bros. pay approximately $1.5 billion to the holders of certain exchangeable notes in order to facilitate Paramount’s transaction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403225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19" w:name="page20"/>
    <w:bookmarkEnd w:id="19"/>
    <w:p>
      <w:pPr>
        <w:ind w:left="968" w:right="300" w:hanging="320"/>
        <w:spacing w:after="0" w:line="255"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contrary, in response to non-specific concerns raised by Warner Bros. with respect to its financing needs, Paramount revised its proposal between December 1 and December 4 to provide Warner Bros. with flexibility to refinance the bridge facility so long as the refinancing was mandatorily redeemable at par at closing and the aggregate principal amount of the refinancing indebtedness did not exceed the indebtedness being refinanced.</w:t>
      </w:r>
    </w:p>
    <w:p>
      <w:pPr>
        <w:spacing w:after="0" w:line="2" w:lineRule="exact"/>
        <w:rPr>
          <w:rFonts w:ascii="Times New Roman" w:cs="Times New Roman" w:eastAsia="Times New Roman" w:hAnsi="Times New Roman"/>
          <w:sz w:val="18"/>
          <w:szCs w:val="18"/>
          <w:color w:val="auto"/>
        </w:rPr>
      </w:pPr>
    </w:p>
    <w:p>
      <w:pPr>
        <w:jc w:val="both"/>
        <w:ind w:left="968" w:right="240" w:hanging="320"/>
        <w:spacing w:after="0" w:line="255"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assertion that Paramount required an “absolute consent right” misrepresents the terms of both the Prior Proposal and Paramount’s December 8 Offer, as well as the December 22 Offer, and is clearly in tension with Paramount’s demonstrated commitment to working with Warner Bros. to resolve issues.</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did not include adequate regulatory commitments from the Ellisons</w:t>
      </w:r>
    </w:p>
    <w:p>
      <w:pPr>
        <w:spacing w:after="0" w:line="227" w:lineRule="exact"/>
        <w:rPr>
          <w:rFonts w:ascii="Times New Roman" w:cs="Times New Roman" w:eastAsia="Times New Roman" w:hAnsi="Times New Roman"/>
          <w:sz w:val="18"/>
          <w:szCs w:val="18"/>
          <w:color w:val="auto"/>
        </w:rPr>
      </w:pPr>
    </w:p>
    <w:p>
      <w:pPr>
        <w:ind w:left="968" w:right="20" w:hanging="320"/>
        <w:spacing w:after="0" w:line="289" w:lineRule="auto"/>
        <w:tabs>
          <w:tab w:leader="none" w:pos="96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 6.16(d) of the December 4 Paramount/Warner Bros. Merger Agreement, Paramount was required to “use its reasonable best efforts to cause the Equity Financing Sources to make any necessary filings with or submissions to, or supply information or documentation to, Governmental Entities in connection with the filings, notices and reports as required by this Agreement.”</w:t>
      </w:r>
    </w:p>
    <w:p>
      <w:pPr>
        <w:spacing w:after="0" w:line="157" w:lineRule="exact"/>
        <w:rPr>
          <w:rFonts w:ascii="Times New Roman" w:cs="Times New Roman" w:eastAsia="Times New Roman" w:hAnsi="Times New Roman"/>
          <w:sz w:val="17"/>
          <w:szCs w:val="17"/>
          <w:color w:val="auto"/>
        </w:rPr>
      </w:pPr>
    </w:p>
    <w:p>
      <w:pPr>
        <w:ind w:left="1628" w:right="320" w:hanging="332"/>
        <w:spacing w:after="0" w:line="282" w:lineRule="auto"/>
        <w:tabs>
          <w:tab w:leader="none" w:pos="1628" w:val="left"/>
        </w:tabs>
        <w:numPr>
          <w:ilvl w:val="2"/>
          <w:numId w:val="1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 fact, as noted above, Larry Ellison and David Ellison have both already submitted premerger notification filings under the HSR Act.</w:t>
      </w:r>
    </w:p>
    <w:p>
      <w:pPr>
        <w:spacing w:after="0" w:line="161" w:lineRule="exact"/>
        <w:rPr>
          <w:rFonts w:ascii="Wingdings" w:cs="Wingdings" w:eastAsia="Wingdings" w:hAnsi="Wingdings"/>
          <w:sz w:val="18"/>
          <w:szCs w:val="18"/>
          <w:b w:val="1"/>
          <w:bCs w:val="1"/>
          <w:color w:val="auto"/>
        </w:rPr>
      </w:pPr>
    </w:p>
    <w:p>
      <w:pPr>
        <w:ind w:left="968" w:right="120" w:hanging="320"/>
        <w:spacing w:after="0" w:line="261"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Section 6.4(f) of the December 4 Paramount/Warner Bros. Merger Agreement provides that Paramount “shall not, and shall cause its Affiliates not to, acquire, or propose, announce an intention, enter into any agreements, agree or otherwise make a commitment to acquire, any business, whether by merger, consolidation, purchase of property or assets, licenses or otherwise, that would reasonably be expected to prevent, materially delay or materially impair the consummation of the Transactions”.</w:t>
      </w:r>
    </w:p>
    <w:p>
      <w:pPr>
        <w:spacing w:after="0" w:line="179" w:lineRule="exact"/>
        <w:rPr>
          <w:rFonts w:ascii="Times New Roman" w:cs="Times New Roman" w:eastAsia="Times New Roman" w:hAnsi="Times New Roman"/>
          <w:sz w:val="18"/>
          <w:szCs w:val="18"/>
          <w:color w:val="auto"/>
        </w:rPr>
      </w:pPr>
    </w:p>
    <w:p>
      <w:pPr>
        <w:ind w:left="1628" w:right="80" w:hanging="332"/>
        <w:spacing w:after="0" w:line="261" w:lineRule="auto"/>
        <w:tabs>
          <w:tab w:leader="none" w:pos="1628" w:val="left"/>
        </w:tabs>
        <w:numPr>
          <w:ilvl w:val="2"/>
          <w:numId w:val="1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The definition of “Affiliate” specifically notes that “with respect to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 ‘Affiliate’ shall include Ellison (as defined in Buyer’s Organizational Documents)”.</w:t>
      </w:r>
    </w:p>
    <w:p>
      <w:pPr>
        <w:ind w:left="1628" w:right="80" w:hanging="332"/>
        <w:spacing w:after="0" w:line="269" w:lineRule="auto"/>
        <w:tabs>
          <w:tab w:leader="none" w:pos="1628" w:val="left"/>
        </w:tabs>
        <w:numPr>
          <w:ilvl w:val="2"/>
          <w:numId w:val="19"/>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 xml:space="preserve">Paramount’s amended and restated certificate of incorporation defines “Ellison” as “(i) </w:t>
      </w:r>
      <w:r>
        <w:rPr>
          <w:rFonts w:ascii="Times New Roman" w:cs="Times New Roman" w:eastAsia="Times New Roman" w:hAnsi="Times New Roman"/>
          <w:sz w:val="17"/>
          <w:szCs w:val="17"/>
          <w:b w:val="1"/>
          <w:bCs w:val="1"/>
          <w:i w:val="1"/>
          <w:iCs w:val="1"/>
          <w:color w:val="auto"/>
        </w:rPr>
        <w:t>The Lawrence J. Ellison Revocable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Trust, u/a/d 1/22/88, as amended</w:t>
      </w:r>
      <w:r>
        <w:rPr>
          <w:rFonts w:ascii="Times New Roman" w:cs="Times New Roman" w:eastAsia="Times New Roman" w:hAnsi="Times New Roman"/>
          <w:sz w:val="17"/>
          <w:szCs w:val="17"/>
          <w:color w:val="auto"/>
        </w:rPr>
        <w:t>, Pinnacle Media Ventures, LLC, Pinnacle Media Ventures II, LLC, Pinnacle Media Ventures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III, LLC, Hikouki, LLC, Aozora, LLC and Furaito, LLC; (ii) </w:t>
      </w:r>
      <w:r>
        <w:rPr>
          <w:rFonts w:ascii="Times New Roman" w:cs="Times New Roman" w:eastAsia="Times New Roman" w:hAnsi="Times New Roman"/>
          <w:sz w:val="17"/>
          <w:szCs w:val="17"/>
          <w:b w:val="1"/>
          <w:bCs w:val="1"/>
          <w:i w:val="1"/>
          <w:iCs w:val="1"/>
          <w:color w:val="auto"/>
        </w:rPr>
        <w:t>Larry Ellison</w:t>
      </w:r>
      <w:r>
        <w:rPr>
          <w:rFonts w:ascii="Times New Roman" w:cs="Times New Roman" w:eastAsia="Times New Roman" w:hAnsi="Times New Roman"/>
          <w:sz w:val="17"/>
          <w:szCs w:val="17"/>
          <w:color w:val="auto"/>
        </w:rPr>
        <w:t xml:space="preserve">; (iii) </w:t>
      </w:r>
      <w:r>
        <w:rPr>
          <w:rFonts w:ascii="Times New Roman" w:cs="Times New Roman" w:eastAsia="Times New Roman" w:hAnsi="Times New Roman"/>
          <w:sz w:val="17"/>
          <w:szCs w:val="17"/>
          <w:b w:val="1"/>
          <w:bCs w:val="1"/>
          <w:i w:val="1"/>
          <w:iCs w:val="1"/>
          <w:color w:val="auto"/>
        </w:rPr>
        <w:t>David Ellison</w:t>
      </w:r>
      <w:r>
        <w:rPr>
          <w:rFonts w:ascii="Times New Roman" w:cs="Times New Roman" w:eastAsia="Times New Roman" w:hAnsi="Times New Roman"/>
          <w:sz w:val="17"/>
          <w:szCs w:val="17"/>
          <w:color w:val="auto"/>
        </w:rPr>
        <w:t xml:space="preserve">; (iv) any Permitted Entity of a Person identified in clause (i), (ii) or (iii); (v) any Family Member of Larry Ellison or David Ellison and (vi) any Affiliate of the foregoing, in each case, that hold shares of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 [</w:t>
      </w:r>
      <w:r>
        <w:rPr>
          <w:rFonts w:ascii="Times New Roman" w:cs="Times New Roman" w:eastAsia="Times New Roman" w:hAnsi="Times New Roman"/>
          <w:sz w:val="17"/>
          <w:szCs w:val="17"/>
          <w:i w:val="1"/>
          <w:iCs w:val="1"/>
          <w:color w:val="auto"/>
        </w:rPr>
        <w:t>Emphasis added</w:t>
      </w:r>
      <w:r>
        <w:rPr>
          <w:rFonts w:ascii="Times New Roman" w:cs="Times New Roman" w:eastAsia="Times New Roman" w:hAnsi="Times New Roman"/>
          <w:sz w:val="17"/>
          <w:szCs w:val="17"/>
          <w:color w:val="auto"/>
        </w:rPr>
        <w:t>].</w:t>
      </w:r>
    </w:p>
    <w:p>
      <w:pPr>
        <w:spacing w:after="0" w:line="175" w:lineRule="exact"/>
        <w:rPr>
          <w:rFonts w:ascii="Wingdings" w:cs="Wingdings" w:eastAsia="Wingdings" w:hAnsi="Wingdings"/>
          <w:sz w:val="17"/>
          <w:szCs w:val="17"/>
          <w:b w:val="1"/>
          <w:bCs w:val="1"/>
          <w:color w:val="auto"/>
        </w:rPr>
      </w:pPr>
    </w:p>
    <w:p>
      <w:pPr>
        <w:ind w:left="968" w:right="120" w:hanging="320"/>
        <w:spacing w:after="0" w:line="277" w:lineRule="auto"/>
        <w:tabs>
          <w:tab w:leader="none" w:pos="96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Nonetheless, Paramount has included in the December 22 Offer a direct obligation for each of Larry Ellison and the Ellison Trust to furnish information in connection with and cooperate to obtain regulatory approvals, and refrain from entering into agreements that would reasonably be expected to prevent, materially delay or materially impair the consummation of the Transactions, nullifying this claim by Warner Bros. and reflecting Paramount’s commitment to work with Warner Bros. to resolve issues not create “loopholes”. This obligation is directly enforceable by Warner Bros. under the guarantee provided to Warner Bros. by Larry Ellison and the Ellison Trust.</w:t>
      </w:r>
    </w:p>
    <w:p>
      <w:pPr>
        <w:spacing w:after="0" w:line="165"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Proposed Netflix Transaction offers a “strong regulatory package”</w:t>
      </w:r>
    </w:p>
    <w:p>
      <w:pPr>
        <w:spacing w:after="0" w:line="227" w:lineRule="exact"/>
        <w:rPr>
          <w:rFonts w:ascii="Times New Roman" w:cs="Times New Roman" w:eastAsia="Times New Roman" w:hAnsi="Times New Roman"/>
          <w:sz w:val="18"/>
          <w:szCs w:val="18"/>
          <w:color w:val="auto"/>
        </w:rPr>
      </w:pPr>
    </w:p>
    <w:p>
      <w:pPr>
        <w:ind w:left="968" w:right="180" w:hanging="320"/>
        <w:spacing w:after="0" w:line="261"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that the Netflix transaction has a “strong regulatory package”, seemingly in an attempt to justify the view it is now espousing that the Proposed Netflix Transaction and Paramount’s proposed transaction present the same regulatory risk.</w:t>
      </w:r>
    </w:p>
    <w:p>
      <w:pPr>
        <w:ind w:left="968" w:hanging="320"/>
        <w:spacing w:after="0" w:line="251"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fact, the Netflix Merger Agreement contains significantly weaker regulatory commitments than the December 4 Paramount/Warner Bros. Merger Agreement and the December 22 Paramount/Warner Bros. Merger Agreement. While Paramount has agreed to take any regulatory actions that would not result in a material adverse effect on the combined business of Paramount and Warner Bros., Netflix has excluded from its regulatory commitment actions that would have a material adverse effect on the Streaming &amp; Studios businesses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that involve, apply to, restrict or affect the operation, contracts, business or assets of Netflix. In other words, Warner Bros. touts this regulatory commitment as reflective of Netflix’s “strong regulatory package” even though Netflix has no requirement to take any action that “involves” any “operation, contracts, business or assets” of Netflix. Netflix also negotiated for a 21-month outside date, as compared to the 18-month outside date that Paramount accepted in both the December 4 Paramount/Warner Bros. Merger Agreement and the December 22 Paramount/Warner Bros.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426085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0" w:name="page21"/>
    <w:bookmarkEnd w:id="20"/>
    <w:p>
      <w:pPr>
        <w:ind w:left="968" w:right="840" w:hanging="320"/>
        <w:spacing w:after="0" w:line="312" w:lineRule="auto"/>
        <w:tabs>
          <w:tab w:leader="none" w:pos="96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Nonetheless, to match the regulatory termination fee in the Netflix Merger Agreement, Paramount has increased its regulatory termination fee from $5 billion to $5.8 billion in the December 22 Paramount/Warner Bros. Netflix Merger Agreement.</w:t>
      </w:r>
    </w:p>
    <w:p>
      <w:pPr>
        <w:spacing w:after="0" w:line="139" w:lineRule="exact"/>
        <w:rPr>
          <w:rFonts w:ascii="Times New Roman" w:cs="Times New Roman" w:eastAsia="Times New Roman" w:hAnsi="Times New Roman"/>
          <w:sz w:val="17"/>
          <w:szCs w:val="17"/>
          <w:color w:val="auto"/>
        </w:rPr>
      </w:pPr>
    </w:p>
    <w:p>
      <w:pPr>
        <w:ind w:left="328" w:right="100" w:hanging="328"/>
        <w:spacing w:after="0" w:line="273" w:lineRule="auto"/>
        <w:tabs>
          <w:tab w:leader="none" w:pos="32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summation, the purported issues with Paramount’s offers identified by Warner Bros. in the Warner Bros. 14D-9 were often exaggerated and misleading, in some cases were at odds with the text of the underlying documents and the factual record, and in many cases were identified to Paramount as issues for the first time well after Warner Bros. made its decision to enter into a transaction with Netflix. As Paramount has repeatedly demonstrated, including in the December 22 Offer, had Warner Bros. meaningfully engaged with Paramount, it would have become clear that its purported issues were simply not salient or apposite or were easily capable of being resolved. Instead, Warner Bros. committed itself and its stockholders to an obviously financially inferior transaction with extraordinary regulatory risk and a longer timeline to a possible closing, which Warner Bros. continues to justify. As a result, Paramount made the decision to publicly bring its proposal to Warner Bros. stockholders.</w:t>
      </w:r>
    </w:p>
    <w:p>
      <w:pPr>
        <w:spacing w:after="0" w:line="171" w:lineRule="exact"/>
        <w:rPr>
          <w:rFonts w:ascii="Times New Roman" w:cs="Times New Roman" w:eastAsia="Times New Roman" w:hAnsi="Times New Roman"/>
          <w:sz w:val="17"/>
          <w:szCs w:val="17"/>
          <w:color w:val="auto"/>
        </w:rPr>
      </w:pPr>
    </w:p>
    <w:p>
      <w:pPr>
        <w:ind w:left="328" w:right="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December 17, 2025, in response to the Warner Bros. 14D-9, Paramount issued a press release affirming its commitment to its superior Offer. The press release further noted that “missing in WBD's long exposition of its flawed process is any financial analysis whatsoever to show what numbers the WBD Board considered. Where is the valuation of the stub equity in Global Networks? Where is the description of the financial analysis their bankers provided—disclosure that is standard when a board of directors explains its thinking to its shareholders? WBD shareholders deserve to know this information and understand what is being hidden from them.” To date, Warner Bros. has not provided any supporting financial analysis for its decision to take the Netflix offer, or its valuation of the Global Networks business.</w:t>
      </w:r>
    </w:p>
    <w:p>
      <w:pPr>
        <w:spacing w:after="0" w:line="187" w:lineRule="exact"/>
        <w:rPr>
          <w:rFonts w:ascii="Times New Roman" w:cs="Times New Roman" w:eastAsia="Times New Roman" w:hAnsi="Times New Roman"/>
          <w:sz w:val="17"/>
          <w:szCs w:val="17"/>
          <w:color w:val="auto"/>
        </w:rPr>
      </w:pPr>
    </w:p>
    <w:p>
      <w:pPr>
        <w:ind w:left="328" w:right="2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Also on December 17, 2025, the Chair of the Warner Bros. Board, Samuel Di Piazza, conducted an interview with David Faber on CNBC’s “Squawk Box” where he noted that Warner Bros. views the Netflix Merger Agreement as superior to the Offer in part because “[i]t includes Discovery Global, which has two factors. It not only has the factor of its value and that’s what you guys have all been focused on. Analysts said $3, $4, $5 the market will ultimately decide on,” despite Warner Bros. not having produced any analysis supporting its valuation of the Global Networks business in its determination that the Netflix Merger Agreement is superior to the Offer.</w:t>
      </w:r>
    </w:p>
    <w:p>
      <w:pPr>
        <w:spacing w:after="0" w:line="183" w:lineRule="exact"/>
        <w:rPr>
          <w:rFonts w:ascii="Times New Roman" w:cs="Times New Roman" w:eastAsia="Times New Roman" w:hAnsi="Times New Roman"/>
          <w:sz w:val="17"/>
          <w:szCs w:val="17"/>
          <w:color w:val="auto"/>
        </w:rPr>
      </w:pPr>
    </w:p>
    <w:p>
      <w:pPr>
        <w:ind w:left="328"/>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next day, on December 18, 2025, a financial advisor to Warner Bros. conducted an interview on CNBC where he discussed the Warner Bros. sale “process” and noted that the Netflix offer has better “risk adjusted value” and includes “the so-called stub value, or the value per share of Discovery Global, the spin-off, and the street is all over the place on the valuation of that – some say it is as low as $1 and some say it is as high as $4”, in contrast to the values cited by Samuel Di Piazza the day prior, including, at the low end of the range, valuations that would cause the aggregate economic value of the transactions contemplated by the Netflix Merger Agreement to very clearly fall below the $30 per share Offer.</w:t>
      </w:r>
    </w:p>
    <w:p>
      <w:pPr>
        <w:spacing w:after="0" w:line="183" w:lineRule="exact"/>
        <w:rPr>
          <w:rFonts w:ascii="Times New Roman" w:cs="Times New Roman" w:eastAsia="Times New Roman" w:hAnsi="Times New Roman"/>
          <w:sz w:val="17"/>
          <w:szCs w:val="17"/>
          <w:color w:val="auto"/>
        </w:rPr>
      </w:pPr>
    </w:p>
    <w:p>
      <w:pPr>
        <w:ind w:left="328" w:right="20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Remarkably, Warner Bros. has failed to provide any analysis of what financial information the Board of Warner Bros. considered in approving a transaction that on its face was on December 4th, and today remains, financially inferior to Paramount’s $30 per share all-cash offer.</w:t>
      </w:r>
    </w:p>
    <w:p>
      <w:pPr>
        <w:spacing w:after="0" w:line="161" w:lineRule="exact"/>
        <w:rPr>
          <w:rFonts w:ascii="Times New Roman" w:cs="Times New Roman" w:eastAsia="Times New Roman" w:hAnsi="Times New Roman"/>
          <w:sz w:val="17"/>
          <w:szCs w:val="17"/>
          <w:color w:val="auto"/>
        </w:rPr>
      </w:pPr>
    </w:p>
    <w:p>
      <w:pPr>
        <w:ind w:left="328" w:right="1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Versant, a portfolio of cable channels that Comcast is currently spinning off to its shareholders, is a relevant public comparable company for Global Networks. On December 15, 2025, a “when-issued” public trading market for Versant common stock commenced, and on December 19, 2025, Versant’s shares closed at $47.00 per share. This closing price implies an enterprise value to one-year forward EBITDA multiple of 4.6x to 5.0x, based on Versant management’s guidance of $1,850 million - $2,000 million of 2026E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417195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t>For several reasons, Paramount believes Global Networks will ultimately trade at a discount to Versant. These include (but are not limited to): (i) materially higher leverage at Global Networks (in excess of 3.0x net leverage) compared to Versant (approximately 1.25x net leverage); (ii) Versant’s significantly greater exposure to live news and sports programming – which Paramount believes represents the highest-value category within pay television – 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and (iii) Versant’s ownership of a meaningful portfolio of higher-growth digital assets, including GolfNow, Rotten Tomatoes and Fandango, whereas Global Networks’ only major digital asset is Bleacher Report.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Generously applying the midpoint of Versant’s implied trading multiple (4.8x) to Wall Street consensus EBITDA estimates for Global Networks results in an implied equity value of only approximately $1.40 per share, after giving effect to the approximate $15 billion of net debt expected to be allocated to the business (based on the $10.7 billion of net debt disclosed as being allocated to Warner Bros, the only capital structure disclosure to date by WBD with respect to Global Networks).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22, 2025, Paramount filed this Amendment No. 7 to the Schedule TO-T to which this Offer to Purchase forms a part to amend and extend the Offer.</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Netflix Transaction that the Warner Bros. Board selected is provided below, which comparison is qualified in its entirety by reference to the full text of the corresponding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251460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w:t>
            </w:r>
          </w:p>
        </w:tc>
        <w:tc>
          <w:tcPr>
            <w:tcW w:w="52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Netflix Merger Agreement</w:t>
            </w:r>
          </w:p>
        </w:tc>
        <w:tc>
          <w:tcPr>
            <w:tcW w:w="37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December 22 Paramount/Warner Bros. Merger</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52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Structure</w:t>
            </w: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Acquisition of the Streaming &amp; Studios businesses following an</w:t>
            </w:r>
          </w:p>
        </w:tc>
        <w:tc>
          <w:tcPr>
            <w:tcW w:w="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400" w:type="dxa"/>
            <w:vAlign w:val="bottom"/>
            <w:tcBorders>
              <w:right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Acquisition of all of Warner Bros.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internal reorganization and a spin-off of the Global Networks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businesses and other assets into SpinCo</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Consideration</w:t>
            </w: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$23.25 per Warner Bros. share in cash, plus</w:t>
            </w:r>
          </w:p>
        </w:tc>
        <w:tc>
          <w:tcPr>
            <w:tcW w:w="370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   $30 per Warner Bros. share in cash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  a to-be-determined number of shares of Netflix stock equal</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580"/>
              <w:spacing w:after="0"/>
              <w:rPr>
                <w:sz w:val="20"/>
                <w:szCs w:val="20"/>
                <w:color w:val="auto"/>
              </w:rPr>
            </w:pPr>
            <w:r>
              <w:rPr>
                <w:rFonts w:ascii="Wingdings" w:cs="Wingdings" w:eastAsia="Wingdings" w:hAnsi="Wingdings"/>
                <w:sz w:val="18"/>
                <w:szCs w:val="18"/>
                <w:b w:val="1"/>
                <w:bCs w:val="1"/>
                <w:color w:val="auto"/>
                <w:w w:val="99"/>
              </w:rPr>
              <w:t xml:space="preserve">§ </w:t>
            </w:r>
            <w:r>
              <w:rPr>
                <w:rFonts w:ascii="Times New Roman" w:cs="Times New Roman" w:eastAsia="Times New Roman" w:hAnsi="Times New Roman"/>
                <w:sz w:val="18"/>
                <w:szCs w:val="18"/>
                <w:color w:val="auto"/>
                <w:w w:val="99"/>
              </w:rPr>
              <w:t>    0.0376, if the 15-day volume-weighted average trading</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price prior to closing (the “Netflix VWAP”) is equal to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or greater than $119.67;</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58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     the quotient obtained by dividing $4.50 by the Netflix</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VWAP, if the Netflix VWAP is greater than $97.91 but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less than $119.67; or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58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0.0460, if the Netflix VWAP is less than or equal to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$97.91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Consideration payable to Warner Bros. stockholders is subject to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dollar-for-dollar reduction based on the net debt of SpinCo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(which reduction in consideration is left to Warner Bros., in its</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 reduction to consideration</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discretion)</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Financing</w:t>
            </w: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$59.0 billion of debt financing provided by Wells Fargo, BNP and</w:t>
            </w:r>
          </w:p>
        </w:tc>
        <w:tc>
          <w:tcPr>
            <w:tcW w:w="370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   $40.7 billion of equity capital provided by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HSBC</w:t>
            </w: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 Ellison Trust and RedBird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w:t>
            </w:r>
          </w:p>
        </w:tc>
        <w:tc>
          <w:tcPr>
            <w:tcW w:w="2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Mr. Larry Ellison is providing</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personal guarantee of the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Ellison Trust’s $40.4 billion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commitment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$54.0 billion of debt financing provided by</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BofA, Citi and Apollo</w:t>
            </w: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Regulatory Efforts</w:t>
            </w:r>
          </w:p>
        </w:tc>
        <w:tc>
          <w:tcPr>
            <w:tcW w:w="2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color w:val="auto"/>
              </w:rPr>
              <w:t>No requirement to agree to any remedy that:</w:t>
            </w:r>
          </w:p>
        </w:tc>
        <w:tc>
          <w:tcPr>
            <w:tcW w:w="30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right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rPr>
              <w:t>No requirement to agree to any remedy that,</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00" w:type="dxa"/>
            <w:vAlign w:val="bottom"/>
          </w:tcPr>
          <w:p>
            <w:pPr>
              <w:spacing w:after="0"/>
              <w:rPr>
                <w:sz w:val="19"/>
                <w:szCs w:val="19"/>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    would, individually or in the aggregate, reasonably be</w:t>
            </w:r>
          </w:p>
        </w:tc>
        <w:tc>
          <w:tcPr>
            <w:tcW w:w="300" w:type="dxa"/>
            <w:vAlign w:val="bottom"/>
          </w:tcPr>
          <w:p>
            <w:pPr>
              <w:spacing w:after="0"/>
              <w:rPr>
                <w:sz w:val="19"/>
                <w:szCs w:val="19"/>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individually or in the aggregate with all</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expected to have a material adverse effect on the business or</w:t>
            </w: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 remedies, would reasonably be</w:t>
            </w:r>
          </w:p>
        </w:tc>
      </w:tr>
      <w:tr>
        <w:trPr>
          <w:trHeight w:val="212"/>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financial condition of Streaming &amp; Studios; or</w:t>
            </w: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expected to have a material adverse effect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involves, applies to, restricts, or affects the operation,</w:t>
            </w: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on Paramount and its subsidiaries, including</w:t>
            </w:r>
          </w:p>
        </w:tc>
      </w:tr>
      <w:tr>
        <w:trPr>
          <w:trHeight w:val="220"/>
        </w:trPr>
        <w:tc>
          <w:tcPr>
            <w:tcW w:w="2280" w:type="dxa"/>
            <w:vAlign w:val="bottom"/>
            <w:tcBorders>
              <w:left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contracts, business or assets of Netflix</w:t>
            </w:r>
          </w:p>
        </w:tc>
        <w:tc>
          <w:tcPr>
            <w:tcW w:w="300" w:type="dxa"/>
            <w:vAlign w:val="bottom"/>
          </w:tcPr>
          <w:p>
            <w:pPr>
              <w:spacing w:after="0"/>
              <w:rPr>
                <w:sz w:val="19"/>
                <w:szCs w:val="19"/>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Warner Bros. and its subsidiaries</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Commitment to litigate</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Commitment to litigate</w:t>
            </w: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Regulatory Reverse</w:t>
            </w:r>
          </w:p>
        </w:tc>
        <w:tc>
          <w:tcPr>
            <w:tcW w:w="2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180"/>
              <w:spacing w:after="0" w:line="188" w:lineRule="exact"/>
              <w:rPr>
                <w:sz w:val="20"/>
                <w:szCs w:val="20"/>
                <w:color w:val="auto"/>
              </w:rPr>
            </w:pPr>
            <w:r>
              <w:rPr>
                <w:rFonts w:ascii="Times New Roman" w:cs="Times New Roman" w:eastAsia="Times New Roman" w:hAnsi="Times New Roman"/>
                <w:sz w:val="18"/>
                <w:szCs w:val="18"/>
                <w:color w:val="auto"/>
              </w:rPr>
              <w:t>$5.8 billion, payable by Netflix upon, among other things,</w:t>
            </w:r>
          </w:p>
        </w:tc>
        <w:tc>
          <w:tcPr>
            <w:tcW w:w="30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Same</w:t>
            </w:r>
          </w:p>
        </w:tc>
        <w:tc>
          <w:tcPr>
            <w:tcW w:w="2520" w:type="dxa"/>
            <w:vAlign w:val="bottom"/>
            <w:tcBorders>
              <w:right w:val="single" w:sz="8" w:color="auto"/>
            </w:tcBorders>
          </w:tcPr>
          <w:p>
            <w:pPr>
              <w:spacing w:after="0"/>
              <w:rPr>
                <w:sz w:val="16"/>
                <w:szCs w:val="16"/>
                <w:color w:val="auto"/>
              </w:rPr>
            </w:pPr>
          </w:p>
        </w:tc>
      </w:tr>
      <w:tr>
        <w:trPr>
          <w:trHeight w:val="238"/>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20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termination for failure to obtain required regulatory approvals</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Outside Date</w:t>
            </w: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21 months (15 months plus two 3-month extensions if required</w:t>
            </w:r>
          </w:p>
        </w:tc>
        <w:tc>
          <w:tcPr>
            <w:tcW w:w="3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18 months (12 months plus two 3-month</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regulatory approvals have not been obtained)</w:t>
            </w: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extensions if required regulatory approvals</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have not been obtained)</w:t>
            </w: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Warner Bros. Termination</w:t>
            </w:r>
          </w:p>
        </w:tc>
        <w:tc>
          <w:tcPr>
            <w:tcW w:w="2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right w:val="single" w:sz="8" w:color="auto"/>
            </w:tcBorders>
          </w:tcPr>
          <w:p>
            <w:pPr>
              <w:ind w:left="180"/>
              <w:spacing w:after="0" w:line="188" w:lineRule="exact"/>
              <w:rPr>
                <w:sz w:val="20"/>
                <w:szCs w:val="20"/>
                <w:color w:val="auto"/>
              </w:rPr>
            </w:pPr>
            <w:r>
              <w:rPr>
                <w:rFonts w:ascii="Times New Roman" w:cs="Times New Roman" w:eastAsia="Times New Roman" w:hAnsi="Times New Roman"/>
                <w:sz w:val="18"/>
                <w:szCs w:val="18"/>
                <w:color w:val="auto"/>
              </w:rPr>
              <w:t>$2.8 billion (~3.89% of equity value), payable by Warner Bros.</w:t>
            </w:r>
          </w:p>
        </w:tc>
        <w:tc>
          <w:tcPr>
            <w:tcW w:w="30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right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rPr>
              <w:t>3.75% of equity value (~$2.9 billion),</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Fee</w:t>
            </w:r>
          </w:p>
        </w:tc>
        <w:tc>
          <w:tcPr>
            <w:tcW w:w="200" w:type="dxa"/>
            <w:vAlign w:val="bottom"/>
          </w:tcPr>
          <w:p>
            <w:pPr>
              <w:spacing w:after="0"/>
              <w:rPr>
                <w:sz w:val="19"/>
                <w:szCs w:val="19"/>
                <w:color w:val="auto"/>
              </w:rPr>
            </w:pPr>
          </w:p>
        </w:tc>
        <w:tc>
          <w:tcPr>
            <w:tcW w:w="5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upon, among other things, termination for Superior Proposal</w:t>
            </w:r>
          </w:p>
        </w:tc>
        <w:tc>
          <w:tcPr>
            <w:tcW w:w="300" w:type="dxa"/>
            <w:vAlign w:val="bottom"/>
          </w:tcPr>
          <w:p>
            <w:pPr>
              <w:spacing w:after="0"/>
              <w:rPr>
                <w:sz w:val="19"/>
                <w:szCs w:val="19"/>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payable by Warner Bros. upon, among other</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things, termination for Superior Proposal</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668"/>
        </w:trPr>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23" w:name="page24"/>
    <w:bookmarkEnd w:id="23"/>
    <w:p>
      <w:pPr>
        <w:ind w:left="328" w:hanging="328"/>
        <w:spacing w:after="0" w:line="282"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references to the “Paramount/Warner Bros. Merger Agreement” in the section of the Offer to Purchase entitled “Background of the Offer; Other Transactions with Warner Bros.” are hereby replaced with “December 4 Paramount/Warner Bros. Merger Agreement.”</w:t>
      </w:r>
    </w:p>
    <w:p>
      <w:pPr>
        <w:spacing w:after="0" w:line="161" w:lineRule="exact"/>
        <w:rPr>
          <w:rFonts w:ascii="Times New Roman" w:cs="Times New Roman" w:eastAsia="Times New Roman" w:hAnsi="Times New Roman"/>
          <w:sz w:val="18"/>
          <w:szCs w:val="18"/>
          <w:color w:val="auto"/>
        </w:rPr>
      </w:pPr>
    </w:p>
    <w:p>
      <w:pPr>
        <w:ind w:left="328" w:right="380" w:hanging="328"/>
        <w:spacing w:after="0" w:line="282"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paragraph in the section of the Offer to Purchase entitled “Purpose of the Offer and the Potential Merger; Plans for Warner Bros.; Statutory Requirements; Approval of the Potential Merger” is hereby amended and restated in its entirety as follows:</w:t>
      </w:r>
    </w:p>
    <w:p>
      <w:pPr>
        <w:spacing w:after="0" w:line="161" w:lineRule="exact"/>
        <w:rPr>
          <w:rFonts w:ascii="Times New Roman" w:cs="Times New Roman" w:eastAsia="Times New Roman" w:hAnsi="Times New Roman"/>
          <w:sz w:val="18"/>
          <w:szCs w:val="18"/>
          <w:color w:val="auto"/>
        </w:rPr>
      </w:pPr>
    </w:p>
    <w:p>
      <w:pPr>
        <w:ind w:left="328"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to enter into a definitive agreement for the acquisition of Warner Bros. by Paramount, and are prepared to engage with Warner Bros. immediately. On December 4, 2025, we made a proposal to acquire Warner Bros. for $30.00 per Share pursuant to a merger agreement and related equity and debt financing commitments, which are attached to this Offer to Purchase as part of Annex A (our “</w:t>
      </w:r>
      <w:r>
        <w:rPr>
          <w:rFonts w:ascii="Times New Roman" w:cs="Times New Roman" w:eastAsia="Times New Roman" w:hAnsi="Times New Roman"/>
          <w:sz w:val="18"/>
          <w:szCs w:val="18"/>
          <w:b w:val="1"/>
          <w:bCs w:val="1"/>
          <w:color w:val="auto"/>
        </w:rPr>
        <w:t>Prior Proposal</w:t>
      </w:r>
      <w:r>
        <w:rPr>
          <w:rFonts w:ascii="Times New Roman" w:cs="Times New Roman" w:eastAsia="Times New Roman" w:hAnsi="Times New Roman"/>
          <w:sz w:val="18"/>
          <w:szCs w:val="18"/>
          <w:color w:val="auto"/>
        </w:rPr>
        <w:t>”). Warner Bros. chose a financially inferior and more uncertain and complex transaction as contemplated by the Netflix Merger Agreement (the “</w:t>
      </w:r>
      <w:r>
        <w:rPr>
          <w:rFonts w:ascii="Times New Roman" w:cs="Times New Roman" w:eastAsia="Times New Roman" w:hAnsi="Times New Roman"/>
          <w:sz w:val="18"/>
          <w:szCs w:val="18"/>
          <w:b w:val="1"/>
          <w:b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Netflix Transaction</w:t>
      </w:r>
      <w:r>
        <w:rPr>
          <w:rFonts w:ascii="Times New Roman" w:cs="Times New Roman" w:eastAsia="Times New Roman" w:hAnsi="Times New Roman"/>
          <w:sz w:val="18"/>
          <w:szCs w:val="18"/>
          <w:color w:val="auto"/>
        </w:rPr>
        <w:t>”) instead of our clearly superior Prior Proposal. We are making the Offer directly to the Warner Bros. stockholders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of Warner Bros. (the “</w:t>
      </w:r>
      <w:r>
        <w:rPr>
          <w:rFonts w:ascii="Times New Roman" w:cs="Times New Roman" w:eastAsia="Times New Roman" w:hAnsi="Times New Roman"/>
          <w:sz w:val="18"/>
          <w:szCs w:val="18"/>
          <w:b w:val="1"/>
          <w:bCs w:val="1"/>
          <w:color w:val="auto"/>
        </w:rPr>
        <w:t>Warner Bros. Board</w:t>
      </w:r>
      <w:r>
        <w:rPr>
          <w:rFonts w:ascii="Times New Roman" w:cs="Times New Roman" w:eastAsia="Times New Roman" w:hAnsi="Times New Roman"/>
          <w:sz w:val="18"/>
          <w:szCs w:val="18"/>
          <w:color w:val="auto"/>
        </w:rPr>
        <w:t>”) to ensure that they have the full terms of our Prior Proposal and to enable Warner Bros. stockholders to take action to receive the superior value of the Offer. On December 17, 2025, Warner Bros. filed a solicitation/recommendation statement on Schedule 14D-9 containing the recommendation of the Warner Bros. Board that Warner Bros. stockholders not tender their shares to Paramount in the December 8 Offer. On December 22, 2025, we amended this Offer to address Warner Bros. stated concerns regarding the Prior Proposal and the December 8 Offer by adding the additional provisions and changes described herein, further cementing the Offer as superior to the Proposed Netflix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424815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652" w:top="904" w:right="379" w:bottom="1440" w:gutter="0" w:footer="0" w:header="0"/>
        </w:sectPr>
      </w:pPr>
    </w:p>
    <w:bookmarkStart w:id="24" w:name="page25"/>
    <w:bookmarkEnd w:id="24"/>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Offer to Purchase entitled “Conditions of the Offer” is hereby amended and restated in its entirety as follows:</w:t>
      </w:r>
    </w:p>
    <w:p>
      <w:pPr>
        <w:spacing w:after="0" w:line="225" w:lineRule="exact"/>
        <w:rPr>
          <w:rFonts w:ascii="Times New Roman" w:cs="Times New Roman" w:eastAsia="Times New Roman" w:hAnsi="Times New Roman"/>
          <w:sz w:val="18"/>
          <w:szCs w:val="18"/>
          <w:color w:val="auto"/>
        </w:rPr>
      </w:pPr>
    </w:p>
    <w:p>
      <w:pPr>
        <w:ind w:left="328"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Offer and in addition to (and not in limitation of) Paramount’s and the Purchaser’s rights to extend and amend the Offer at any time, in their discretion, Paramount and the Purchaser shall not be required to accept for purchase any Shares tendered pursuant to the Offer and may extend, terminate or amend the Offer, if immediately prior to the expiration of the Offer, in the reasonable judgment of Paramount and the Purchaser, any one or more of the following conditions shall not have been satisfied:</w:t>
      </w:r>
    </w:p>
    <w:p>
      <w:pPr>
        <w:spacing w:after="0" w:line="17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Paramount/Warner Bros. Merger </w:t>
      </w: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18"/>
          <w:szCs w:val="18"/>
          <w:i w:val="1"/>
          <w:iCs w:val="1"/>
          <w:color w:val="auto"/>
        </w:rPr>
        <w:t xml:space="preserve"> Condition</w:t>
      </w:r>
    </w:p>
    <w:p>
      <w:pPr>
        <w:spacing w:after="0" w:line="227" w:lineRule="exact"/>
        <w:rPr>
          <w:rFonts w:ascii="Times New Roman" w:cs="Times New Roman" w:eastAsia="Times New Roman" w:hAnsi="Times New Roman"/>
          <w:sz w:val="18"/>
          <w:szCs w:val="18"/>
          <w:color w:val="auto"/>
        </w:rPr>
      </w:pPr>
    </w:p>
    <w:p>
      <w:pPr>
        <w:ind w:left="328"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shall have entered into a definitive merger agreement with Paramount and the Purchaser substantially in the form of the December 22 Paramount/Warner Bros. Merger Agreement attached to the Offer to Purchase as part of Annex B, other than changes required to reflect completion of the Offer followed by a second-step merger under Section 251(h) of the DGCL and any other changes mutually agreed between Warner Bros. and Paramount.</w:t>
      </w:r>
    </w:p>
    <w:p>
      <w:pPr>
        <w:spacing w:after="0" w:line="17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Warner Bros. Separation Condition</w:t>
      </w:r>
    </w:p>
    <w:p>
      <w:pPr>
        <w:spacing w:after="0" w:line="227" w:lineRule="exact"/>
        <w:rPr>
          <w:rFonts w:ascii="Times New Roman" w:cs="Times New Roman" w:eastAsia="Times New Roman" w:hAnsi="Times New Roman"/>
          <w:sz w:val="18"/>
          <w:szCs w:val="18"/>
          <w:color w:val="auto"/>
        </w:rPr>
      </w:pPr>
    </w:p>
    <w:p>
      <w:pPr>
        <w:ind w:left="328"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Separation shall not have been consummated (and no dividend to effectuate the Warner Bros. Separation shall have been declared or made).</w:t>
      </w:r>
    </w:p>
    <w:p>
      <w:pPr>
        <w:spacing w:after="0" w:line="15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Tender Condition</w:t>
      </w:r>
    </w:p>
    <w:p>
      <w:pPr>
        <w:spacing w:after="0" w:line="227" w:lineRule="exact"/>
        <w:rPr>
          <w:rFonts w:ascii="Times New Roman" w:cs="Times New Roman" w:eastAsia="Times New Roman" w:hAnsi="Times New Roman"/>
          <w:sz w:val="18"/>
          <w:szCs w:val="18"/>
          <w:color w:val="auto"/>
        </w:rPr>
      </w:pPr>
    </w:p>
    <w:p>
      <w:pPr>
        <w:ind w:left="328"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stockholders shall have validly tendered and not withdrawn prior to the expiration of the Offer at least that number of Shares that constitutes a majority of the then-outstanding Shares on a fully diluted basis.</w:t>
      </w:r>
    </w:p>
    <w:p>
      <w:pPr>
        <w:spacing w:after="0" w:line="15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203 Condition</w:t>
      </w:r>
    </w:p>
    <w:p>
      <w:pPr>
        <w:spacing w:after="0" w:line="227" w:lineRule="exact"/>
        <w:rPr>
          <w:rFonts w:ascii="Times New Roman" w:cs="Times New Roman" w:eastAsia="Times New Roman" w:hAnsi="Times New Roman"/>
          <w:sz w:val="18"/>
          <w:szCs w:val="18"/>
          <w:color w:val="auto"/>
        </w:rPr>
      </w:pPr>
    </w:p>
    <w:p>
      <w:pPr>
        <w:ind w:left="328" w:right="3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on business combinations under Section 203 of the DGCL shall be inapplicable to the second-step merger following the Offer. </w:t>
      </w:r>
      <w:r>
        <w:rPr>
          <w:rFonts w:ascii="Times New Roman" w:cs="Times New Roman" w:eastAsia="Times New Roman" w:hAnsi="Times New Roman"/>
          <w:sz w:val="18"/>
          <w:szCs w:val="18"/>
          <w:i w:val="1"/>
          <w:iCs w:val="1"/>
          <w:color w:val="auto"/>
        </w:rPr>
        <w:t>Competition Laws Condition</w:t>
      </w:r>
    </w:p>
    <w:p>
      <w:pPr>
        <w:spacing w:after="0" w:line="1" w:lineRule="exact"/>
        <w:rPr>
          <w:rFonts w:ascii="Times New Roman" w:cs="Times New Roman" w:eastAsia="Times New Roman" w:hAnsi="Times New Roman"/>
          <w:sz w:val="18"/>
          <w:szCs w:val="18"/>
          <w:color w:val="auto"/>
        </w:rPr>
      </w:pPr>
    </w:p>
    <w:p>
      <w:pPr>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applicable to the Offer and the second-step merger under the Hart-Scott-Rodino Antitrust 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w:t>
      </w:r>
    </w:p>
    <w:p>
      <w:pPr>
        <w:spacing w:after="0" w:line="18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Injunction Condition</w:t>
      </w:r>
    </w:p>
    <w:p>
      <w:pPr>
        <w:spacing w:after="0" w:line="227" w:lineRule="exact"/>
        <w:rPr>
          <w:rFonts w:ascii="Times New Roman" w:cs="Times New Roman" w:eastAsia="Times New Roman" w:hAnsi="Times New Roman"/>
          <w:sz w:val="18"/>
          <w:szCs w:val="18"/>
          <w:color w:val="auto"/>
        </w:rPr>
      </w:pPr>
    </w:p>
    <w:p>
      <w:pPr>
        <w:ind w:left="328"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shall after the date of the Offer to Purchase have enacted, issued or promulgated any law or order that is in effect and that restrains, enjoins or otherwise prohibits consummation of the Offer or the second-step merger.</w:t>
      </w:r>
    </w:p>
    <w:p>
      <w:pPr>
        <w:spacing w:after="0" w:line="15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Adverse Effect Condition</w:t>
      </w:r>
    </w:p>
    <w:p>
      <w:pPr>
        <w:spacing w:after="0" w:line="227" w:lineRule="exact"/>
        <w:rPr>
          <w:rFonts w:ascii="Times New Roman" w:cs="Times New Roman" w:eastAsia="Times New Roman" w:hAnsi="Times New Roman"/>
          <w:sz w:val="18"/>
          <w:szCs w:val="18"/>
          <w:color w:val="auto"/>
        </w:rPr>
      </w:pPr>
    </w:p>
    <w:p>
      <w:pPr>
        <w:ind w:left="328"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effect, event, development, change, state of facts, condition, circumstance or occurrence, that, individually or in the aggregate, has had, or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251460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25" w:name="page26"/>
    <w:bookmarkEnd w:id="25"/>
    <w:p>
      <w:pPr>
        <w:ind w:left="4" w:right="20"/>
        <w:spacing w:after="0" w:line="268" w:lineRule="auto"/>
        <w:rPr>
          <w:sz w:val="20"/>
          <w:szCs w:val="20"/>
          <w:color w:val="auto"/>
        </w:rPr>
      </w:pPr>
      <w:r>
        <w:rPr>
          <w:rFonts w:ascii="Times New Roman" w:cs="Times New Roman" w:eastAsia="Times New Roman" w:hAnsi="Times New Roman"/>
          <w:sz w:val="17"/>
          <w:szCs w:val="17"/>
          <w:color w:val="auto"/>
        </w:rPr>
        <w:t xml:space="preserve">The term “Material Adverse Effect” means any effect, event, development, change, state of facts, condition, circumstance or occurrence that, individually or in the aggregate with any other effect, event, development, change, state of facts, condition, circumstance or occurrence that is, or would reasonably be expected to be, materially adverse to the financial condition, properties, assets, operations, liabilities, business or results of operations of Warner Bros. and its subsidiaries taken as a whole; provided, however, that none of the following, alone or in combination, shall be deemed to constitute a “Material Adverse Effect”, or be taken into account in determining whether a Material Adverse Effect has occurred or would be reasonably likely to occur: (a) effects generally affecting the economy, credit, capital, securities or financial markets or political, regulatory, economic or business conditions (including tariffs, trade policies and sanctions) in any jurisdiction in which Warner Bros. or its subsidiaries has material operations or in which products or services of Warner Bros. or its Subsidiaries are sold; (b) effects that are the result of factors generally affecting the industries, markets or geographical areas in which Warner Bros. or its subsidiaries has material operations; (c) changes in the relationship of Warner Bros. or its subsidiaries, contractual or otherwise, with customers, employees, unions, suppliers, distributors, financing sources, partners or similar relationship or any resulting effect that was cause by the announcement, pendency or performance of the Offer by, or resulting or arising from the identity of or any facts or circumstances relating to, Paramount or its affiliates, (d) changes or modifications in accounting standards applicable to Warner Bros. or its subsidiaries, including U.S. generally accepted accounting principles, or in any law of general applicability, including the repeal thereof, or in the interpretation or enforcement thereof, after the date of this Offer to Purchase; (e) any failure by Warner Bros. or its subsidiaries to meet any internal or public projections or forecasts or estimates of revenues or earnings for any period; </w:t>
      </w:r>
      <w:r>
        <w:rPr>
          <w:rFonts w:ascii="Times New Roman" w:cs="Times New Roman" w:eastAsia="Times New Roman" w:hAnsi="Times New Roman"/>
          <w:sz w:val="17"/>
          <w:szCs w:val="17"/>
          <w:u w:val="single" w:color="auto"/>
          <w:color w:val="auto"/>
        </w:rPr>
        <w:t>p</w:t>
      </w:r>
      <w:r>
        <w:rPr>
          <w:rFonts w:ascii="Times New Roman" w:cs="Times New Roman" w:eastAsia="Times New Roman" w:hAnsi="Times New Roman"/>
          <w:sz w:val="17"/>
          <w:szCs w:val="17"/>
          <w:color w:val="auto"/>
        </w:rPr>
        <w:t>rovided that the exception in this clause (e) shall not prevent or otherwise affect a determination that any effect underlying such failure has resulted in, or contributed to, or would reasonably be expected to result in, or contribute to, a Material Adverse Effect;</w:t>
      </w:r>
    </w:p>
    <w:p>
      <w:pPr>
        <w:spacing w:after="0" w:line="198" w:lineRule="exact"/>
        <w:rPr>
          <w:sz w:val="20"/>
          <w:szCs w:val="20"/>
          <w:color w:val="auto"/>
        </w:rPr>
      </w:pPr>
    </w:p>
    <w:p>
      <w:pPr>
        <w:ind w:left="4" w:right="20" w:hanging="4"/>
        <w:spacing w:after="0" w:line="251" w:lineRule="auto"/>
        <w:tabs>
          <w:tab w:leader="none" w:pos="2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 (g) any actions taken or failed to be taken by Warner Bros. or its subsidiaries that are expressly required to be taken by the Offer to Purchase or any actions taken with Paramount’s written consent or failed to be taken at Paramount’s written request; (h) any effect or announcement of an effect affecting the credit rating or other rating of financial strength of Warner Bros., its subsidiaries or any of their respective securities; provided that the exception in this clause (h) shall not prevent or otherwise affect a determination that any effect underlying such effect or announcement of an effect has resulted in, or contributed to, or would reasonably be expected to result in, or contribute to, a Material Adverse Effect; provided, further that, with respect to clauses (a), (b), (d) and (f), such effect, event, development, change, state of facts, condition, circumstance or occurrence shall be taken into account in determining whether a “Material Adverse Effect” has occurred or is occurring to the extent it materially and disproportionately adversely affects Warner Bros. and its subsidiaries (taken as a whole) compared to other companies operating in the industries and geographies in which Warner Bros. and its subsidiaries operate (in which case only the incremental disproportionate impact may be taken into account, and only to the extent otherwise permitted by this definition).</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Regulatory Material Adverse Effect Condition</w:t>
      </w:r>
    </w:p>
    <w:p>
      <w:pPr>
        <w:spacing w:after="0" w:line="22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No approval, clearance, consent, registration, permit, authorization or other confirmation 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w:t>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Termination of Netflix Merger Agreement/Shareholder Vote Condition</w:t>
      </w:r>
    </w:p>
    <w:p>
      <w:pPr>
        <w:spacing w:after="0" w:line="227"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Netflix Merger Agreement shall have been validly terminated in accordance with its terms and Warner Bros. stockholders shall not have adopted the Netflix Merger Agreement and shall not have approved the transactions contemplated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 w:name="page27"/>
    <w:bookmarkEnd w:id="26"/>
    <w:p>
      <w:pPr>
        <w:ind w:left="328"/>
        <w:spacing w:after="0"/>
        <w:rPr>
          <w:sz w:val="20"/>
          <w:szCs w:val="20"/>
          <w:color w:val="auto"/>
        </w:rPr>
      </w:pPr>
      <w:r>
        <w:rPr>
          <w:rFonts w:ascii="Times New Roman" w:cs="Times New Roman" w:eastAsia="Times New Roman" w:hAnsi="Times New Roman"/>
          <w:sz w:val="18"/>
          <w:szCs w:val="18"/>
          <w:i w:val="1"/>
          <w:iCs w:val="1"/>
          <w:color w:val="auto"/>
        </w:rPr>
        <w:t>Compliance Condition</w:t>
      </w:r>
    </w:p>
    <w:p>
      <w:pPr>
        <w:spacing w:after="0" w:line="227" w:lineRule="exact"/>
        <w:rPr>
          <w:sz w:val="20"/>
          <w:szCs w:val="20"/>
          <w:color w:val="auto"/>
        </w:rPr>
      </w:pPr>
    </w:p>
    <w:p>
      <w:pPr>
        <w:ind w:left="328" w:right="720"/>
        <w:spacing w:after="0" w:line="282" w:lineRule="auto"/>
        <w:rPr>
          <w:sz w:val="20"/>
          <w:szCs w:val="20"/>
          <w:color w:val="auto"/>
        </w:rPr>
      </w:pPr>
      <w:r>
        <w:rPr>
          <w:rFonts w:ascii="Times New Roman" w:cs="Times New Roman" w:eastAsia="Times New Roman" w:hAnsi="Times New Roman"/>
          <w:sz w:val="18"/>
          <w:szCs w:val="18"/>
          <w:color w:val="auto"/>
        </w:rPr>
        <w:t>Warner Bros. shall not have taken any action or actions that would have constituted a breach in any material respect of Section 6.1 of the December 22 Paramount/Warner Bros. Merger Agreement as if such agreement had been entered into as of the date of this Offer</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328" w:right="140"/>
        <w:spacing w:after="0" w:line="282" w:lineRule="auto"/>
        <w:rPr>
          <w:sz w:val="20"/>
          <w:szCs w:val="20"/>
          <w:color w:val="auto"/>
        </w:rPr>
      </w:pPr>
      <w:r>
        <w:rPr>
          <w:rFonts w:ascii="Times New Roman" w:cs="Times New Roman" w:eastAsia="Times New Roman" w:hAnsi="Times New Roman"/>
          <w:sz w:val="18"/>
          <w:szCs w:val="18"/>
          <w:color w:val="auto"/>
        </w:rPr>
        <w:t>The Offer is not subject to any financing conditions, CFIUS clearance and (so long as Warner Bros. complies with its covenants as contemplated by the December 22 Paramount/Warner Bros. Merger Agreement) FCC approval.</w:t>
      </w:r>
    </w:p>
    <w:p>
      <w:pPr>
        <w:spacing w:after="0" w:line="16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i w:val="1"/>
          <w:iCs w:val="1"/>
          <w:color w:val="auto"/>
        </w:rPr>
        <w:t>Global Networks Ownership Condition</w:t>
      </w:r>
    </w:p>
    <w:p>
      <w:pPr>
        <w:spacing w:after="0" w:line="22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Warner Bros. shall have retained 100% of the ownership of its Global Networks business.</w:t>
      </w:r>
    </w:p>
    <w:p>
      <w:pPr>
        <w:spacing w:after="0" w:line="225" w:lineRule="exact"/>
        <w:rPr>
          <w:sz w:val="20"/>
          <w:szCs w:val="20"/>
          <w:color w:val="auto"/>
        </w:rPr>
      </w:pPr>
    </w:p>
    <w:p>
      <w:pPr>
        <w:ind w:left="328"/>
        <w:spacing w:after="0" w:line="254" w:lineRule="auto"/>
        <w:rPr>
          <w:sz w:val="20"/>
          <w:szCs w:val="20"/>
          <w:color w:val="auto"/>
        </w:rPr>
      </w:pPr>
      <w:r>
        <w:rPr>
          <w:rFonts w:ascii="Times New Roman" w:cs="Times New Roman" w:eastAsia="Times New Roman" w:hAnsi="Times New Roman"/>
          <w:sz w:val="18"/>
          <w:szCs w:val="18"/>
          <w:color w:val="auto"/>
        </w:rPr>
        <w:t>The foregoing conditions are for the sole benefit of Paramount and the Purchaser and may be asserted by Paramount or the Purchaser regardless of the circumstances giving rise to any such condition or, other than the “Competition Laws Condition” and “Injunction Condition”, may be waived by Paramount or the Purchaser in whole or in part at any time and from time to time prior to the expiration of the Offer in its discretion. To the extent Paramount or the Purchaser waives a condition set forth in this section with respect to one tender, Paramount and the Purchaser will waive that condition with respect to all other tenders. The failure by Paramount or the Purchaser at any time to exercise any of the foregoing rights shall not be deemed a waiver of any such right; the waiver of any such right with respect to particular facts and other circumstances shall not be deemed a waiver with respect to any other facts and circumstances; and each such right shall be deemed an ongoing right that may be asserted at any time and from time to time until the expiration of the Offer. Any determination by Paramount or the Purchaser concerning any condition or event described in the Offer to Purchase shall be final and binding on all parties to the fullest extent permitted by law.</w:t>
      </w:r>
    </w:p>
    <w:p>
      <w:pPr>
        <w:spacing w:after="0" w:line="188" w:lineRule="exact"/>
        <w:rPr>
          <w:sz w:val="20"/>
          <w:szCs w:val="20"/>
          <w:color w:val="auto"/>
        </w:rPr>
      </w:pPr>
    </w:p>
    <w:p>
      <w:pPr>
        <w:jc w:val="both"/>
        <w:ind w:left="328" w:right="160"/>
        <w:spacing w:after="0" w:line="261" w:lineRule="auto"/>
        <w:rPr>
          <w:sz w:val="20"/>
          <w:szCs w:val="20"/>
          <w:color w:val="auto"/>
        </w:rPr>
      </w:pPr>
      <w:r>
        <w:rPr>
          <w:rFonts w:ascii="Times New Roman" w:cs="Times New Roman" w:eastAsia="Times New Roman" w:hAnsi="Times New Roman"/>
          <w:sz w:val="18"/>
          <w:szCs w:val="18"/>
          <w:color w:val="auto"/>
        </w:rPr>
        <w:t>Subject to applicable law, we reserve the right to amend the Offer in any respect (including amending the Offer Price). In addition, in the event that we enter into a merger agreement with Warner Bros. and such merger agreement does not provide for a tender offer, we reserve the right to terminate the Offer, in which case the Shares would, upon consummation of such merger, be converted into the right to receive the consideration negotiated by us and Warner Bros. and specified in such merger agreement.</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The consummation of the Offer is not subject to any financing condition.</w:t>
      </w:r>
    </w:p>
    <w:p>
      <w:pPr>
        <w:spacing w:after="0" w:line="229" w:lineRule="exact"/>
        <w:rPr>
          <w:sz w:val="20"/>
          <w:szCs w:val="20"/>
          <w:color w:val="auto"/>
        </w:rPr>
      </w:pPr>
    </w:p>
    <w:p>
      <w:pPr>
        <w:ind w:left="328" w:right="340"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in subsection “Antitrust Matters and Other Regulatory Approvals” in the section of the Offer to Purchase entitled “Certain Legal Matters; Regulatory Approvals; Appraisal Rights” is hereby amended and restated in its entirety as follows:</w:t>
      </w:r>
    </w:p>
    <w:p>
      <w:pPr>
        <w:spacing w:after="0" w:line="161" w:lineRule="exact"/>
        <w:rPr>
          <w:rFonts w:ascii="Times New Roman" w:cs="Times New Roman" w:eastAsia="Times New Roman" w:hAnsi="Times New Roman"/>
          <w:sz w:val="18"/>
          <w:szCs w:val="18"/>
          <w:color w:val="auto"/>
        </w:rPr>
      </w:pPr>
    </w:p>
    <w:p>
      <w:pPr>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review the Antitrust Division of the United States Department of Justice (the “Antitrust Division”). Under the HSR Act, the Offer and the second-step merger may not be completed until certain information has been provided to the Antitrust Division (and the FTC, which administers the HSR process) and a required waiting period has expired or has been terminated. Messrs. Larry Ellison and David Ellison, as the ultimate parent entities of Paramount, submitted premerger notification filings under the HSR Act on December 8, 2025.</w:t>
      </w:r>
    </w:p>
    <w:p>
      <w:pPr>
        <w:spacing w:after="0" w:line="179" w:lineRule="exact"/>
        <w:rPr>
          <w:rFonts w:ascii="Times New Roman" w:cs="Times New Roman" w:eastAsia="Times New Roman" w:hAnsi="Times New Roman"/>
          <w:sz w:val="18"/>
          <w:szCs w:val="18"/>
          <w:color w:val="auto"/>
        </w:rPr>
      </w:pPr>
    </w:p>
    <w:p>
      <w:pPr>
        <w:ind w:left="328" w:right="320" w:hanging="328"/>
        <w:spacing w:after="0" w:line="282"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under the subsection “Additional Information” in the section of the Offer to Purchase entitled “Certain Information Concerning Warner Bros.” is hereby amended and restated in its entirety as follows:</w:t>
      </w:r>
    </w:p>
    <w:p>
      <w:pPr>
        <w:spacing w:after="0" w:line="161" w:lineRule="exact"/>
        <w:rPr>
          <w:rFonts w:ascii="Times New Roman" w:cs="Times New Roman" w:eastAsia="Times New Roman" w:hAnsi="Times New Roman"/>
          <w:sz w:val="18"/>
          <w:szCs w:val="18"/>
          <w:color w:val="auto"/>
        </w:rPr>
      </w:pPr>
    </w:p>
    <w:p>
      <w:pPr>
        <w:ind w:left="328"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Warner Bros. is subject to the informational requirements of the Exchange Act, and in accordance therewith, files periodic reports, proxy statements and other information with the SEC relating to its business, financial condition and other matters. Warner Bros. is required to disclose in such proxy statements certain information, as of particular dates, concerning Warner Bros.’s directors and officers, their remuneration, stock options and other equity awards granted to them, the principal holders of Warner Bros.’s securities and any material interest of such persons in transactions with Warner Bros. Copies of such material can also be obtained free of charge at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267970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2" w:right="359" w:bottom="1440" w:gutter="0" w:footer="0" w:header="0"/>
        </w:sectPr>
      </w:pPr>
    </w:p>
    <w:bookmarkStart w:id="27" w:name="page28"/>
    <w:bookmarkEnd w:id="27"/>
    <w:p>
      <w:pPr>
        <w:ind w:left="328" w:right="400"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under the subsection “Available Information” in the section of the Offer to Purchase entitled “Certain Information Concerning Paramount and the Purchaser” is hereby amended and restated in its entirety as follows:</w:t>
      </w:r>
    </w:p>
    <w:p>
      <w:pPr>
        <w:spacing w:after="0" w:line="157" w:lineRule="exact"/>
        <w:rPr>
          <w:rFonts w:ascii="Times New Roman" w:cs="Times New Roman" w:eastAsia="Times New Roman" w:hAnsi="Times New Roman"/>
          <w:sz w:val="18"/>
          <w:szCs w:val="18"/>
          <w:color w:val="auto"/>
        </w:rPr>
      </w:pPr>
    </w:p>
    <w:p>
      <w:pPr>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14d-3 under the Exchange Act, we have filed with the SEC a Tender Offer Statement on Schedule 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of which this Offer to Purchase forms a part, and exhibits to the Schedule TO. Copies of such information may be obtained by mail, upon payment of the SEC’s customary charges, by writing to the SEC at 100 F Street, N.E., Washington, D.C. 20549-0213. The SEC also maintains a website at http://www.sec.gov that contains the Schedule TO and the exhibits thereto and other information that the Purchaser has filed electronically with the SEC. Additionally, requests for copies of this Offer to Purchase, the Letter of Transmittal, the Notice of Guaranteed Delivery and all other related materials may be directed to the Information Agent or brokers, dealers, commercial banks and trust companies and copies will be furnished promptly at the Purchaser’s expense.</w:t>
      </w:r>
    </w:p>
    <w:p>
      <w:pPr>
        <w:spacing w:after="0" w:line="186" w:lineRule="exact"/>
        <w:rPr>
          <w:rFonts w:ascii="Times New Roman" w:cs="Times New Roman" w:eastAsia="Times New Roman" w:hAnsi="Times New Roman"/>
          <w:sz w:val="18"/>
          <w:szCs w:val="18"/>
          <w:color w:val="auto"/>
        </w:rPr>
      </w:pPr>
    </w:p>
    <w:p>
      <w:pPr>
        <w:ind w:left="328" w:right="60" w:hanging="328"/>
        <w:spacing w:after="0" w:line="261"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heading “Paramount/Warner Bros. Merger Agreement” in the tabular comparison of key terms of Paramount’s December 4 Improved Proposal against the Netflix Transaction that Warner Bros. selected, in the section of the Offer to Purchase entitled “Background of the Offer; Other Transactions with Warner Bros.”, is hereby amended and replaced with “December 4 Improved Proposal”. Additionally, references to “Global Linear Networks” are hereby revised to refer to “Global Networks”.</w:t>
      </w:r>
    </w:p>
    <w:p>
      <w:pPr>
        <w:spacing w:after="0" w:line="179"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eighth paragraph of the section of the Offer to Purchase entitled “Fees and Expenses” is hereby amended and restated in its entirety as follows:</w:t>
      </w:r>
    </w:p>
    <w:p>
      <w:pPr>
        <w:spacing w:after="0" w:line="161" w:lineRule="exact"/>
        <w:rPr>
          <w:rFonts w:ascii="Times New Roman" w:cs="Times New Roman" w:eastAsia="Times New Roman" w:hAnsi="Times New Roman"/>
          <w:sz w:val="18"/>
          <w:szCs w:val="18"/>
          <w:color w:val="auto"/>
        </w:rPr>
      </w:pPr>
    </w:p>
    <w:p>
      <w:pPr>
        <w:ind w:left="328"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retained Okapi Partners LLC as information agent in connection with the Offer. The information agent may contact holders of the Shares by mail, e-mail, telephone or in person and may request brokers, dealers, commercial banks, trust companies and other nominees to forward material relating to the Offer to beneficial owners of the Shares. Paramount will pay the information agent reasonable and customary compensation for these services in addition to reimbursing the information agent for its reasonable out-of-pocket expenses. Paramount agreed to indemnify the information agent against certain liabilities and expenses in connection with the Offer, including certain liabilities under the U.S. Federal securities laws.</w:t>
      </w:r>
    </w:p>
    <w:p>
      <w:pPr>
        <w:spacing w:after="0" w:line="187"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the Offer to Purchase to the “Delaware General Corporate Law” are hereby revised to refer to the “Delaware General Corporation Law”.</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 Exhibits (a)(5)(L)-(P) to this Amendment are deemed to be incorporated into the Offer to Purchase as Annex B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to add the following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(a)(5)(K)</w:t>
            </w:r>
          </w:p>
        </w:tc>
        <w:tc>
          <w:tcPr>
            <w:tcW w:w="560" w:type="dxa"/>
            <w:vAlign w:val="bottom"/>
            <w:gridSpan w:val="2"/>
          </w:tcPr>
          <w:p>
            <w:pPr>
              <w:spacing w:after="0"/>
              <w:rPr>
                <w:sz w:val="17"/>
                <w:szCs w:val="17"/>
                <w:color w:val="auto"/>
              </w:rPr>
            </w:pPr>
          </w:p>
        </w:tc>
        <w:tc>
          <w:tcPr>
            <w:tcW w:w="400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w w:val="99"/>
              </w:rPr>
              <w:t>Press Release of Paramount, dated December 22, 2025.</w:t>
            </w:r>
          </w:p>
        </w:tc>
        <w:tc>
          <w:tcPr>
            <w:tcW w:w="6000" w:type="dxa"/>
            <w:vAlign w:val="bottom"/>
            <w:gridSpan w:val="7"/>
          </w:tcPr>
          <w:p>
            <w:pPr>
              <w:spacing w:after="0"/>
              <w:rPr>
                <w:sz w:val="17"/>
                <w:szCs w:val="17"/>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(a)(5)(L)</w:t>
            </w:r>
          </w:p>
        </w:tc>
        <w:tc>
          <w:tcPr>
            <w:tcW w:w="600" w:type="dxa"/>
            <w:vAlign w:val="bottom"/>
            <w:gridSpan w:val="3"/>
          </w:tcPr>
          <w:p>
            <w:pPr>
              <w:spacing w:after="0"/>
              <w:rPr>
                <w:sz w:val="24"/>
                <w:szCs w:val="24"/>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rPr>
              <w:t>Form of Agreement of and Plan of Merger</w:t>
            </w: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(a)(5)(M)</w:t>
            </w:r>
          </w:p>
        </w:tc>
        <w:tc>
          <w:tcPr>
            <w:tcW w:w="540" w:type="dxa"/>
            <w:vAlign w:val="bottom"/>
          </w:tcPr>
          <w:p>
            <w:pPr>
              <w:spacing w:after="0"/>
              <w:rPr>
                <w:sz w:val="24"/>
                <w:szCs w:val="24"/>
                <w:color w:val="auto"/>
              </w:rPr>
            </w:pPr>
          </w:p>
        </w:tc>
        <w:tc>
          <w:tcPr>
            <w:tcW w:w="926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9"/>
              </w:rPr>
              <w:t>Form of Subscription Agreement between Paramount, The Lawrence J. Ellison Revocable Trust, u/a/d 1/22/88, as amended, and</w:t>
            </w:r>
          </w:p>
        </w:tc>
        <w:tc>
          <w:tcPr>
            <w:tcW w:w="74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Lawrence J. Ellison</w:t>
            </w:r>
          </w:p>
        </w:tc>
        <w:tc>
          <w:tcPr>
            <w:tcW w:w="8560" w:type="dxa"/>
            <w:vAlign w:val="bottom"/>
            <w:gridSpan w:val="9"/>
          </w:tcPr>
          <w:p>
            <w:pPr>
              <w:spacing w:after="0"/>
              <w:rPr>
                <w:sz w:val="17"/>
                <w:szCs w:val="17"/>
                <w:color w:val="auto"/>
              </w:rPr>
            </w:pPr>
          </w:p>
        </w:tc>
      </w:tr>
      <w:tr>
        <w:trPr>
          <w:trHeight w:val="412"/>
        </w:trPr>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(a)(5)(N)</w:t>
            </w:r>
          </w:p>
        </w:tc>
        <w:tc>
          <w:tcPr>
            <w:tcW w:w="560" w:type="dxa"/>
            <w:vAlign w:val="bottom"/>
            <w:gridSpan w:val="2"/>
          </w:tcPr>
          <w:p>
            <w:pPr>
              <w:spacing w:after="0"/>
              <w:rPr>
                <w:sz w:val="24"/>
                <w:szCs w:val="24"/>
                <w:color w:val="auto"/>
              </w:rPr>
            </w:pPr>
          </w:p>
        </w:tc>
        <w:tc>
          <w:tcPr>
            <w:tcW w:w="9820" w:type="dxa"/>
            <w:vAlign w:val="bottom"/>
            <w:tcBorders>
              <w:bottom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w w:val="99"/>
              </w:rPr>
              <w:t>Form of Ellison Guarantee by and among The Lawrence J. Ellison Revocable Trust, u/a/d 1/22/88, as amended, Lawrence J. Ellison and</w:t>
            </w:r>
          </w:p>
        </w:tc>
        <w:tc>
          <w:tcPr>
            <w:tcW w:w="18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rPr>
              <w:t>Warner Bros.</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(a)(5)(O)</w:t>
            </w:r>
          </w:p>
        </w:tc>
        <w:tc>
          <w:tcPr>
            <w:tcW w:w="560" w:type="dxa"/>
            <w:vAlign w:val="bottom"/>
            <w:gridSpan w:val="2"/>
          </w:tcPr>
          <w:p>
            <w:pPr>
              <w:spacing w:after="0"/>
              <w:rPr>
                <w:sz w:val="24"/>
                <w:szCs w:val="24"/>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rPr>
              <w:t>Form of Subscription Agreement between Paramount and RedBird Capital Partners Fund IV (Master), L.P.</w:t>
            </w:r>
          </w:p>
        </w:tc>
      </w:tr>
      <w:tr>
        <w:trPr>
          <w:trHeight w:val="412"/>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(a)(5)(P)</w:t>
            </w:r>
          </w:p>
        </w:tc>
        <w:tc>
          <w:tcPr>
            <w:tcW w:w="40" w:type="dxa"/>
            <w:vAlign w:val="bottom"/>
            <w:tcBorders>
              <w:top w:val="single" w:sz="8" w:color="0000EE"/>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770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rPr>
              <w:t>Letter from The Lawrence J. Ellison Revocable Trust, dated December 21, 2025</w:t>
            </w:r>
          </w:p>
        </w:tc>
        <w:tc>
          <w:tcPr>
            <w:tcW w:w="2300" w:type="dxa"/>
            <w:vAlign w:val="bottom"/>
            <w:gridSpan w:val="5"/>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780" w:type="dxa"/>
            <w:vAlign w:val="bottom"/>
            <w:gridSpan w:val="5"/>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(b)(1)</w:t>
            </w:r>
          </w:p>
        </w:tc>
        <w:tc>
          <w:tcPr>
            <w:tcW w:w="600" w:type="dxa"/>
            <w:vAlign w:val="bottom"/>
            <w:gridSpan w:val="3"/>
          </w:tcPr>
          <w:p>
            <w:pPr>
              <w:spacing w:after="0"/>
              <w:rPr>
                <w:sz w:val="24"/>
                <w:szCs w:val="24"/>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rPr>
              <w:t>Amendment No. 1 to Commitment Letter, dated as of December 22, 2025, by and among Paramount, Bank of America, N.A., BofA</w:t>
            </w:r>
          </w:p>
        </w:tc>
      </w:tr>
      <w:tr>
        <w:trPr>
          <w:trHeight w:val="196"/>
        </w:trPr>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Borders>
              <w:top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rPr>
              <w:t>Securities, Inc., Citigroup Global Markets Inc., Apollo Global Funding, LLC and Apollo Capital Management, L.P.</w:t>
            </w:r>
          </w:p>
        </w:tc>
        <w:tc>
          <w:tcPr>
            <w:tcW w:w="480" w:type="dxa"/>
            <w:vAlign w:val="bottom"/>
            <w:gridSpan w:val="2"/>
          </w:tcPr>
          <w:p>
            <w:pPr>
              <w:spacing w:after="0"/>
              <w:rPr>
                <w:sz w:val="17"/>
                <w:szCs w:val="17"/>
                <w:color w:val="auto"/>
              </w:rPr>
            </w:pPr>
          </w:p>
        </w:tc>
      </w:tr>
      <w:tr>
        <w:trPr>
          <w:trHeight w:val="695"/>
        </w:trPr>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 Dated: December 22,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PRINCE SUB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(a)(5)(K)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161290</wp:posOffset>
            </wp:positionV>
            <wp:extent cx="5648960" cy="1337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AMENDS ITS SUPERIOR $30 PER SHARE ALL-CASH OFFER FOR WARNER BROS. DISCOVERY</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Los Angeles and New York, December 22, 2025 </w:t>
      </w:r>
      <w:r>
        <w:rPr>
          <w:rFonts w:ascii="Times New Roman" w:cs="Times New Roman" w:eastAsia="Times New Roman" w:hAnsi="Times New Roman"/>
          <w:sz w:val="18"/>
          <w:szCs w:val="18"/>
          <w:color w:val="auto"/>
        </w:rPr>
        <w:t>– Paramount Skydance Corporation (NASDAQ: PSKY) (“Paramount”) today has amended its $30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all-cash offer for Warner Bros. Discovery, Inc. (NASDAQ: WBD) (“WBD”), to address WBD’s stated concerns regarding Paramount’s superior offer. Paramount continues to offer to purchase, for $30 per share in cash, 100% of the outstanding shares of WBD, and therefore will assume all assets and liabilities of WBD.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17th, in its Schedule 14D-9 filing and through television appearances by WBD principals and advisors, WBD asserted that the full equity backstop from the Ellison family trust—which was included in Paramount’s December 4th proposal to WBD and the December 8th tender offer to WBD shareholders—was inadequate, despite the trust holding a majority of the assets of Larry Ellison, the founder of Oracle and controlling shareholder of Paramount. WBD went on to assert that the only fix would be a personal guarantee from Mr. Ellison. None of these concerns nor the demand for a personal guarantee were raised by WBD or its advisors to Paramount in the 12-week period leading up to WBD agreeing to the inferior transaction with Netflix, Inc. (NASDAQ: NFLX).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Nonetheless, Paramount has elected to address WBD’s current stated concerns, and has amended its offer to WBD shareholders as follows:</w:t>
      </w:r>
    </w:p>
    <w:p>
      <w:pPr>
        <w:spacing w:after="0" w:line="221" w:lineRule="exact"/>
        <w:rPr>
          <w:sz w:val="20"/>
          <w:szCs w:val="20"/>
          <w:color w:val="auto"/>
        </w:rPr>
      </w:pPr>
    </w:p>
    <w:p>
      <w:pPr>
        <w:ind w:left="660" w:right="18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Irrevocable Personal Guarantee</w:t>
      </w:r>
      <w:r>
        <w:rPr>
          <w:rFonts w:ascii="Times New Roman" w:cs="Times New Roman" w:eastAsia="Times New Roman" w:hAnsi="Times New Roman"/>
          <w:sz w:val="18"/>
          <w:szCs w:val="18"/>
          <w:color w:val="auto"/>
        </w:rPr>
        <w:t>: Larry Ellison has agreed to provide an irrevocable personal guarantee of $40.4 billion of the equity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offer and any damages claims against Paramount.</w:t>
      </w:r>
    </w:p>
    <w:p>
      <w:pPr>
        <w:spacing w:after="0" w:line="154"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Revocable Trust</w:t>
      </w:r>
      <w:r>
        <w:rPr>
          <w:rFonts w:ascii="Times New Roman" w:cs="Times New Roman" w:eastAsia="Times New Roman" w:hAnsi="Times New Roman"/>
          <w:sz w:val="18"/>
          <w:szCs w:val="18"/>
          <w:color w:val="auto"/>
        </w:rPr>
        <w:t>: Mr. Ellison has agreed not to revoke the Ellison family trust (which has been operating for nearly 40 years as a counterparty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numerous transactions) or adversely transfer its assets during the pendency of the transaction.</w:t>
      </w:r>
    </w:p>
    <w:p>
      <w:pPr>
        <w:spacing w:after="0" w:line="154"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Assets</w:t>
      </w:r>
      <w:r>
        <w:rPr>
          <w:rFonts w:ascii="Times New Roman" w:cs="Times New Roman" w:eastAsia="Times New Roman" w:hAnsi="Times New Roman"/>
          <w:sz w:val="18"/>
          <w:szCs w:val="18"/>
          <w:color w:val="auto"/>
        </w:rPr>
        <w:t>: Paramount is publishing records confirming that the Ellison family trust owns approximately 1.16 billion shares of Oracle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that all material liabilities of the Ellison family trust are publicly disclosed.</w:t>
      </w:r>
    </w:p>
    <w:p>
      <w:pPr>
        <w:spacing w:after="0" w:line="154"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Terms</w:t>
      </w:r>
      <w:r>
        <w:rPr>
          <w:rFonts w:ascii="Times New Roman" w:cs="Times New Roman" w:eastAsia="Times New Roman" w:hAnsi="Times New Roman"/>
          <w:sz w:val="18"/>
          <w:szCs w:val="18"/>
          <w:color w:val="auto"/>
        </w:rPr>
        <w:t>: In an effort to address WBD’s amorphous need for “flexibility” in interim operations, Paramount’s revised proposed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offers further improved flexibility to WBD on debt refinancing transactions, representations and interim operating covenants.</w:t>
      </w:r>
    </w:p>
    <w:p>
      <w:pPr>
        <w:spacing w:after="0" w:line="154"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Termination Fee</w:t>
      </w:r>
      <w:r>
        <w:rPr>
          <w:rFonts w:ascii="Times New Roman" w:cs="Times New Roman" w:eastAsia="Times New Roman" w:hAnsi="Times New Roman"/>
          <w:sz w:val="18"/>
          <w:szCs w:val="18"/>
          <w:color w:val="auto"/>
        </w:rPr>
        <w:t>: To match the pending transaction, Paramount will increase its regulatory reverse termination fee from $5 billion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 billion.</w:t>
      </w:r>
    </w:p>
    <w:p>
      <w:pPr>
        <w:spacing w:after="0" w:line="154"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The offer is conditioned, among other things, on WBD continuing to own 100% of its Global Networks business. All other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the offer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right="60"/>
        <w:spacing w:after="0" w:line="255" w:lineRule="auto"/>
        <w:rPr>
          <w:sz w:val="20"/>
          <w:szCs w:val="20"/>
          <w:color w:val="auto"/>
        </w:rPr>
      </w:pPr>
      <w:r>
        <w:rPr>
          <w:rFonts w:ascii="Times New Roman" w:cs="Times New Roman" w:eastAsia="Times New Roman" w:hAnsi="Times New Roman"/>
          <w:sz w:val="18"/>
          <w:szCs w:val="18"/>
          <w:color w:val="auto"/>
        </w:rPr>
        <w:t>WBD’s Schedule 14D-9 filing omits any information about the financial analyses its board of directors relied upon in selecting the Netflix offer, despite such disclosures being customarily included. Accordingly, the filing omits any view as to the value of the Global Networks stub equity which Paramount values at $1 per share. Finally, Paramount notes that the Netflix offer includes a dollar-for-dollar adjustment to the proceeds to be received by WBD shareholders based upon net debt on the Streaming &amp; Studios company, but there is no disclosure about how that calculation works either. WBD shareholders should have such information so that they can assess how the actual Netflix package compares to Paramount’s offer, particularly while WBD principals and advisors refer to a “risk adjusted” value for Paramount’s 100% cash offer and the $30 per share it presents to WBD shareholders. WBD’s disclosure likewise omits any detail about the nature and magnitude of that “risk adjustment.”</w:t>
      </w:r>
    </w:p>
    <w:p>
      <w:pPr>
        <w:spacing w:after="0" w:line="189"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8"/>
          <w:szCs w:val="18"/>
          <w:color w:val="auto"/>
        </w:rPr>
        <w:t>David Ellison, Chairman and CEO of Paramount, said: "Paramount has repeatedly demonstrated its commitment to acquiring WBD. Our $30 per share, fully financed all-cash offer was on December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continues to be, the superior option to maximize value for WBD shareholders. Because of our commitment to investment and growth, our acquisition will be superior for all WBD stakeholders, as a catalyst for greater content production, greater theatrical output, and more consumer choice. We expect the board of directors of WBD to take the necessary steps to secure this value-enhancing transaction and preserve and strengthen an iconic Hollywood treasure for the future.”</w:t>
      </w:r>
    </w:p>
    <w:p>
      <w:pPr>
        <w:spacing w:after="0" w:line="1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connection with its enhanced offer, Paramount’s direct wholly owned subsidiary, Prince Sub Inc. (“Prince Sub”), is extending the expiration date of the tender offer to 5:00 p.m., New York City time, on January 21, 2026, unless further extended.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Equiniti Trust Company, LLC, as the depositary for the tender offer, has advised Prince Sub that, as of 6:00 p.m., New York City time, on December 19, 2025, 397,252 Shares had been validly tendered and not withdrawn from the tender offer.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tender offer statement and related materials have been filed with the SEC. WBD shareholders who need additional copies of the tender offer statement and related materials or who have questions regarding the offer should contact Okapi Partners LLC, the information agent for the tender offer, toll-free at (844) 343-2621.</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Paramount urges WBD shareholders to register their preference for Paramount’s superior offer with the WBD Board by tendering their shares today.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WBD shareholders and other interested parties can find additional information about Paramount's superior offer at www.StrongerHollywood.com.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Paramount, a Skydance Corporation</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Paramount, a Skydance Corporation is a leading, next-generation global media and entertainment company, comprised of three business segments: Filmed Entertainment, Direct-to-Consumer, and TV Media. Paramount’s portfolio unites legendary brands, including Paramount Pictures, Paramount Television, CBS – America’s most-watched broadcast network, CBS News, CBS Sports, Nickelodeon, MTV, BET, Comedy Central, Showtime, Paramount+, Paramount TV, and Skydance’s Animation, Film, Television, Interactive/Games, and Sports divisions. For more information, visit paramount.com.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WBD and Netflix, Inc. (“Netflix”) pursuant to the Agreement and Plan of Merger, dated December 4, 2025,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company;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hereof,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and the Tender Offer that Paramount, through Prince Sub,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Zukerman / Laura Watson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msz@paramount.com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Laura.watson@paramount.com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Brunswick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ParamountSkydance@brunswickgroup.com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Gagnier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Gagnier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dg@gagnierfc.com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Creighton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Kevin.creighton@paramount.com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Okapi Partners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297-0720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(844) 343-2621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(a)(5)(L)</w:t>
      </w: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WARNER BROS. DISCOVERY,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PRINCE SUB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57720" cy="951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951230"/>
                    </a:xfrm>
                    <a:prstGeom prst="rect">
                      <a:avLst/>
                    </a:prstGeom>
                    <a:noFill/>
                  </pic:spPr>
                </pic:pic>
              </a:graphicData>
            </a:graphic>
          </wp:anchor>
        </w:drawing>
      </w:r>
    </w:p>
    <w:p>
      <w:pPr>
        <w:spacing w:after="0" w:line="52" w:lineRule="exact"/>
        <w:rPr>
          <w:sz w:val="20"/>
          <w:szCs w:val="20"/>
          <w:color w:val="auto"/>
        </w:rPr>
      </w:pPr>
    </w:p>
    <w:p>
      <w:pPr>
        <w:jc w:val="both"/>
        <w:ind w:left="80" w:right="80"/>
        <w:spacing w:after="0" w:line="256" w:lineRule="auto"/>
        <w:rPr>
          <w:sz w:val="20"/>
          <w:szCs w:val="20"/>
          <w:color w:val="auto"/>
        </w:rPr>
      </w:pPr>
      <w:r>
        <w:rPr>
          <w:rFonts w:ascii="Times New Roman" w:cs="Times New Roman" w:eastAsia="Times New Roman" w:hAnsi="Times New Roman"/>
          <w:sz w:val="18"/>
          <w:szCs w:val="18"/>
          <w:color w:val="auto"/>
        </w:rPr>
        <w:t>THIS DOCUMENT IS INTENDED SOLELY TO FACILITATE DISCUSSIONS AMONG THE PARTIES IDENTIFIED HEREIN. IT IS NOT INTENDED TO CREATE, AND IT WILL NOT BE DEEMED TO CREATE, A LEGALLY BINDING OR ENFORCEABLE OFFER OR AGREEMENT OF ANY TYPE OR NATURE PRIOR TO THE ACTUAL EXECUTION OF THIS DOCUMENT BY ALL SUCH PARTIES AND THE DELIVERY OF AN EXECUTED COPY OF THIS DOCUMENT BY ALL SUCH PARTIES TO ALL OTHER PARTIES. THIS DOCUMENT WILL BE KEPT CONFIDENTIAL PURSUANT TO THE TERMS OF THE CONFIDENTIALITY AGREEMENT ENTERED INTO BY THE COMPANY AND BUYER.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88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960" w:type="dxa"/>
            <w:vAlign w:val="bottom"/>
            <w:vMerge w:val="continue"/>
          </w:tcPr>
          <w:p>
            <w:pPr>
              <w:spacing w:after="0"/>
              <w:rPr>
                <w:sz w:val="20"/>
                <w:szCs w:val="20"/>
                <w:color w:val="auto"/>
              </w:rPr>
            </w:pPr>
          </w:p>
        </w:tc>
        <w:tc>
          <w:tcPr>
            <w:tcW w:w="88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8"/>
              </w:rPr>
              <w:t>ARTICLE I</w:t>
            </w:r>
          </w:p>
        </w:tc>
        <w:tc>
          <w:tcPr>
            <w:tcW w:w="1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88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THE MERGER</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vMerge w:val="continue"/>
          </w:tcPr>
          <w:p>
            <w:pPr>
              <w:spacing w:after="0"/>
              <w:rPr>
                <w:sz w:val="17"/>
                <w:szCs w:val="17"/>
                <w:color w:val="auto"/>
              </w:rPr>
            </w:pPr>
          </w:p>
        </w:tc>
        <w:tc>
          <w:tcPr>
            <w:tcW w:w="8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Time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Certificate of Incorporation of the Surviving Corporation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Bylaws of the Surviving Corporation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 of the Surviving Corporation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6"/>
              </w:rPr>
              <w:t>ARTICLE II</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88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EFFECT OF THE MERGER ON CAPITAL STOCK</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vMerge w:val="continue"/>
          </w:tcPr>
          <w:p>
            <w:pPr>
              <w:spacing w:after="0"/>
              <w:rPr>
                <w:sz w:val="17"/>
                <w:szCs w:val="17"/>
                <w:color w:val="auto"/>
              </w:rPr>
            </w:pPr>
          </w:p>
        </w:tc>
        <w:tc>
          <w:tcPr>
            <w:tcW w:w="8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 on Capital Stock of the Company and Merger Sub</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Adjustments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Appraisal Shares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8"/>
              </w:rPr>
              <w:t>ARTICLE III</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88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DELIVERY OF MERGER CONSIDERATION; PROCEDURES FOR SURRENDER</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vMerge w:val="continue"/>
          </w:tcPr>
          <w:p>
            <w:pPr>
              <w:spacing w:after="0"/>
              <w:rPr>
                <w:sz w:val="17"/>
                <w:szCs w:val="17"/>
                <w:color w:val="auto"/>
              </w:rPr>
            </w:pPr>
          </w:p>
        </w:tc>
        <w:tc>
          <w:tcPr>
            <w:tcW w:w="8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Paying Agent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Procedures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 Satisfaction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Undistributed Exchange Funds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Abandoned Property, Escheat or Similar Laws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Lost Certificates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of Exchange Funds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7"/>
              </w:rPr>
              <w:t>ARTICLE IV</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88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 </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vMerge w:val="continue"/>
          </w:tcPr>
          <w:p>
            <w:pPr>
              <w:spacing w:after="0"/>
              <w:rPr>
                <w:sz w:val="17"/>
                <w:szCs w:val="17"/>
                <w:color w:val="auto"/>
              </w:rPr>
            </w:pPr>
          </w:p>
        </w:tc>
        <w:tc>
          <w:tcPr>
            <w:tcW w:w="8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Good Standing and Qualification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Authority and Approval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Filings; No Violations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Reports; Financial Statements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and Liabilities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8700" w:type="dxa"/>
            <w:vAlign w:val="bottom"/>
          </w:tcPr>
          <w:p>
            <w:pPr>
              <w:spacing w:after="0"/>
              <w:rPr>
                <w:sz w:val="18"/>
                <w:szCs w:val="18"/>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20" w:type="dxa"/>
            <w:vAlign w:val="bottom"/>
            <w:vMerge w:val="continue"/>
          </w:tcPr>
          <w:p>
            <w:pPr>
              <w:spacing w:after="0"/>
              <w:rPr>
                <w:sz w:val="18"/>
                <w:szCs w:val="18"/>
                <w:color w:val="auto"/>
              </w:rPr>
            </w:pPr>
          </w:p>
        </w:tc>
        <w:tc>
          <w:tcPr>
            <w:tcW w:w="8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Benefits and Labor Matters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 Licenses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Contracts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Related-Party Transactions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Supplied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 and Finders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Anti-Takeover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Netflix Merger Agreement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w w:val="97"/>
              </w:rPr>
              <w:t>ARTICLE V</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87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7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REPRESENTATIONS AND WARRANTIES OF BUYER AND MERGER SUB</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vMerge w:val="continue"/>
          </w:tcPr>
          <w:p>
            <w:pPr>
              <w:spacing w:after="0"/>
              <w:rPr>
                <w:sz w:val="17"/>
                <w:szCs w:val="17"/>
                <w:color w:val="auto"/>
              </w:rPr>
            </w:pPr>
          </w:p>
        </w:tc>
        <w:tc>
          <w:tcPr>
            <w:tcW w:w="8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Good Standing and Qualification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Structure of Merger Sub</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Authority and Approval</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Filings; No Violations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Supplied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 and Finders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Buyer Guarantee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7"/>
              </w:rPr>
              <w:t>ARTICLE VI</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87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7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COVENANTS</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vMerge w:val="continue"/>
          </w:tcPr>
          <w:p>
            <w:pPr>
              <w:spacing w:after="0"/>
              <w:rPr>
                <w:sz w:val="17"/>
                <w:szCs w:val="17"/>
                <w:color w:val="auto"/>
              </w:rPr>
            </w:pPr>
          </w:p>
        </w:tc>
        <w:tc>
          <w:tcPr>
            <w:tcW w:w="8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Solicitation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Stockholder Meeting; Proxy Material</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Cooperation; Efforts to Consummate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Status; Notifications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Access and Reports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 Deregistration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Matters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Takeover Statutes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16 Matters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vMerge w:val="restart"/>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8600" w:type="dxa"/>
            <w:vAlign w:val="bottom"/>
          </w:tcPr>
          <w:p>
            <w:pPr>
              <w:spacing w:after="0"/>
              <w:rPr>
                <w:sz w:val="18"/>
                <w:szCs w:val="18"/>
                <w:color w:val="auto"/>
              </w:rPr>
            </w:pPr>
          </w:p>
        </w:tc>
        <w:tc>
          <w:tcPr>
            <w:tcW w:w="1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20" w:type="dxa"/>
            <w:vAlign w:val="bottom"/>
            <w:vMerge w:val="continue"/>
          </w:tcPr>
          <w:p>
            <w:pPr>
              <w:spacing w:after="0"/>
              <w:rPr>
                <w:sz w:val="18"/>
                <w:szCs w:val="18"/>
                <w:color w:val="auto"/>
              </w:rPr>
            </w:pPr>
          </w:p>
        </w:tc>
        <w:tc>
          <w:tcPr>
            <w:tcW w:w="8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Litigation</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Mutual Cooperation Covenants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Financing Covenants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Buyer’s Financing Covenants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vMerge w:val="restart"/>
          </w:tcPr>
          <w:p>
            <w:pPr>
              <w:jc w:val="center"/>
              <w:ind w:left="530"/>
              <w:spacing w:after="0"/>
              <w:rPr>
                <w:sz w:val="20"/>
                <w:szCs w:val="20"/>
                <w:color w:val="auto"/>
              </w:rPr>
            </w:pPr>
            <w:r>
              <w:rPr>
                <w:rFonts w:ascii="Times New Roman" w:cs="Times New Roman" w:eastAsia="Times New Roman" w:hAnsi="Times New Roman"/>
                <w:sz w:val="18"/>
                <w:szCs w:val="18"/>
                <w:color w:val="auto"/>
                <w:w w:val="97"/>
              </w:rPr>
              <w:t>ARTICLE VII</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86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CONDITIONS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vMerge w:val="continue"/>
          </w:tcPr>
          <w:p>
            <w:pPr>
              <w:spacing w:after="0"/>
              <w:rPr>
                <w:sz w:val="17"/>
                <w:szCs w:val="17"/>
                <w:color w:val="auto"/>
              </w:rPr>
            </w:pPr>
          </w:p>
        </w:tc>
        <w:tc>
          <w:tcPr>
            <w:tcW w:w="8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 of Each Party</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 of the Company to Effect the Merger</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 of Buyer and Merger Sub to Effect the Merger</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vMerge w:val="restart"/>
          </w:tcPr>
          <w:p>
            <w:pPr>
              <w:jc w:val="center"/>
              <w:ind w:left="510"/>
              <w:spacing w:after="0"/>
              <w:rPr>
                <w:sz w:val="20"/>
                <w:szCs w:val="20"/>
                <w:color w:val="auto"/>
              </w:rPr>
            </w:pPr>
            <w:r>
              <w:rPr>
                <w:rFonts w:ascii="Times New Roman" w:cs="Times New Roman" w:eastAsia="Times New Roman" w:hAnsi="Times New Roman"/>
                <w:sz w:val="18"/>
                <w:szCs w:val="18"/>
                <w:color w:val="auto"/>
                <w:w w:val="97"/>
              </w:rPr>
              <w:t>ARTICLE VIII</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86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TERMINATION</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vMerge w:val="continue"/>
          </w:tcPr>
          <w:p>
            <w:pPr>
              <w:spacing w:after="0"/>
              <w:rPr>
                <w:sz w:val="17"/>
                <w:szCs w:val="17"/>
                <w:color w:val="auto"/>
              </w:rPr>
            </w:pPr>
          </w:p>
        </w:tc>
        <w:tc>
          <w:tcPr>
            <w:tcW w:w="8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or Abandonment</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Fees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vMerge w:val="restart"/>
          </w:tcPr>
          <w:p>
            <w:pPr>
              <w:jc w:val="center"/>
              <w:ind w:left="510"/>
              <w:spacing w:after="0"/>
              <w:rPr>
                <w:sz w:val="20"/>
                <w:szCs w:val="20"/>
                <w:color w:val="auto"/>
              </w:rPr>
            </w:pPr>
            <w:r>
              <w:rPr>
                <w:rFonts w:ascii="Times New Roman" w:cs="Times New Roman" w:eastAsia="Times New Roman" w:hAnsi="Times New Roman"/>
                <w:sz w:val="18"/>
                <w:szCs w:val="18"/>
                <w:color w:val="auto"/>
                <w:w w:val="97"/>
              </w:rPr>
              <w:t>ARTICLE IX</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86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6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MISCELLANEOUS AND GENERAL</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vMerge w:val="continue"/>
          </w:tcPr>
          <w:p>
            <w:pPr>
              <w:spacing w:after="0"/>
              <w:rPr>
                <w:sz w:val="17"/>
                <w:szCs w:val="17"/>
                <w:color w:val="auto"/>
              </w:rPr>
            </w:pPr>
          </w:p>
        </w:tc>
        <w:tc>
          <w:tcPr>
            <w:tcW w:w="8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Modification or Amendment; Waiver</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 and Venue; Submission to Jurisdiction; Selection of Forum; Waiver of Trial by Jury</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Specific Performance</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9.8</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Third-Party Beneficiaries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9.9</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Fulfillment of Obligations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 Transfer Taxes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 and Assigns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 and Construction</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8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Concerning Debt Financing Sources</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8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Form of Certificate of Incorporation of the Surviving Corporation</w:t>
            </w:r>
          </w:p>
        </w:tc>
        <w:tc>
          <w:tcPr>
            <w:tcW w:w="12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 2025, is entered into by and among Warner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Bros. Discovery,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Paramount Skydance Corporation, a Delaware corporation (“</w:t>
      </w:r>
      <w:r>
        <w:rPr>
          <w:rFonts w:ascii="Times New Roman" w:cs="Times New Roman" w:eastAsia="Times New Roman" w:hAnsi="Times New Roman"/>
          <w:sz w:val="17"/>
          <w:szCs w:val="17"/>
          <w:u w:val="single" w:color="auto"/>
          <w:color w:val="auto"/>
        </w:rPr>
        <w:t>Buyer</w:t>
      </w:r>
      <w:r>
        <w:rPr>
          <w:rFonts w:ascii="Times New Roman" w:cs="Times New Roman" w:eastAsia="Times New Roman" w:hAnsi="Times New Roman"/>
          <w:sz w:val="17"/>
          <w:szCs w:val="17"/>
          <w:color w:val="auto"/>
        </w:rPr>
        <w:t>”), and Prince Sub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 and a wholly owned Subsidiary of Buyer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the Company and Buyer,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Buyer and Merger Sub desire to effect the acquisition of the Company by Buyer through the merger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with and into the Company, with the Company surviving the merger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each share of Series A common stock, par value $0.01 per share,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issued and outstanding immediately prior to the Effective Time (other than any shares cancelled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Appraisal Shares) being converted into the right to receive an amount in cash equal to $[●], without interest (such amount,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terms and subject to the conditions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certain investors (the “</w:t>
      </w:r>
      <w:r>
        <w:rPr>
          <w:rFonts w:ascii="Times New Roman" w:cs="Times New Roman" w:eastAsia="Times New Roman" w:hAnsi="Times New Roman"/>
          <w:sz w:val="18"/>
          <w:szCs w:val="18"/>
          <w:u w:val="single" w:color="auto"/>
          <w:color w:val="auto"/>
        </w:rPr>
        <w:t>Equity Investors</w:t>
      </w:r>
      <w:r>
        <w:rPr>
          <w:rFonts w:ascii="Times New Roman" w:cs="Times New Roman" w:eastAsia="Times New Roman" w:hAnsi="Times New Roman"/>
          <w:sz w:val="18"/>
          <w:szCs w:val="18"/>
          <w:color w:val="auto"/>
        </w:rPr>
        <w:t>”) have entered into subscription agreements with Buyer (the “</w:t>
      </w:r>
      <w:r>
        <w:rPr>
          <w:rFonts w:ascii="Times New Roman" w:cs="Times New Roman" w:eastAsia="Times New Roman" w:hAnsi="Times New Roman"/>
          <w:sz w:val="18"/>
          <w:szCs w:val="18"/>
          <w:u w:val="single" w:color="auto"/>
          <w:color w:val="auto"/>
        </w:rPr>
        <w:t>Subscription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providing for a private placement investment by the Equity Investors in shares of Buyer Class B common stock, par value $0.001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B Common Stock</w:t>
      </w:r>
      <w:r>
        <w:rPr>
          <w:rFonts w:ascii="Times New Roman" w:cs="Times New Roman" w:eastAsia="Times New Roman" w:hAnsi="Times New Roman"/>
          <w:sz w:val="18"/>
          <w:szCs w:val="18"/>
          <w:color w:val="auto"/>
        </w:rPr>
        <w:t>”), in an aggregate amount of up to $[●], to be consummated immediately prior to the consummation of the Merger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Transaction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determined that the terms of this Agreement and the transactions contemplated hereby, including the Merger, are fair to, and in the best interests of, the Company and its stockholders,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determined that it is in the best interests of the Company and its stockholders and declared it advisable to enter into this Agreement,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approved the execution and delivery by the Company of this Agreement, the performance by the Company of its covenants and agreements contained herein and the consummation of the transactions contemplated by this Agreement, including the Merger, upon the terms and subject to the conditions set forth herein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resolved to recommend that the Company’s stockholders approve the Merger and adopt this Agreement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18"/>
          <w:szCs w:val="18"/>
          <w:color w:val="auto"/>
        </w:rPr>
        <w:t>WHEREAS, the board of directors of Buyer (the “</w:t>
      </w:r>
      <w:r>
        <w:rPr>
          <w:rFonts w:ascii="Times New Roman" w:cs="Times New Roman" w:eastAsia="Times New Roman" w:hAnsi="Times New Roman"/>
          <w:sz w:val="18"/>
          <w:szCs w:val="18"/>
          <w:u w:val="single" w:color="auto"/>
          <w:color w:val="auto"/>
        </w:rPr>
        <w:t>Buyer Board</w:t>
      </w:r>
      <w:r>
        <w:rPr>
          <w:rFonts w:ascii="Times New Roman" w:cs="Times New Roman" w:eastAsia="Times New Roman" w:hAnsi="Times New Roman"/>
          <w:sz w:val="18"/>
          <w:szCs w:val="18"/>
          <w:color w:val="auto"/>
        </w:rPr>
        <w:t>”) has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determined that the terms of this Agreement and the transactions contemplated hereby, including the Merger, are fair to, and in the best interests of, Buyer and its stockholders,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determined that it is in the best interests of Buyer and its stockholders and declared it advisable to enter into this Agreement,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approved the execution and delivery by Buyer of this Agreement, the performance by Buyer of its covenants and agreements contained herein and the consummation of the transactions contemplated by this Agreement, including the Merger, upon the terms and subject to the conditions set forth 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Buyer has made available to the Company an accurate and complete copy of the executed written consent by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the shares of Buyer Class A common stock, par value $0.001 per share, approving the PIPE Transaction upon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herein (the “</w:t>
      </w:r>
      <w:r>
        <w:rPr>
          <w:rFonts w:ascii="Times New Roman" w:cs="Times New Roman" w:eastAsia="Times New Roman" w:hAnsi="Times New Roman"/>
          <w:sz w:val="18"/>
          <w:szCs w:val="18"/>
          <w:u w:val="single" w:color="auto"/>
          <w:color w:val="auto"/>
        </w:rPr>
        <w:t>Buyer Written Consent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board of directors of Merger Sub has approved this Agreement and determined that the terms of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contemplated hereby, including the Merger, are fair to, and in the best interests of, Merger Sub and Buyer, its sole stockholder,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Buyer, in its capacity as the sole stockholder of Merger Sub, has delivered its consent, effective immediately following the execution and delivery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approving the Merger and adopting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that certain Agreement and Plan of Merger, dated as of December 4, 2025 (the “</w:t>
      </w:r>
      <w:r>
        <w:rPr>
          <w:rFonts w:ascii="Times New Roman" w:cs="Times New Roman" w:eastAsia="Times New Roman" w:hAnsi="Times New Roman"/>
          <w:sz w:val="18"/>
          <w:szCs w:val="18"/>
          <w:u w:val="single" w:color="auto"/>
          <w:color w:val="auto"/>
        </w:rPr>
        <w:t>Netflix Merger Agreement</w:t>
      </w:r>
      <w:r>
        <w:rPr>
          <w:rFonts w:ascii="Times New Roman" w:cs="Times New Roman" w:eastAsia="Times New Roman" w:hAnsi="Times New Roman"/>
          <w:sz w:val="18"/>
          <w:szCs w:val="18"/>
          <w:color w:val="auto"/>
        </w:rPr>
        <w:t>”), 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Netflix, Inc., a Delaware corporation (“</w:t>
      </w:r>
      <w:r>
        <w:rPr>
          <w:rFonts w:ascii="Times New Roman" w:cs="Times New Roman" w:eastAsia="Times New Roman" w:hAnsi="Times New Roman"/>
          <w:sz w:val="18"/>
          <w:szCs w:val="18"/>
          <w:u w:val="single" w:color="auto"/>
          <w:color w:val="auto"/>
        </w:rPr>
        <w:t>Netflix</w:t>
      </w:r>
      <w:r>
        <w:rPr>
          <w:rFonts w:ascii="Times New Roman" w:cs="Times New Roman" w:eastAsia="Times New Roman" w:hAnsi="Times New Roman"/>
          <w:sz w:val="18"/>
          <w:szCs w:val="18"/>
          <w:color w:val="auto"/>
        </w:rPr>
        <w:t>”), Nightingale Sub, Inc., a Delaware corporation and a wholly owned Subsidiary of Netflix,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New Topco 25, Inc., a Delaware corporation and a wholly owned Subsidiary of the Company, has been validly terminated in accordance with its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execution and delivery of this Agreement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18"/>
          <w:szCs w:val="18"/>
          <w:color w:val="auto"/>
        </w:rPr>
        <w:t>WHEREAS, as a material inducement to, and as a condition to, the Company entering into this Agreement, concurrently with the execution of this Agreement, The Lawrence J. Ellison Revocable Trust, u/a/d 1/22/88, as amended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and Mr. Lawrence J. Ellison (“</w:t>
      </w:r>
      <w:r>
        <w:rPr>
          <w:rFonts w:ascii="Times New Roman" w:cs="Times New Roman" w:eastAsia="Times New Roman" w:hAnsi="Times New Roman"/>
          <w:sz w:val="18"/>
          <w:szCs w:val="18"/>
          <w:u w:val="single" w:color="auto"/>
          <w:color w:val="auto"/>
        </w:rPr>
        <w:t>L. Ellison</w:t>
      </w:r>
      <w:r>
        <w:rPr>
          <w:rFonts w:ascii="Times New Roman" w:cs="Times New Roman" w:eastAsia="Times New Roman" w:hAnsi="Times New Roman"/>
          <w:sz w:val="18"/>
          <w:szCs w:val="18"/>
          <w:color w:val="auto"/>
        </w:rPr>
        <w:t>” and, together with the Trust,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a guarantee, dated as of the date hereof, guaranteeing certain of Buyer’s and Merger Sub’s obligations under this Agreement (the “</w:t>
      </w:r>
      <w:r>
        <w:rPr>
          <w:rFonts w:ascii="Times New Roman" w:cs="Times New Roman" w:eastAsia="Times New Roman" w:hAnsi="Times New Roman"/>
          <w:sz w:val="18"/>
          <w:szCs w:val="18"/>
          <w:u w:val="single" w:color="auto"/>
          <w:color w:val="auto"/>
        </w:rPr>
        <w:t>Buyer Guarantee</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WHEREAS, Buyer, the Company and Merger Sub desire to make certain representations, warranties, covenants and agreements specified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in connection with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as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 Upon the terms and subject to the conditions set forth in this Agreement, and in accordance with the DGCL, at the Effective Time, Merger Sub shall be merged with and into the Company, whereupon the separate existence of Merger Sub will cease, and the Company shall continue as the surviving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As a result of the Merger, the Surviving Corporation shall become a wholly owned Subsidiary of Buyer. The Merger shall have the effects provided in this Agreement and as specified in the DGCL.  </w:t>
      </w:r>
    </w:p>
    <w:p>
      <w:pPr>
        <w:spacing w:after="0" w:line="207"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Subject to the provisions of this Agreement,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10:00 a.m. Eastern Time, remotely via electronic exchange of documents and signatures, no later than the fifth Business Day following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for any conditions that by their nature can only be satisfied on the Closing Date, but subject to the satisfaction of such conditions or waiver by the Party entitled to waive such conditions), unless another date, time or place is agreed to in writing by Buyer and the Company (the date of the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Effective Time</w:t>
      </w:r>
      <w:r>
        <w:rPr>
          <w:rFonts w:ascii="Times New Roman" w:cs="Times New Roman" w:eastAsia="Times New Roman" w:hAnsi="Times New Roman"/>
          <w:sz w:val="18"/>
          <w:szCs w:val="18"/>
          <w:color w:val="auto"/>
        </w:rPr>
        <w:t>. On the Closing Date, the Company shall file with the Secretary of State of the State of Delaware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 relating to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executed and acknowledged in accordance with the relevant provisions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The Merger shall become effective at the time that the Certificate of Merger has been duly filed with the Secretary of State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or at such later time as Buyer and the Company shall agree and specify in the Certificate of Merger (the time the Merger becomes effective,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The Certificate of Incorporation of the Surviving Corporation</w:t>
      </w:r>
      <w:r>
        <w:rPr>
          <w:rFonts w:ascii="Times New Roman" w:cs="Times New Roman" w:eastAsia="Times New Roman" w:hAnsi="Times New Roman"/>
          <w:sz w:val="18"/>
          <w:szCs w:val="18"/>
          <w:color w:val="auto"/>
        </w:rPr>
        <w:t xml:space="preserve">. At the Effective Time, the certificate of incorporation of the Company shall be amended and restated to read in its entirety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as so amended and restated shall be the certificate of incorporation of the Surviving Corporation until further amended in accordance with applicable Law.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1.5       </w:t>
      </w:r>
      <w:r>
        <w:rPr>
          <w:rFonts w:ascii="Times New Roman" w:cs="Times New Roman" w:eastAsia="Times New Roman" w:hAnsi="Times New Roman"/>
          <w:sz w:val="17"/>
          <w:szCs w:val="17"/>
          <w:u w:val="single" w:color="auto"/>
          <w:color w:val="auto"/>
        </w:rPr>
        <w:t>  The Bylaws of the Surviving Corporation</w:t>
      </w:r>
      <w:r>
        <w:rPr>
          <w:rFonts w:ascii="Times New Roman" w:cs="Times New Roman" w:eastAsia="Times New Roman" w:hAnsi="Times New Roman"/>
          <w:sz w:val="17"/>
          <w:szCs w:val="17"/>
          <w:color w:val="auto"/>
        </w:rPr>
        <w:t>. At the Effective Time, the bylaws of the Surviving Corporation shall be amended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restated to read in their entirety as the bylaws of Merger Sub as in effect immediately prior to the Effective Time, except the references to Merger Sub’s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shall be replaced by references to the Surviving Corporation’s name until further amended in accordance with the provisions thereof and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Directors and Officers of the Surviving Corporation</w:t>
      </w:r>
      <w:r>
        <w:rPr>
          <w:rFonts w:ascii="Times New Roman" w:cs="Times New Roman" w:eastAsia="Times New Roman" w:hAnsi="Times New Roman"/>
          <w:sz w:val="18"/>
          <w:szCs w:val="18"/>
          <w:color w:val="auto"/>
        </w:rPr>
        <w:t>. From and after the Effective Time, until their successors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elected or appointed and qualified, or until their earlier death, resignation, incapacity or removal: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directors of Merger Sub immediately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Time shall be the initial directors of the Surviving Corporation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officers of Merger Sub immediately 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the initial officers of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If, at any time after the Effective Time, the Surviving Corporation shall determine that any actions are necessary or desirable to vest, perfect or confirm of record or otherwise in the Surviving Corporation its right, title or interest in, to or under any of the rights, properties or assets of either of the Company or Merger Sub acquired or to be acquired by the Surviving Corporation as a result of, or in connection with, the Merger or otherwise to carry out this Agreement, then the officers and directors of the Surviving Corporation shall be authorized to take all such actions as may be necessary or desirable to vest all right, title or interest in, to and under such rights, properties or assets in the Surviving Corporation or otherwise to carry out this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 OF THE MERGER ON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1296"/>
        <w:spacing w:after="0" w:line="260"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Effect of the Merger on Capital Stock of the Company and Merger Sub</w:t>
      </w:r>
      <w:r>
        <w:rPr>
          <w:rFonts w:ascii="Times New Roman" w:cs="Times New Roman" w:eastAsia="Times New Roman" w:hAnsi="Times New Roman"/>
          <w:sz w:val="18"/>
          <w:szCs w:val="18"/>
          <w:color w:val="auto"/>
        </w:rPr>
        <w:t>. At the Effective Time, by virtue of the Merger and without any action on the part of the Company, Buyer or Merger Sub or any other Person: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All shares of Company Stock that are owned, directly or indirectly, by Buyer, the Company (including shares held as treasury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or Merger Sub immediately prior to the Effective Time shall be automatically canceled and shall cease to exist and no consideration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in exchange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Each share of Company Stock issued and outstanding immediately prior to the Effective Time (other than shares (</w:t>
      </w:r>
      <w:r>
        <w:rPr>
          <w:rFonts w:ascii="Times New Roman" w:cs="Times New Roman" w:eastAsia="Times New Roman" w:hAnsi="Times New Roman"/>
          <w:sz w:val="17"/>
          <w:szCs w:val="17"/>
          <w:u w:val="single" w:color="auto"/>
          <w:color w:val="000000"/>
        </w:rPr>
        <w:t>i</w:t>
      </w:r>
      <w:r>
        <w:rPr>
          <w:rFonts w:ascii="Times New Roman" w:cs="Times New Roman" w:eastAsia="Times New Roman" w:hAnsi="Times New Roman"/>
          <w:sz w:val="17"/>
          <w:szCs w:val="17"/>
          <w:color w:val="000000"/>
        </w:rPr>
        <w:t>) to be canceled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shall be converted automatically into the right to receive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Consideration, subject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All shares of Company Stock converted into the right to receive the Merger Consideration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‎2.1(b)</w:t>
      </w:r>
      <w:r>
        <w:rPr>
          <w:rFonts w:ascii="Times New Roman" w:cs="Times New Roman" w:eastAsia="Times New Roman" w:hAnsi="Times New Roman"/>
          <w:sz w:val="18"/>
          <w:szCs w:val="18"/>
          <w:color w:val="000000"/>
        </w:rPr>
        <w: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be canceled and shall cease to exist, and each holder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certificate that immediately prior to the Effective Time represented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Company Stock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shares of Company Stock held in book-entry form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shall cease to have any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thereto, except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right to receive the Merger Consideration, without interest, subject to compliance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procedures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1296"/>
        <w:spacing w:after="0" w:line="260"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Each share of capital stock of Merger Sub issued and outstanding immediately prior to the Effective Time shall be converted into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become one validly issued, fully paid and nonassessable share of common stock, par value $0.01 per share, of the Surviving Corporation.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2.2        </w:t>
      </w:r>
      <w:r>
        <w:rPr>
          <w:rFonts w:ascii="Times New Roman" w:cs="Times New Roman" w:eastAsia="Times New Roman" w:hAnsi="Times New Roman"/>
          <w:sz w:val="17"/>
          <w:szCs w:val="17"/>
          <w:u w:val="single" w:color="auto"/>
          <w:color w:val="auto"/>
        </w:rPr>
        <w:t>  Certain Adjustments</w:t>
      </w:r>
      <w:r>
        <w:rPr>
          <w:rFonts w:ascii="Times New Roman" w:cs="Times New Roman" w:eastAsia="Times New Roman" w:hAnsi="Times New Roman"/>
          <w:sz w:val="17"/>
          <w:szCs w:val="17"/>
          <w:color w:val="auto"/>
        </w:rPr>
        <w:t>. Notwithstanding anything in this Agreement to the contrary, if, from the date of this Agreement until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earlier of (a) the Effective Time and (b) any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outstanding shares of Company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been changed into a different number of shares or a different class by reason of any reclassification, stock split (including a reverse stock split),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split-up, combination, exchange of shares, readjustment or other similar transaction, or a stock dividend thereon shall be declared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within said period, then the Merger Consideration and any other similarly dependent items, as the case may be, shall be appropriately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provide Buyer and the holders of Company Stock (including Company Options exercisable for Company Stock) the same economic effect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this Agreement prior to such event. Nothing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construed to permit any Party to take any action that is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prohibited or restricted by any other provision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firstLine="1296"/>
        <w:spacing w:after="0" w:line="251"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Appraisal Shares</w:t>
      </w:r>
      <w:r>
        <w:rPr>
          <w:rFonts w:ascii="Times New Roman" w:cs="Times New Roman" w:eastAsia="Times New Roman" w:hAnsi="Times New Roman"/>
          <w:sz w:val="18"/>
          <w:szCs w:val="18"/>
          <w:color w:val="auto"/>
        </w:rPr>
        <w:t xml:space="preserve">. Notwithstanding anything in this Agreement to the contrary, shares of Company Stock that are issued and outstanding immediately prior to the Effective Time (other than shares canceled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and that are held of record or beneficially owned by any Person who is entitled to demand and has properly exercised appraisal rights in respect of such shares in accordance with Section 262 of the DGCL (“</w:t>
      </w:r>
      <w:r>
        <w:rPr>
          <w:rFonts w:ascii="Times New Roman" w:cs="Times New Roman" w:eastAsia="Times New Roman" w:hAnsi="Times New Roman"/>
          <w:sz w:val="18"/>
          <w:szCs w:val="18"/>
          <w:u w:val="single" w:color="auto"/>
          <w:color w:val="auto"/>
        </w:rPr>
        <w:t>Appraisal Shares</w:t>
      </w:r>
      <w:r>
        <w:rPr>
          <w:rFonts w:ascii="Times New Roman" w:cs="Times New Roman" w:eastAsia="Times New Roman" w:hAnsi="Times New Roman"/>
          <w:sz w:val="18"/>
          <w:szCs w:val="18"/>
          <w:color w:val="auto"/>
        </w:rPr>
        <w:t xml:space="preserve">”) shall not be converted into the right to receive the Merger Consideration as provided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but rather shall be canceled and the holder or beneficial owner of such Appraisal Shares shall be entitled to payment by the Surviving Corporation of the “fair value” of such Appraisal Shares in accordance with Section 262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such holder or beneficial owner shall fail to perfect or otherwise shall waive, validly withdraw or lose the right to appraisal under Section 262 of the DGCL, then the right of such holder to be paid the “fair value” of such holder’s or beneficial owner’s shares of Company Stock shall not be deemed to be Appraisal Shares and such shares shall be deemed to have been converted as of the Effective Time into, and to have become exchangeable solely for, the Merger Consideration as provided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Company shall provide prompt notice to Buyer of any demands received by the Company for appraisal of any shares of Company Stock, withdrawals of such demands and any other instruments served pursuant to Section 262 of the DGCL received by the Company. Buyer shall have the right to participate in and direct all negotiations and Proceedings with respect to such demands. Prior to the Effective Time, the Company shall not, without the prior written consent of Buyer, make or offer to make, or authorize, any payment with respect to, or settle or offer to settle, any such demands, waive any failure to timely deliver a demand for appraisal under the DGCL or otherwise comply with Section 262 of the DGCL, approve any withdrawal of any such demands, or offer, propose or otherwise agree to do any of the foregoing.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DELIVERY OF MERGER CONSIDERATION; PROCEDURES FOR SURRENDER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3.1        </w:t>
      </w:r>
      <w:r>
        <w:rPr>
          <w:rFonts w:ascii="Times New Roman" w:cs="Times New Roman" w:eastAsia="Times New Roman" w:hAnsi="Times New Roman"/>
          <w:sz w:val="17"/>
          <w:szCs w:val="17"/>
          <w:u w:val="single" w:color="auto"/>
          <w:color w:val="auto"/>
        </w:rPr>
        <w:t>  Paying Agent</w:t>
      </w:r>
      <w:r>
        <w:rPr>
          <w:rFonts w:ascii="Times New Roman" w:cs="Times New Roman" w:eastAsia="Times New Roman" w:hAnsi="Times New Roman"/>
          <w:sz w:val="17"/>
          <w:szCs w:val="17"/>
          <w:color w:val="auto"/>
        </w:rPr>
        <w:t>. Prior to the Effective Time, Buyer shall enter into a customary agreement with a nationally recognized 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trust company designated by Buyer and reasonably acceptable to the Company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or as of the Effective Time, Buyer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or shall cause to be provided to the Paying Agent cash in an amount sufficient to pay the aggregate Merger Consideration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Paying Agent shall pay the Merger Consideration out of the Exchange Fund. Except as provided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the Exchange Fund shall not be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other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Payment Procedures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Certificates</w:t>
      </w:r>
      <w:r>
        <w:rPr>
          <w:rFonts w:ascii="Times New Roman" w:cs="Times New Roman" w:eastAsia="Times New Roman" w:hAnsi="Times New Roman"/>
          <w:sz w:val="18"/>
          <w:szCs w:val="18"/>
          <w:color w:val="000000"/>
        </w:rPr>
        <w:t>. Buyer shall cause the Paying Agent to mail, as soon as reasonably practicable after the Effective Time and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not later than the fifth Business Day following the Closing Date, to each holder of record of a Certificate whose shares of Company Stock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converted into the right to receive the Merger Consideration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 letter of transmittal (which shall specify that delivery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effected, and risk of loss and title to the Certificates shall pass, only upon delivery of the Certificates to the Paying Agent and shall be in customary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satisfactory to the Company)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instructions for use in effecting the surrender of the Certificates in exchange for the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surrender of a Certificate for cancellation to the Paying Agent or to such other agent or agents as may be appointed by Buyer, together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transmittal, duly completed and validly executed in accordance with the instructions thereto, and such other documents as may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the Paying Agent, the holder of such Certificate shall be entitled to receive in exchange therefor, and Buyer shall cause the Paying Agent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exchange therefor as promptly as practicable, cash in an amount equal to the Merger Consideration multiplied by the number of shares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previously represented by such Certificate, and the Certificate so surrendered shall forthwith be canceled. In the event of a transfer of ownership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Stock that is not registered in the transfer records of the Company, payment may be made to a Person other than the Person in whose name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so surrendered is registered, if such Certificate shall be properly endorsed or otherwise be in proper form for transfer and the Person requesting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payment shall pay any transfer or other similar Taxes required by reason of the payment to a Person other than the registered holder of such Certificate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establish to the reasonable satisfaction of Buyer that such Taxes have been paid or are not applicable. No interest shall be paid or accrue on any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upon surrender of any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Book-Entry Shares</w:t>
      </w:r>
      <w:r>
        <w:rPr>
          <w:rFonts w:ascii="Times New Roman" w:cs="Times New Roman" w:eastAsia="Times New Roman" w:hAnsi="Times New Roman"/>
          <w:sz w:val="18"/>
          <w:szCs w:val="18"/>
          <w:color w:val="000000"/>
        </w:rPr>
        <w:t>. Notwithstanding anything to the contrary contained in this Agreement, any holder of Book-Entry Shares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 be required to deliver a Certificate or an executed letter of transmittal to the Paying Agent to receive the Merger Consideration that such holder is entitled to receive pursuant to </w:t>
      </w:r>
      <w:r>
        <w:rPr>
          <w:rFonts w:ascii="Times New Roman" w:cs="Times New Roman" w:eastAsia="Times New Roman" w:hAnsi="Times New Roman"/>
          <w:sz w:val="18"/>
          <w:szCs w:val="18"/>
          <w:u w:val="single" w:color="auto"/>
          <w:color w:val="000000"/>
        </w:rPr>
        <w:t>Section ‎2.1(b)</w:t>
      </w:r>
      <w:r>
        <w:rPr>
          <w:rFonts w:ascii="Times New Roman" w:cs="Times New Roman" w:eastAsia="Times New Roman" w:hAnsi="Times New Roman"/>
          <w:sz w:val="18"/>
          <w:szCs w:val="18"/>
          <w:color w:val="000000"/>
        </w:rPr>
        <w:t>. No interest shall be paid or accrue on any amount payable upon conversion of any Book-Entry Shares.  </w:t>
      </w:r>
    </w:p>
    <w:p>
      <w:pPr>
        <w:spacing w:after="0" w:line="204" w:lineRule="exact"/>
        <w:rPr>
          <w:sz w:val="20"/>
          <w:szCs w:val="20"/>
          <w:color w:val="auto"/>
        </w:rPr>
      </w:pPr>
    </w:p>
    <w:p>
      <w:pPr>
        <w:ind w:right="120" w:firstLine="1944"/>
        <w:spacing w:after="0" w:line="250"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holder of record of one or more Book-Entry Shares held in direct registry form whose shares of Company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were converted into the right to receive the Merger Consideration pursuant to </w:t>
      </w:r>
      <w:r>
        <w:rPr>
          <w:rFonts w:ascii="Times New Roman" w:cs="Times New Roman" w:eastAsia="Times New Roman" w:hAnsi="Times New Roman"/>
          <w:sz w:val="18"/>
          <w:szCs w:val="18"/>
          <w:u w:val="single" w:color="auto"/>
          <w:color w:val="000000"/>
        </w:rPr>
        <w:t>Section ‎2.1(b) </w:t>
      </w:r>
      <w:r>
        <w:rPr>
          <w:rFonts w:ascii="Times New Roman" w:cs="Times New Roman" w:eastAsia="Times New Roman" w:hAnsi="Times New Roman"/>
          <w:sz w:val="18"/>
          <w:szCs w:val="18"/>
          <w:color w:val="000000"/>
        </w:rPr>
        <w:t>shall, subject to compliance with customary procedures of the Paying Agent and the Company’s transfer agent, automatically upon the Effective Time be entitled to receive, and Buyer shall cause the Paying Agent to pay and deliver as promptly as practicable after the Effective Time, cash in an amount equal to the Merger Consideration multiplied by the number of shares of Company Stock previously represented by such Book-Entry Shares, and the Book-Entry Shares of such holder shall forthwith be canceled.  </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With respect to Book-Entry Shares held, directly or indirectly, through the Depository Trust Company (“</w:t>
      </w:r>
      <w:r>
        <w:rPr>
          <w:rFonts w:ascii="Times New Roman" w:cs="Times New Roman" w:eastAsia="Times New Roman" w:hAnsi="Times New Roman"/>
          <w:sz w:val="18"/>
          <w:szCs w:val="18"/>
          <w:u w:val="single" w:color="auto"/>
          <w:color w:val="000000"/>
        </w:rPr>
        <w:t>DTC</w:t>
      </w:r>
      <w:r>
        <w:rPr>
          <w:rFonts w:ascii="Times New Roman" w:cs="Times New Roman" w:eastAsia="Times New Roman" w:hAnsi="Times New Roman"/>
          <w:sz w:val="18"/>
          <w:szCs w:val="18"/>
          <w:color w:val="000000"/>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cooperate to establish procedures with the Paying Agent, DTC, DTC’s nominees and such other necessary third-party intermediaries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ensure that the Paying Agent will transmit to DTC or its nominees as promptly as practicable after the Effective Time, cash in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Consideration multiplied by the number of shares of Company Stock previously represented by such Book-Entry Shares, and the Book-Entry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such beneficial owners shall forthwith be canceled.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Full Satisfaction</w:t>
      </w:r>
      <w:r>
        <w:rPr>
          <w:rFonts w:ascii="Times New Roman" w:cs="Times New Roman" w:eastAsia="Times New Roman" w:hAnsi="Times New Roman"/>
          <w:sz w:val="18"/>
          <w:szCs w:val="18"/>
          <w:color w:val="auto"/>
        </w:rPr>
        <w:t xml:space="preserve">. The Merger Consideration paid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upon the surrender of the Certificates (or immediately, in the case of the Book-Entry Shares) shall be deemed to have been paid in full satisfaction of all rights pertaining to such shares of Company Stock. After the Effective Time, (i) all holders of shares of Company Stock that were outstanding immediately prior to the Effective Time shall cease to have any rights with respect to such shares other than the right to receive the Merger Consideration pursuant to this Agreement and (ii) there shall be no further registration of transfers on the stock transfer books of the Surviving Corporation of shares of Company Stock that were outstanding immediately prior to the Effective Time. If, after the Effective Time, any Certificates formerly representing shares of Company Stock or Book-Entry Shares are presented to the Surviving Corporation or the Paying Agent for any reason, they shall be canceled and exchanged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Undistributed Exchange Funds</w:t>
      </w:r>
      <w:r>
        <w:rPr>
          <w:rFonts w:ascii="Times New Roman" w:cs="Times New Roman" w:eastAsia="Times New Roman" w:hAnsi="Times New Roman"/>
          <w:sz w:val="18"/>
          <w:szCs w:val="18"/>
          <w:color w:val="auto"/>
        </w:rPr>
        <w:t>. Any portion of the Exchange Fund that remains undistributed to the former 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Stock for one year after the Effective Time shall be delivered to the Surviving Corporation, upon demand, and any former holder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Stock who has not theretofore complied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thereafter look only to the Surviving Corporation for payment of its claim for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Abandoned Property, Escheat or Similar Laws</w:t>
      </w:r>
      <w:r>
        <w:rPr>
          <w:rFonts w:ascii="Times New Roman" w:cs="Times New Roman" w:eastAsia="Times New Roman" w:hAnsi="Times New Roman"/>
          <w:sz w:val="18"/>
          <w:szCs w:val="18"/>
          <w:color w:val="auto"/>
        </w:rPr>
        <w:t>. None of Buyer, Merger Sub, the Company, the Surviving Corporation or the Paying Agent shall be liable to any Person in respect of any cash from the Exchange Fund delivered to a public official pursuant to any applicable abandoned property, escheat or similar Law. Any Merger Consideration remaining unclaimed by former holders of Company Stock immediately prior to such time as such amounts would otherwise escheat to or become property of any Governmental Entity shall, to the fullest extent permitted by applicable Law, become the property of the Surviving Corporation, free and clear of any claims or interest of any Person previously entitled thereto. Notwithstanding anything to the contrary in this Agreement, any amounts deposited by Buyer or its designee with the Paying Agent for disbursement to holders of Appraisal Shares shall be returned to Buyer or its designee upon demand made by Buyer.  </w:t>
      </w:r>
    </w:p>
    <w:p>
      <w:pPr>
        <w:spacing w:after="0" w:line="207"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Lost Certificates</w:t>
      </w:r>
      <w:r>
        <w:rPr>
          <w:rFonts w:ascii="Times New Roman" w:cs="Times New Roman" w:eastAsia="Times New Roman" w:hAnsi="Times New Roman"/>
          <w:sz w:val="18"/>
          <w:szCs w:val="18"/>
          <w:color w:val="auto"/>
        </w:rPr>
        <w:t>. In the event any Certificate shall have been lost, stolen or destroyed, upon the making of an affidavit, in form and substance reasonably acceptable to Buyer, of that fact by the Person claiming such Certificate to be lost, stolen or destroyed and, if required by Buyer or the Paying Agent, the posting by such Person of a bond in reasonable and customary amount as Buyer or the Paying Agent may direct, as indemnity against any claim that may be made against it or the Surviving Corporation with respect to such Certificate, the Paying Agent will pay in exchange for such lost, stolen or destroyed Certificate the Merger Consideration.  </w:t>
      </w:r>
    </w:p>
    <w:p>
      <w:pPr>
        <w:spacing w:after="0" w:line="20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Investment of Exchange Funds</w:t>
      </w:r>
      <w:r>
        <w:rPr>
          <w:rFonts w:ascii="Times New Roman" w:cs="Times New Roman" w:eastAsia="Times New Roman" w:hAnsi="Times New Roman"/>
          <w:sz w:val="18"/>
          <w:szCs w:val="18"/>
          <w:color w:val="auto"/>
        </w:rPr>
        <w:t xml:space="preserve">. The Paying Agent shall invest the Exchange Fund as directed by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investment interest or gain or loss thereon shall affect the amounts payable to holders of Company Stock. Any interest or gains resulting from such investments shall be the sole and exclusive property of Buyer payable to Buyer upon its request, and no part of such interest or gains shall accrue to the benefit of holders of Company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investment of the Exchange Fund shall in all events be limited to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If for any reason (including investment losses) the Exchange Fund shall be insufficient to fully satisfy all of the payment obligations to be made by the Paying Agent hereunder, Buyer shall promptly deposit cash into the Exchange Fund in an amount which is equal to the deficiency in the amount of cash required to fully satisfy such payment obligations.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Treatment of Company Equity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As of the Effective Time, by virtue of the Merger and without any further action on the part of the holders thereof,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or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Company Option that is outstanding and unexercised immediately prior to the Effective Time, whether or not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or exercisable, shall be assumed by Buyer and automatically converted into an option (a “</w:t>
      </w:r>
      <w:r>
        <w:rPr>
          <w:rFonts w:ascii="Times New Roman" w:cs="Times New Roman" w:eastAsia="Times New Roman" w:hAnsi="Times New Roman"/>
          <w:sz w:val="18"/>
          <w:szCs w:val="18"/>
          <w:u w:val="single" w:color="auto"/>
          <w:color w:val="auto"/>
        </w:rPr>
        <w:t>Buyer Option</w:t>
      </w:r>
      <w:r>
        <w:rPr>
          <w:rFonts w:ascii="Times New Roman" w:cs="Times New Roman" w:eastAsia="Times New Roman" w:hAnsi="Times New Roman"/>
          <w:sz w:val="18"/>
          <w:szCs w:val="18"/>
          <w:color w:val="auto"/>
        </w:rPr>
        <w:t>”) to purchase a number of shares of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(rounded down to the nearest whole share) equal to the product obtained by multiplying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Equity Award Exchange Ratio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the number of shares of Company Stock subject to such Company Option as of immediately prior to the Effective Time, with an exercise price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Buyer Class B Common Stock, rounded up to the nearest whole cent, equal to the quotient obtained by dividing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exercise price per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Stock of such Company Option immediately prior to the Effective Time by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Equity Award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Buyer Class B Common Stock subject to the Buyer Option and the exercise price thereof shall be determined in a manner consistent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Section 409A of the Code). Each such Buyer Option as so assumed and converted shall continue to have, and shall be subject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and other terms and conditions (including any applicable terms relating to accelerated vesting upon qualifying terminations of employment)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to the corresponding Company Option immediately prior to the Effective Time. Notwithstanding the foregoing, each Company Option with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per share of Company Stock equal to or greater than the Merger Consideration shall be canceled at the Effective Time for no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Each award of Company RSUs that is outstanding immediately prior to the Effective Time shall be assumed by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automatically converted into an award of restricted stock units (“</w:t>
      </w:r>
      <w:r>
        <w:rPr>
          <w:rFonts w:ascii="Times New Roman" w:cs="Times New Roman" w:eastAsia="Times New Roman" w:hAnsi="Times New Roman"/>
          <w:sz w:val="17"/>
          <w:szCs w:val="17"/>
          <w:u w:val="single" w:color="auto"/>
          <w:color w:val="auto"/>
        </w:rPr>
        <w:t>Buyer RSUs</w:t>
      </w:r>
      <w:r>
        <w:rPr>
          <w:rFonts w:ascii="Times New Roman" w:cs="Times New Roman" w:eastAsia="Times New Roman" w:hAnsi="Times New Roman"/>
          <w:sz w:val="17"/>
          <w:szCs w:val="17"/>
          <w:color w:val="auto"/>
        </w:rPr>
        <w:t>”) covering a number of shares of Buyer Class B Common Stock (rounded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 to the nearest whole share) equal to the product obtained by multiplying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Equity Award Exchange Ratio by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number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Stock subject to such award of Company RSUs immediately prior to the Effective Time. Each such award of Buyer RSUs as so assumed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shall continue to have, and shall be subject to, the same vesting, settlement and other terms and conditions (including any applicable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accelerated vesting upon qualifying terminations of employment and timing and form of payment) as applied to the corresponding award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RSUs immediately 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ind w:left="1960"/>
        <w:spacing w:after="0"/>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color w:val="000000"/>
        </w:rPr>
        <w:t>Each award of Company PRSUs that is outstanding immediately prior to the Effective Time shall be assumed by Buyer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automatically converted into an award of restricted stock units (“</w:t>
      </w:r>
      <w:r>
        <w:rPr>
          <w:rFonts w:ascii="Times New Roman" w:cs="Times New Roman" w:eastAsia="Times New Roman" w:hAnsi="Times New Roman"/>
          <w:sz w:val="17"/>
          <w:szCs w:val="17"/>
          <w:u w:val="single" w:color="auto"/>
          <w:color w:val="auto"/>
        </w:rPr>
        <w:t>Adjusted Buyer RSUs</w:t>
      </w:r>
      <w:r>
        <w:rPr>
          <w:rFonts w:ascii="Times New Roman" w:cs="Times New Roman" w:eastAsia="Times New Roman" w:hAnsi="Times New Roman"/>
          <w:sz w:val="17"/>
          <w:szCs w:val="17"/>
          <w:color w:val="auto"/>
        </w:rPr>
        <w:t>”) covering a number of shares of Buyer Class B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down to the nearest whole share) equal to the product obtained by multiplying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Equity Award Exchange Ratio by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Company Stock subject to such award of Company PRSUs immediately prior to the Effective Time (after taking into account the treatment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performance-vesting conditions in accordance with the last sentence of this</w:t>
      </w:r>
      <w:r>
        <w:rPr>
          <w:rFonts w:ascii="Times New Roman" w:cs="Times New Roman" w:eastAsia="Times New Roman" w:hAnsi="Times New Roman"/>
          <w:sz w:val="18"/>
          <w:szCs w:val="18"/>
          <w:u w:val="single" w:color="auto"/>
          <w:color w:val="auto"/>
        </w:rPr>
        <w:t> Section 3.8(a)(iii)</w:t>
      </w:r>
      <w:r>
        <w:rPr>
          <w:rFonts w:ascii="Times New Roman" w:cs="Times New Roman" w:eastAsia="Times New Roman" w:hAnsi="Times New Roman"/>
          <w:sz w:val="18"/>
          <w:szCs w:val="18"/>
          <w:color w:val="auto"/>
        </w:rPr>
        <w:t>). Each such award of Adjusted Buyer RSUs as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and converted shall continue to have, and shall be subject to, the same vesting, settlement and other terms and conditions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terms relating to accelerated vesting upon qualifying terminations of employment and timing and form of payment, except that such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RSUs shall no longer be subject to performance-based vesting conditions) as applied to the corresponding award of Company PRSUs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Effective Time. The performance-based vesting conditions applicable to any Company PRSU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for which the applicable performance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been completed prior to the Effective Time shall be determined based on actual performance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for which the applicable performance period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been completed prior to the Effective Time shall be deemed to have been achieved at the greater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target performance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actual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extrapolated through the end of the applicable performance period as determined in good faith by the Company Board (or, if appropriate, any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thereof) based on actual performance through the Closing Date and consistent with past practice, in each case, for purposes of the conversion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this</w:t>
      </w:r>
      <w:r>
        <w:rPr>
          <w:rFonts w:ascii="Times New Roman" w:cs="Times New Roman" w:eastAsia="Times New Roman" w:hAnsi="Times New Roman"/>
          <w:sz w:val="18"/>
          <w:szCs w:val="18"/>
          <w:u w:val="single" w:color="auto"/>
          <w:color w:val="auto"/>
        </w:rPr>
        <w:t> Section 3.8(a)(iii)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1944"/>
        <w:spacing w:after="0" w:line="25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Each award of Company DSUs that is outstanding immediately prior to the Effective Time shall be assumed by Buyer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automatically converted into an award of deferred stock units (“</w:t>
      </w:r>
      <w:r>
        <w:rPr>
          <w:rFonts w:ascii="Times New Roman" w:cs="Times New Roman" w:eastAsia="Times New Roman" w:hAnsi="Times New Roman"/>
          <w:sz w:val="18"/>
          <w:szCs w:val="18"/>
          <w:u w:val="single" w:color="auto"/>
          <w:color w:val="000000"/>
        </w:rPr>
        <w:t>Buyer DSUs</w:t>
      </w:r>
      <w:r>
        <w:rPr>
          <w:rFonts w:ascii="Times New Roman" w:cs="Times New Roman" w:eastAsia="Times New Roman" w:hAnsi="Times New Roman"/>
          <w:sz w:val="18"/>
          <w:szCs w:val="18"/>
          <w:color w:val="000000"/>
        </w:rPr>
        <w:t>”) covering a number of shares of Buyer Class B Common Stock (rounded down to the nearest whole share) equal to the product obtained by multiplying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the Equity Award Exchange Ratio by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the number of shares of Company Stock subject to such award of Company DSUs immediately prior to the Effective Time. Each such award of Buyer DSUs as so assumed and converted shall continue to have, and shall be subject to, the same terms and conditions as applied to the corresponding award of Company DSUs immediately prior to the Effective Time (including with respect to timing and form of payment).  </w:t>
      </w:r>
    </w:p>
    <w:p>
      <w:pPr>
        <w:spacing w:after="0" w:line="208" w:lineRule="exact"/>
        <w:rPr>
          <w:sz w:val="20"/>
          <w:szCs w:val="20"/>
          <w:color w:val="auto"/>
        </w:rPr>
      </w:pPr>
    </w:p>
    <w:p>
      <w:pPr>
        <w:ind w:right="60" w:firstLine="1944"/>
        <w:spacing w:after="0" w:line="25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Each Company Notional Unit that is outstanding immediately prior to the Effective Time shall be assumed by Buyer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automatically converted into a notional unit with respect to a number of shares of Buyer Class B Common Stock (a “</w:t>
      </w:r>
      <w:r>
        <w:rPr>
          <w:rFonts w:ascii="Times New Roman" w:cs="Times New Roman" w:eastAsia="Times New Roman" w:hAnsi="Times New Roman"/>
          <w:sz w:val="18"/>
          <w:szCs w:val="18"/>
          <w:u w:val="single" w:color="auto"/>
          <w:color w:val="000000"/>
        </w:rPr>
        <w:t>Buyer Notional Unit</w:t>
      </w:r>
      <w:r>
        <w:rPr>
          <w:rFonts w:ascii="Times New Roman" w:cs="Times New Roman" w:eastAsia="Times New Roman" w:hAnsi="Times New Roman"/>
          <w:sz w:val="18"/>
          <w:szCs w:val="18"/>
          <w:color w:val="000000"/>
        </w:rPr>
        <w:t>”) equal to the product (rounded down to the nearest whole share) obtained by multiplying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the Equity Award Exchange Ratio by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the number of shares of Company Stock subject to such Company Notional Unit immediately prior to the Effective Time. Each such Buyer Notional Unit as so assumed and converted shall continue to have, and shall be subject to, the same terms and conditions as applied to the corresponding Company Notional Unit immediately prior to the Effective Time (including with respect to timing and form of payment), as set forth in the applicable Company DC Plan.  </w:t>
      </w:r>
    </w:p>
    <w:p>
      <w:pPr>
        <w:spacing w:after="0" w:line="208" w:lineRule="exact"/>
        <w:rPr>
          <w:sz w:val="20"/>
          <w:szCs w:val="20"/>
          <w:color w:val="auto"/>
        </w:rPr>
      </w:pPr>
    </w:p>
    <w:p>
      <w:pPr>
        <w:ind w:right="120" w:firstLine="1944"/>
        <w:spacing w:after="0" w:line="251"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 No Offering (as defined in the Company ESPP) shall commence or be extended on or after the date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(B) beginning on the date of this Agreement, no new participants may commence participation in the Company ESPP, including during the Offering in effect under the Company ESPP as of the date of this Agreement (such Offering period, the “</w:t>
      </w:r>
      <w:r>
        <w:rPr>
          <w:rFonts w:ascii="Times New Roman" w:cs="Times New Roman" w:eastAsia="Times New Roman" w:hAnsi="Times New Roman"/>
          <w:sz w:val="18"/>
          <w:szCs w:val="18"/>
          <w:u w:val="single" w:color="auto"/>
          <w:color w:val="000000"/>
        </w:rPr>
        <w:t>Existing Offering Period</w:t>
      </w:r>
      <w:r>
        <w:rPr>
          <w:rFonts w:ascii="Times New Roman" w:cs="Times New Roman" w:eastAsia="Times New Roman" w:hAnsi="Times New Roman"/>
          <w:sz w:val="18"/>
          <w:szCs w:val="18"/>
          <w:color w:val="000000"/>
        </w:rPr>
        <w:t>”), (C) beginning on the date of this Agreement, no participant in the Company ESPP may increase the amount of his or her payroll deductions under the Company ESPP with respect to the Existing Offering Period, and (D) the Existing Offering Period shall terminate on the earlier of the date that is (1) two Business Days prior to the Effective Time and (2) the final day of the Existing Offering Period pursuant to the terms of the Company ESPP (the “</w:t>
      </w:r>
      <w:r>
        <w:rPr>
          <w:rFonts w:ascii="Times New Roman" w:cs="Times New Roman" w:eastAsia="Times New Roman" w:hAnsi="Times New Roman"/>
          <w:sz w:val="18"/>
          <w:szCs w:val="18"/>
          <w:u w:val="single" w:color="auto"/>
          <w:color w:val="000000"/>
        </w:rPr>
        <w:t>ESPP Final Purchase Date</w:t>
      </w:r>
      <w:r>
        <w:rPr>
          <w:rFonts w:ascii="Times New Roman" w:cs="Times New Roman" w:eastAsia="Times New Roman" w:hAnsi="Times New Roman"/>
          <w:sz w:val="18"/>
          <w:szCs w:val="18"/>
          <w:color w:val="000000"/>
        </w:rPr>
        <w:t>”) and all participant contributions under the Company ESPP shall be used to purchase shares of Company Stock on the ESPP Final Purchase Date in accordance with the terms of the Company ESPP as if the ESPP Final Purchase Date was the last day of the Existing Offering Period.  </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right="60" w:firstLine="1944"/>
        <w:spacing w:after="0" w:line="254"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Prior to the Effective Time, the Company Board (or, if appropriate, any appropriate committee thereof) and Buyer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take all necessary action for the assumption, conversion and adjustment of the Company Options, Company RSUs, Company PRSUs, Company DSUs and Company Notional Units as provided in this </w:t>
      </w:r>
      <w:r>
        <w:rPr>
          <w:rFonts w:ascii="Times New Roman" w:cs="Times New Roman" w:eastAsia="Times New Roman" w:hAnsi="Times New Roman"/>
          <w:sz w:val="18"/>
          <w:szCs w:val="18"/>
          <w:u w:val="single" w:color="auto"/>
          <w:color w:val="000000"/>
        </w:rPr>
        <w:t>Section 3.8(a)</w:t>
      </w:r>
      <w:r>
        <w:rPr>
          <w:rFonts w:ascii="Times New Roman" w:cs="Times New Roman" w:eastAsia="Times New Roman" w:hAnsi="Times New Roman"/>
          <w:sz w:val="18"/>
          <w:szCs w:val="18"/>
          <w:color w:val="000000"/>
        </w:rPr>
        <w:t>. Buyer shall reserve for future issuance a number of shares of Buyer Class B Common Stock at least equal to the number of shares of Buyer Class B Common Stock that will be subject to the Buyer Options, Buyer RSUs, Adjusted Buyer RSUs, Buyer DSUs and Buyer Notional Units. Buyer shall file an effective registration statement on Form S-8 (or other applicable form) with respect to the Buyer Class B Common Stock issuable upon exercise or settlement of each such Buyer Option, Buyer RSU, Adjusted Buyer RSU, Buyer DSU and Buyer Notional Unit, and Buyer shall use commercially reasonable efforts to maintain the effectiveness of such registration statement or registration statements (and maintain the current status of the prospectus or prospectuses contained therein) for so long as any of such awards remain outstanding.  </w:t>
      </w:r>
    </w:p>
    <w:p>
      <w:pPr>
        <w:spacing w:after="0" w:line="210" w:lineRule="exact"/>
        <w:rPr>
          <w:sz w:val="20"/>
          <w:szCs w:val="20"/>
          <w:color w:val="auto"/>
        </w:rPr>
      </w:pPr>
    </w:p>
    <w:p>
      <w:pPr>
        <w:ind w:right="100" w:firstLine="1296"/>
        <w:spacing w:after="0" w:line="265"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Not later than the Closing Date, Buyer and the Company shall jointly deliver to those individuals who, immediately following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Effective Time, will be the holders of Buyer Options, Buyer RSUs, Adjusted Buyer RSUs, Buyer DSUs and Buyer Notional Units any required notices setting forth such holders’ rights pursuant to the relevant incentive plan and award agreements and stating that the related Company Options, Company RSUs, Company PRSUs, Company DSUs and Company Notional Units have been assumed by Buyer and converted as provided in this </w:t>
      </w:r>
      <w:r>
        <w:rPr>
          <w:rFonts w:ascii="Times New Roman" w:cs="Times New Roman" w:eastAsia="Times New Roman" w:hAnsi="Times New Roman"/>
          <w:sz w:val="17"/>
          <w:szCs w:val="17"/>
          <w:u w:val="single" w:color="auto"/>
          <w:color w:val="000000"/>
        </w:rPr>
        <w:t>Section ‎3.8</w:t>
      </w:r>
      <w:r>
        <w:rPr>
          <w:rFonts w:ascii="Times New Roman" w:cs="Times New Roman" w:eastAsia="Times New Roman" w:hAnsi="Times New Roman"/>
          <w:sz w:val="17"/>
          <w:szCs w:val="17"/>
          <w:color w:val="000000"/>
        </w:rPr>
        <w:t xml:space="preserve">, and such awards shall continue in effect on the same terms and conditions subject, in each case, to the adjustments required by this </w:t>
      </w:r>
      <w:r>
        <w:rPr>
          <w:rFonts w:ascii="Times New Roman" w:cs="Times New Roman" w:eastAsia="Times New Roman" w:hAnsi="Times New Roman"/>
          <w:sz w:val="17"/>
          <w:szCs w:val="17"/>
          <w:u w:val="single" w:color="auto"/>
          <w:color w:val="000000"/>
        </w:rPr>
        <w:t>Section ‎3.8</w:t>
      </w:r>
      <w:r>
        <w:rPr>
          <w:rFonts w:ascii="Times New Roman" w:cs="Times New Roman" w:eastAsia="Times New Roman" w:hAnsi="Times New Roman"/>
          <w:sz w:val="17"/>
          <w:szCs w:val="17"/>
          <w:color w:val="000000"/>
        </w:rPr>
        <w:t xml:space="preserve"> after giving effect to the Merger and the terms of the relevant Company Stock Plan and related award agreements or relevant Company DC Plan,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Section 3.9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Notwithstanding anything to the contrary contained in this Agreement, each of Buyer, the Company, the Surviving Corporation and the Paying Agent shall be entitled to deduct and withhold from any amount otherwise payable pursuant to this Agreement such amounts as it is required to deduct and withhold with respect to the making of such payment under the Code or any other applicable state, local or foreign Tax Law. To the extent that amounts are so withheld and timely remitted to the applicable Governmental Entity, such withheld amounts shall be treated for all purposes of this Agreement as having been paid to the Person in respect of whom such deduction and withholding was made. Buyer shall use reasonable best efforts to cooperate with the Company to obtain any affidavits, certificates or other documentation as may reasonably be expected to afford to the Company and any holder of Company Stock reduction of or relief from any such deduction or withholding.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18"/>
          <w:szCs w:val="18"/>
          <w:color w:val="auto"/>
        </w:rPr>
        <w:t>Except as set forth (i) in the forms, statements, certifications, reports and documents required to be filed or furnished by the Company with the SEC pursuant to the Exchange Act or the Securities Act since December 31, 2023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xml:space="preserve">”) that were filed with or furnished to the SEC prior to the date of this Agreement (excluding any disclosures set forth in any risk factor section or in any other section to the extent they are forward-looking statements or cautionary, predictive or forward-looking in nature), other than with respect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4.18</w:t>
      </w:r>
      <w:r>
        <w:rPr>
          <w:rFonts w:ascii="Times New Roman" w:cs="Times New Roman" w:eastAsia="Times New Roman" w:hAnsi="Times New Roman"/>
          <w:sz w:val="18"/>
          <w:szCs w:val="18"/>
          <w:color w:val="auto"/>
        </w:rPr>
        <w:t>, or (ii) in the corresponding sections or subsections of the disclosure letter delivered to Buyer by the Company concurrently with the execution and delivery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it being agreed that for purposes of the representations and warranties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disclosure of any item in any section or subsection of the Company Disclosure Letter shall be deemed disclosure with respect to any other section or subsection to which the relevance of such item is reasonably apparent on its face, the Company hereby represents and warrants to Buyer and Merger Sub that: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4.1          </w:t>
      </w:r>
      <w:r>
        <w:rPr>
          <w:rFonts w:ascii="Times New Roman" w:cs="Times New Roman" w:eastAsia="Times New Roman" w:hAnsi="Times New Roman"/>
          <w:sz w:val="17"/>
          <w:szCs w:val="17"/>
          <w:u w:val="single" w:color="auto"/>
          <w:color w:val="auto"/>
        </w:rPr>
        <w:t>  Organization, Good Standing and Qualification</w:t>
      </w:r>
      <w:r>
        <w:rPr>
          <w:rFonts w:ascii="Times New Roman" w:cs="Times New Roman" w:eastAsia="Times New Roman" w:hAnsi="Times New Roman"/>
          <w:sz w:val="17"/>
          <w:szCs w:val="17"/>
          <w:color w:val="auto"/>
        </w:rPr>
        <w:t>. Each of the Company and its Subsidiaries is a legal entity duly organized,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validly existing and in good standing under the Laws of its respective jurisdiction of organization and has all requisite corporate or similar power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to own, lease and operate its properties and assets and to carry on its business as presently conducted and is qualified to do business and is in good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standing as a foreign legal entity in each jurisdiction where the ownership, leasing or operation of its assets or properties or conduct of its business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qualification, except where the failure to be so organized, qualified or in good standing, or to have such power or authority, would not, individually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aggregate, have a Company Material Adverse Effect or reasonably be expected to prevent, materially delay or materially impair the ability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consummate the Transactions. Prior to the date of this Agreement, the Company has made available to Buyer complete and correct copies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Organizational Documents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Capital Structure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As of the date of this Agreement, the authorized capital stock of the Company consists of (i) 10,800,000,000 shares of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and (ii) 1,200,000,000 shares of preferred stock, par value $0.01 per share (the “</w:t>
      </w:r>
      <w:r>
        <w:rPr>
          <w:rFonts w:ascii="Times New Roman" w:cs="Times New Roman" w:eastAsia="Times New Roman" w:hAnsi="Times New Roman"/>
          <w:sz w:val="18"/>
          <w:szCs w:val="18"/>
          <w:u w:val="single" w:color="auto"/>
          <w:color w:val="000000"/>
        </w:rPr>
        <w:t>Preferred Stock</w:t>
      </w:r>
      <w:r>
        <w:rPr>
          <w:rFonts w:ascii="Times New Roman" w:cs="Times New Roman" w:eastAsia="Times New Roman" w:hAnsi="Times New Roman"/>
          <w:sz w:val="18"/>
          <w:szCs w:val="18"/>
          <w:color w:val="000000"/>
        </w:rPr>
        <w:t>” and the Company Stock together with the Preferred Stock, the “</w:t>
      </w:r>
      <w:r>
        <w:rPr>
          <w:rFonts w:ascii="Times New Roman" w:cs="Times New Roman" w:eastAsia="Times New Roman" w:hAnsi="Times New Roman"/>
          <w:sz w:val="18"/>
          <w:szCs w:val="18"/>
          <w:u w:val="single" w:color="auto"/>
          <w:color w:val="000000"/>
        </w:rPr>
        <w:t>Company Capital Stock</w:t>
      </w:r>
      <w:r>
        <w:rPr>
          <w:rFonts w:ascii="Times New Roman" w:cs="Times New Roman" w:eastAsia="Times New Roman" w:hAnsi="Times New Roman"/>
          <w:sz w:val="18"/>
          <w:szCs w:val="18"/>
          <w:color w:val="000000"/>
        </w:rPr>
        <w:t>”). As of [●] (the “</w:t>
      </w:r>
      <w:r>
        <w:rPr>
          <w:rFonts w:ascii="Times New Roman" w:cs="Times New Roman" w:eastAsia="Times New Roman" w:hAnsi="Times New Roman"/>
          <w:sz w:val="18"/>
          <w:szCs w:val="18"/>
          <w:u w:val="single" w:color="auto"/>
          <w:color w:val="000000"/>
        </w:rPr>
        <w:t>Measurement Date</w:t>
      </w:r>
      <w:r>
        <w:rPr>
          <w:rFonts w:ascii="Times New Roman" w:cs="Times New Roman" w:eastAsia="Times New Roman" w:hAnsi="Times New Roman"/>
          <w:sz w:val="18"/>
          <w:szCs w:val="18"/>
          <w:color w:val="000000"/>
        </w:rPr>
        <w:t>”), there were (x)(A) an aggregate of [●] shares of Company Stock issued and outstanding and (B) no shares of Preferred Stock issued and outstanding and (y) (A) an aggregate of [●] shares of Company Stock reserved for, and [●] shares of Company Stock subject to, issuance pursuant to the Company Stock Plans, which included (i) [●] Company RSUs, (ii) [●] and [●] Company PRSUs (assuming the achievement of performance criteria at target and maximum levels, respectively), (iii) [●] shares of Company Stock subject to Company Options and (iv) [●] Company DSUs and (B) no shares of Preferred Stock reserved for, and no shares of Preferred Stock subject to, issuance pursuant to the Company Stock Plans. As of the Measurement Date, there were [●] Company Notional Units outstanding under the Company DC Plans representing an equivalent of [●] shares of Company Stock. From the Measurement Date to the date of this Agreement, the Company has not issued or granted (or committed to issue or grant) any shares of Company Stock or any compensatory equity or equity-based award, other than pursuant to (I) the vesting and settlement of Company RSUs, Company PRSUs or Company DSUs, (II) the exercise of Company Options or (III) the Company ESPP, in each case of foregoing clauses (I), (II) and (III) which were granted prior to the date of this Agreement. All of the issued and outstanding shares of Company Capital Stock have been duly authorized and validly issued and are fully paid and nonassessable.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5"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‎Section 4.2(b) of the Company Disclosure Letter sets forth, as of the date of this Agreement, each Subsidiary of the Company (such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Subsidiaries, together with any other Subsidiaries of the Company as of the Effective Time, the “</w:t>
      </w:r>
      <w:r>
        <w:rPr>
          <w:rFonts w:ascii="Times New Roman" w:cs="Times New Roman" w:eastAsia="Times New Roman" w:hAnsi="Times New Roman"/>
          <w:sz w:val="17"/>
          <w:szCs w:val="17"/>
          <w:u w:val="single" w:color="auto"/>
          <w:color w:val="000000"/>
        </w:rPr>
        <w:t>Company Subsidiaries</w:t>
      </w:r>
      <w:r>
        <w:rPr>
          <w:rFonts w:ascii="Times New Roman" w:cs="Times New Roman" w:eastAsia="Times New Roman" w:hAnsi="Times New Roman"/>
          <w:sz w:val="17"/>
          <w:szCs w:val="17"/>
          <w:color w:val="000000"/>
        </w:rPr>
        <w:t>”) and the ownership interest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-161925</wp:posOffset>
            </wp:positionV>
            <wp:extent cx="633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Company, directly or indirectly, in each such Company Subsidiary. The ownership interest in each Company Subsidiary set forth on Section 4‎.2(b)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6062345</wp:posOffset>
            </wp:positionH>
            <wp:positionV relativeFrom="paragraph">
              <wp:posOffset>-19050</wp:posOffset>
            </wp:positionV>
            <wp:extent cx="633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Company Disclosure Letter as owned by the Company, directly or indirectly, has been duly authorized and validly issued and is fully paid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nonassessable, and is owned by the Company free and clear of all Liens other than Permitted Liens. No Subsidiary of the Company owns any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4.2(c) </w:t>
      </w:r>
      <w:r>
        <w:rPr>
          <w:rFonts w:ascii="Times New Roman" w:cs="Times New Roman" w:eastAsia="Times New Roman" w:hAnsi="Times New Roman"/>
          <w:sz w:val="18"/>
          <w:szCs w:val="18"/>
          <w:color w:val="000000"/>
        </w:rPr>
        <w:t>of the Company Disclosure Letter, as of the date of this Agreement, there are no preemptive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outstanding rights, options, warrants, conversion rights, stock appreciation rights, redemption rights, repurchase rights, agreements, arrangements, calls, commitments or rights of any kind that obligate the Company or any of its Subsidiaries to issue or sell any shares of capital stock or other equity or voting securities of the Company or any of its Subsidiaries or any securities or obligations convertible or exchangeable into or exercisable for, or giving any Person a right to subscribe for or acquire from the Company or any of its Subsidiaries, any equity or voting securities of the Company or any of its Subsidiaries, and no securities or obligations evidencing such rights are authorized, issued or outstanding. The Company and its Subsidiaries do not have outstanding any bonds, debentures, notes or other obligations the holders of which have the right to vote (or which are convertible into or exercisable for securities having the right to vote) with the stockholders of the Company or any of its Subsidiaries on any matter.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Corporate Authority and Approval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Company has all requisite corporate power and authority and has taken all corporate action necessary to execute and deliver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Agreement and the other Transaction Documents to which it is a party and that have been executed as of the date hereof and will have all requisite corporate power and authority and has taken all corporate action necessary to execute and deliver all other Transaction Documents to which it will be a party as of the Effective Time and, subject to receipt of the Company Stockholder Approval, to consummate the Transactions. This Agreement has been duly executed and delivered by the Company and constitutes a valid and binding agreement of the Company, enforceable against it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8"/>
          <w:szCs w:val="18"/>
          <w:u w:val="single" w:color="auto"/>
          <w:color w:val="000000"/>
        </w:rPr>
        <w:t>Bankruptcy and Equity Exception</w:t>
      </w:r>
      <w:r>
        <w:rPr>
          <w:rFonts w:ascii="Times New Roman" w:cs="Times New Roman" w:eastAsia="Times New Roman" w:hAnsi="Times New Roman"/>
          <w:sz w:val="18"/>
          <w:szCs w:val="18"/>
          <w:color w:val="000000"/>
        </w:rPr>
        <w:t xml:space="preserve">”). The execution and delivery by the Company of this Agreement and the other Transaction Documents to which the Company is or will be a party as of the Effective Time and the consummation of the Transactions have been duly authorized by all necessary and proper corporate action on the part of the Company, and, subject to </w:t>
      </w:r>
      <w:r>
        <w:rPr>
          <w:rFonts w:ascii="Times New Roman" w:cs="Times New Roman" w:eastAsia="Times New Roman" w:hAnsi="Times New Roman"/>
          <w:sz w:val="18"/>
          <w:szCs w:val="18"/>
          <w:u w:val="single" w:color="auto"/>
          <w:color w:val="000000"/>
        </w:rPr>
        <w:t>Section 4.3(c)</w:t>
      </w:r>
      <w:r>
        <w:rPr>
          <w:rFonts w:ascii="Times New Roman" w:cs="Times New Roman" w:eastAsia="Times New Roman" w:hAnsi="Times New Roman"/>
          <w:sz w:val="18"/>
          <w:szCs w:val="18"/>
          <w:color w:val="000000"/>
        </w:rPr>
        <w:t>, no other corporate action on the part of the Company is necessary to authorize this Agreement or the other Transaction Documents to which the Company is or will be a party as of the Effective Time.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Company Board has (i) (A) determined that the terms of this Agreement and the Transactions, including the Merger, are fair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in the best interests of, the Company and its stockholders, (B) determined that it is in the best interests of the Company and its stockholders and declared it advisable to enter into this Agreement, (C) approved the execution and delivery by the Company of this Agreement, the performance by the Company of its covenants and agreements contained herein and the consummation of the Transactions, including the Merger, (D) resolved to make the Company Recommendation and (E) approved the termination of the Netflix Merger Agreement and (ii) received the opinions of J.P. Morgan Securities LLC and Allen &amp; Company LLC to the effect that, as of the date of such opinions and based upon and subject to the various qualifications, assumptions, limitations and other matters set forth therein, the Merger Consideration provided for pursuant to this Agreement is fair, from a financial point of view, to the holders of Company Stock. The Company shall provide a copy of such written opinions to Buyer solely for informational purposes promptly following the execution and delivery of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40" w:firstLine="1296"/>
        <w:spacing w:after="0" w:line="25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 vote of the holders of any class of equity securities of the Company is required for the execution and delivery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the other Transaction Documents or any other agreements or documents contemplated hereby or thereby to which the Company is a party, the performance by the Company of its obligations hereunder and thereunder, or to consummate the Merger and the transactions contemplated hereunder and thereunder, except for the Company Stockholder Approval.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Governmental Filings; No Violations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5"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Other than the necessary filings, notices, reports, consents, registrations, approvals, permits, expirations of waiting periods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authorizations (i) pursuant to </w:t>
      </w:r>
      <w:r>
        <w:rPr>
          <w:rFonts w:ascii="Times New Roman" w:cs="Times New Roman" w:eastAsia="Times New Roman" w:hAnsi="Times New Roman"/>
          <w:sz w:val="17"/>
          <w:szCs w:val="17"/>
          <w:u w:val="single" w:color="auto"/>
          <w:color w:val="000000"/>
        </w:rPr>
        <w:t>Section 1.3</w:t>
      </w:r>
      <w:r>
        <w:rPr>
          <w:rFonts w:ascii="Times New Roman" w:cs="Times New Roman" w:eastAsia="Times New Roman" w:hAnsi="Times New Roman"/>
          <w:sz w:val="17"/>
          <w:szCs w:val="17"/>
          <w:color w:val="000000"/>
        </w:rPr>
        <w:t xml:space="preserve">, (ii) required under the rules and regulations of NASDAQ, (iii) required under the HSR Act or any other applicable Antitrust Laws in connection with the Transactions, (iv) required under the Exchange Act or the Securities Act, (v) to comply with state securities or “blue-sky” Laws, (vi) as may be required with or to Regulators pursuant to applicable Regulatory Laws and (vii) as set forth in </w:t>
      </w:r>
      <w:r>
        <w:rPr>
          <w:rFonts w:ascii="Times New Roman" w:cs="Times New Roman" w:eastAsia="Times New Roman" w:hAnsi="Times New Roman"/>
          <w:sz w:val="17"/>
          <w:szCs w:val="17"/>
          <w:u w:val="single" w:color="auto"/>
          <w:color w:val="000000"/>
        </w:rPr>
        <w:t>Section 4.4(a) </w:t>
      </w:r>
      <w:r>
        <w:rPr>
          <w:rFonts w:ascii="Times New Roman" w:cs="Times New Roman" w:eastAsia="Times New Roman" w:hAnsi="Times New Roman"/>
          <w:sz w:val="17"/>
          <w:szCs w:val="17"/>
          <w:color w:val="000000"/>
        </w:rPr>
        <w:t>of the Company Disclosure Letter, no filings, notices or reports are required to be made by any of the Company or its Subsidiaries with, nor are any consents, registrations, approvals, permits, expirations of waiting periods or authorizations required to be obtained by the Company or any of its Subsidiaries from, any Governmental Entity in connection with the execution, delivery and performance of this Agreement by the Company or the consummation by the Company of the Transactions, except, in each case, those that the failure to make or obtain would not, individually or in the aggregate, have a Company Material Adverse Effect or reasonably be expected to prevent, materially delay or materially impair the ability of the Company to consummate the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execution, delivery and performance by the Company of this Agreement and the other Transaction Documents to which it is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will be a party as of the Effective Time do not or will not (as applicable), and the consummation by the Company of the Transactions will not, constitute or result in (i) a breach or violation of, or a default under, the Organizational Documents of the Company or any of its Subsidiaries, (ii) with or without the lapse of time or the giving of notice or both, a breach or violation of, a default or termination or modification (or right of termination or modification) under, payment of additional fees under, the creation or acceleration of any obligations under, or the creation of a Lien on any Company Material Contracts, or, assuming (solely with respect to the performance of this Agreement and the consummation of the Transactions) the filings, notices, reports, consents, registrations, approvals, permits, expirations of waiting periods and authorizations referred to in </w:t>
      </w:r>
      <w:r>
        <w:rPr>
          <w:rFonts w:ascii="Times New Roman" w:cs="Times New Roman" w:eastAsia="Times New Roman" w:hAnsi="Times New Roman"/>
          <w:sz w:val="18"/>
          <w:szCs w:val="18"/>
          <w:u w:val="single" w:color="auto"/>
          <w:color w:val="000000"/>
        </w:rPr>
        <w:t>Section 4.4(a) </w:t>
      </w:r>
      <w:r>
        <w:rPr>
          <w:rFonts w:ascii="Times New Roman" w:cs="Times New Roman" w:eastAsia="Times New Roman" w:hAnsi="Times New Roman"/>
          <w:sz w:val="18"/>
          <w:szCs w:val="18"/>
          <w:color w:val="000000"/>
        </w:rPr>
        <w:t>are made or obtained, under any Law, Governmental Order or License to which the Company or any of its Subsidiaries is subject or (iii) any change in the rights or obligations under any Company Material Contract, except, in the case of clauses (ii) and (iii) above, for any such breach, violation, default, termination, modification, payment, acceleration, creation or change that would not, individually or in the aggregate, have a Company Material Adverse Effect or reasonably be expected to prevent, materially delay or materially impair the ability of the Company to consummate the Transactions.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Company Reports; Financial Statements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Company has filed or furnished or will file or furnish, as applicable, on a timely basis, all Company Reports since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Date. Each of the Company Reports, at the time of its filing or being furnished complied (or, if not yet filed or furnished, will comply) in all material respects with the applicable requirements of the Securities Act, the Exchange Act and the Sarbanes-Oxley Act, and any rules and regulations promulgated thereunder applicable to the Company Reports. As of their respective dates (or, if amended prior to the date of this Agreement, as of the date of such amendment), the Company Reports did not, and any Company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Company has timely responded to all comment letters from the Staff of the SEC relating to the Company Reports dated 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date hereof, and the SEC has not asserted that any of such responses are inadequate, insufficient or otherwise non-responsive. None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Reports filed on or prior to the date hereof is, to the Knowledge of the Company, subject to ongoing SEC review or investigation, and there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inquiries or investigations by the SEC or any internal investigations pending or threatened, in each case regarding any accounting practices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The Company is in compliance in all material respects with the applicable listing and corporate governance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Company maintains disclosure controls and procedures required by Rule 13a-15 or 15d-15 under the Exchange Act.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disclosure controls and procedures are reasonably designed to ensure that material information required to be disclosed by the Company in its filings with the SEC under the Exchange Act is recorded and reported on a timely basis to the individuals responsible for the preparation of the Company’s filings with the SEC under the Exchange Act. The Company maintains internal control over financial reporting (as defined in Rule 13a-15 or 15d-15, as applicable, under the Exchange Act). Such internal control over financial reporting is designed to provide reasonable assurance regarding the reliability of financial reporting and the preparation of financial statements for external purposes in accordance with GAAP. The Company has disclosed, based on the most recent evaluation of its Chief Executive Officer and its Chief Financial Officer prior to the date of this Agreement, to the Company’s auditors and the audit committee of the Company Board (i) any significant deficiencies and material weaknesses in the design or operation of its internal controls over financial reporting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The Company has made available prior to the date of this Agreement to Buyer (A) either materials relating to or a summary of any disclosure of matters described in clause (i) or (ii) in the preceding sentence made by management of the Company to its auditors and the audit committee of the Company Board on or after the Applicable Date and prior to the date of this Agreement and (B) any material communication on or after the Applicable Date and prior to the date of this Agreement made by management of the Company or its auditors to the audit committee of the Company Board as required by the listing standards of NASDAQ, such audit committee’s charter or professional standards of the Public Company Accounting Oversight Board.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Each of the consolidated balance sheets included in or incorporated by reference into the Company Reports (including the related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schedules) fairly presents or, in the case of Company Reports filed after the date of this Agreement, will fairly present, in each case,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respects, the consolidated financial position of the Company and its Subsidiaries, as of the date of such balance sheet, and each of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cash flows and changes in stockholders’ equity (deficit) included in or incorporated by reference into the Company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related notes and schedules) fairly presents, or, in the case of Company Reports filed after the date of this Agreement, will fairly present,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in all material respects, the results of operations, retained earnings (loss) and changes in financial position, as the case may be,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for the periods set forth therein (subject, in the case of unaudited statements, to notes and normal year-end audit adjustments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or will not be material in amount or effect), in each case in accordance with GAAP consistently applied during the periods involved, except as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noted therein or in the notes thereto, and complied or will comply, as of their respective dates of filing with the SEC, in all material respects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rules and regulations of the SEC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(f)            </w:t>
      </w:r>
      <w:r>
        <w:rPr>
          <w:rFonts w:ascii="Times New Roman" w:cs="Times New Roman" w:eastAsia="Times New Roman" w:hAnsi="Times New Roman"/>
          <w:sz w:val="17"/>
          <w:szCs w:val="17"/>
          <w:color w:val="000000"/>
        </w:rPr>
        <w:t>Neither the Company nor any of its consolidated Subsidiaries is a party to or has any obligation or other commitment to become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to any securitization transaction, off-balance sheet partnership or any similar Contract (including any structured finance, special purpose or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entity, or any “off-balance sheet arrangements” (as defined in Item 303(a) of Regulation S-K under the Exchange Act)) where the result, purpose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intended effect of such Contract is to avoid disclosure of any material transaction involving, or material liabilities of, the Company in any of the Company’s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financial statements or other Company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Since September 30, 2025 and through the date of this Agreement, there has not been any Effect that,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has had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ind w:right="40"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Since September 30, 2025 and through the date of this Agreement, other than in connection with this Agreement, the Transactions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and the Netflix Merger Agreement (including the transactions contemplated thereby and the termination thereof), (i) the business of the Company and its Subsidiaries has been conducted in the Ordinary Course in all material respects, (ii) there has not been any material damage, destruction or other casualty loss with respect to any material asset of the Company or its Subsidiaries, whether or not covered by insurance, and (iii) there has not been any action taken by the Company or any of its Subsidiaries that, if taken during the period between the date of this Agreement through the Effective Time, without Buyer’s consent, would constitute a breach of </w:t>
      </w:r>
      <w:r>
        <w:rPr>
          <w:rFonts w:ascii="Times New Roman" w:cs="Times New Roman" w:eastAsia="Times New Roman" w:hAnsi="Times New Roman"/>
          <w:sz w:val="18"/>
          <w:szCs w:val="18"/>
          <w:u w:val="single" w:color="auto"/>
          <w:color w:val="000000"/>
        </w:rPr>
        <w:t>Section 6.1(a)(y)(i)(C)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Distributions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(iii)(B)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Senior Executive Compensation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(vi)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COT Properties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(vii)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Key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Properties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u w:val="single" w:color="auto"/>
          <w:color w:val="000000"/>
        </w:rPr>
        <w:t>(viii)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HBO Service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u w:val="single" w:color="auto"/>
          <w:color w:val="000000"/>
        </w:rPr>
        <w:t>(ix)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Sale of Assets</w:t>
      </w:r>
      <w:r>
        <w:rPr>
          <w:rFonts w:ascii="Times New Roman" w:cs="Times New Roman" w:eastAsia="Times New Roman" w:hAnsi="Times New Roman"/>
          <w:sz w:val="18"/>
          <w:szCs w:val="18"/>
          <w:color w:val="000000"/>
        </w:rPr>
        <w:t>), (xi) (</w:t>
      </w:r>
      <w:r>
        <w:rPr>
          <w:rFonts w:ascii="Times New Roman" w:cs="Times New Roman" w:eastAsia="Times New Roman" w:hAnsi="Times New Roman"/>
          <w:sz w:val="18"/>
          <w:szCs w:val="18"/>
          <w:i w:val="1"/>
          <w:iCs w:val="1"/>
          <w:color w:val="000000"/>
        </w:rPr>
        <w:t>Acquisitions</w:t>
      </w:r>
      <w:r>
        <w:rPr>
          <w:rFonts w:ascii="Times New Roman" w:cs="Times New Roman" w:eastAsia="Times New Roman" w:hAnsi="Times New Roman"/>
          <w:sz w:val="18"/>
          <w:szCs w:val="18"/>
          <w:color w:val="000000"/>
        </w:rPr>
        <w:t>), (xii) (</w:t>
      </w:r>
      <w:r>
        <w:rPr>
          <w:rFonts w:ascii="Times New Roman" w:cs="Times New Roman" w:eastAsia="Times New Roman" w:hAnsi="Times New Roman"/>
          <w:sz w:val="18"/>
          <w:szCs w:val="18"/>
          <w:i w:val="1"/>
          <w:iCs w:val="1"/>
          <w:color w:val="000000"/>
        </w:rPr>
        <w:t>Accounting Policies</w:t>
      </w:r>
      <w:r>
        <w:rPr>
          <w:rFonts w:ascii="Times New Roman" w:cs="Times New Roman" w:eastAsia="Times New Roman" w:hAnsi="Times New Roman"/>
          <w:sz w:val="18"/>
          <w:szCs w:val="18"/>
          <w:color w:val="000000"/>
        </w:rPr>
        <w:t>), (xv) (</w:t>
      </w:r>
      <w:r>
        <w:rPr>
          <w:rFonts w:ascii="Times New Roman" w:cs="Times New Roman" w:eastAsia="Times New Roman" w:hAnsi="Times New Roman"/>
          <w:sz w:val="18"/>
          <w:szCs w:val="18"/>
          <w:i w:val="1"/>
          <w:iCs w:val="1"/>
          <w:color w:val="000000"/>
        </w:rPr>
        <w:t>Loans</w:t>
      </w:r>
      <w:r>
        <w:rPr>
          <w:rFonts w:ascii="Times New Roman" w:cs="Times New Roman" w:eastAsia="Times New Roman" w:hAnsi="Times New Roman"/>
          <w:sz w:val="18"/>
          <w:szCs w:val="18"/>
          <w:color w:val="000000"/>
        </w:rPr>
        <w:t>) or (xxvii) (solely to the extent relating to</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the foregoing clauses (i)(C), (iii)(B), (vi), (vii), (viii), (ix), (xi), (xii) and (xv)).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Litigation and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As of the date of this Agreement, there are no Proceedings pending or, to the Knowledge of the Company, threatened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its Subsidiaries or any property or asset of the Company or its Subsidiaries, except for those that would not,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Company Material Adverse Effect or reasonably be expected to prevent, materially delay or materially impair the ability of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There are no obligations or liabilities of the Company or any of its Subsidiaries, whether or not accrued, contingent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obligations or liabilities (i) disclosed, reflected, reserved against or otherwise provided for in the balance sheet of the Company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the notes thereto, set forth in the Company’s Annual Report on Form 10-K for the fiscal year 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incurred in the Ordinary Course since December 31, 2024, (iii) arising out of this Agreement (and which do not arise out of a breach by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representation or warranty in this Agreement) or third-party service provider obligations incurred in connection with the Transactions, (iv)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Contracts or Licenses binding on the Company or any of its Subsidiaries or pursuant to which their respective assets are bound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a breach of such Contract or License) or (v) that would not, individually or in the aggregate, have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any of its Subsidiaries is a party to or subject to the provisions of any Governmental Order that would,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have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4.8          </w:t>
      </w:r>
      <w:r>
        <w:rPr>
          <w:rFonts w:ascii="Times New Roman" w:cs="Times New Roman" w:eastAsia="Times New Roman" w:hAnsi="Times New Roman"/>
          <w:sz w:val="18"/>
          <w:szCs w:val="18"/>
          <w:u w:val="single" w:color="auto"/>
          <w:color w:val="auto"/>
        </w:rPr>
        <w:t>  Employee Benefits and Labor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material Company Plan as of the date of this Agreement is listed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4.8(a) </w:t>
      </w:r>
      <w:r>
        <w:rPr>
          <w:rFonts w:ascii="Times New Roman" w:cs="Times New Roman" w:eastAsia="Times New Roman" w:hAnsi="Times New Roman"/>
          <w:sz w:val="18"/>
          <w:szCs w:val="18"/>
          <w:color w:val="000000"/>
        </w:rPr>
        <w:t>of the Company Disclosure Letter,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than employment agreements that do not materially deviate from the Company’s standard forms set forth in </w:t>
      </w:r>
      <w:r>
        <w:rPr>
          <w:rFonts w:ascii="Times New Roman" w:cs="Times New Roman" w:eastAsia="Times New Roman" w:hAnsi="Times New Roman"/>
          <w:sz w:val="18"/>
          <w:szCs w:val="18"/>
          <w:u w:val="single" w:color="auto"/>
          <w:color w:val="000000"/>
        </w:rPr>
        <w:t>Section 4.8(a) </w:t>
      </w:r>
      <w:r>
        <w:rPr>
          <w:rFonts w:ascii="Times New Roman" w:cs="Times New Roman" w:eastAsia="Times New Roman" w:hAnsi="Times New Roman"/>
          <w:sz w:val="18"/>
          <w:szCs w:val="18"/>
          <w:color w:val="000000"/>
        </w:rPr>
        <w:t xml:space="preserve">of the Company Disclosure Letter. True and complete copies of each of the material Company Plans (other than employment agreements that do not materially deviate from the Company’s standard forms set forth in </w:t>
      </w:r>
      <w:r>
        <w:rPr>
          <w:rFonts w:ascii="Times New Roman" w:cs="Times New Roman" w:eastAsia="Times New Roman" w:hAnsi="Times New Roman"/>
          <w:sz w:val="18"/>
          <w:szCs w:val="18"/>
          <w:u w:val="single" w:color="auto"/>
          <w:color w:val="000000"/>
        </w:rPr>
        <w:t>Section 4.8(a) </w:t>
      </w:r>
      <w:r>
        <w:rPr>
          <w:rFonts w:ascii="Times New Roman" w:cs="Times New Roman" w:eastAsia="Times New Roman" w:hAnsi="Times New Roman"/>
          <w:sz w:val="18"/>
          <w:szCs w:val="18"/>
          <w:color w:val="000000"/>
        </w:rPr>
        <w:t xml:space="preserve">of the Company Disclosure Letter) (or, if unwritten, a written summary thereof) and all amendments thereto have been made available to Buyer on or prior to the date of this Agreement. The Company shall provide a list to Buyer of each material employment agreement with a Company Employee, other than any such employment agreements that do not materially deviate from the Company’s standard forms set forth in </w:t>
      </w:r>
      <w:r>
        <w:rPr>
          <w:rFonts w:ascii="Times New Roman" w:cs="Times New Roman" w:eastAsia="Times New Roman" w:hAnsi="Times New Roman"/>
          <w:sz w:val="18"/>
          <w:szCs w:val="18"/>
          <w:u w:val="single" w:color="auto"/>
          <w:color w:val="000000"/>
        </w:rPr>
        <w:t>Section 4.8(a) </w:t>
      </w:r>
      <w:r>
        <w:rPr>
          <w:rFonts w:ascii="Times New Roman" w:cs="Times New Roman" w:eastAsia="Times New Roman" w:hAnsi="Times New Roman"/>
          <w:sz w:val="18"/>
          <w:szCs w:val="18"/>
          <w:color w:val="000000"/>
        </w:rPr>
        <w:t>of the Company Disclosure Letter, and make available to Buyer true and complete copies (or a summary of the material terms) of each such material employment agreement within 90 days following the date of this Agreement.  </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140"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Company Plan that is subject to ERISA that is an “employee pension benefit plan” within the meaning of Section 3(2)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ERISA (a “</w:t>
      </w:r>
      <w:r>
        <w:rPr>
          <w:rFonts w:ascii="Times New Roman" w:cs="Times New Roman" w:eastAsia="Times New Roman" w:hAnsi="Times New Roman"/>
          <w:sz w:val="18"/>
          <w:szCs w:val="18"/>
          <w:u w:val="single" w:color="auto"/>
          <w:color w:val="000000"/>
        </w:rPr>
        <w:t>Company Pension Plan</w:t>
      </w:r>
      <w:r>
        <w:rPr>
          <w:rFonts w:ascii="Times New Roman" w:cs="Times New Roman" w:eastAsia="Times New Roman" w:hAnsi="Times New Roman"/>
          <w:sz w:val="18"/>
          <w:szCs w:val="18"/>
          <w:color w:val="000000"/>
        </w:rPr>
        <w:t>”) and intended to be qualified under Section 401(a) of the Code has received a favorable determination letter from the IRS and, to the Knowledge of the Company, no circumstance exists that is likely to result in the loss of the qualification of such plan under Section 401(a) of the Code. Except as would not, individually or in the aggregate, have a Company Material Adverse Effect, each Company Plan has been established, funded and operated in accordance with its terms and with all applicable Law, including the applicable provisions of ERISA and the Code.  </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 liability under Subtitle C or D of Title IV of ERISA has been or is expected to be incurred by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with respect to any ongoing, frozen or terminated “single-employer plan”, within the meaning of Section 4001(a)(15) of ERISA, currently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maintained by any of them, or the single-employer plan of any entity which is considered one employer with the Company under Section 4001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or Section 414 of the Code (a “</w:t>
      </w:r>
      <w:r>
        <w:rPr>
          <w:rFonts w:ascii="Times New Roman" w:cs="Times New Roman" w:eastAsia="Times New Roman" w:hAnsi="Times New Roman"/>
          <w:sz w:val="18"/>
          <w:szCs w:val="18"/>
          <w:u w:val="single" w:color="auto"/>
          <w:color w:val="auto"/>
        </w:rPr>
        <w:t>Company ERISA Affiliate</w:t>
      </w:r>
      <w:r>
        <w:rPr>
          <w:rFonts w:ascii="Times New Roman" w:cs="Times New Roman" w:eastAsia="Times New Roman" w:hAnsi="Times New Roman"/>
          <w:sz w:val="18"/>
          <w:szCs w:val="18"/>
          <w:color w:val="auto"/>
        </w:rPr>
        <w:t>”), except as would not, individually or in the aggregate, have a Company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Each Multiemployer Plan maintained, sponsored or contributed to by the Company or any Company ERISA Affiliate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Multiemployer Plan</w:t>
      </w:r>
      <w:r>
        <w:rPr>
          <w:rFonts w:ascii="Times New Roman" w:cs="Times New Roman" w:eastAsia="Times New Roman" w:hAnsi="Times New Roman"/>
          <w:sz w:val="18"/>
          <w:szCs w:val="18"/>
          <w:color w:val="auto"/>
        </w:rPr>
        <w:t xml:space="preserve">”), as of the date of this Agreement, is listed in </w:t>
      </w:r>
      <w:r>
        <w:rPr>
          <w:rFonts w:ascii="Times New Roman" w:cs="Times New Roman" w:eastAsia="Times New Roman" w:hAnsi="Times New Roman"/>
          <w:sz w:val="18"/>
          <w:szCs w:val="18"/>
          <w:u w:val="single" w:color="auto"/>
          <w:color w:val="auto"/>
        </w:rPr>
        <w:t>Section 4.8(d) </w:t>
      </w:r>
      <w:r>
        <w:rPr>
          <w:rFonts w:ascii="Times New Roman" w:cs="Times New Roman" w:eastAsia="Times New Roman" w:hAnsi="Times New Roman"/>
          <w:sz w:val="18"/>
          <w:szCs w:val="18"/>
          <w:color w:val="auto"/>
        </w:rPr>
        <w:t>of the Company Disclosure Letter, and true and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each such Multiemployer Plan and all amendments thereto have been made available to Buyer on or prior to the date of this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each Company Multiemployer Plan, except as would not, individually or in the aggregate, have a Company Material Adverse Effect, (i)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Knowledge of the Company, no such Company Multiemployer Plan is insolvent, within the meaning of Section 4245 of ERISA, (ii) no withdrawal liability,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the meaning of Section 4201 of ERISA, has been or is reasonably expected to be incurred by the Company or any Company ERISA Affiliate, and,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Knowledge of the Company, no event has occurred that has resulted or would reasonably be expected to result in the incurrence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ERISA Affiliate of any liability with respect to the withdrawal or partial withdrawal from, or termination of, any Company Multiemployer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to the Knowledge of the Company, no proceeding has been initiated by the PBGC to terminate such Company Multiemployer Plan or is threatened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all contributions required to be made by the Company or any of its Subsidiaries under each Company Multiemployer Plan,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have been timely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Neither any Company Pension Plan nor any single-employer plan of a Company ERISA Affiliate has failed to satisfy the minimum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funding standards under Sections 412 and 430 of the Code and Section 302 of ERISA (whether or not waived), and no Company ERISA Affiliate has an outstanding funding waiver. Except as would not, individually or in the aggregate, have a Company Material Adverse Effect, with respect to any Company Pension Plan subject to the minimum funding requirements of Section 412 of the Code or Title IV of ERISA, (i) no such plan is, or is expected to be, in “at-risk” status (within the meaning of Section 303(i)(4)(A) of ERISA or Section 430(i)(4)(A) of the Code), (ii) no unsatisfied liability (other than for premiums to the Pension Benefit Guaranty Corporation (“</w:t>
      </w:r>
      <w:r>
        <w:rPr>
          <w:rFonts w:ascii="Times New Roman" w:cs="Times New Roman" w:eastAsia="Times New Roman" w:hAnsi="Times New Roman"/>
          <w:sz w:val="18"/>
          <w:szCs w:val="18"/>
          <w:u w:val="single" w:color="auto"/>
          <w:color w:val="000000"/>
        </w:rPr>
        <w:t>PBGC</w:t>
      </w:r>
      <w:r>
        <w:rPr>
          <w:rFonts w:ascii="Times New Roman" w:cs="Times New Roman" w:eastAsia="Times New Roman" w:hAnsi="Times New Roman"/>
          <w:sz w:val="18"/>
          <w:szCs w:val="18"/>
          <w:color w:val="000000"/>
        </w:rPr>
        <w:t>”)) under Title IV of ERISA has been, or is expected to be, incurred by the Company or any of its Subsidiaries and (iii) the PBGC has not instituted proceedings to terminate any such Company Pension Plan.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5" w:name="page56"/>
    <w:bookmarkEnd w:id="55"/>
    <w:p>
      <w:pPr>
        <w:ind w:right="320" w:firstLine="1296"/>
        <w:spacing w:after="0" w:line="27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As of the date of this Agreement, there is no pending or, to the Knowledge of the Company, threatened litigation relating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Plans, except as would not, individually or in the aggregate, have a Company Material Adverse Effect.  </w:t>
      </w:r>
    </w:p>
    <w:p>
      <w:pPr>
        <w:spacing w:after="0" w:line="192" w:lineRule="exact"/>
        <w:rPr>
          <w:sz w:val="20"/>
          <w:szCs w:val="20"/>
          <w:color w:val="auto"/>
        </w:rPr>
      </w:pPr>
    </w:p>
    <w:p>
      <w:pPr>
        <w:jc w:val="both"/>
        <w:ind w:right="120" w:firstLine="1296"/>
        <w:spacing w:after="0" w:line="255"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Except as would not, individually or in the aggregate, have a Company Material Adverse Effect, neither the Company nor any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its Subsidiaries have any obligations for retiree health or life benefits under any of the Company Plans or any Collective Bargaining Agreement, except as required by Section 4980B of the Code or Section 601 of ERISA (or any similar non-U.S. Law).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Except as would not, individually or in the aggregate, have a Company Material Adverse Effect, (i) each material Company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maintained in any non-U.S. jurisdiction or covers any Company Employee residing or working outside the United States (each, an “</w:t>
      </w:r>
      <w:r>
        <w:rPr>
          <w:rFonts w:ascii="Times New Roman" w:cs="Times New Roman" w:eastAsia="Times New Roman" w:hAnsi="Times New Roman"/>
          <w:sz w:val="18"/>
          <w:szCs w:val="18"/>
          <w:u w:val="single" w:color="auto"/>
          <w:color w:val="auto"/>
        </w:rPr>
        <w:t>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has been established, funded, and operated in compliance in all respects with its terms and conditions and with the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prescribed by any applicable Laws, (ii) each International Company Plan which is required to be registered or approved by any Governmental Entity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so registered and approved and has been maintained in good standing with applicable requirements of the Governmental Entities, and, if intended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 for special tax treatment, meets all requirements for such special tax treatment with respect to such International Company Plan, and (iii)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Company Plan is funded and/or book-reserved, as appropriate, based upon reasonable actuarial assumptions, to the extent such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Plan is required to be funded and/or book-reserved.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Neither the execution of this Agreement, receipt of the Company Stockholder Approval, receipt of approval or clearance from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or more Governmental Entities of the Transactions, nor the consummation of the Transactions will, either alone or in combination with any other event,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cause any Company Employees to become eligible for any increase in severance pay upon any termination of employment after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(B) accelerate the time of payment or vesting or result in any payment or funding (through a grantor trust or otherwise) of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or benefits to any Company Employee under any Company Plan, or increase the amount payable or result in any other material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any of the Company Plans, (C) limit or restrict the right of the Company or its Subsidiaries to merge, amend or terminate any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or (D) result in the payment of any amount that could, individually or in combination with any other such payment, constitute an “excess parachute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as defined in Section 280G(b)(1)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4.8(j) </w:t>
      </w:r>
      <w:r>
        <w:rPr>
          <w:rFonts w:ascii="Times New Roman" w:cs="Times New Roman" w:eastAsia="Times New Roman" w:hAnsi="Times New Roman"/>
          <w:sz w:val="18"/>
          <w:szCs w:val="18"/>
          <w:color w:val="000000"/>
        </w:rPr>
        <w:t>of the Company Disclosure Letter, neither the Company nor any of its Subsidiaries is party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Collective Bargaining Agreements (excluding any Collective Bargaining Agreement with a Guild or that applies on a national, area-wide, sector-wide, or industry-wide basis). To the Knowledge of the Company, there are no activities or proceedings of any Labor Union to organize any Company Employees with regard to their employment with the Company or any of its Subsidiaries. There is no, and since the Applicable Date, there has been no, strike, lockout, concerted work slowdown or stoppage, material unfair labor practice charge, material grievance, material arbitration, or other labor dispute pending or, to the Knowledge of the Company, threatened in writing, against the Company or any of its Subsidiaries, except where such strike, lockout or concerted work slowdown or stoppage would not, individually or in the aggregate, have a Company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20" w:firstLine="1296"/>
        <w:spacing w:after="0" w:line="250"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The Company and each of its Subsidiaries is, and has been since the Applicable Date, in compliance with all applicable Laws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governing employment or labor, including all such Laws relating to terms and conditions of employment, wages, hours, worker classification, contractors, child labor, immigration, collective bargaining, labor relations, discrimination, equal opportunity, safety and health, disability rights or benefits, employee leave issues, plant closures and layoffs, unemployment insurance, workers’ compensation, and automated employment decision tools and other artificial intelligence, except as would not, individually or in the aggregate, have a Company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Since the Applicable Date, neither the Company nor any of its Subsidiaries has entered into a settlement agreement relating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or administrative complaint with a current or former officer, employee or independent contractor of the Company or any of its Subsidiaries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involves allegations relating to harassment or discrimination of any kind by a Covered Employee. Since the Applicable Date, no formally reported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allegations of harassment or discrimination of any kind have been made against any Senior Executive other than allegations that were formally investigated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determined by the Company to be unsubstantiated.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(m)           </w:t>
      </w:r>
      <w:r>
        <w:rPr>
          <w:rFonts w:ascii="Times New Roman" w:cs="Times New Roman" w:eastAsia="Times New Roman" w:hAnsi="Times New Roman"/>
          <w:sz w:val="17"/>
          <w:szCs w:val="17"/>
          <w:color w:val="000000"/>
        </w:rPr>
        <w:t>To the Knowledge of the Company, no Covered Employee is in any material respect in violation of any term of any nondisclosure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non-competition agreement or similar restrictive covenant agreement: (i) to the Company or any of its Subsidiaries or (ii) to a former 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employee relating to (A) the right of any such employee to be employed by the Company or any of its Subsidiaries or (B) the knowledge or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Trade Secrets or proprietary information. To the Knowledge of the Company, no Senior Executive has provided written notice to the Company of his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 intention to terminate his or her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4.9          </w:t>
      </w:r>
      <w:r>
        <w:rPr>
          <w:rFonts w:ascii="Times New Roman" w:cs="Times New Roman" w:eastAsia="Times New Roman" w:hAnsi="Times New Roman"/>
          <w:sz w:val="18"/>
          <w:szCs w:val="18"/>
          <w:u w:val="single" w:color="auto"/>
          <w:color w:val="auto"/>
        </w:rPr>
        <w:t>  Compliance with Laws, Licenses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Company and its Subsidiaries, since the Applicable Date, have not been and are not currently in violation of any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federal, state, local, foreign or transnational Law or any Governmental Order, except for such violations that would not, individually or in the aggregate, have a Company Material Adverse Effect. To the Knowledge of the Company, no investigation or review by any Governmental Entity with respect to the Company or any of its Subsidiaries is pending or, as of the date of this Agreement, threatened, nor has any Governmental Entity indicated an intention to conduct the same, except for such investigations or reviews the outcome of which would not, individually or in the aggregate, have a Company Material Adverse Effect. Except as would not, individually or in the aggregate, have a Company Material Adverse Effect, each of the Company and its Subsidiaries possesses each License necessary to conduct its business as it is conducted as of the date of this Agreement and is in compliance with all such Licenses. All Licenses of the Company or any of its Subsidiaries are valid and in full force and effect and have not expired or been revoked, suspended, canceled, rescinded or terminated, other than those that would not, individually or in the aggregate, have a Company Material Adverse Effect.  </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7" w:name="page58"/>
    <w:bookmarkEnd w:id="57"/>
    <w:p>
      <w:pPr>
        <w:ind w:right="240" w:firstLine="1296"/>
        <w:spacing w:after="0" w:line="26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Section 4‎.9(b) of the Company Disclosure Letter sets forth a complete and accurate list, as of the date of this Agreement,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License (other than FCC Licenses) made, issued or granted to the Company or any of its Subsidiaries or used by the business of the Company and its Subsidiaries, except for any Licenses the absence of which would not, individually or in the aggregate, have a Company Material Adverse Effect.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-308610</wp:posOffset>
            </wp:positionV>
            <wp:extent cx="633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182" w:lineRule="exact"/>
        <w:rPr>
          <w:sz w:val="20"/>
          <w:szCs w:val="20"/>
          <w:color w:val="auto"/>
        </w:rPr>
      </w:pPr>
    </w:p>
    <w:p>
      <w:pPr>
        <w:ind w:right="260" w:firstLine="1296"/>
        <w:spacing w:after="0" w:line="26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Section 4.9(c) </w:t>
      </w:r>
      <w:r>
        <w:rPr>
          <w:rFonts w:ascii="Times New Roman" w:cs="Times New Roman" w:eastAsia="Times New Roman" w:hAnsi="Times New Roman"/>
          <w:sz w:val="18"/>
          <w:szCs w:val="18"/>
          <w:color w:val="000000"/>
        </w:rPr>
        <w:t>of the Company Disclosure Letter sets forth a complete and accurate list, as of the date of this Agreement,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FCC License made, issued or granted to the Company or any of its Subsidiaries.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Company and its Subsidiaries and, to the Knowledge of the Company, the officers, directors and employees of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its Subsidiaries are in compliance in all material respects with, and since the Applicable Date have complied in all material respects with: (i) the provisions of the FCPA applicable to the Company and its Subsidiaries and such officers, directors and employees; and (ii) the provisions of all anti-bribery, anti-corruption and anti-money laundering Laws of each jurisdiction in which the Company and its Subsidiaries operate or have operated. Since the Applicable Date, the Company and its Subsidiaries and, to the Knowledge of the Company, the officers, directors and employees of the Company and its Subsidiaries, have not paid, offered or promised to pay, or authorized or ratified the payment, directly or indirectly, of any monies or anything of value to any national, provincial, municipal or other Government Official or any political party or candidate for political office for the purpose of corruptly influencing any act or decision of such official or of the government to obtain or retain business, or direct business to any Person or to secure any other improper benefit or advantage, in each case in violation in any material respect of the FCPA or any Laws described in clause (ii) of the foregoing sentence.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The Company and its Subsidiaries have instituted and maintain policies and procedures reasonably designed to ensure compliance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FCPA and other anti-bribery, anti-corruption and anti-money laundering Laws in each jurisdiction in which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None of the Company nor any of its Subsidiaries are, and since the Applicable Date, have been, subject to any pending, or,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Knowledge of the Company, threatened civil, criminal, or administrative actions, suits, demands, claims, hearings, notices of violation, investigations, proceedings, demand letters, settlements or enforcement actions, or made any voluntary disclosures to any Governmental Entity, involving the Company or any of its Subsidiaries relating to the FCPA or any other anti-bribery, anti-corruption or anti-money laundering 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60" w:firstLine="1296"/>
        <w:spacing w:after="0" w:line="25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Without limiting the generality of the foregoing, each of the Company and its Subsidiaries, since the Applicable Date, has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and currently is in compliance in all material respects with the Export and Sanctions Regulations. </w:t>
      </w:r>
      <w:r>
        <w:rPr>
          <w:rFonts w:ascii="Times New Roman" w:cs="Times New Roman" w:eastAsia="Times New Roman" w:hAnsi="Times New Roman"/>
          <w:sz w:val="18"/>
          <w:szCs w:val="18"/>
          <w:u w:val="single" w:color="auto"/>
          <w:color w:val="000000"/>
        </w:rPr>
        <w:t>Section 4.9(g) </w:t>
      </w:r>
      <w:r>
        <w:rPr>
          <w:rFonts w:ascii="Times New Roman" w:cs="Times New Roman" w:eastAsia="Times New Roman" w:hAnsi="Times New Roman"/>
          <w:sz w:val="18"/>
          <w:szCs w:val="18"/>
          <w:color w:val="000000"/>
        </w:rPr>
        <w:t>of the Company Disclosure Letter sets forth a complete and accurate list, as of the date of this Agreement, of material specific licenses or authorizations held by the Company or any of its Subsidiaries or used by the business of the Company and its Subsidiaries under the Export and Sanctions Regulations. The Company and its Subsidiaries have instituted and maintain policies and procedures reasonably designed to ensure compliance with the Export and Sanctions Regulations in each jurisdiction in which the Company or any of its Subsidiaries operate or are otherwise subject to jurisdiction.  </w:t>
      </w:r>
    </w:p>
    <w:p>
      <w:pPr>
        <w:spacing w:after="0" w:line="208"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None of the Company nor any of its Subsidiaries are, and since the Applicable Date, have been, subject to any actual, pending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Knowledge of the Company, threatened Proceedings or notices of violation, or made any voluntary disclosures to any Governmental Entity, involving the Company or any of its Subsidiaries relating to the Export and Sanctions Regulations.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Except as would not, individually or in the aggregate, have a Company Material Adverse Effect, the Company and its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in compliance with the rules and regulations of all performing rights societies and industry guilds Collective Bargaining Agreements applicable to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Certain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‎Section 4.10(a) of the Company Disclosure Letter sets forth a complete and accurate list as of the date of this Agreement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-19050</wp:posOffset>
            </wp:positionV>
            <wp:extent cx="683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Contract to which either the Company or any of its Subsidiaries is a party or bound (each such Contract,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440" w:firstLine="1944"/>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provides that any of the Company or its Subsidiaries will not compete with any other Person, or which grants “most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favored nation” protections to the counterparty to such Contract, that in each case after the Effective Time would be binding upon Buyer or any of its Subsidiaries (other than the Company or any of its Subsidiaries), and is material to the Company and its Subsidiaries, taken as a whole;  </w:t>
      </w:r>
    </w:p>
    <w:p>
      <w:pPr>
        <w:spacing w:after="0" w:line="204" w:lineRule="exact"/>
        <w:rPr>
          <w:sz w:val="20"/>
          <w:szCs w:val="20"/>
          <w:color w:val="auto"/>
        </w:rPr>
      </w:pPr>
    </w:p>
    <w:p>
      <w:pPr>
        <w:ind w:right="120" w:firstLine="1944"/>
        <w:spacing w:after="0" w:line="255"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purports to limit in any material respect either the type of business in which the Company or any of its Subsidiaries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engage or the manner or locations in which any of them may so engage in any business that in each case after the Effective Time would be binding upon Buyer or any of its Subsidiaries (other than the Company and its Subsidiaries);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requires the Company or any of its Subsidiaries (or, after the Effective Time, Buyer or any of its Subsidiaries) to deal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exclusively with any Person or group of related Persons which Contract is reasonably likely to provide for annual revenues or expenses of $400,000,000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is material to the formation, creation, operation, management or control of any partnership or joint venture, the book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 Company’s investment in which exceeds $400,000,000;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59" w:name="page60"/>
    <w:bookmarkEnd w:id="59"/>
    <w:p>
      <w:pPr>
        <w:ind w:left="196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is a Contract for the operating lease of personal property providing for annual payments of $50,000,000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is (A) a Company Real Property Lease or (B) a Contract relating to the disposition or acquisition of Company Owned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is required to be filed by the Company as a “material contract” pursuant to Item 601(b)(10) of Regulation S-K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contains a put, call or similar right pursuant to which the Company or any of its Subsidiaries would be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or sell, as applicable, any equity interests of any Person or assets (excluding Intellectual Property) at a purchase price which would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exceed, or the fair market value of the equity interests or assets (excluding Intellectual Property) of which would be reasonably likely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$200,000,000;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944"/>
        <w:spacing w:after="0" w:line="255"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is a Contract not of a type (disregarding any dollar thresholds, materiality or other qualifiers, restrictions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limitations applied to such Contract type) described in the foregoing clauses (i) through (viii) and clause (x) below that has or would reasonably be likely to, either pursuant to its own terms or the terms of any related Contracts, involve net payments or receipts in excess of $500,000,000 in any year; or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(x)            </w:t>
      </w:r>
      <w:r>
        <w:rPr>
          <w:rFonts w:ascii="Times New Roman" w:cs="Times New Roman" w:eastAsia="Times New Roman" w:hAnsi="Times New Roman"/>
          <w:sz w:val="17"/>
          <w:szCs w:val="17"/>
          <w:color w:val="000000"/>
        </w:rPr>
        <w:t>is a Contract (A) governing indebtedness of the Company or any of its Subsidiaries with a principal amount in excess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(B) that grants a Lien securing indebtedness of the Company or any of its Subsidiaries with a principal amount in excess of $50,000,000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property or asset of the Company or any of its Subsidiaries, or (C) under which any Person is guaranteeing indebtedness of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with a principal amount in excess of $50,000,000;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Company Material Contracts shall not include any purchase orders and invoices or Company Plans or agreements related to the development or Exploitation (including any production, licensing or distribution) of Content (or Intellectual Property licensed for use in the development or production of Content, which are the subject of </w:t>
      </w:r>
      <w:r>
        <w:rPr>
          <w:rFonts w:ascii="Times New Roman" w:cs="Times New Roman" w:eastAsia="Times New Roman" w:hAnsi="Times New Roman"/>
          <w:sz w:val="18"/>
          <w:szCs w:val="18"/>
          <w:u w:val="single" w:color="auto"/>
          <w:color w:val="auto"/>
        </w:rPr>
        <w:t>Section 4.13(d))</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true and complete copy of each Company Material Contract, as of the date of this Agreement, including all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schedules and exhibits thereto, has been made available to Buyer prior to the date of this Agreement (other than any immaterial omissions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redaction of competitively sensitive information). Each of the Company Material Contracts, and each Contract entered into after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that would have been a Company Material Contract if entered into prior to the date hereof (each, a “</w:t>
      </w:r>
      <w:r>
        <w:rPr>
          <w:rFonts w:ascii="Times New Roman" w:cs="Times New Roman" w:eastAsia="Times New Roman" w:hAnsi="Times New Roman"/>
          <w:sz w:val="18"/>
          <w:szCs w:val="18"/>
          <w:u w:val="single" w:color="auto"/>
          <w:color w:val="auto"/>
        </w:rPr>
        <w:t>Company Additional Contract</w:t>
      </w:r>
      <w:r>
        <w:rPr>
          <w:rFonts w:ascii="Times New Roman" w:cs="Times New Roman" w:eastAsia="Times New Roman" w:hAnsi="Times New Roman"/>
          <w:sz w:val="18"/>
          <w:szCs w:val="18"/>
          <w:color w:val="auto"/>
        </w:rPr>
        <w:t>”), is (or if entered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after the date hereof, will be) valid and binding on the Company or the applicable Subsidiary, as the case may be, and, to the Knowledge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each other party thereto, and is in full force and effect, except for such failures to be valid and binding or to be in full force and effect as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individually or in the aggregate, have a Company Material Adverse Effect. None of the Company nor any of its Subsidiaries or, to the Knowledge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any other party is in breach of or in default under any Company Material Contract or Company Additional Contract, and no event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that, with the lapse of time or the giving of notice or both, would constitute a default thereunder by the Company or any of its Subsidiaries,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except for such breaches and defaults as would not, individually or in the aggregate, have a Company Material Adverse Effect.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the Company, as of the date of this Agreement, none of Company nor any of its Subsidiaries has received written notice alleging a breach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default under any Company Material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for such matters that would not, individually or in the aggregate, have a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(a) each of the Company and its Subsidiaries has since the Applicable Date been in compliance with all applicable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(b) the environmental conditions at the properties currently owned, leased or operated by the Company and its Subsidiaries (including soils,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groundwater and surface water), and, to the Knowledge of the Company, any formerly owned, leased or operated properties, are not contaminated with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Substance that has or would reasonably be likely to result in the Company or any of its Subsidiaries incurring liability or having to conduct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any cleanup or other remedial activity pursuant, directly or indirectly, to any applicable Environmental Law, (c) none of the Company nor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is subject to any Proceeding, or has otherwise received a written notice, alleging that it is liable for the release or threat of release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Substance that has or would reasonably be likely to result in the Company or any of its Subsidiaries incurring liability under any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 (d) none of the Company nor any of its Subsidiaries have received any written notice, demand, letter, claim or request for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alleging that the Company or any of its Subsidiaries may be in violation of or subject to liability under any Environmental Law, (e) none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 any of its Subsidiaries is subject to any outstanding obligations under any orders, decrees or injunctions, or outstanding obligations or claims under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indemnities or other contractual agreements, concerning liability or obligations relating to any Environmental Law and (f) to the Knowledge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there has been no release of or exposure to any Hazardous Substance and there are no other environmental conditions involving the Company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or their respective real properties that would reasonably be likely to result in a liability to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any 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Except as would not, individually or in the aggregate, have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Tax Returns required to be filed by or with respect to the Company and its Subsidiaries have been timely filed (taking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applicable extensions), and all such Tax Returns are true, correct and complete in all respects. All Taxes of or with respect to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whether or not shown as due on such Tax Returns, have been paid, or adequate reserves therefor have been provided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All Taxes required to be withheld in respect of the Company and its Subsidiaries have been withheld and, to the extent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paid over to the appropriate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 deficiency for any amount of Taxes has been asserted or assessed by any Governmental Entity in writing against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of its Subsidiaries (or, to the Knowledge of the Company, has been threatened or proposed), except for deficiencies which have been satisfied by payment, settled or withdrawn. No claim, audit or other proceeding by any Governmental Entity is pending or threatened in writing with respect to any material Taxes of or with respect to the Company or any of its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1" w:name="page62"/>
    <w:bookmarkEnd w:id="61"/>
    <w:p>
      <w:pPr>
        <w:ind w:right="220" w:firstLine="1296"/>
        <w:spacing w:after="0" w:line="27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Neither the Company nor any of its Subsidiaries has constituted either a “distributing corporation” or a “controlled corporation”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(within the meaning of Section 355(a)(1)(A) of the Code) during the two-year period ending on the date of this Agreement.  </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Neither the Company nor any of its Subsidiaries has participated in a “listed transaction” as defined in Treasury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1.6011-4(b)(2).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520" w:firstLine="1296"/>
        <w:spacing w:after="0" w:line="260"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There are no Liens for Taxes (other than Liens for Taxes not yet due and payable or that are being contested in good faith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appropriate proceedings and as to which appropriate reserves have been recorded) upon the assets of the Company or any of its Subsidiaries.  </w:t>
      </w:r>
    </w:p>
    <w:p>
      <w:pPr>
        <w:spacing w:after="0" w:line="200" w:lineRule="exact"/>
        <w:rPr>
          <w:sz w:val="20"/>
          <w:szCs w:val="20"/>
          <w:color w:val="auto"/>
        </w:rPr>
      </w:pPr>
    </w:p>
    <w:p>
      <w:pPr>
        <w:ind w:right="160" w:firstLine="1296"/>
        <w:spacing w:after="0" w:line="265" w:lineRule="auto"/>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color w:val="000000"/>
        </w:rPr>
        <w:t>Neither the Company nor any of its Subsidiaries is party to (or will be liable in respect of) any Contract relating to the allocation,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sharing or indemnification of Taxes, other than (i) customary commercial, leasing or employment Contracts entered into in the Ordinary Course, the primary purposes of which do not relate to Taxes and (ii) Contracts solely between or among any of the Company or one or more of its Subsidiaries.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80" w:firstLine="1296"/>
        <w:spacing w:after="0" w:line="260"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No Governmental Entity has notified the Company or any of its Subsidiaries in writing that it is or may be subject to income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taxation by a jurisdiction in which it does not presently file income Tax Returns.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The Company is not and has not, in the five-year period ending on the date of this Agreement, been a “United States Real Property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 Corporation” within the meaning of Section 897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1296"/>
        <w:spacing w:after="0" w:line="26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would not, individually or in the aggregate, have a Company Material Adverse Effect, all material Registered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IP is subsisting and, to the Knowledge of the Company, valid and enforceable.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Except as would not, individually or in the aggregate, have a Company Material Adverse Effect, the Company and its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the owners of the Company Owned 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as would not, individually or in the aggregate, have a Company Material Adverse Effect, to the Knowledge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(i) the Company and its Subsidiaries have not since the Applicable Date, and do not, infringe, misappropriate or otherwise violate the Intellectual Property rights of any third party, (ii) no third party is infringing, misappropriating or otherwise violating any Company Owned IP and (iii) there are no pending or threatened in writing Proceedings alleging that the Company or any of its Subsidiaries have infringed, misappropriated or otherwise violated the Intellectual Property rights of any Person.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Company has provided Buyer with true and complete copies of (i) all material Contracts containing any in-licenses or transfers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the COT Properties to the Company or any of its Subsidiaries or any of its or their predecessors (including the in-licensing of Intellectual Property for use in the development or production of such COT Properties);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for purposes of this </w:t>
      </w:r>
      <w:r>
        <w:rPr>
          <w:rFonts w:ascii="Times New Roman" w:cs="Times New Roman" w:eastAsia="Times New Roman" w:hAnsi="Times New Roman"/>
          <w:sz w:val="18"/>
          <w:szCs w:val="18"/>
          <w:u w:val="single" w:color="auto"/>
          <w:color w:val="000000"/>
        </w:rPr>
        <w:t>Section 4.13(d)(i) </w:t>
      </w:r>
      <w:r>
        <w:rPr>
          <w:rFonts w:ascii="Times New Roman" w:cs="Times New Roman" w:eastAsia="Times New Roman" w:hAnsi="Times New Roman"/>
          <w:sz w:val="18"/>
          <w:szCs w:val="18"/>
          <w:color w:val="000000"/>
        </w:rPr>
        <w:t xml:space="preserve">a Contract shall be deemed material only if it would reasonably be expected to impair the Exploitation of such COT Property in any material respect; and (ii)(w) the top ten (10) by revenue vMVPD and MVPD agreements that include distribution of the COT Properties in the United States and, to the extent not included in the above, the top eight (8) HBO Max distribution agreements by revenue for the United States; (x) the top ten (10) by revenue HBO Max distribution agreements for the Europe and Middle East region; (y) the top ten (10) by revenue HBO Max or HBO Premium distribution agreements for the Latin America region; and (z) the top ten (10) by revenue HBO Max distribution agreements for the Asia Pacific region;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include COT Property Agreements solely between or among the Company and its Subsidiaries. Except as would not, individually or in the aggregate, have a Company Material Adverse Effect, the Key Out-License Agreements and the Key Out-License Summary (solely with respect to the COT Properties, term, exclusivity and territory), taken together, constitute an accurate and complete summary (solely with respect to the COT Properties, term, exclusivity and territory) of all exclusive out-licenses and material non-exclusive out-licenses of the COT Properties.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Within the past three (3) years, the Company and its Subsidiaries have not dedicated to the public domain, forfeited, abandoned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allowed to fall into the public domain, any COT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To the Knowledge of the Company, none of the COT Properties are subject to a right of any Person to, within ten (10) years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of this Agreement, revert, extinguish or otherwise terminate any right of the Company or any of its Subsidiaries in any COT Properties, including pursuant to 17 U.S.C. §203 or §304 or their foreign equivalents. Within the past three (3) years, the Company and its Subsidiaries have not received any written notice reverting, extinguishing or otherwise terminating (or stating an intent to revert, extinguish or otherwise terminate) any rights of the Company or any of its Subsidiaries in any COT Property, including under §203 or §304(c) of the United States Copyright Act and their foreign equivalents, and, to the Knowledge of the Company, there is no reasonable basis for a claim that any Person holds any such right.  </w:t>
      </w:r>
    </w:p>
    <w:p>
      <w:pPr>
        <w:spacing w:after="0" w:line="208"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Except as would not, individually or in the aggregate, have a Company Material Adverse Effect or reasonably be expected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materially adverse to the financial condition, properties, assets, operations, liabilities, business or results of operations of Buyer and its Subsidiaries, taken as a whole, the execution, delivery and performance of this Agreement and the consummation of the Merger will not, with or without notice or the lapse of time or both: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breach or require consent or notice to be given for any COT Property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80" w:firstLine="1944"/>
        <w:spacing w:after="0" w:line="260"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cause any material loss of, or forfeiture or termination of (or give rise to a right of forfeiture or termination of,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incremental loss of rights with respect to), any rights of the Company or any of its Subsidiaries to Exploit any COT Properties;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right="700" w:firstLine="1944"/>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in any way impair the right to Exploit, or bring any Proceeding for the unauthorized Exploitation, disclosure,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infringement of, any COT Properties;</w:t>
      </w:r>
    </w:p>
    <w:p>
      <w:pPr>
        <w:spacing w:after="0" w:line="162" w:lineRule="exact"/>
        <w:rPr>
          <w:sz w:val="20"/>
          <w:szCs w:val="20"/>
          <w:color w:val="auto"/>
        </w:rPr>
      </w:pPr>
    </w:p>
    <w:p>
      <w:pPr>
        <w:jc w:val="both"/>
        <w:ind w:right="100" w:firstLine="1944"/>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result in any other Person receiving (or give any other Person) the right or option to modify or terminate any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covenant not to sue, immunity or other rights with respect to any COT Properties, or result in the Company or any of its Subsidiaries not having any such rights to the same extent as it would had such execution, delivery, performance, or consummation not taken place;</w:t>
      </w:r>
    </w:p>
    <w:p>
      <w:pPr>
        <w:spacing w:after="0" w:line="176" w:lineRule="exact"/>
        <w:rPr>
          <w:sz w:val="20"/>
          <w:szCs w:val="20"/>
          <w:color w:val="auto"/>
        </w:rPr>
      </w:pPr>
    </w:p>
    <w:p>
      <w:pPr>
        <w:jc w:val="both"/>
        <w:ind w:right="100" w:firstLine="1944"/>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cause or require Buyer, its Affiliates or the Company or any of its Subsidiaries to be bound by, or become subject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non-compete, non-solicit or other similar or comparable restriction on the operation or scope of their respective businesses;</w:t>
      </w:r>
    </w:p>
    <w:p>
      <w:pPr>
        <w:spacing w:after="0" w:line="162" w:lineRule="exact"/>
        <w:rPr>
          <w:sz w:val="20"/>
          <w:szCs w:val="20"/>
          <w:color w:val="auto"/>
        </w:rPr>
      </w:pPr>
    </w:p>
    <w:p>
      <w:pPr>
        <w:ind w:right="200" w:firstLine="1944"/>
        <w:spacing w:after="0" w:line="261"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cause or require the Company or any of its Subsidiaries (or accelerate any obligation of the Company or any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to pay any royalties or other amounts to any Person with respect to ownership or Exploitation of COT Properties by the Company or any of its Subsidiaries (or any of their licensees) that the Company or its Subsidiaries would not otherwise have been required to pay pursuant to any license or other agreement; or</w:t>
      </w:r>
    </w:p>
    <w:p>
      <w:pPr>
        <w:spacing w:after="0" w:line="180" w:lineRule="exact"/>
        <w:rPr>
          <w:sz w:val="20"/>
          <w:szCs w:val="20"/>
          <w:color w:val="auto"/>
        </w:rPr>
      </w:pPr>
    </w:p>
    <w:p>
      <w:pPr>
        <w:ind w:right="660" w:firstLine="1944"/>
        <w:spacing w:after="0" w:line="266"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result in any other Person having (or give or purport to give any other Person) the right or option to any license,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covenant not to sue, immunity or other rights with respect to the Intellectual Property rights of Buyer, its Affiliates or the Company or any of its Subsidiaries.</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Except as would not, individually or in the aggregate, have a Company Material Adverse Effect, the Company and its 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take and have taken commercially reasonable measures to maintain, preserve and protect (i) their respective interests in the Intellectual Property material to the respective businesses of the Company and its Subsidiaries, and (ii) the confidentiality of the Trade Secrets owned or received from third parties by the Company and its Subsidiaries. Except as would not, individually or in the aggregate, have a Company Material Adverse Effect, there has not been any disclosure or other compromise of any confidential or proprietary information of the Company or any of its Subsidiaries (including any such information of any other Person disclosed in confidence to the Company or any of its Subsidiaries) to any third party in a manner that has resulted or would reasonably be likely to result in any liability to the Company or any of its Subsidiaries.</w:t>
      </w:r>
    </w:p>
    <w:p>
      <w:pPr>
        <w:spacing w:after="0" w:line="18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Except as would not, individually or in the aggregate, have a Company Material Adverse Effect: (i) the Company Information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Technology operates and performs in all respects as required to permit the Company and its Subsidiaries to conduct their respective businesses as currently conducted, and (ii) to the Knowledge of the Company, since the Applicable Date, no Person has gained unauthorized access to the Company Information Technology in a manner that has resulted or would reasonably be likely to result in liability to the Company or any of its Subsidiaries. Except as would not, individually or in the aggregate, have a Company Material Adverse Effect, none of the software owned by the Company or any of its Subsidiaries contains or is distributed with any shareware, open source code or other software for which use or distribution is under a license that requires the Company or any of its Subsidiaries to do any of the following: (A) disclose or distribute the software owned by the Company or any of its Subsidiaries in source code form,</w:t>
      </w:r>
    </w:p>
    <w:p>
      <w:pPr>
        <w:spacing w:after="0" w:line="3"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licensee of the software owned by the Company or any of its Subsidiaries to make derivative works of such software owned by the same or</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software owned by the Company or any of its Subsidiaries at no cost to the recipient.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4" w:name="page65"/>
    <w:bookmarkEnd w:id="64"/>
    <w:p>
      <w:pPr>
        <w:ind w:right="20" w:firstLine="1296"/>
        <w:spacing w:after="0" w:line="255"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Except as would not, individually or in the aggregate, have a Company Material Adverse Effect, (i) the Company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are in compliance with applicable Laws and Governmental Orders regarding the privacy and security of customer, employee and other Personal Data and are compliant in all respects with their respective privacy policies and (ii) there have not been any incidents of, or third-party claims related to, any loss, theft, unauthorized access to or acquisition, modification, disclosure, corruption or other misuse of any Personal Data in the Company’s or any of its Subsidiaries’ possession. Except as would not, individually or in the aggregate, have a Company Material Adverse Effect, neither the Company nor any of its Subsidiaries has received any written notice of any claims, investigations (including investigations by any Governmental Entity) or alleged violations of any Laws and Governmental Orders with respect to Personal Data possessed by the Company or any of its Subsidiaries.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4.14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Section 4.14(a)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Company Disclosure Letter sets forth a complete and accurate list as of the date of this Agreement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real property owned in fee by the Company or one of its Subsidiaries (such real property, together with all buildings, improvements and fixtures located thereon and all rights and appurtenances thereto, the “</w:t>
      </w:r>
      <w:r>
        <w:rPr>
          <w:rFonts w:ascii="Times New Roman" w:cs="Times New Roman" w:eastAsia="Times New Roman" w:hAnsi="Times New Roman"/>
          <w:sz w:val="18"/>
          <w:szCs w:val="18"/>
          <w:u w:val="single" w:color="auto"/>
          <w:color w:val="000000"/>
        </w:rPr>
        <w:t>Company Owned Real Property</w:t>
      </w:r>
      <w:r>
        <w:rPr>
          <w:rFonts w:ascii="Times New Roman" w:cs="Times New Roman" w:eastAsia="Times New Roman" w:hAnsi="Times New Roman"/>
          <w:sz w:val="18"/>
          <w:szCs w:val="18"/>
          <w:color w:val="000000"/>
        </w:rPr>
        <w:t>”). Except as would not, individually or in the aggregate, have a Company Material Adverse Effect, the Company or one of its Subsidiaries has good and marketable fee title (or the equivalent in any applicable foreign jurisdiction) to each Company Owned Real Property, free and clear of all Liens, other than Permitted Liens.</w:t>
      </w:r>
    </w:p>
    <w:p>
      <w:pPr>
        <w:spacing w:after="0" w:line="183" w:lineRule="exact"/>
        <w:rPr>
          <w:sz w:val="20"/>
          <w:szCs w:val="20"/>
          <w:color w:val="auto"/>
        </w:rPr>
      </w:pPr>
    </w:p>
    <w:p>
      <w:pPr>
        <w:ind w:right="180" w:firstLine="1296"/>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Section 4.14(b)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Company Disclosure Letter sets forth a complete and accurate list as of the date of this Agreement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real property that is leased, subleased, licensed or otherwise occupied by the Company or one of its Subsidiaries (the “</w:t>
      </w:r>
      <w:r>
        <w:rPr>
          <w:rFonts w:ascii="Times New Roman" w:cs="Times New Roman" w:eastAsia="Times New Roman" w:hAnsi="Times New Roman"/>
          <w:sz w:val="18"/>
          <w:szCs w:val="18"/>
          <w:u w:val="single" w:color="auto"/>
          <w:color w:val="000000"/>
        </w:rPr>
        <w:t>Company Leased Real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Property</w:t>
      </w:r>
      <w:r>
        <w:rPr>
          <w:rFonts w:ascii="Times New Roman" w:cs="Times New Roman" w:eastAsia="Times New Roman" w:hAnsi="Times New Roman"/>
          <w:sz w:val="18"/>
          <w:szCs w:val="18"/>
          <w:color w:val="000000"/>
        </w:rPr>
        <w:t>”, and collectively with the Company Owned Real Property, the “</w:t>
      </w:r>
      <w:r>
        <w:rPr>
          <w:rFonts w:ascii="Times New Roman" w:cs="Times New Roman" w:eastAsia="Times New Roman" w:hAnsi="Times New Roman"/>
          <w:sz w:val="18"/>
          <w:szCs w:val="18"/>
          <w:u w:val="single" w:color="auto"/>
          <w:color w:val="000000"/>
        </w:rPr>
        <w:t>Company Real Property</w:t>
      </w:r>
      <w:r>
        <w:rPr>
          <w:rFonts w:ascii="Times New Roman" w:cs="Times New Roman" w:eastAsia="Times New Roman" w:hAnsi="Times New Roman"/>
          <w:sz w:val="18"/>
          <w:szCs w:val="18"/>
          <w:color w:val="000000"/>
        </w:rPr>
        <w:t>”), together with a description of the underlying lease, sublease, license or other occupancy agreement (each such agreement, including any amendments, extensions, assignments, guaranties and other material agreements with respect thereto, a “</w:t>
      </w:r>
      <w:r>
        <w:rPr>
          <w:rFonts w:ascii="Times New Roman" w:cs="Times New Roman" w:eastAsia="Times New Roman" w:hAnsi="Times New Roman"/>
          <w:sz w:val="18"/>
          <w:szCs w:val="18"/>
          <w:u w:val="single" w:color="auto"/>
          <w:color w:val="000000"/>
        </w:rPr>
        <w:t>Company Real Property Lease</w:t>
      </w:r>
      <w:r>
        <w:rPr>
          <w:rFonts w:ascii="Times New Roman" w:cs="Times New Roman" w:eastAsia="Times New Roman" w:hAnsi="Times New Roman"/>
          <w:sz w:val="18"/>
          <w:szCs w:val="18"/>
          <w:color w:val="000000"/>
        </w:rPr>
        <w:t>”). Except as would not, individually or in the aggregate, have a Company Material Adverse Effect, the Company or one of its Subsidiaries has a good and valid leasehold, subleasehold or licensee interest in each Company Leased Real Property, free and clear of all Liens, other than Permitted Liens.</w:t>
      </w:r>
    </w:p>
    <w:p>
      <w:pPr>
        <w:spacing w:after="0" w:line="189"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as would not, individually or in the aggregate, have a Company Material Adverse Effect, (i) the Company Real Property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adequate operating condition, except for reasonable wear and tear, (ii) neither the Company nor any of its Subsidiaries has entered into a lease, sublease or license or otherwise granted to any Person the right to use or occupy any Company Real Property or any material portion thereof, and (iii) neither the Company nor any of its Subsidiaries has received written notice of any pending condemnation proceeding with respect to any Company Real Property, and to the Knowledge of the Company, no such proceeding is threatened.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firstLine="1296"/>
        <w:spacing w:after="0" w:line="255" w:lineRule="auto"/>
        <w:rPr>
          <w:sz w:val="20"/>
          <w:szCs w:val="20"/>
          <w:color w:val="auto"/>
        </w:rPr>
      </w:pPr>
      <w:r>
        <w:rPr>
          <w:rFonts w:ascii="Times New Roman" w:cs="Times New Roman" w:eastAsia="Times New Roman" w:hAnsi="Times New Roman"/>
          <w:sz w:val="18"/>
          <w:szCs w:val="18"/>
          <w:color w:val="auto"/>
        </w:rPr>
        <w:t>Section 4.15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has made available to Buyer prior to the date of this Agreement true, correct and complete copies of the Company’s and its Subsidiaries’ insurance policies. The insurance policies held by the Company and its Subsidiaries provide adequate coverage for all normal risks incident to the business, assets and properties of the Company and its Subsidiaries, except for any such failures to maintain such policies that would not, individually or in the aggregate, have a Company Material Adverse Effect. Each such policy is in full force and effect and all premiums due with respect to all such policies have been paid, no written notice of cancellation or modification has been received, and there is no existing default or event that, with the giving of notice or lapse of time or both, would constitute a default by any insured thereunder, in each case with such exceptions that would not, individually or in the aggregate, have a Company Material Adverse Effect.</w:t>
      </w:r>
    </w:p>
    <w:p>
      <w:pPr>
        <w:spacing w:after="0" w:line="189"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Section 4.16    </w:t>
      </w:r>
      <w:r>
        <w:rPr>
          <w:rFonts w:ascii="Times New Roman" w:cs="Times New Roman" w:eastAsia="Times New Roman" w:hAnsi="Times New Roman"/>
          <w:sz w:val="18"/>
          <w:szCs w:val="18"/>
          <w:u w:val="single" w:color="auto"/>
          <w:color w:val="auto"/>
        </w:rPr>
        <w:t>  Related-Party Transactions</w:t>
      </w:r>
      <w:r>
        <w:rPr>
          <w:rFonts w:ascii="Times New Roman" w:cs="Times New Roman" w:eastAsia="Times New Roman" w:hAnsi="Times New Roman"/>
          <w:sz w:val="18"/>
          <w:szCs w:val="18"/>
          <w:color w:val="auto"/>
        </w:rPr>
        <w:t>. As of the date hereof, except as disclosed in the Company’s definitive proxy statements included in the Company Reports, within the twelve (12) months prior to the date of this Agreement no event has occurred, and no relationship exists, that would be required to be reported by the Company pursuant to Item 404 of Regulation S-K.</w:t>
      </w:r>
    </w:p>
    <w:p>
      <w:pPr>
        <w:spacing w:after="0" w:line="176"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Section 4.17    </w:t>
      </w:r>
      <w:r>
        <w:rPr>
          <w:rFonts w:ascii="Times New Roman" w:cs="Times New Roman" w:eastAsia="Times New Roman" w:hAnsi="Times New Roman"/>
          <w:sz w:val="18"/>
          <w:szCs w:val="18"/>
          <w:u w:val="single" w:color="auto"/>
          <w:color w:val="auto"/>
        </w:rPr>
        <w:t>  Information Supplied</w:t>
      </w:r>
      <w:r>
        <w:rPr>
          <w:rFonts w:ascii="Times New Roman" w:cs="Times New Roman" w:eastAsia="Times New Roman" w:hAnsi="Times New Roman"/>
          <w:sz w:val="18"/>
          <w:szCs w:val="18"/>
          <w:color w:val="auto"/>
        </w:rPr>
        <w:t>. The information supplied by or on behalf of the Company to be contained in, or incorporated by reference in, the Proxy Statement, including any amendments or supplements thereto and any other document incorporated or referenced therein, will not, on the date the Proxy Statement is first mailed to stockholders of the Company, at the time of the Company Stockholder Meeting or at the time of any amendment or supplement thereof, contain any untrue statement of any material fact or omit to state any material fact required to be stated therein or necessary in order to make the statements therein, at the time and in light of the circumstances under which they were made, not misleading. The Proxy Statement will comply as to form in all material respects with the requirements of the Exchange Act and the rules and regulations thereunder. Notwithstanding the foregoing provisions of this Section 4‎.17, no representation or warranty is made by the Company with respect to information or statements made or incorporated by reference in the Proxy Statement that were supplied by or on behalf of Buyer or Merger Sub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-166370</wp:posOffset>
            </wp:positionV>
            <wp:extent cx="570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7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Section 4.18    </w:t>
      </w:r>
      <w:r>
        <w:rPr>
          <w:rFonts w:ascii="Times New Roman" w:cs="Times New Roman" w:eastAsia="Times New Roman" w:hAnsi="Times New Roman"/>
          <w:sz w:val="18"/>
          <w:szCs w:val="18"/>
          <w:u w:val="single" w:color="auto"/>
          <w:color w:val="auto"/>
        </w:rPr>
        <w:t>  Brokers and Finders</w:t>
      </w:r>
      <w:r>
        <w:rPr>
          <w:rFonts w:ascii="Times New Roman" w:cs="Times New Roman" w:eastAsia="Times New Roman" w:hAnsi="Times New Roman"/>
          <w:sz w:val="18"/>
          <w:szCs w:val="18"/>
          <w:color w:val="auto"/>
        </w:rPr>
        <w:t>. The Company has not employed any broker or finder or incurred any liability for any brokerage fees, commissions or finders’ fees in connection with the Transactions, except that the Company has engaged Allen &amp; Company LLC, J.P. Morgan Securities LLC and Evercore Group L.L.C. as the Company’s financial advisors, none of which shall be entitled to any brokerage fees, commissions or finders’ fees in connection with the Netflix Merger Agreement, the transactions contemplated thereby or the termination thereof, except as are credited to any amount payable in connection with this Agreement or the Transactions. The Company has, prior to the execution and delivery of this Agreement, made available to Buyer a true, correct and complete copy of the Company’s engagement letters with such financial advisors as in effect on the date of this Agreement (including such engagement letters with respect to the Netflix Merger Agreement and the transactions contemplated thereby (including the termination thereof)).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Section 4.19    </w:t>
      </w:r>
      <w:r>
        <w:rPr>
          <w:rFonts w:ascii="Times New Roman" w:cs="Times New Roman" w:eastAsia="Times New Roman" w:hAnsi="Times New Roman"/>
          <w:sz w:val="18"/>
          <w:szCs w:val="18"/>
          <w:u w:val="single" w:color="auto"/>
          <w:color w:val="auto"/>
        </w:rPr>
        <w:t>  Anti-Takeover</w:t>
      </w:r>
      <w:r>
        <w:rPr>
          <w:rFonts w:ascii="Times New Roman" w:cs="Times New Roman" w:eastAsia="Times New Roman" w:hAnsi="Times New Roman"/>
          <w:sz w:val="18"/>
          <w:szCs w:val="18"/>
          <w:color w:val="auto"/>
        </w:rPr>
        <w:t>. The Company Board has taken all actions so that the restrictions applicable to business combinations contained in Section 203 of the DGCL shall be inapplicable to the execution, delivery and performance of this Agreement, and to the consummation of the Merger and the other Transactions. No other Takeover Statute applies or will apply to this Agreement or to the consummation of the Merger and the other Transactions.</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Section 4.20    </w:t>
      </w:r>
      <w:r>
        <w:rPr>
          <w:rFonts w:ascii="Times New Roman" w:cs="Times New Roman" w:eastAsia="Times New Roman" w:hAnsi="Times New Roman"/>
          <w:sz w:val="18"/>
          <w:szCs w:val="18"/>
          <w:u w:val="single" w:color="auto"/>
          <w:color w:val="auto"/>
        </w:rPr>
        <w:t>  Termination of Netflix Merger Agreement</w:t>
      </w:r>
      <w:r>
        <w:rPr>
          <w:rFonts w:ascii="Times New Roman" w:cs="Times New Roman" w:eastAsia="Times New Roman" w:hAnsi="Times New Roman"/>
          <w:sz w:val="18"/>
          <w:szCs w:val="18"/>
          <w:color w:val="auto"/>
        </w:rPr>
        <w:t>. Prior to the execution and delivery of this Agreement, the Company has validly terminated the Netflix Merger Agreement in accordance with its terms and has no further liabilities thereunder. The Company has instructed Netflix to return to the Company or destroy or erase all Confidential Information (as defined in the Netflix Merger Agreement) previously furnished to Netflix or Representatives of Netflix by or on behalf of the Company or any of its Subsidiaries (in accordance with the terms of the confidentiality letter agreement entered into between Netflix and the Company, dated October 26, 2025 (the “</w:t>
      </w:r>
      <w:r>
        <w:rPr>
          <w:rFonts w:ascii="Times New Roman" w:cs="Times New Roman" w:eastAsia="Times New Roman" w:hAnsi="Times New Roman"/>
          <w:sz w:val="18"/>
          <w:szCs w:val="18"/>
          <w:u w:val="single" w:color="auto"/>
          <w:color w:val="auto"/>
        </w:rPr>
        <w:t>Netflix Confidentiality Agreement</w:t>
      </w:r>
      <w:r>
        <w:rPr>
          <w:rFonts w:ascii="Times New Roman" w:cs="Times New Roman" w:eastAsia="Times New Roman" w:hAnsi="Times New Roman"/>
          <w:sz w:val="18"/>
          <w:szCs w:val="18"/>
          <w:color w:val="auto"/>
        </w:rPr>
        <w:t>”)), except as permitted in the Netflix Confidentiality Agreement.</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4.21    </w:t>
      </w:r>
      <w:r>
        <w:rPr>
          <w:rFonts w:ascii="Times New Roman" w:cs="Times New Roman" w:eastAsia="Times New Roman" w:hAnsi="Times New Roman"/>
          <w:sz w:val="18"/>
          <w:szCs w:val="18"/>
          <w:u w:val="single" w:color="auto"/>
          <w:color w:val="auto"/>
        </w:rPr>
        <w:t>  No Other Representations and Warranties</w:t>
      </w:r>
      <w:r>
        <w:rPr>
          <w:rFonts w:ascii="Times New Roman" w:cs="Times New Roman" w:eastAsia="Times New Roman" w:hAnsi="Times New Roman"/>
          <w:sz w:val="18"/>
          <w:szCs w:val="18"/>
          <w:color w:val="auto"/>
        </w:rPr>
        <w:t xml:space="preserve">. The Company, on its own behalf and on behalf of its Affiliates and each of its and their respective Representatives, acknowledges and agrees that (a) except for the representations and warranties made by Buyer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in any certificate delivered pursuant to this Agreement, (i) neither Buyer, Merger Sub nor any other Person makes any express or implied representation or warranty and (ii) none of the Company or its Affiliates or Representatives is relying on, or has relied on, any express or implied representation or warranty, in each case, with respect to Buyer and its Affiliates or any of their respective businesses, operations, assets, liabilities, conditions (financial or otherwise) or prospects in connection with this Agreement or the Transactions, and Buyer and Merger Sub hereby disclaim any such other representations or warranties and (b) neither Buyer nor any other Person makes or has made any representation or warranty to the Company or any of its Affiliates or Representatives with respect to (i) any financial projection, forecast, estimate, budget or prospective information relating to Buyer or any of its Affiliates or any of their respective businesses, or (ii) any oral or, except for the representations and warranties made by Buyer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or in any certificate delivered pursuant to this Agreement, written information made available to the Company or any of its Affiliates or Representatives in the course of their evaluation of Buyer, its Subsidiaries or the business of Buyer and its Subsidiaries, the negotiation of this Agreement or in the course of the Transactions.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REPRESENTATIONS AND WARRANTIES OF BUYER AND MERGER SUB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Buyer and Merger Sub hereby represent and warrant to the Company that:</w:t>
      </w:r>
    </w:p>
    <w:p>
      <w:pPr>
        <w:spacing w:after="0" w:line="225" w:lineRule="exact"/>
        <w:rPr>
          <w:sz w:val="20"/>
          <w:szCs w:val="20"/>
          <w:color w:val="auto"/>
        </w:rPr>
      </w:pPr>
    </w:p>
    <w:p>
      <w:pPr>
        <w:ind w:right="140" w:firstLine="1296"/>
        <w:spacing w:after="0" w:line="254"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Organization, Good Standing and Qualification</w:t>
      </w:r>
      <w:r>
        <w:rPr>
          <w:rFonts w:ascii="Times New Roman" w:cs="Times New Roman" w:eastAsia="Times New Roman" w:hAnsi="Times New Roman"/>
          <w:sz w:val="18"/>
          <w:szCs w:val="18"/>
          <w:color w:val="auto"/>
        </w:rPr>
        <w:t>. Each of Buyer, Merger Sub and Buyer’s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in each jurisdiction where the ownership, leasing or operation of its assets or properties or conduct of its business requires such qualification, except where the failure to be so organized, qualified or in good standing, or to have such power or authority, would not, individually or in the aggregate, reasonably be expected to prevent, materially delay or materially impair the ability of Buyer and Merger Sub to consummate the Transactions. Prior to the date of this Agreement, Buyer has made available to the Company complete and correct copies of the Organizational Documents of Buyer.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7" w:name="page68"/>
    <w:bookmarkEnd w:id="67"/>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Capital Structure of Merger Sub</w:t>
      </w:r>
      <w:r>
        <w:rPr>
          <w:rFonts w:ascii="Times New Roman" w:cs="Times New Roman" w:eastAsia="Times New Roman" w:hAnsi="Times New Roman"/>
          <w:sz w:val="18"/>
          <w:szCs w:val="18"/>
          <w:color w:val="auto"/>
        </w:rPr>
        <w:t>. The authorized capital stock of Merger Sub consists of 1,000 shares of common stock, par value $0.01 per share, all of which are validly issued and outstanding. All of the issued and outstanding capital stock of Merger Sub is, and at the Effective Time will be, owned, directly or indirectly, by Buyer, and there are (i) no other shares of capital stock or voting securities of Merger Sub, (ii) no securities of Merger Sub convertible into or exchangeable for equity securities or other voting securities of Merger Sub and (iii) no options or other rights to acquire from Merger Sub, and no obligations of Merger Sub to issue, any equity securities, other voting securities or securities convertible into or exchangeable for equity securities or other voting securities of Merger Sub. Merger Sub has not conducted any business prior to the date of this Agreement and has no, and prior to the Effective Time will have no, assets, liabilities or obligations of any nature other than those incidental to its formation and pursuant to this Agreement, the Transactions and the Buyer Financing Transactions.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Corporate Authority and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of Buyer and Merger Sub has all requisite corporate power and authority and has taken all corporate action necessary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execute and deliver this Agreement and the other Transaction Documents to which it is a party and that have been executed as of the date hereof and will have all requisite corporate power and authority and has taken all corporate action necessary to execute and deliver all other Transaction Documents to which it will be a party as of the Effective Time and, subject to the adoption of this Agreement by Buyer, as sole stockholder of Merger Sub, to consummate the Transactions. This Agreement has been duly executed and delivered by Buyer and Merger Sub and constitutes a valid and binding agreement of Buyer and Merger Sub, enforceable against each of them in accordance with its terms, subject to the Bankruptcy and Equity Exception. The execution and delivery by Buyer and Merger Sub of this Agreement and the other Transaction Documents to which Buyer or Merger Sub is or will be a party as of the Effective Time and the consummation of the Transactions have been duly authorized by all necessary and proper corporate action on the part of Buyer and Merger Sub, and, subject to </w:t>
      </w:r>
      <w:r>
        <w:rPr>
          <w:rFonts w:ascii="Times New Roman" w:cs="Times New Roman" w:eastAsia="Times New Roman" w:hAnsi="Times New Roman"/>
          <w:sz w:val="18"/>
          <w:szCs w:val="18"/>
          <w:u w:val="single" w:color="auto"/>
          <w:color w:val="000000"/>
        </w:rPr>
        <w:t>Section 5.3(b)</w:t>
      </w:r>
      <w:r>
        <w:rPr>
          <w:rFonts w:ascii="Times New Roman" w:cs="Times New Roman" w:eastAsia="Times New Roman" w:hAnsi="Times New Roman"/>
          <w:sz w:val="18"/>
          <w:szCs w:val="18"/>
          <w:color w:val="000000"/>
        </w:rPr>
        <w:t>, no other corporate action on the part of Buyer or Merger Sub is necessary to authorize this Agreement or the other Transaction Documents to which Buyer or Merger Sub is or will be a party as of the Effective Time. As of the date of this Agreement, the Buyer Board and the board of directors of Merger Sub have approved and declared advisable this Agreement and the Transactions. Buyer, as the sole stockholder of Merger Sub, has delivered a consent, effective immediately following the execution and delivery of this Agreement, approving and adopting this Agreement and the Transactions.</w:t>
      </w:r>
    </w:p>
    <w:p>
      <w:pPr>
        <w:spacing w:after="0" w:line="187"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with respect to (i) the Buyer Written Consent (which has been delivered prior to the date of this Agreement) and (ii)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consent of Buyer, in its capacity as the sole stockholder of Merger Sub, which has been delivered prior to the date of this Agreement and will become effective immediately following the execution and delivery of this Agreement, no vote of the holders of any class of equity securities of Buyer or Merger Sub is required for the execution and delivery of this Agreement, the other Transaction Documents or any other agreements and documents contemplated hereby to which Buyer or Merger Sub is a party, the performance by Buyer or Merger Sub of its obligations hereunder and thereunder, or to consummate the Merger and the other Transactions.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Governmental Filings; No Violations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Other than the necessary filings, notices, reports, consents, registrations, approvals, permits, expirations of waiting periods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authorizations (i) pursuant to ‎Section 1.3, (ii) required under the rules and regulations of NASDAQ, (iii) required under the HSR Act or any other applicable Antitrust Laws in connection with the Transactions, (iv) required under the Exchange Act or the Securities Act, (v) to comply with state securities or “blue-sky” Laws and (vi) as may be required with or to Regulators pursuant to applicable Regulatory Laws, no filings, notices or reports are required to be made by Buyer, Merger Sub or any of Buyer’s Subsidiaries with, nor are any consents, registrations, approvals, permits, expirations of waiting periods or authorizations required to be obtained by Buyer, Merger Sub or any of Buyer’s Subsidiaries from, any Governmental Entity in connection with the execution, delivery and performance of this Agreement by Buyer and Merger Sub or the consummation by Buyer and Merger Sub of the Transactions, except, in each case, those that the failure to make or obtain would not, individually or in the aggregate, reasonably be expected to prevent, materially delay or materially impair the ability of Buyer and Merger Sub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-991235</wp:posOffset>
            </wp:positionV>
            <wp:extent cx="5143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execution, delivery and performance by Buyer and Merger Sub of this Agreement and the other Transaction Documents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Buyer or Merger Sub is or will be a party as of the Effective Time do not or will not (as applicable), and the consummation by Buyer and Merger Sub of the Transactions will not, constitute or result in (i) a breach or violation of, or a default under, the Organizational Documents of Buyer, Merger Sub or any of Buyer’s Subsidiaries, (ii) with or without the lapse of time or the giving of notice or both, a breach or violation of, a default or termination or modification (or right of termination or modification) under, payment of additional fees under, the creation or acceleration of any obligations under, or the creation of a Lien on any Buyer Material Contracts, or, assuming (solely with respect to the performance of this Agreement and the consummation of the Transactions) the filings, notices, reports, consents, registrations, approvals, permits, expirations of waiting periods and authorizations referred to in Section 5‎.4(a) are made or obtained, under any Law, Governmental Order or License to which Buyer, Merger Sub or any of Buyer’s Subsidiaries is subject or (iii) any change in the rights or obligations under any Buyer Material Contract, except, in the case of clauses (ii) and (iii) above, for any such breach, violation, default, termination, modification, payment, acceleration, creation or change that would not, individually or in the aggregate, reasonably be expected to prevent, materially delay or materially impair the ability of Buyer and Merger Sub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6407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72" w:lineRule="exact"/>
        <w:rPr>
          <w:sz w:val="20"/>
          <w:szCs w:val="20"/>
          <w:color w:val="auto"/>
        </w:rPr>
      </w:pPr>
    </w:p>
    <w:p>
      <w:pPr>
        <w:ind w:right="200" w:firstLine="1296"/>
        <w:spacing w:after="0" w:line="289" w:lineRule="auto"/>
        <w:rPr>
          <w:sz w:val="20"/>
          <w:szCs w:val="20"/>
          <w:color w:val="auto"/>
        </w:rPr>
      </w:pPr>
      <w:r>
        <w:rPr>
          <w:rFonts w:ascii="Times New Roman" w:cs="Times New Roman" w:eastAsia="Times New Roman" w:hAnsi="Times New Roman"/>
          <w:sz w:val="17"/>
          <w:szCs w:val="17"/>
          <w:color w:val="auto"/>
        </w:rPr>
        <w:t>Section 5.5    </w:t>
      </w:r>
      <w:r>
        <w:rPr>
          <w:rFonts w:ascii="Times New Roman" w:cs="Times New Roman" w:eastAsia="Times New Roman" w:hAnsi="Times New Roman"/>
          <w:sz w:val="17"/>
          <w:szCs w:val="17"/>
          <w:u w:val="single" w:color="auto"/>
          <w:color w:val="auto"/>
        </w:rPr>
        <w:t>  Litigation</w:t>
      </w:r>
      <w:r>
        <w:rPr>
          <w:rFonts w:ascii="Times New Roman" w:cs="Times New Roman" w:eastAsia="Times New Roman" w:hAnsi="Times New Roman"/>
          <w:sz w:val="17"/>
          <w:szCs w:val="17"/>
          <w:color w:val="auto"/>
        </w:rPr>
        <w:t>. As of the date of this Agreement, there are no Proceedings pending or, to the Knowledge of Buyer, threatened against Buyer or its Subsidiaries or any property or asset of Buyer or its Subsidiaries, except for those that would not, individually or in the aggregate, reasonably be expected to prevent, materially delay or materially impair the ability of Buyer and Merger Sub to consummate the Transactions.</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9" w:name="page70"/>
    <w:bookmarkEnd w:id="69"/>
    <w:p>
      <w:pPr>
        <w:ind w:left="1300"/>
        <w:spacing w:after="0"/>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Delivery of Financing Commitments</w:t>
      </w:r>
      <w:r>
        <w:rPr>
          <w:rFonts w:ascii="Times New Roman" w:cs="Times New Roman" w:eastAsia="Times New Roman" w:hAnsi="Times New Roman"/>
          <w:sz w:val="18"/>
          <w:szCs w:val="18"/>
          <w:color w:val="000000"/>
        </w:rPr>
        <w:t>. Buyer has delivered to the Company true, complete and correct copies of (i) an executed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commitment letter dated as of [●] (together with all exhibits, schedules and annexes thereto, the “</w:t>
      </w:r>
      <w:r>
        <w:rPr>
          <w:rFonts w:ascii="Times New Roman" w:cs="Times New Roman" w:eastAsia="Times New Roman" w:hAnsi="Times New Roman"/>
          <w:sz w:val="18"/>
          <w:szCs w:val="18"/>
          <w:u w:val="single" w:color="auto"/>
          <w:color w:val="000000"/>
        </w:rPr>
        <w:t>Debt Commitment Letter</w:t>
      </w:r>
      <w:r>
        <w:rPr>
          <w:rFonts w:ascii="Times New Roman" w:cs="Times New Roman" w:eastAsia="Times New Roman" w:hAnsi="Times New Roman"/>
          <w:sz w:val="18"/>
          <w:szCs w:val="18"/>
          <w:color w:val="000000"/>
        </w:rPr>
        <w:t>”) from BofA Securities, Inc. and Bank of America, N.A. (collectively, “</w:t>
      </w:r>
      <w:r>
        <w:rPr>
          <w:rFonts w:ascii="Times New Roman" w:cs="Times New Roman" w:eastAsia="Times New Roman" w:hAnsi="Times New Roman"/>
          <w:sz w:val="18"/>
          <w:szCs w:val="18"/>
          <w:u w:val="single" w:color="auto"/>
          <w:color w:val="000000"/>
        </w:rPr>
        <w:t>Bank of America</w:t>
      </w:r>
      <w:r>
        <w:rPr>
          <w:rFonts w:ascii="Times New Roman" w:cs="Times New Roman" w:eastAsia="Times New Roman" w:hAnsi="Times New Roman"/>
          <w:sz w:val="18"/>
          <w:szCs w:val="18"/>
          <w:color w:val="000000"/>
        </w:rPr>
        <w:t>”), Citigroup Global Markets Inc. (“</w:t>
      </w:r>
      <w:r>
        <w:rPr>
          <w:rFonts w:ascii="Times New Roman" w:cs="Times New Roman" w:eastAsia="Times New Roman" w:hAnsi="Times New Roman"/>
          <w:sz w:val="18"/>
          <w:szCs w:val="18"/>
          <w:u w:val="single" w:color="auto"/>
          <w:color w:val="000000"/>
        </w:rPr>
        <w:t>Citi</w:t>
      </w:r>
      <w:r>
        <w:rPr>
          <w:rFonts w:ascii="Times New Roman" w:cs="Times New Roman" w:eastAsia="Times New Roman" w:hAnsi="Times New Roman"/>
          <w:sz w:val="18"/>
          <w:szCs w:val="18"/>
          <w:color w:val="000000"/>
        </w:rPr>
        <w:t>”), and Apollo Global Funding, LLC and Apollo Capital Management, L.P. (collectively, “</w:t>
      </w:r>
      <w:r>
        <w:rPr>
          <w:rFonts w:ascii="Times New Roman" w:cs="Times New Roman" w:eastAsia="Times New Roman" w:hAnsi="Times New Roman"/>
          <w:sz w:val="18"/>
          <w:szCs w:val="18"/>
          <w:u w:val="single" w:color="auto"/>
          <w:color w:val="000000"/>
        </w:rPr>
        <w:t>Apollo</w:t>
      </w:r>
      <w:r>
        <w:rPr>
          <w:rFonts w:ascii="Times New Roman" w:cs="Times New Roman" w:eastAsia="Times New Roman" w:hAnsi="Times New Roman"/>
          <w:sz w:val="18"/>
          <w:szCs w:val="18"/>
          <w:color w:val="000000"/>
        </w:rPr>
        <w:t>”) pursuant to which Bank of America, Citi and Apollo have agreed, subject to the terms and conditions therein, to provide Buyer with the debt financing set forth therein in connection with the Transactions (such committed debt financing, the “</w:t>
      </w:r>
      <w:r>
        <w:rPr>
          <w:rFonts w:ascii="Times New Roman" w:cs="Times New Roman" w:eastAsia="Times New Roman" w:hAnsi="Times New Roman"/>
          <w:sz w:val="18"/>
          <w:szCs w:val="18"/>
          <w:u w:val="single" w:color="auto"/>
          <w:color w:val="000000"/>
        </w:rPr>
        <w:t>Committed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Financing</w:t>
      </w:r>
      <w:r>
        <w:rPr>
          <w:rFonts w:ascii="Times New Roman" w:cs="Times New Roman" w:eastAsia="Times New Roman" w:hAnsi="Times New Roman"/>
          <w:sz w:val="18"/>
          <w:szCs w:val="18"/>
          <w:color w:val="000000"/>
        </w:rPr>
        <w:t>”) and (ii) the executed fee letter referenced therein (together with all exhibits, schedules and annexes thereto, the “</w:t>
      </w:r>
      <w:r>
        <w:rPr>
          <w:rFonts w:ascii="Times New Roman" w:cs="Times New Roman" w:eastAsia="Times New Roman" w:hAnsi="Times New Roman"/>
          <w:sz w:val="18"/>
          <w:szCs w:val="18"/>
          <w:u w:val="single" w:color="auto"/>
          <w:color w:val="000000"/>
        </w:rPr>
        <w:t>Debt Fee Letter</w:t>
      </w:r>
      <w:r>
        <w:rPr>
          <w:rFonts w:ascii="Times New Roman" w:cs="Times New Roman" w:eastAsia="Times New Roman" w:hAnsi="Times New Roman"/>
          <w:sz w:val="18"/>
          <w:szCs w:val="18"/>
          <w:color w:val="000000"/>
        </w:rPr>
        <w:t>” and, together with the Debt Commitment Letter, the “</w:t>
      </w:r>
      <w:r>
        <w:rPr>
          <w:rFonts w:ascii="Times New Roman" w:cs="Times New Roman" w:eastAsia="Times New Roman" w:hAnsi="Times New Roman"/>
          <w:sz w:val="18"/>
          <w:szCs w:val="18"/>
          <w:u w:val="single" w:color="auto"/>
          <w:color w:val="000000"/>
        </w:rPr>
        <w:t>Commitment Letter</w:t>
      </w:r>
      <w:r>
        <w:rPr>
          <w:rFonts w:ascii="Times New Roman" w:cs="Times New Roman" w:eastAsia="Times New Roman" w:hAnsi="Times New Roman"/>
          <w:sz w:val="18"/>
          <w:szCs w:val="18"/>
          <w:color w:val="000000"/>
        </w:rPr>
        <w:t>”), in each case redacted solely for provisions related to fees, “pricing flex” and other terms redacted in a customary manner (which redacted provisions do not affect the availability of the Committed Financing). Buyer has delivered to the Company a true, complete and correct copy of the Subscription Agreements pursuant to which the Equity Investors have agreed, subject to the terms and conditions therein, to invest the amount set forth therein in connection with the Transactions (such equity investment, the “</w:t>
      </w:r>
      <w:r>
        <w:rPr>
          <w:rFonts w:ascii="Times New Roman" w:cs="Times New Roman" w:eastAsia="Times New Roman" w:hAnsi="Times New Roman"/>
          <w:sz w:val="18"/>
          <w:szCs w:val="18"/>
          <w:u w:val="single" w:color="auto"/>
          <w:color w:val="000000"/>
        </w:rPr>
        <w:t>Equity Investment</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Status of Financing Commitments</w:t>
      </w:r>
      <w:r>
        <w:rPr>
          <w:rFonts w:ascii="Times New Roman" w:cs="Times New Roman" w:eastAsia="Times New Roman" w:hAnsi="Times New Roman"/>
          <w:sz w:val="18"/>
          <w:szCs w:val="18"/>
          <w:color w:val="000000"/>
        </w:rPr>
        <w:t>. As of the date of this Agreement:</w:t>
      </w:r>
    </w:p>
    <w:p>
      <w:pPr>
        <w:spacing w:after="0" w:line="225"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Commitment Letter and the Subscription Agreements are in full force and effect and constitute legal, valid and binding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of Buyer and, to the Knowledge of Buyer, the other parties thereto, and are enforceable in accordance with their terms against Buyer and, to the Knowledge of Buyer, the other parties thereto with respect to the subject matter therein (subject to the Bankruptcy and Equity Exception);</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neither the Commitment Letter nor any Subscription Agreement has been amended, supplemented or modified in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w:t>
      </w:r>
    </w:p>
    <w:p>
      <w:pPr>
        <w:spacing w:after="0" w:line="207" w:lineRule="exact"/>
        <w:rPr>
          <w:sz w:val="20"/>
          <w:szCs w:val="20"/>
          <w:color w:val="auto"/>
        </w:rPr>
      </w:pPr>
    </w:p>
    <w:p>
      <w:pPr>
        <w:ind w:right="60" w:firstLine="1944"/>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no event has occurred which, with or without notice, lapse of time or both, would constitute a breach on the part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Buyer, or, to the Knowledge of Buyer, the other parties thereto, under any term or condition of the Commitment Letter or the Subscription Agreements that could in either case result in the failure of the funding obligations thereunder;</w:t>
      </w:r>
    </w:p>
    <w:p>
      <w:pPr>
        <w:spacing w:after="0" w:line="176" w:lineRule="exact"/>
        <w:rPr>
          <w:sz w:val="20"/>
          <w:szCs w:val="20"/>
          <w:color w:val="auto"/>
        </w:rPr>
      </w:pPr>
    </w:p>
    <w:p>
      <w:pPr>
        <w:ind w:right="60" w:firstLine="1944"/>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Buyer has fully paid (or caused to be paid) any and all commitment fees or other fees required by the Commitment Letter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the Subscription Agreements to be paid on or prior to the date of this Agreement;</w:t>
      </w:r>
    </w:p>
    <w:p>
      <w:pPr>
        <w:spacing w:after="0" w:line="162" w:lineRule="exact"/>
        <w:rPr>
          <w:sz w:val="20"/>
          <w:szCs w:val="20"/>
          <w:color w:val="auto"/>
        </w:rPr>
      </w:pPr>
    </w:p>
    <w:p>
      <w:pPr>
        <w:ind w:right="20" w:firstLine="1944"/>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other than the Commitment Letter or the Subscription Agreements, there are no side letters or other agreements, contracts,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understandings or arrangements related to the Committed Financing to which Buyer or any of its Affiliates is a party that would reasonably be expected to adversely affect the availability, conditionality, enforceability or amount of the Committed Financing;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right="80" w:firstLine="1944"/>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there are no conditions precedent or other contingencies to the funding of the full amount of the Committed Financing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Equity Investment other than as set forth in the Commitment Letter or the Subscription Agreements, as applicable; and</w:t>
      </w:r>
    </w:p>
    <w:p>
      <w:pPr>
        <w:spacing w:after="0" w:line="162" w:lineRule="exact"/>
        <w:rPr>
          <w:sz w:val="20"/>
          <w:szCs w:val="20"/>
          <w:color w:val="auto"/>
        </w:rPr>
      </w:pPr>
    </w:p>
    <w:p>
      <w:pPr>
        <w:ind w:right="40" w:firstLine="1944"/>
        <w:spacing w:after="0" w:line="289" w:lineRule="auto"/>
        <w:rPr>
          <w:sz w:val="20"/>
          <w:szCs w:val="20"/>
          <w:color w:val="auto"/>
        </w:rPr>
      </w:pPr>
      <w:r>
        <w:rPr>
          <w:rFonts w:ascii="Times New Roman" w:cs="Times New Roman" w:eastAsia="Times New Roman" w:hAnsi="Times New Roman"/>
          <w:sz w:val="17"/>
          <w:szCs w:val="17"/>
          <w:color w:val="010000"/>
        </w:rPr>
        <w:t>(vii)          </w:t>
      </w:r>
      <w:r>
        <w:rPr>
          <w:rFonts w:ascii="Times New Roman" w:cs="Times New Roman" w:eastAsia="Times New Roman" w:hAnsi="Times New Roman"/>
          <w:sz w:val="17"/>
          <w:szCs w:val="17"/>
          <w:color w:val="000000"/>
        </w:rPr>
        <w:t>assuming satisfaction or, to the extent permitted by applicable Law, waiver of the conditions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Article VII</w:t>
      </w:r>
      <w:r>
        <w:rPr>
          <w:rFonts w:ascii="Times New Roman" w:cs="Times New Roman" w:eastAsia="Times New Roman" w:hAnsi="Times New Roman"/>
          <w:sz w:val="17"/>
          <w:szCs w:val="17"/>
          <w:color w:val="000000"/>
        </w:rPr>
        <w:t>, Buyer has no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reason to believe that (A) any of the conditions precedent to the funding of the full amount of the Committed Financing or the Equity Investment will not be satisfied at or prior to the Effective Time or (B) the Committed Financing or the Equity Investment will not be available to Buyer at the Effective Time.</w:t>
      </w:r>
    </w:p>
    <w:p>
      <w:pPr>
        <w:spacing w:after="0" w:line="158"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Adequate Proceeds</w:t>
      </w:r>
      <w:r>
        <w:rPr>
          <w:rFonts w:ascii="Times New Roman" w:cs="Times New Roman" w:eastAsia="Times New Roman" w:hAnsi="Times New Roman"/>
          <w:sz w:val="18"/>
          <w:szCs w:val="18"/>
          <w:color w:val="000000"/>
        </w:rPr>
        <w:t>. Assuming the funding of the full amount of the Committed Financing in accordance with and subject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satisfaction of the conditions of the Commitment Letter, the aggregate proceeds of the Committed Financing will be sufficient, when taken together with the proceeds of the Equity Investment and any cash, marketable securities, available lines of credit or other sources of immediately available funds, to enable Buyer to pay, at or prior to the consummation of the Merger, any amounts required to be paid by Buyer in connection with the Transactions, including the aggregate Merger Consideration and all other payments, fees and expenses payable by Buyer related to or arising out of the consummation of the Transactions that are required to be paid as of such date, assuming the accuracy of the Company’s representations and warranties set forth in this Agreement and performance by the Company of its obligations hereunder.</w:t>
      </w:r>
    </w:p>
    <w:p>
      <w:pPr>
        <w:spacing w:after="0" w:line="189"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Effect on Condition to Obligations</w:t>
      </w:r>
      <w:r>
        <w:rPr>
          <w:rFonts w:ascii="Times New Roman" w:cs="Times New Roman" w:eastAsia="Times New Roman" w:hAnsi="Times New Roman"/>
          <w:sz w:val="18"/>
          <w:szCs w:val="18"/>
          <w:color w:val="000000"/>
        </w:rPr>
        <w:t>. Notwithstanding anything to the contrary contained herein, the Company agrees that a breach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this representation and warranty will not result in the failure of a condition precedent to the Company’s obligations under this Agreement, if (notwithstanding such breach) Buyer is willing and able to consummate the Merger on the Closing Date.</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Financing Not a Condition</w:t>
      </w:r>
      <w:r>
        <w:rPr>
          <w:rFonts w:ascii="Times New Roman" w:cs="Times New Roman" w:eastAsia="Times New Roman" w:hAnsi="Times New Roman"/>
          <w:sz w:val="18"/>
          <w:szCs w:val="18"/>
          <w:color w:val="000000"/>
        </w:rPr>
        <w:t>. Buyer understands and acknowledges that its obligations under this Agreement are not in any way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contingent upon or otherwise subject to or conditional upon Buyer’s consummation of any financing arrangements, Buyer’s obtaining of any financing or the availability, grant, provision or extension of any financing to Buyer.</w:t>
      </w:r>
    </w:p>
    <w:p>
      <w:pPr>
        <w:spacing w:after="0" w:line="176"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Information Supplied</w:t>
      </w:r>
      <w:r>
        <w:rPr>
          <w:rFonts w:ascii="Times New Roman" w:cs="Times New Roman" w:eastAsia="Times New Roman" w:hAnsi="Times New Roman"/>
          <w:sz w:val="18"/>
          <w:szCs w:val="18"/>
          <w:color w:val="auto"/>
        </w:rPr>
        <w:t>. The information supplied by or on behalf of Buyer or Merger Sub to be contained in, or incorporated by reference in, the Proxy Statement, including any amendments or supplements thereto and any other document incorporated or referenced therein, will not, on the date the Proxy Statement is first mailed to stockholders of the Company, at the time of the Company Stockholder Meeting or at the time of any amendment or supplement thereof, contain any untrue statement of any material fact or omit to state any material fact required to be stated therein or necessary in order to make the statements therein, at the time and in light of the circumstances under which they were made, not misleading. Notwithstanding the foregoing provisions of this Section 5‎.7, no representation or warranty is made by Buyer or Merger Sub with respect to information or statements made or incorporated by reference in the Proxy Statement that were supplied by or on behalf of the Company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-168275</wp:posOffset>
            </wp:positionV>
            <wp:extent cx="5143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Brokers and Finders</w:t>
      </w:r>
      <w:r>
        <w:rPr>
          <w:rFonts w:ascii="Times New Roman" w:cs="Times New Roman" w:eastAsia="Times New Roman" w:hAnsi="Times New Roman"/>
          <w:sz w:val="18"/>
          <w:szCs w:val="18"/>
          <w:color w:val="auto"/>
        </w:rPr>
        <w:t>. Buyer or Merger Sub has not employed any broker or finder or incurred any liability for any brokerage fees, commissions or finders’ fees in connection with the Transactions for which the Company or any of its Subsidiaries would be liable.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1" w:name="page72"/>
    <w:bookmarkEnd w:id="71"/>
    <w:p>
      <w:pPr>
        <w:ind w:firstLine="1296"/>
        <w:spacing w:after="0" w:line="258" w:lineRule="auto"/>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Buyer Guarantee</w:t>
      </w:r>
      <w:r>
        <w:rPr>
          <w:rFonts w:ascii="Times New Roman" w:cs="Times New Roman" w:eastAsia="Times New Roman" w:hAnsi="Times New Roman"/>
          <w:sz w:val="18"/>
          <w:szCs w:val="18"/>
          <w:color w:val="auto"/>
        </w:rPr>
        <w:t>. Buyer has furnished the Company with a true, complete and correct copy of the Buyer Guarantee. The Buyer Guarantee is in full force and effect and has not been amended, modified or terminated except as permitted under this Agreement. The Buyer Guarantee (a) is a legal, valid and binding obligation of the Guarantors and (b) is enforceable against the Guarantors in accordance with its terms, subject to the Bankruptcy and Equity Exception. There is no default under the Buyer Guarantee by the Guarantors, and no event has occurred that with the lapse of time or the giving of notice or both would constitute a default thereunder by the Guarantors.</w:t>
      </w:r>
    </w:p>
    <w:p>
      <w:pPr>
        <w:spacing w:after="0" w:line="183"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No Other Representations and Warranties</w:t>
      </w:r>
      <w:r>
        <w:rPr>
          <w:rFonts w:ascii="Times New Roman" w:cs="Times New Roman" w:eastAsia="Times New Roman" w:hAnsi="Times New Roman"/>
          <w:sz w:val="18"/>
          <w:szCs w:val="18"/>
          <w:color w:val="auto"/>
        </w:rPr>
        <w:t xml:space="preserve">. Buyer and Merger Sub, each on its own behalf and on behalf of its Affiliates and each of its and their respective Representatives, acknowledges and agrees that (a) except for the representations and warranties made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pursuant to this Agreement, (i) neither the Company nor any other Person makes any express or implied representation or warranty and (ii) none of Buyer or its Affiliates or Representatives is relying on, or has relied on, any express or implied representation or warranty, in each case with respect to the Company and its Affiliates or any of their respective businesses, operations, assets, liabilities, conditions (financial or otherwise) or prospects in connection with this Agreement or the Transactions, and the Company hereby disclaims any such other representations or warranties and (b) neither the Company nor any other Person makes or has made any representation or warranty to Buyer or any of its Affiliates or Representatives with respect to (i) any financial projection, forecast, estimate, budget or prospective information relating to the Company or any of its Affiliates or any of their respective businesses, or (ii) any oral or, except for the representations and warranties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pursuant to this Agreement, written information made available to Buyer or any of its Affiliates or Representatives in the course of their evaluation of the Company and its Subsidiaries, the negotiation of this Agreement or in the course of the Transactions.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Interim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Interim Operations of the Company</w:t>
      </w:r>
      <w:r>
        <w:rPr>
          <w:rFonts w:ascii="Times New Roman" w:cs="Times New Roman" w:eastAsia="Times New Roman" w:hAnsi="Times New Roman"/>
          <w:sz w:val="18"/>
          <w:szCs w:val="18"/>
          <w:color w:val="000000"/>
        </w:rPr>
        <w:t>. During the period from the date of this Agreement until the earlier of the Effective Time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termination of this Agreement in accordance with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except as otherwise (A) expressly contemplated by or reasonably necessary to effectuate the transactions contemplated by this Agreement or the other Transaction Documents, (B) required by applicable Law, (C) approved in writing (which approval shall not be unreasonably withheld, conditioned or delayed) by Buyer or (D) set forth in ‎Section 6.1(a) of the Company Disclosure Letter, the Company covenants and agrees to use its commercially reasonable efforts to conduct the business of the Company and its Subsidiaries in the Ordinary Course and, to the extent consistent therewith, (x) use its commercially reasonable efforts to preserve the Company and its Subsidiaries’ business organizations intact and maintain the Company and its Subsidiaries’ existing relations and goodwill with Governmental Entities, customers, suppliers, licensors, licensees, distributors, creditors, lessors, employees and business associates and others having material business dealings with them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-573405</wp:posOffset>
            </wp:positionV>
            <wp:extent cx="6407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ind w:left="5480" w:right="2900" w:hanging="5472"/>
        <w:spacing w:after="0" w:line="761"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and in furtherance of the foregoing, not and shall cause its Subsidiaries not to: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2" w:name="page73"/>
    <w:bookmarkEnd w:id="72"/>
    <w:p>
      <w:pPr>
        <w:ind w:right="120" w:firstLine="1944"/>
        <w:spacing w:after="0" w:line="271"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(A) amend its Organizational Documents (other than amendments to the governing documents of any wholly or majority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owned Subsidiary of the Company that would not prevent, materially delay or materially impair the Transactions), (B) split, combine, subdivide or reclassify its outstanding shares of capital stock or other equity interests (except for any such transaction by a wholly owned Subsidiary of the Company which remains a wholly owned Subsidiary of the Company after consummation of such transaction), (C) declare, set aside or pay any dividend or distribution payable in cash, stock or property (or any combination thereof) in respect of any shares of its capital stock or other equity interests (except for any dividends or distributions paid by a direct or indirect wholly owned Subsidiary of the Company to another direct or indirect wholly owned Subsidiary of the Company or to the Company), or (D) purchase, repurchase, redeem or otherwise acquire any shares of its capital stock or other equity interests or any securities convertible or exchangeable into or exercisable for any shares of its capital stock (other than purchases, repurchases, redemptions or other acquisitions of securities of any wholly owned Subsidiary of the Company by the Company or any other wholly owned Subsidiary of the Company);</w:t>
      </w:r>
    </w:p>
    <w:p>
      <w:pPr>
        <w:spacing w:after="0" w:line="173" w:lineRule="exact"/>
        <w:rPr>
          <w:sz w:val="20"/>
          <w:szCs w:val="20"/>
          <w:color w:val="auto"/>
        </w:rPr>
      </w:pPr>
    </w:p>
    <w:p>
      <w:pPr>
        <w:ind w:firstLine="1944"/>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except (A) as otherwise contemplated by this Agreement, (B) in the Ordinary Course or (C) to the extent solely among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and its Subsidiaries, merge or consolidate with any other Person, or adopt or implement any plan of complete or partial liquidation, dissolution, consolidation, restructuring, recapitalization or other reorganization;</w:t>
      </w:r>
    </w:p>
    <w:p>
      <w:pPr>
        <w:spacing w:after="0" w:line="176"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establish, enter into, adopt, amend or modify in any material respect (including accelerating the vesting), or terminate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Company Plan or any plan, program, policy, practice, agreement or arrangement that would be a Company Plan if it had been in effect on the date of this Agreement except (x) in conjunction with annual renewal or plan design changes for the Company Plans that are health and welfare plans that are made in the Ordinary Course, (y) to comply with or satisfy Tax-qualification requirements under the Code or other applicable Law or (z) in conjunction with clause (iii)(E) of this </w:t>
      </w:r>
      <w:r>
        <w:rPr>
          <w:rFonts w:ascii="Times New Roman" w:cs="Times New Roman" w:eastAsia="Times New Roman" w:hAnsi="Times New Roman"/>
          <w:sz w:val="18"/>
          <w:szCs w:val="18"/>
          <w:u w:val="single" w:color="auto"/>
          <w:color w:val="000000"/>
        </w:rPr>
        <w:t>Section 6.1(a)(y)</w:t>
      </w:r>
      <w:r>
        <w:rPr>
          <w:rFonts w:ascii="Times New Roman" w:cs="Times New Roman" w:eastAsia="Times New Roman" w:hAnsi="Times New Roman"/>
          <w:sz w:val="18"/>
          <w:szCs w:val="18"/>
          <w:color w:val="000000"/>
        </w:rPr>
        <w:t xml:space="preserve">; (B) increase the compensation or benefits of any Covered Employee other than (x) annual merit salary or wage rate increases (and corresponding short-term incentive opportunity increases, as applicable) in the Ordinary Course or (y) as required under a Company Plan in effect as of the date of this Agreement; (C) grant any severance or termination pay to any Company Employee, except as required under any Company Plan in effect as of the date of this Agreement; (D) grant any Company Equity Awards or other equity or equity-based incentives other than as provided by </w:t>
      </w:r>
      <w:r>
        <w:rPr>
          <w:rFonts w:ascii="Times New Roman" w:cs="Times New Roman" w:eastAsia="Times New Roman" w:hAnsi="Times New Roman"/>
          <w:sz w:val="18"/>
          <w:szCs w:val="18"/>
          <w:u w:val="single" w:color="auto"/>
          <w:color w:val="000000"/>
        </w:rPr>
        <w:t>Section 6.1(a)(y)(iii)</w:t>
      </w:r>
      <w:r>
        <w:rPr>
          <w:rFonts w:ascii="Times New Roman" w:cs="Times New Roman" w:eastAsia="Times New Roman" w:hAnsi="Times New Roman"/>
          <w:sz w:val="18"/>
          <w:szCs w:val="18"/>
          <w:color w:val="000000"/>
        </w:rPr>
        <w:t xml:space="preserve"> of the Company Disclosure Letter; (E) enter into any employment, severance, change in control, retention, individual consulting or similar agreement with any current or former Covered Employee (other than an offer letter or employment agreement for any newly hired or promoted Covered Employee who is hired or promoted to fill a vacated position formerly held by a Covered Employee as permitted by </w:t>
      </w:r>
      <w:r>
        <w:rPr>
          <w:rFonts w:ascii="Times New Roman" w:cs="Times New Roman" w:eastAsia="Times New Roman" w:hAnsi="Times New Roman"/>
          <w:sz w:val="18"/>
          <w:szCs w:val="18"/>
          <w:u w:val="single" w:color="auto"/>
          <w:color w:val="000000"/>
        </w:rPr>
        <w:t>Section 6.1(a)(y)</w:t>
      </w:r>
    </w:p>
    <w:p>
      <w:pPr>
        <w:spacing w:after="0" w:line="4" w:lineRule="exact"/>
        <w:rPr>
          <w:sz w:val="20"/>
          <w:szCs w:val="20"/>
          <w:color w:val="auto"/>
        </w:rPr>
      </w:pPr>
    </w:p>
    <w:p>
      <w:pPr>
        <w:ind w:firstLine="8"/>
        <w:spacing w:after="0" w:line="253" w:lineRule="auto"/>
        <w:tabs>
          <w:tab w:leader="none" w:pos="395"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and on terms substantially similar to the Covered Employee who vacated such position); (F) grant to any Company Employee any right to reimbursement, indemnification or payment of any Taxes, including any Taxes incurred under Section 409A or 4999 of the Code; or (G) take any action (other than actions contemplated by this Agreement) to accelerate any payment or benefit, the vesting of any equity or equity-based award or the funding of any payment or benefit, payable or to become payable to any Company Employee;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3" w:name="page74"/>
    <w:bookmarkEnd w:id="73"/>
    <w:p>
      <w:pPr>
        <w:ind w:right="200" w:firstLine="1944"/>
        <w:spacing w:after="0" w:line="261"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make or commit to any capital expenditures, other than (A) in connection with the repair or replacement of facilities,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properties or assets destroyed or damaged due to casualty or accident (if covered by insurance or the portion of which is not covered by insurance is less than $100,000,000) or (B) in the Ordinary Course and, with respect to any fiscal year, in the aggregate not in excess of 125% of the amounts reflected in the Company’s capital expenditure budget set forth in </w:t>
      </w:r>
      <w:r>
        <w:rPr>
          <w:rFonts w:ascii="Times New Roman" w:cs="Times New Roman" w:eastAsia="Times New Roman" w:hAnsi="Times New Roman"/>
          <w:sz w:val="18"/>
          <w:szCs w:val="18"/>
          <w:u w:val="single" w:color="auto"/>
          <w:color w:val="000000"/>
        </w:rPr>
        <w:t>Section 6.1(a)(y)(iv)</w:t>
      </w:r>
      <w:r>
        <w:rPr>
          <w:rFonts w:ascii="Times New Roman" w:cs="Times New Roman" w:eastAsia="Times New Roman" w:hAnsi="Times New Roman"/>
          <w:sz w:val="18"/>
          <w:szCs w:val="18"/>
          <w:color w:val="000000"/>
        </w:rPr>
        <w:t xml:space="preserve"> of the Company Disclosure Letter;</w:t>
      </w:r>
    </w:p>
    <w:p>
      <w:pPr>
        <w:spacing w:after="0" w:line="180" w:lineRule="exact"/>
        <w:rPr>
          <w:sz w:val="20"/>
          <w:szCs w:val="20"/>
          <w:color w:val="auto"/>
        </w:rPr>
      </w:pPr>
    </w:p>
    <w:p>
      <w:pPr>
        <w:ind w:right="40" w:firstLine="1944"/>
        <w:spacing w:after="0" w:line="255"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enter into or materially amend any Contract for the transfer, lease, license, sale or assignment of, or let lapse, abandon,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cancel, mortgage, pledge, place a Lien upon or otherwise dispose of any Company Owned IP (excluding any Content IP relating to any Key Property), other than (A) in the Ordinary Course, (B) in the case of a license of any such Company Owned IP, involving payments that do not exceed $125,000,000 per license or (C) in the case of a sale of any such Company Owned IP, Company Owned IP with a fair market value that does not exceed $75,000,000 individually (other than transactions among the Company and its Subsidiaries);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for the avoidance of doubt, clause (A) above permits turnarounds, option lapses and quitclaims of “stale scripts” (i.e., the sale of development materials where the Company or any of its Subsidiaries no longer owns underlying rights) in the Ordinary Course;</w:t>
      </w:r>
    </w:p>
    <w:p>
      <w:pPr>
        <w:spacing w:after="0" w:line="189" w:lineRule="exact"/>
        <w:rPr>
          <w:sz w:val="20"/>
          <w:szCs w:val="20"/>
          <w:color w:val="auto"/>
        </w:rPr>
      </w:pPr>
    </w:p>
    <w:p>
      <w:pPr>
        <w:ind w:firstLine="1944"/>
        <w:spacing w:after="0" w:line="272" w:lineRule="auto"/>
        <w:rPr>
          <w:sz w:val="20"/>
          <w:szCs w:val="20"/>
          <w:color w:val="auto"/>
        </w:rPr>
      </w:pPr>
      <w:r>
        <w:rPr>
          <w:rFonts w:ascii="Times New Roman" w:cs="Times New Roman" w:eastAsia="Times New Roman" w:hAnsi="Times New Roman"/>
          <w:sz w:val="17"/>
          <w:szCs w:val="17"/>
          <w:color w:val="010000"/>
        </w:rPr>
        <w:t>(vi)           </w:t>
      </w:r>
      <w:r>
        <w:rPr>
          <w:rFonts w:ascii="Times New Roman" w:cs="Times New Roman" w:eastAsia="Times New Roman" w:hAnsi="Times New Roman"/>
          <w:sz w:val="17"/>
          <w:szCs w:val="17"/>
          <w:color w:val="000000"/>
        </w:rPr>
        <w:t>enter into or materially amend any Contract for the transfer, lease, license, sale or assignment of, or let lapse, abandon,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cancel, mortgage, pledge, place a Lien upon or otherwise dispose of any Content IP relating to clause (i) of the definition of any “Key Property,” other than an out-license granted in the Ordinary Course that expires no later than two (2) years after the Closing Date;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the foregoing shall not prevent</w:t>
      </w:r>
    </w:p>
    <w:p>
      <w:pPr>
        <w:spacing w:after="0" w:line="2" w:lineRule="exact"/>
        <w:rPr>
          <w:sz w:val="20"/>
          <w:szCs w:val="20"/>
          <w:color w:val="auto"/>
        </w:rPr>
      </w:pPr>
    </w:p>
    <w:p>
      <w:pPr>
        <w:jc w:val="both"/>
        <w:ind w:right="80" w:firstLine="8"/>
        <w:spacing w:after="0" w:line="253"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renewals or extensions of existing Contracts pursuant to options or rights that can be exercised in the sole discretion of the counterparty or (y) entering into any free TV deal outside of the United States with ordinary course SVOD exclusivity that expires no later than three (3) years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shall not prohibit turnarounds, option lapses and quitclaims of “stale scripts” (i.e., the sale of development materials where the Company and its Subsidiaries no longer own underlying rights) in the Ordinary Course;</w:t>
      </w:r>
    </w:p>
    <w:p>
      <w:pPr>
        <w:spacing w:after="0" w:line="189" w:lineRule="exact"/>
        <w:rPr>
          <w:sz w:val="20"/>
          <w:szCs w:val="20"/>
          <w:color w:val="auto"/>
        </w:rPr>
      </w:pPr>
    </w:p>
    <w:p>
      <w:pPr>
        <w:ind w:firstLine="1944"/>
        <w:spacing w:after="0" w:line="254"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enter into or materially amend any Contract for the transfer, lease, license, sale or assignment of, or let lapse, abandon,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cancel, mortgage, pledge, place a Lien upon or otherwise dispose of any Content IP relating to clause (ii) of the definition of any “Key Property” that is English language scripted TV or film, other than an out-license granted in the Ordinary Course that expires no later than two (2) years after the Closing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for licenses for longer than two (2) years after the Closing Date, the Company and its Subsidiaries will provide Buyer with a first opportunity to negotiate for any licensing or co-production related thereto, which Buyer shall accept or reject within ten (10) days following notice thereof, subject to good faith arms’ length negotiation, and if Buyer does not so accept, the Company and its Subsidiaries shall be permitted to enter into such out-license transaction;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prevent the Company and its Subsidiaries from entering into any agreement based on an offer that has been made as of the date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that the foregoing shall not prohibit turnarounds, option lapses and quitclaims of “stale scripts” (i.e., the sale of development materials where the Company and its Subsidiaries no longer own underlying rights) in the Ordinary Course;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4" w:name="page75"/>
    <w:bookmarkEnd w:id="74"/>
    <w:p>
      <w:pPr>
        <w:ind w:right="60" w:firstLine="1944"/>
        <w:spacing w:after="0" w:line="255"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enter into or materially amend any Contract that grants any Person the right to distribute, exhibit, or otherwise 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available the HBO service (including both linear and direct-to-consumer businesses) or any material portion thereof, except for any Contract, license or other arrangement (including transactions commonly understood in the industry as “bundling” or “ingestion” deals) entered into in the Ordinary Course that expires no later than two (2) years after the Closing Date;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prevent renewals or extensions of existing Contracts pursuant to options or rights that can be exercised in the sole discretion of the counterparty;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the foregoing shall not prohibit modifications to the manner in which distribution is conducted through Apple, Google or other app stores, including changes to methods for selling digital content (e.g., IAP, VPP or clickthrough);</w:t>
      </w:r>
    </w:p>
    <w:p>
      <w:pPr>
        <w:spacing w:after="0" w:line="189" w:lineRule="exact"/>
        <w:rPr>
          <w:sz w:val="20"/>
          <w:szCs w:val="20"/>
          <w:color w:val="auto"/>
        </w:rPr>
      </w:pPr>
    </w:p>
    <w:p>
      <w:pPr>
        <w:ind w:right="20" w:firstLine="1944"/>
        <w:spacing w:after="0" w:line="276" w:lineRule="auto"/>
        <w:rPr>
          <w:sz w:val="20"/>
          <w:szCs w:val="20"/>
          <w:color w:val="auto"/>
        </w:rPr>
      </w:pPr>
      <w:r>
        <w:rPr>
          <w:rFonts w:ascii="Times New Roman" w:cs="Times New Roman" w:eastAsia="Times New Roman" w:hAnsi="Times New Roman"/>
          <w:sz w:val="17"/>
          <w:szCs w:val="17"/>
          <w:color w:val="010000"/>
        </w:rPr>
        <w:t>(ix)            </w:t>
      </w:r>
      <w:r>
        <w:rPr>
          <w:rFonts w:ascii="Times New Roman" w:cs="Times New Roman" w:eastAsia="Times New Roman" w:hAnsi="Times New Roman"/>
          <w:sz w:val="17"/>
          <w:szCs w:val="17"/>
          <w:color w:val="000000"/>
        </w:rPr>
        <w:t>transfer, lease, license, sell, assign, let lapse, abandon, cancel, mortgage, pledge, place a Lien upon or otherwise dispose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of any assets (including capital stock of any of the Company’s Subsidiaries but not including any Intellectual Property, which is governed by ‎Section 6.1(a)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6461125</wp:posOffset>
            </wp:positionH>
            <wp:positionV relativeFrom="paragraph">
              <wp:posOffset>-24765</wp:posOffset>
            </wp:positionV>
            <wp:extent cx="6407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ind w:right="80"/>
        <w:spacing w:after="0" w:line="253" w:lineRule="auto"/>
        <w:rPr>
          <w:sz w:val="20"/>
          <w:szCs w:val="20"/>
          <w:color w:val="auto"/>
        </w:rPr>
      </w:pPr>
      <w:r>
        <w:rPr>
          <w:rFonts w:ascii="Times New Roman" w:cs="Times New Roman" w:eastAsia="Times New Roman" w:hAnsi="Times New Roman"/>
          <w:sz w:val="18"/>
          <w:szCs w:val="18"/>
          <w:color w:val="auto"/>
        </w:rPr>
        <w:t>(y)(v), Section‎ 6.1(a)(y)(vi), Section‎ 6.1(a)(y)(vii) and Section‎ 6.1(a)(y)(viii)), except for (A) sales, leases, licenses or other dispositions of any properties or assets (excluding capital stock of the Company or its Subsidiaries) with a fair market value not in excess of $100,000,000 individually if the transaction is not in the Ordinary Course or $150,000,000 individually in any event or (B) transactions among the Company and its Subsidiaries (other than any Subsidiary that is not wholly-owned directly or indirectly by the Company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3514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69" w:lineRule="exact"/>
        <w:rPr>
          <w:sz w:val="20"/>
          <w:szCs w:val="20"/>
          <w:color w:val="auto"/>
        </w:rPr>
      </w:pPr>
    </w:p>
    <w:p>
      <w:pPr>
        <w:ind w:firstLine="1944"/>
        <w:spacing w:after="0" w:line="255"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issue, sell, deliver, grant, transfer or encumber, or authorize, agree or commit to issue, sell, deliver, grant, transfer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encumber, any shares of Company Stock or any shares of capital stock or other equity interests in the Company’s global networks business, or any securities convertible or exchangeable into or exercisable for, or any options, warrants or other rights to acquire, any such shares, except: (A) in accordance with the terms of any Company Plan or Company Stock Plan, or otherwise with respect to, and upon the vesting, exercise or settlement of, Company Options, Company RSUs, Company PRSUs or Company DSUs, in each case, outstanding on the date of this Agreement or granted after the date hereof in compliance with </w:t>
      </w:r>
      <w:r>
        <w:rPr>
          <w:rFonts w:ascii="Times New Roman" w:cs="Times New Roman" w:eastAsia="Times New Roman" w:hAnsi="Times New Roman"/>
          <w:sz w:val="18"/>
          <w:szCs w:val="18"/>
          <w:u w:val="single" w:color="auto"/>
          <w:color w:val="000000"/>
        </w:rPr>
        <w:t>Section 6.1(a)(y)(x)</w:t>
      </w:r>
      <w:r>
        <w:rPr>
          <w:rFonts w:ascii="Times New Roman" w:cs="Times New Roman" w:eastAsia="Times New Roman" w:hAnsi="Times New Roman"/>
          <w:sz w:val="18"/>
          <w:szCs w:val="18"/>
          <w:color w:val="000000"/>
        </w:rPr>
        <w:t xml:space="preserve"> of the Company Disclosure Letter or (B) pursuant to any purchases of shares of Company Stock pursuant to the Company ESPP in accordance with the terms of such plan and in compliance with this Agreement;</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(xi)            </w:t>
      </w:r>
      <w:r>
        <w:rPr>
          <w:rFonts w:ascii="Times New Roman" w:cs="Times New Roman" w:eastAsia="Times New Roman" w:hAnsi="Times New Roman"/>
          <w:sz w:val="18"/>
          <w:szCs w:val="18"/>
          <w:color w:val="000000"/>
        </w:rPr>
        <w:t>other than capital expenditures made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6.1(a)(y)(iv)</w:t>
      </w:r>
      <w:r>
        <w:rPr>
          <w:rFonts w:ascii="Times New Roman" w:cs="Times New Roman" w:eastAsia="Times New Roman" w:hAnsi="Times New Roman"/>
          <w:sz w:val="18"/>
          <w:szCs w:val="18"/>
          <w:color w:val="000000"/>
        </w:rPr>
        <w:t>, spend or commit to spend in excess of</w:t>
      </w:r>
    </w:p>
    <w:p>
      <w:pPr>
        <w:spacing w:after="0" w:line="27" w:lineRule="exact"/>
        <w:rPr>
          <w:sz w:val="20"/>
          <w:szCs w:val="20"/>
          <w:color w:val="auto"/>
        </w:rPr>
      </w:pPr>
    </w:p>
    <w:p>
      <w:pPr>
        <w:ind w:right="60" w:firstLine="8"/>
        <w:spacing w:after="0" w:line="253" w:lineRule="auto"/>
        <w:tabs>
          <w:tab w:leader="none" w:pos="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$25,000,000 if the transaction is not in the Ordinary Course and $100,000,000 in any event or (B) $300,000,000 in the aggregate in any twelve (12) month period, in each case to acquire any business, whether by merger, consolidation, purchase of property or assets, licenses or otherwise (valuing any non-cash consideration at its fair market value as of the date of the agreement for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Subsidiaries shall not enter into any such transaction that would, or would reasonably be expected to, prevent, materially delay or materially impair the consummation of the Transactions;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5" w:name="page76"/>
    <w:bookmarkEnd w:id="75"/>
    <w:p>
      <w:pPr>
        <w:ind w:right="180" w:firstLine="1944"/>
        <w:spacing w:after="0" w:line="266" w:lineRule="auto"/>
        <w:rPr>
          <w:sz w:val="20"/>
          <w:szCs w:val="20"/>
          <w:color w:val="auto"/>
        </w:rPr>
      </w:pPr>
      <w:r>
        <w:rPr>
          <w:rFonts w:ascii="Times New Roman" w:cs="Times New Roman" w:eastAsia="Times New Roman" w:hAnsi="Times New Roman"/>
          <w:sz w:val="18"/>
          <w:szCs w:val="18"/>
          <w:color w:val="010000"/>
        </w:rPr>
        <w:t>(xii)           </w:t>
      </w:r>
      <w:r>
        <w:rPr>
          <w:rFonts w:ascii="Times New Roman" w:cs="Times New Roman" w:eastAsia="Times New Roman" w:hAnsi="Times New Roman"/>
          <w:sz w:val="18"/>
          <w:szCs w:val="18"/>
          <w:color w:val="000000"/>
        </w:rPr>
        <w:t>make any material change with respect to the financial accounting policies or procedures of the Company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except as required by changes in GAAP or Regulation S-X of the Exchange Act (or any interpretation thereof), any Governmental Entity or by applicable Law;</w:t>
      </w:r>
    </w:p>
    <w:p>
      <w:pPr>
        <w:spacing w:after="0" w:line="176" w:lineRule="exact"/>
        <w:rPr>
          <w:sz w:val="20"/>
          <w:szCs w:val="20"/>
          <w:color w:val="auto"/>
        </w:rPr>
      </w:pPr>
    </w:p>
    <w:p>
      <w:pPr>
        <w:ind w:firstLine="1944"/>
        <w:spacing w:after="0" w:line="255" w:lineRule="auto"/>
        <w:rPr>
          <w:sz w:val="20"/>
          <w:szCs w:val="20"/>
          <w:color w:val="auto"/>
        </w:rPr>
      </w:pPr>
      <w:r>
        <w:rPr>
          <w:rFonts w:ascii="Times New Roman" w:cs="Times New Roman" w:eastAsia="Times New Roman" w:hAnsi="Times New Roman"/>
          <w:sz w:val="18"/>
          <w:szCs w:val="18"/>
          <w:color w:val="010000"/>
        </w:rPr>
        <w:t>(xiii)          </w:t>
      </w:r>
      <w:r>
        <w:rPr>
          <w:rFonts w:ascii="Times New Roman" w:cs="Times New Roman" w:eastAsia="Times New Roman" w:hAnsi="Times New Roman"/>
          <w:sz w:val="18"/>
          <w:szCs w:val="18"/>
          <w:color w:val="000000"/>
        </w:rPr>
        <w:t>except in the Ordinary Course, (A) change or rescind any Tax election that is material to the Company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taken as a whole, except as a result of, or in response to, any change in U.S. federal Tax Law, (B) change any method of Tax accounting, which change is material to the Company and its Subsidiaries, taken as a whole, (C) amend any federal income Tax Return with respect to an amount of Taxes that is material to the Company and its Subsidiaries, taken as a whole, or (D) settle or resolve any Tax controversy for an amount materially in excess of any amounts accrued or reserved with respect to such Tax controversy in the balance sheet of the Company as of December 31, 2024, and the notes thereto, set forth in the Company’s Annual Report on Form 10-K for the fiscal year ended December 31, 2024 if such settlement or resolution is material to the Company and its Subsidiaries, taken as a whole;</w:t>
      </w:r>
    </w:p>
    <w:p>
      <w:pPr>
        <w:spacing w:after="0" w:line="189" w:lineRule="exact"/>
        <w:rPr>
          <w:sz w:val="20"/>
          <w:szCs w:val="20"/>
          <w:color w:val="auto"/>
        </w:rPr>
      </w:pPr>
    </w:p>
    <w:p>
      <w:pPr>
        <w:ind w:right="160" w:firstLine="1944"/>
        <w:spacing w:after="0" w:line="266" w:lineRule="auto"/>
        <w:rPr>
          <w:sz w:val="20"/>
          <w:szCs w:val="20"/>
          <w:color w:val="auto"/>
        </w:rPr>
      </w:pPr>
      <w:r>
        <w:rPr>
          <w:rFonts w:ascii="Times New Roman" w:cs="Times New Roman" w:eastAsia="Times New Roman" w:hAnsi="Times New Roman"/>
          <w:sz w:val="18"/>
          <w:szCs w:val="18"/>
          <w:color w:val="010000"/>
        </w:rPr>
        <w:t>(xiv)         </w:t>
      </w:r>
      <w:r>
        <w:rPr>
          <w:rFonts w:ascii="Times New Roman" w:cs="Times New Roman" w:eastAsia="Times New Roman" w:hAnsi="Times New Roman"/>
          <w:sz w:val="18"/>
          <w:szCs w:val="18"/>
          <w:color w:val="000000"/>
        </w:rPr>
        <w:t>enter into any new line of business other than any line of business that is reflected in the Company’s long range plan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to Buyer prior to the date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entry would not reasonably be likely to prevent, materially delay or materially impair the ability of the Parties to complete the Merger on a timely basis);</w:t>
      </w:r>
    </w:p>
    <w:p>
      <w:pPr>
        <w:spacing w:after="0" w:line="176" w:lineRule="exact"/>
        <w:rPr>
          <w:sz w:val="20"/>
          <w:szCs w:val="20"/>
          <w:color w:val="auto"/>
        </w:rPr>
      </w:pPr>
    </w:p>
    <w:p>
      <w:pPr>
        <w:ind w:right="20" w:firstLine="1944"/>
        <w:spacing w:after="0" w:line="266" w:lineRule="auto"/>
        <w:rPr>
          <w:sz w:val="20"/>
          <w:szCs w:val="20"/>
          <w:color w:val="auto"/>
        </w:rPr>
      </w:pPr>
      <w:r>
        <w:rPr>
          <w:rFonts w:ascii="Times New Roman" w:cs="Times New Roman" w:eastAsia="Times New Roman" w:hAnsi="Times New Roman"/>
          <w:sz w:val="18"/>
          <w:szCs w:val="18"/>
          <w:color w:val="010000"/>
        </w:rPr>
        <w:t>(xv)          </w:t>
      </w:r>
      <w:r>
        <w:rPr>
          <w:rFonts w:ascii="Times New Roman" w:cs="Times New Roman" w:eastAsia="Times New Roman" w:hAnsi="Times New Roman"/>
          <w:sz w:val="18"/>
          <w:szCs w:val="18"/>
          <w:color w:val="000000"/>
        </w:rPr>
        <w:t>make any loans, advances or capital contributions to, or investments in, any Person (other than (A) loans, advances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capital contributions solely among the Company and its Subsidiaries or (B) as permitted by clause (xxiii) below) in excess of $25,000,000 if the transaction is not in the Ordinary Course and $150,000,000 in any event;</w:t>
      </w:r>
    </w:p>
    <w:p>
      <w:pPr>
        <w:spacing w:after="0" w:line="176" w:lineRule="exact"/>
        <w:rPr>
          <w:sz w:val="20"/>
          <w:szCs w:val="20"/>
          <w:color w:val="auto"/>
        </w:rPr>
      </w:pPr>
    </w:p>
    <w:p>
      <w:pPr>
        <w:ind w:right="20" w:firstLine="1944"/>
        <w:spacing w:after="0" w:line="254" w:lineRule="auto"/>
        <w:rPr>
          <w:sz w:val="20"/>
          <w:szCs w:val="20"/>
          <w:color w:val="auto"/>
        </w:rPr>
      </w:pPr>
      <w:r>
        <w:rPr>
          <w:rFonts w:ascii="Times New Roman" w:cs="Times New Roman" w:eastAsia="Times New Roman" w:hAnsi="Times New Roman"/>
          <w:sz w:val="18"/>
          <w:szCs w:val="18"/>
          <w:color w:val="010000"/>
        </w:rPr>
        <w:t>(xvi)         </w:t>
      </w:r>
      <w:r>
        <w:rPr>
          <w:rFonts w:ascii="Times New Roman" w:cs="Times New Roman" w:eastAsia="Times New Roman" w:hAnsi="Times New Roman"/>
          <w:sz w:val="18"/>
          <w:szCs w:val="18"/>
          <w:color w:val="000000"/>
        </w:rPr>
        <w:t>(A) amend or modify in any material respect or terminate any Company Material Contract (other than amendments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modifications in the Ordinary Course or that are not adverse to the business of the Company and its Subsidiaries in any material respect with respect to the Contract and terminations upon the expiration of the term thereof in accordance with the terms thereof) or waive, release or assign any material rights, claims or benefits under any Company Material Contract or (B) enter into any Contract that would have been a Company Material Contract had it been entered into prior to the date of this Agreement (other than Company Material Contracts of the type described in </w:t>
      </w:r>
      <w:r>
        <w:rPr>
          <w:rFonts w:ascii="Times New Roman" w:cs="Times New Roman" w:eastAsia="Times New Roman" w:hAnsi="Times New Roman"/>
          <w:sz w:val="18"/>
          <w:szCs w:val="18"/>
          <w:u w:val="single" w:color="auto"/>
          <w:color w:val="000000"/>
        </w:rPr>
        <w:t>Section 4.10(a)(iii)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(viii)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(ix)</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(x)</w:t>
      </w:r>
      <w:r>
        <w:rPr>
          <w:rFonts w:ascii="Times New Roman" w:cs="Times New Roman" w:eastAsia="Times New Roman" w:hAnsi="Times New Roman"/>
          <w:sz w:val="18"/>
          <w:szCs w:val="18"/>
          <w:color w:val="000000"/>
        </w:rPr>
        <w:t xml:space="preserve">) unless it is on terms substantially consistent with, or on terms more favorable to the Company and/or its Subsidiaries than, either a Contract it is replacing or a form of such Company Material Contract made available to Buyer prior to the date 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for the avoidance of doubt, this ‎Section 6.1(a) </w:t>
      </w:r>
      <w:r>
        <w:rPr>
          <w:rFonts w:ascii="Times New Roman" w:cs="Times New Roman" w:eastAsia="Times New Roman" w:hAnsi="Times New Roman"/>
          <w:sz w:val="18"/>
          <w:szCs w:val="18"/>
          <w:u w:val="single" w:color="auto"/>
          <w:color w:val="000000"/>
        </w:rPr>
        <w:t>(y)(xvi)</w:t>
      </w:r>
      <w:r>
        <w:rPr>
          <w:rFonts w:ascii="Times New Roman" w:cs="Times New Roman" w:eastAsia="Times New Roman" w:hAnsi="Times New Roman"/>
          <w:sz w:val="18"/>
          <w:szCs w:val="18"/>
          <w:color w:val="000000"/>
        </w:rPr>
        <w:t xml:space="preserve"> shall not prohibit or restrict any Company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-166370</wp:posOffset>
            </wp:positionV>
            <wp:extent cx="6407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7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(xvii)</w:t>
      </w:r>
    </w:p>
    <w:p>
      <w:pPr>
        <w:spacing w:after="0" w:line="225" w:lineRule="exact"/>
        <w:rPr>
          <w:sz w:val="20"/>
          <w:szCs w:val="20"/>
          <w:color w:val="auto"/>
        </w:rPr>
      </w:pPr>
    </w:p>
    <w:p>
      <w:pPr>
        <w:jc w:val="both"/>
        <w:ind w:right="60" w:firstLine="2592"/>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terminate any Material Affiliation Agreement except in any instances of an uncured material breach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terms of the relevant Material Affiliation Agreement (1) to the extent that failure to so terminate would result in a violation of applicable Law or (2) to the extent that the failure to so terminate would result in a material and adverse impact on the Company and its Subsidiaries, taken as a whole, under other Material Affiliation Agreements;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6" w:name="page77"/>
    <w:bookmarkEnd w:id="76"/>
    <w:p>
      <w:pPr>
        <w:ind w:right="20" w:firstLine="2592"/>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enter into, amend, modify, waive or renew any Material Affiliation Agreement if such Material Affiliation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would result in (1) per subscriber or total economics that are 10% less favorable when measured on a year-over-year basis (assuming a flat subscriber base, but taking into account any changes to subscriber penetration or packaging commitments) as compared to the terms of the relevant prior Material Affiliation Agreement, (2) total economics for such Material Affiliation Agreement or total economics across all Material Affiliation Agreements being projected to be materially less favorable than the assumptions set forth in the Company’s long range plan as of the date hereof (including as a result of any applicable “most favored nations” or similar provisions), or (3) any “most favored nations” or similar provision or material noneconomic term being materially less favorable than the applicable term in the applicable prior Material Affiliation Agreement;</w:t>
      </w:r>
    </w:p>
    <w:p>
      <w:pPr>
        <w:spacing w:after="0" w:line="189" w:lineRule="exact"/>
        <w:rPr>
          <w:sz w:val="20"/>
          <w:szCs w:val="20"/>
          <w:color w:val="auto"/>
        </w:rPr>
      </w:pPr>
    </w:p>
    <w:p>
      <w:pPr>
        <w:ind w:right="60" w:firstLine="1944"/>
        <w:spacing w:after="0" w:line="312" w:lineRule="auto"/>
        <w:rPr>
          <w:sz w:val="20"/>
          <w:szCs w:val="20"/>
          <w:color w:val="auto"/>
        </w:rPr>
      </w:pPr>
      <w:r>
        <w:rPr>
          <w:rFonts w:ascii="Times New Roman" w:cs="Times New Roman" w:eastAsia="Times New Roman" w:hAnsi="Times New Roman"/>
          <w:sz w:val="17"/>
          <w:szCs w:val="17"/>
          <w:color w:val="010000"/>
        </w:rPr>
        <w:t>(xviii)            </w:t>
      </w:r>
      <w:r>
        <w:rPr>
          <w:rFonts w:ascii="Times New Roman" w:cs="Times New Roman" w:eastAsia="Times New Roman" w:hAnsi="Times New Roman"/>
          <w:sz w:val="17"/>
          <w:szCs w:val="17"/>
          <w:color w:val="000000"/>
        </w:rPr>
        <w:t>enter into or materially amend, modify, waive, renew or terminate any license or series of related licenses from a third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party of media rights to sports properties or sports events that involve annual payments by the Company and its Subsidiaries in excess of $125,000,000;</w:t>
      </w:r>
    </w:p>
    <w:p>
      <w:pPr>
        <w:spacing w:after="0" w:line="140" w:lineRule="exact"/>
        <w:rPr>
          <w:sz w:val="20"/>
          <w:szCs w:val="20"/>
          <w:color w:val="auto"/>
        </w:rPr>
      </w:pPr>
    </w:p>
    <w:p>
      <w:pPr>
        <w:ind w:right="100" w:firstLine="1944"/>
        <w:spacing w:after="0" w:line="261" w:lineRule="auto"/>
        <w:rPr>
          <w:sz w:val="20"/>
          <w:szCs w:val="20"/>
          <w:color w:val="auto"/>
        </w:rPr>
      </w:pPr>
      <w:r>
        <w:rPr>
          <w:rFonts w:ascii="Times New Roman" w:cs="Times New Roman" w:eastAsia="Times New Roman" w:hAnsi="Times New Roman"/>
          <w:sz w:val="18"/>
          <w:szCs w:val="18"/>
          <w:color w:val="010000"/>
        </w:rPr>
        <w:t>(xix)            enter into or materially amend, modify, waive, renew, permit to be automatically renewed (e.g., by failing to exercise a notice of expiration within the required notice period) or terminate any Contract or series of related Contracts relating to technology stack, cloud infrastructure or other similar functionalities that involve annual payments by the Company and its Subsidiaries in excess of $30,000,000, and treating Contracts with any group of affiliated counterparties or services as a single Contract;</w:t>
      </w:r>
    </w:p>
    <w:p>
      <w:pPr>
        <w:spacing w:after="0" w:line="180" w:lineRule="exact"/>
        <w:rPr>
          <w:sz w:val="20"/>
          <w:szCs w:val="20"/>
          <w:color w:val="auto"/>
        </w:rPr>
      </w:pPr>
    </w:p>
    <w:p>
      <w:pPr>
        <w:ind w:right="100" w:firstLine="1944"/>
        <w:spacing w:after="0" w:line="261" w:lineRule="auto"/>
        <w:rPr>
          <w:sz w:val="20"/>
          <w:szCs w:val="20"/>
          <w:color w:val="auto"/>
        </w:rPr>
      </w:pPr>
      <w:r>
        <w:rPr>
          <w:rFonts w:ascii="Times New Roman" w:cs="Times New Roman" w:eastAsia="Times New Roman" w:hAnsi="Times New Roman"/>
          <w:sz w:val="18"/>
          <w:szCs w:val="18"/>
          <w:color w:val="010000"/>
        </w:rPr>
        <w:t>(xx)            </w:t>
      </w:r>
      <w:r>
        <w:rPr>
          <w:rFonts w:ascii="Times New Roman" w:cs="Times New Roman" w:eastAsia="Times New Roman" w:hAnsi="Times New Roman"/>
          <w:sz w:val="18"/>
          <w:szCs w:val="18"/>
          <w:color w:val="000000"/>
        </w:rPr>
        <w:t>settle any Proceeding before or threatened to be brought before a Governmental Entity, other than settlements (A) if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amount of any such settlement is not in excess of $25,000,000 individually or $75,000,000 in the aggregate;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settlements do not</w:t>
      </w:r>
    </w:p>
    <w:p>
      <w:pPr>
        <w:ind w:firstLine="8"/>
        <w:spacing w:after="0" w:line="250"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any non-de minimis injunctive or equitable relief, (2) impose non-de minimis restrictions on the business activities of the Company or any of its Subsidiaries or Buyer or any of its Subsidiaries or (3) grant any material license or immunity with respect to Intellectual Property, or (B) relating to Taxes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be governed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6.1(a)(y)(xiii));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-19050</wp:posOffset>
            </wp:positionV>
            <wp:extent cx="10026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87" w:lineRule="exact"/>
        <w:rPr>
          <w:sz w:val="20"/>
          <w:szCs w:val="20"/>
          <w:color w:val="auto"/>
        </w:rPr>
      </w:pPr>
    </w:p>
    <w:p>
      <w:pPr>
        <w:ind w:right="40" w:firstLine="1944"/>
        <w:spacing w:after="0" w:line="282" w:lineRule="auto"/>
        <w:rPr>
          <w:sz w:val="20"/>
          <w:szCs w:val="20"/>
          <w:color w:val="auto"/>
        </w:rPr>
      </w:pPr>
      <w:r>
        <w:rPr>
          <w:rFonts w:ascii="Times New Roman" w:cs="Times New Roman" w:eastAsia="Times New Roman" w:hAnsi="Times New Roman"/>
          <w:sz w:val="18"/>
          <w:szCs w:val="18"/>
          <w:color w:val="010000"/>
        </w:rPr>
        <w:t>(xxi)            </w:t>
      </w:r>
      <w:r>
        <w:rPr>
          <w:rFonts w:ascii="Times New Roman" w:cs="Times New Roman" w:eastAsia="Times New Roman" w:hAnsi="Times New Roman"/>
          <w:sz w:val="18"/>
          <w:szCs w:val="18"/>
          <w:color w:val="000000"/>
        </w:rPr>
        <w:t>(A) hire or engage any individual to be a Covered Employee, other than the hiring of an individual to fill a position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has been vacated by a Covered Employee; or (B) terminate the employment of any Covered Employee other than for cause;</w:t>
      </w:r>
    </w:p>
    <w:p>
      <w:pPr>
        <w:spacing w:after="0" w:line="162" w:lineRule="exact"/>
        <w:rPr>
          <w:sz w:val="20"/>
          <w:szCs w:val="20"/>
          <w:color w:val="auto"/>
        </w:rPr>
      </w:pPr>
    </w:p>
    <w:p>
      <w:pPr>
        <w:ind w:right="120" w:firstLine="1944"/>
        <w:spacing w:after="0" w:line="266" w:lineRule="auto"/>
        <w:rPr>
          <w:sz w:val="20"/>
          <w:szCs w:val="20"/>
          <w:color w:val="auto"/>
        </w:rPr>
      </w:pPr>
      <w:r>
        <w:rPr>
          <w:rFonts w:ascii="Times New Roman" w:cs="Times New Roman" w:eastAsia="Times New Roman" w:hAnsi="Times New Roman"/>
          <w:sz w:val="18"/>
          <w:szCs w:val="18"/>
          <w:color w:val="010000"/>
        </w:rPr>
        <w:t>(xxii)            </w:t>
      </w:r>
      <w:r>
        <w:rPr>
          <w:rFonts w:ascii="Times New Roman" w:cs="Times New Roman" w:eastAsia="Times New Roman" w:hAnsi="Times New Roman"/>
          <w:sz w:val="18"/>
          <w:szCs w:val="18"/>
          <w:color w:val="000000"/>
        </w:rPr>
        <w:t>(A) enter into any Collective Bargaining Agreement (excluding any Collective Bargaining Agreement with a Guild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applies on a national, area-wide, industry-wide or mandatory basis), other than renewals of any Collective Bargaining Agreements in the Ordinary Course or (B) recognize or certify any Labor Union or group of Company Employees as the bargaining representative for any Company Employees;</w:t>
      </w:r>
    </w:p>
    <w:p>
      <w:pPr>
        <w:spacing w:after="0" w:line="176" w:lineRule="exact"/>
        <w:rPr>
          <w:sz w:val="20"/>
          <w:szCs w:val="20"/>
          <w:color w:val="auto"/>
        </w:rPr>
      </w:pPr>
    </w:p>
    <w:p>
      <w:pPr>
        <w:ind w:right="40" w:firstLine="1944"/>
        <w:spacing w:after="0" w:line="282" w:lineRule="auto"/>
        <w:rPr>
          <w:sz w:val="20"/>
          <w:szCs w:val="20"/>
          <w:color w:val="auto"/>
        </w:rPr>
      </w:pPr>
      <w:r>
        <w:rPr>
          <w:rFonts w:ascii="Times New Roman" w:cs="Times New Roman" w:eastAsia="Times New Roman" w:hAnsi="Times New Roman"/>
          <w:sz w:val="18"/>
          <w:szCs w:val="18"/>
          <w:color w:val="010000"/>
        </w:rPr>
        <w:t>(xxiii)            </w:t>
      </w:r>
      <w:r>
        <w:rPr>
          <w:rFonts w:ascii="Times New Roman" w:cs="Times New Roman" w:eastAsia="Times New Roman" w:hAnsi="Times New Roman"/>
          <w:sz w:val="18"/>
          <w:szCs w:val="18"/>
          <w:color w:val="000000"/>
        </w:rPr>
        <w:t>waive, release, amend or, to the Knowledge of the Company, fail to enforce the restrictive covenant obligations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current or former director, officer, employee, independent contractor or consultant of the Company or its Subsidiaries;</w:t>
      </w:r>
    </w:p>
    <w:p>
      <w:pPr>
        <w:spacing w:after="0" w:line="162" w:lineRule="exact"/>
        <w:rPr>
          <w:sz w:val="20"/>
          <w:szCs w:val="20"/>
          <w:color w:val="auto"/>
        </w:rPr>
      </w:pPr>
    </w:p>
    <w:p>
      <w:pPr>
        <w:ind w:firstLine="1944"/>
        <w:spacing w:after="0" w:line="254" w:lineRule="auto"/>
        <w:rPr>
          <w:sz w:val="20"/>
          <w:szCs w:val="20"/>
          <w:color w:val="auto"/>
        </w:rPr>
      </w:pPr>
      <w:r>
        <w:rPr>
          <w:rFonts w:ascii="Times New Roman" w:cs="Times New Roman" w:eastAsia="Times New Roman" w:hAnsi="Times New Roman"/>
          <w:sz w:val="18"/>
          <w:szCs w:val="18"/>
          <w:color w:val="010000"/>
        </w:rPr>
        <w:t>(xxiv)            </w:t>
      </w:r>
      <w:r>
        <w:rPr>
          <w:rFonts w:ascii="Times New Roman" w:cs="Times New Roman" w:eastAsia="Times New Roman" w:hAnsi="Times New Roman"/>
          <w:sz w:val="18"/>
          <w:szCs w:val="18"/>
          <w:color w:val="000000"/>
        </w:rPr>
        <w:t>(A) file any registration statement under the Securities Act or the Exchange Act (whether on Form 10 or otherwise)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if any such registration statement has been filed prior to the date hereof, file any amendment to such registration statement or cause, request or seek to have any such registration statement declared effective under the Exchange Act, or take any further actions with respect to any such registration statement, other than (i) any such actions taken in connection with the withdrawal of such registration statement or (ii) to add a customary delaying amendment with respect to the effectiveness of such registration statement if such an amendment is not already included therein, (B) file any application to list any securities on a national securities exchange or, if any such application has been filed prior to the date hereof, amend such application or take any further action to approve any securities for listing on a national securities exchange or (C) take any further action to consummate the separation of the Company’s streaming &amp; studios business from the Company’s global networks business (the “</w:t>
      </w:r>
      <w:r>
        <w:rPr>
          <w:rFonts w:ascii="Times New Roman" w:cs="Times New Roman" w:eastAsia="Times New Roman" w:hAnsi="Times New Roman"/>
          <w:sz w:val="18"/>
          <w:szCs w:val="18"/>
          <w:u w:val="single" w:color="auto"/>
          <w:color w:val="000000"/>
        </w:rPr>
        <w:t>Separation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this clause (xxiv) shall not limit any filings necessary in connection with Permitted Financing Activities;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7" w:name="page78"/>
    <w:bookmarkEnd w:id="77"/>
    <w:p>
      <w:pPr>
        <w:ind w:left="1960"/>
        <w:spacing w:after="0"/>
        <w:rPr>
          <w:sz w:val="20"/>
          <w:szCs w:val="20"/>
          <w:color w:val="auto"/>
        </w:rPr>
      </w:pPr>
      <w:r>
        <w:rPr>
          <w:rFonts w:ascii="Times New Roman" w:cs="Times New Roman" w:eastAsia="Times New Roman" w:hAnsi="Times New Roman"/>
          <w:sz w:val="18"/>
          <w:szCs w:val="18"/>
          <w:color w:val="010000"/>
        </w:rPr>
        <w:t>(xxv)            </w:t>
      </w:r>
      <w:r>
        <w:rPr>
          <w:rFonts w:ascii="Times New Roman" w:cs="Times New Roman" w:eastAsia="Times New Roman" w:hAnsi="Times New Roman"/>
          <w:sz w:val="18"/>
          <w:szCs w:val="18"/>
          <w:color w:val="000000"/>
        </w:rPr>
        <w:t>incur, issue, guarantee or otherwise become liable with respect to any indebtedness for borrowed money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evidenced by bonds, notes, debentures, loan agreements or similar instruments (except, in each case, for Ordinary Course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indebtedness incurred pursuant to Permitted Financing Activities), in each case, involving amounts, individually or in the aggregate,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draw-downs or other borrowings under the existing revolving credit facilities (as in effect on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the Company or any of its Subsidiaries or any replacement, renewal, extension or refinancing of the foregoing within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threshold shall only be permitted if the same is determined by the Company to be reasonably necessary to avoid a material and adverse impact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business of the Company and its Subsidiaries;</w:t>
      </w:r>
    </w:p>
    <w:p>
      <w:pPr>
        <w:spacing w:after="0" w:line="207" w:lineRule="exact"/>
        <w:rPr>
          <w:sz w:val="20"/>
          <w:szCs w:val="20"/>
          <w:color w:val="auto"/>
        </w:rPr>
      </w:pPr>
    </w:p>
    <w:p>
      <w:pPr>
        <w:ind w:right="160" w:firstLine="1944"/>
        <w:spacing w:after="0" w:line="266" w:lineRule="auto"/>
        <w:rPr>
          <w:sz w:val="20"/>
          <w:szCs w:val="20"/>
          <w:color w:val="auto"/>
        </w:rPr>
      </w:pPr>
      <w:r>
        <w:rPr>
          <w:rFonts w:ascii="Times New Roman" w:cs="Times New Roman" w:eastAsia="Times New Roman" w:hAnsi="Times New Roman"/>
          <w:sz w:val="18"/>
          <w:szCs w:val="18"/>
          <w:color w:val="010000"/>
        </w:rPr>
        <w:t>(xxvi)            </w:t>
      </w:r>
      <w:r>
        <w:rPr>
          <w:rFonts w:ascii="Times New Roman" w:cs="Times New Roman" w:eastAsia="Times New Roman" w:hAnsi="Times New Roman"/>
          <w:sz w:val="18"/>
          <w:szCs w:val="18"/>
          <w:color w:val="000000"/>
        </w:rPr>
        <w:t>amend, modify or waive, in each case, in a material and adverse respect, or terminate any credit agreements to which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or any of its Subsidiaries is a party or any of the Company’s outstanding debt securities other than in connection with any Permitted Financing Activities;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(xxvii)            </w:t>
      </w:r>
      <w:r>
        <w:rPr>
          <w:rFonts w:ascii="Times New Roman" w:cs="Times New Roman" w:eastAsia="Times New Roman" w:hAnsi="Times New Roman"/>
          <w:sz w:val="18"/>
          <w:szCs w:val="18"/>
          <w:color w:val="000000"/>
        </w:rPr>
        <w:t>agree, authorize or commit to do any of the foregoing.</w:t>
      </w:r>
    </w:p>
    <w:p>
      <w:pPr>
        <w:spacing w:after="0" w:line="22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Nothing contained in this Agreement shall give the Company or Buyer, directly or indirectly, the right to control or direct the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Party’s operations prior to the Effective Time. Prior to the Effective Time, each Party will exercise, consistent with the terms and conditions of this Agreement, complete control and supervision over its and its Subsidiaries’ respective operations.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Company and its Subsidiaries will not, and the Company will direct and use its reasonable best efforts to cause its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Subsidiaries’ respective Representatives not to, directly or indirectly, take any action to solicit, initiate, or knowingly encourage or knowingly facilitate the making of any Acquisition Proposal (including by way of furnishing non-public information or granting any waiver under Section 203 of the DGCL or any other Takeover Statute) or any inquiry with respect thereto or engage in or continue any discussions or negotiations with any Person with respect thereto (except to notify such Person of the existence of the provisions of this Section 6‎.2), or disclose any nonpublic information or afford access to properties, personnel, books or records to any Person that has made, or could reasonably be expected to consider making, any Acquisition Proposal or any inquiry with respect thereto, or approve or recommend, or propose to approve or recommend, or execute or enter into any letter of intent, agreement in principle, merger agreement, option agreement, acquisition agreement or other similar agreement relating to an Acquisition Proposal or any proposal or offer that could reasonably be expected to lead to an Acquisition Proposal, or propose publicly or agree to do any of the foregoing relating to an Acquisition Proposal. Nothing contained in this Agreement shall prevent the Company Board from complying with Rule 14e-2 under the Exchange Act with regard to an Acquisition Proposal;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any such compliance shall not permit the Company Board to make a Change in the Company Recommendation except pursuant to </w:t>
      </w:r>
      <w:r>
        <w:rPr>
          <w:rFonts w:ascii="Times New Roman" w:cs="Times New Roman" w:eastAsia="Times New Roman" w:hAnsi="Times New Roman"/>
          <w:sz w:val="18"/>
          <w:szCs w:val="18"/>
          <w:u w:val="single" w:color="auto"/>
          <w:color w:val="000000"/>
        </w:rPr>
        <w:t>Section 6.3</w:t>
      </w:r>
      <w:r>
        <w:rPr>
          <w:rFonts w:ascii="Times New Roman" w:cs="Times New Roman" w:eastAsia="Times New Roman" w:hAnsi="Times New Roman"/>
          <w:sz w:val="18"/>
          <w:szCs w:val="18"/>
          <w:color w:val="000000"/>
        </w:rPr>
        <w:t xml:space="preserve">. The Company shall be permitted to make any “stop, look and listen” communication to the Company’s stockholders pursuant to Rule 14d-9(f) under the Exchange Act and comply with disclosure obligations under Rule 14e-2(a), Rule 14d-9 or Item 1012(a) of Regulation M-A promulgated under the Exchange Act with regard to an Acquisition Proposal, and any such communication or compliance shall not be deemed to be a Change in the Company Recommendation so long as any action taken or statement made is consistent with this </w:t>
      </w:r>
      <w:r>
        <w:rPr>
          <w:rFonts w:ascii="Times New Roman" w:cs="Times New Roman" w:eastAsia="Times New Roman" w:hAnsi="Times New Roman"/>
          <w:sz w:val="18"/>
          <w:szCs w:val="18"/>
          <w:u w:val="single" w:color="auto"/>
          <w:color w:val="000000"/>
        </w:rPr>
        <w:t>Section 6.2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any such disclosure permitted by this sentence shall not permit the Company Board to make a Change in the Company Recommendation except pursuant to </w:t>
      </w:r>
      <w:r>
        <w:rPr>
          <w:rFonts w:ascii="Times New Roman" w:cs="Times New Roman" w:eastAsia="Times New Roman" w:hAnsi="Times New Roman"/>
          <w:sz w:val="18"/>
          <w:szCs w:val="18"/>
          <w:u w:val="single" w:color="auto"/>
          <w:color w:val="000000"/>
        </w:rPr>
        <w:t>Section 6.3</w:t>
      </w:r>
      <w:r>
        <w:rPr>
          <w:rFonts w:ascii="Times New Roman" w:cs="Times New Roman" w:eastAsia="Times New Roman" w:hAnsi="Times New Roman"/>
          <w:sz w:val="18"/>
          <w:szCs w:val="18"/>
          <w:color w:val="000000"/>
        </w:rPr>
        <w:t>. Notwithstanding anything to the contrary in this Agreement but subject to the first sentence of Section 6‎.2(b), prior to (but not after) obtaining the Company Stockholder Approval, the Company may, directly or indirectly through its advisors, agents or other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-1802130</wp:posOffset>
            </wp:positionV>
            <wp:extent cx="5137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-156210</wp:posOffset>
            </wp:positionV>
            <wp:extent cx="647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ind w:right="20" w:firstLine="8"/>
        <w:spacing w:after="0" w:line="250" w:lineRule="auto"/>
        <w:tabs>
          <w:tab w:leader="none" w:pos="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information and access, but only in response to a request for information or access, to any Person, and its Representatives (including sources of financing), making a bona fide, written Acquisition Proposal to the Company Board after the date of this Agreement which was not obtained as a result of a breach of this Agreement and (B) participate in discussions and negotiate with such Person or its Representatives concerning any such unsolicited Acquisition Proposal, if and only if, in any such case set forth in clause (A) or (B) of this sentence, (1) the Company Board determines in good faith, after consulting with its outside legal counsel and its financial advisors, (x) that such Acquisition Proposal constitutes or would reasonably be expected to result in a Company Superior Proposal and (y) that failure to do so would be inconsistent with the fiduciary duties of the Company Board to the Company’s stockholders under applicable Law and (2) the Company receives (or prior to the date hereof has received) from the Person making such an Acquisition Proposal, prior to engaging in any of the activities described in clause (A) or (B) of this sentence, an executed confidentiality agreement the material terms of which are no less favorable to the Company and no less restrictive to the Person making such Acquisition Proposal than those contained in the Confidentiality Agreement (it being understood that such confidentiality agreement need not contain any “standstill” or similar provisions to the extent that Buyer is, concurrently with the entry by the Company or its Subsidiaries into such confidentiality agreement, released from any “standstill” or similar obligations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Person making such Acquisition Proposal is a competitor of the Company or any of its Subsidiaries, the Company shall not provide any information that in the good faith determination of the Company constitutes commercially sensitive non-public information to such Person in connection with the actions permitted by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other than in accordance with “clean room” or other similar procedures designed to limit any potential adverse effect on the Company from sharing such information. The Company agrees that any material non-public information provided to such Person that has not previously been provided to Buyer shall be provided to Buyer prior to or substantially concurrently with the time it is provided to such Person. The Company Board shall not take any of the actions referred to in the foregoing clauses (A) and</w:t>
      </w:r>
    </w:p>
    <w:p>
      <w:pPr>
        <w:spacing w:after="0" w:line="6" w:lineRule="exact"/>
        <w:rPr>
          <w:rFonts w:ascii="Times New Roman" w:cs="Times New Roman" w:eastAsia="Times New Roman" w:hAnsi="Times New Roman"/>
          <w:sz w:val="18"/>
          <w:szCs w:val="18"/>
          <w:color w:val="auto"/>
        </w:rPr>
      </w:pPr>
    </w:p>
    <w:p>
      <w:pPr>
        <w:ind w:right="60" w:firstLine="8"/>
        <w:spacing w:after="0" w:line="255" w:lineRule="auto"/>
        <w:tabs>
          <w:tab w:leader="none" w:pos="2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shall have first delivered to Buyer written notice advising Buyer that the Company intends to take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one such notice need be given with respect to any specific Acquisition Proposal, including any amendment or modification of any such Acquisition Proposal.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the event that on or after the date of this Agreement, the Company receives an Acquisition Proposal or any inquiry with respect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thereto, or any request for nonpublic information relating to the Company or any Subsidiary of the Company or for access to the properties, books or records of the Company or any Subsidiary of the Company by any Person that has made, or would reasonably be expected to make, an Acquisition Proposal, the Company will (i) promptly (and in no event later than twenty-four (24) hours after becoming aware of such Acquisition Proposal, inquiry or request) notify (which notice shall be provided orally and in writing and shall identify the Person making such Acquisition Proposal, inquiry or request and set forth the material terms thereof) Buyer thereof, (ii) keep Buyer reasonably and promptly informed of the status and terms (including any amendments thereto) of any such Acquisition Proposal, inquiry or request, and (iii) as promptly as practicable after the receipt or delivery thereof (but in no event later than twenty-four (24) hours becoming aware of receipt) provide to Buyer copies of all material written correspondence and other material written materials sent or provided to the Company or any of its Subsidiaries that describe any terms or conditions thereof, including any proposed transaction agreements. The Company (x) shall, and shall cause its Subsidiaries to, immediately cease and cause to be terminated, and shall direct and use reasonable best efforts to cause its and their respective Representatives to immediately cease and cause to be terminated, all discussions and negotiations, if any, that have taken place prior to the date of this Agreement with any Persons with respect to any Acquisition Proposal or the possibility thereof, (y) shall promptly (and in any event within twenty-four (24) hours after execution of this Agreement) request each Person, if any, that has executed a confidentiality agreement in connection with its consideration of any Acquisition Proposal to return or destroy all confidential information heretofore furnished to such Person by or on behalf of it or any of its Subsidiaries and (z) shall immediately terminate all physical and electronic data room access for such Person and their Representatives to diligence or other information regarding the Company or any of its Subsidiaries. From the date of this Agreement until the earlier of the Effective Time and the termination of this Agreement, the Company shall not modify, amend or terminate, or waive, release or assign, any provisions of any confidentiality or standstill agreement (or any similar agreement) to which the Company or any of its Subsidiaries is a party relating to any such Acquisition Proposal and shall enforce the provisions of any such agreement in accordance with its terms;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Company shall be permitted on a confidential basis, upon written request by a relevant party thereto, to release or waive any standstill obligations solely to the extent necessary to permit the party referred therein to submit an Acquisition Proposal to the Company Board on a confidential basis if the Company Board determines in good faith, after consultation with the Company’s outside legal counsel and financial advisors, that the failure to do so would be inconsistent with the fiduciary duties of the Company Board to the Company’s stockholders under applicable Law. The Company shall promptly (and in any event within twenty-four (24) hours) provide written notice to Buyer of any waiver or release of any standstill by the Company. The Company agrees that in the event any Representative of the Company or its Subsidiaries takes any action that, if taken by the Company, would constitute a breach of this </w:t>
      </w:r>
      <w:r>
        <w:rPr>
          <w:rFonts w:ascii="Times New Roman" w:cs="Times New Roman" w:eastAsia="Times New Roman" w:hAnsi="Times New Roman"/>
          <w:sz w:val="18"/>
          <w:szCs w:val="18"/>
          <w:u w:val="single" w:color="auto"/>
          <w:color w:val="000000"/>
        </w:rPr>
        <w:t>Section 6.2</w:t>
      </w:r>
      <w:r>
        <w:rPr>
          <w:rFonts w:ascii="Times New Roman" w:cs="Times New Roman" w:eastAsia="Times New Roman" w:hAnsi="Times New Roman"/>
          <w:sz w:val="18"/>
          <w:szCs w:val="18"/>
          <w:color w:val="000000"/>
        </w:rPr>
        <w:t xml:space="preserve">, the Company shall be deemed to be in material breach of this </w:t>
      </w:r>
      <w:r>
        <w:rPr>
          <w:rFonts w:ascii="Times New Roman" w:cs="Times New Roman" w:eastAsia="Times New Roman" w:hAnsi="Times New Roman"/>
          <w:sz w:val="18"/>
          <w:szCs w:val="18"/>
          <w:u w:val="single" w:color="auto"/>
          <w:color w:val="000000"/>
        </w:rPr>
        <w:t>Section 6.2</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9" w:name="page80"/>
    <w:bookmarkEnd w:id="79"/>
    <w:p>
      <w:pPr>
        <w:ind w:firstLine="1296"/>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For purposes of this Agreement, “</w:t>
      </w:r>
      <w:r>
        <w:rPr>
          <w:rFonts w:ascii="Times New Roman" w:cs="Times New Roman" w:eastAsia="Times New Roman" w:hAnsi="Times New Roman"/>
          <w:sz w:val="18"/>
          <w:szCs w:val="18"/>
          <w:u w:val="single" w:color="auto"/>
          <w:color w:val="000000"/>
        </w:rPr>
        <w:t>Acquisition Proposal</w:t>
      </w:r>
      <w:r>
        <w:rPr>
          <w:rFonts w:ascii="Times New Roman" w:cs="Times New Roman" w:eastAsia="Times New Roman" w:hAnsi="Times New Roman"/>
          <w:sz w:val="18"/>
          <w:szCs w:val="18"/>
          <w:color w:val="000000"/>
        </w:rPr>
        <w:t>” means (i) any proposal or offer from any Person or group of Persons,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Buyer and its Affiliates, with respect to a merger, joint venture, partnership, consolidation, dissolution, liquidation, tender offer, recapitalization, reorganization, spin-off, extraordinary dividend, share exchange, business combination or similar transaction involving the Company or any of its Subsidiaries which is structured to result in such Person or group of Persons (or their stockholders), directly or indirectly, acquiring beneficial ownership of 20% or more of the Company’s consolidated total assets (including equity securities of the Company’s Subsidiaries), net income or net revenue or 20% or more of any class of the Company’s equity interests and (ii) any acquisition by any Person or group of Persons (or their stockholders) (other than Buyer and its Subsidiaries) resulting in, or proposal or offer, which if consummated would result in, any Person or group of Persons (or their stockholders) (other than Buyer and its Subsidiaries) obtaining control (through Contract or otherwise) over or becoming the beneficial owner of, directly or indirectly, in one or a series of related transactions, 20% or more of the total voting power of any class of equity securities of the Company or 20% or more of the Company’s consolidated total assets (including equity securities of the Company’s Subsidiaries), net income or net revenue, in each case other than the Transactions. For purposes of this Agreement, “</w:t>
      </w:r>
      <w:r>
        <w:rPr>
          <w:rFonts w:ascii="Times New Roman" w:cs="Times New Roman" w:eastAsia="Times New Roman" w:hAnsi="Times New Roman"/>
          <w:sz w:val="18"/>
          <w:szCs w:val="18"/>
          <w:u w:val="single" w:color="auto"/>
          <w:color w:val="000000"/>
        </w:rPr>
        <w:t>Company Superior Proposal</w:t>
      </w:r>
      <w:r>
        <w:rPr>
          <w:rFonts w:ascii="Times New Roman" w:cs="Times New Roman" w:eastAsia="Times New Roman" w:hAnsi="Times New Roman"/>
          <w:sz w:val="18"/>
          <w:szCs w:val="18"/>
          <w:color w:val="000000"/>
        </w:rPr>
        <w:t>” means an unsolicited, bona fide written Acquisition Proposal made after the date of this Agreement (A) that would result in a Person or group of Persons (or their equity holders) becoming, directly or indirectly, the beneficial owner of 50% or more of the Company’s consolidated total assets, net income or net revenue or 50% or more of the total voting power of the equity securities of the Company or the successor Person of the Company and (B) that the Company Board has determined in its good faith judgment, after consultation with its outside legal and financial advisors, taking into account all the terms and conditions of such Acquisition Proposal, including likelihood of consummation on the terms proposed, the Person or group making such proposal and all legal, financial and regulatory aspects of such proposal, as well as any revisions to the terms of the Transactions proposed pursuant to Section 6‎.3(b)(i), is more favorable to the Company’s stockholders than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-27940</wp:posOffset>
            </wp:positionV>
            <wp:extent cx="755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55015" cy="8890"/>
                    </a:xfrm>
                    <a:prstGeom prst="rect">
                      <a:avLst/>
                    </a:prstGeom>
                    <a:noFill/>
                  </pic:spPr>
                </pic:pic>
              </a:graphicData>
            </a:graphic>
          </wp:anchor>
        </w:drawing>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Company Stockholder Meeting; Proxy Material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permitted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6.3(b)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below, the Company Board shall make the Company Recommendation, and unless permitted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w:t>
      </w:r>
      <w:r>
        <w:rPr>
          <w:rFonts w:ascii="Times New Roman" w:cs="Times New Roman" w:eastAsia="Times New Roman" w:hAnsi="Times New Roman"/>
          <w:sz w:val="18"/>
          <w:szCs w:val="18"/>
          <w:u w:val="single" w:color="auto"/>
          <w:color w:val="000000"/>
        </w:rPr>
        <w:t>Section 6.3(b)</w:t>
      </w:r>
      <w:r>
        <w:rPr>
          <w:rFonts w:ascii="Times New Roman" w:cs="Times New Roman" w:eastAsia="Times New Roman" w:hAnsi="Times New Roman"/>
          <w:sz w:val="18"/>
          <w:szCs w:val="18"/>
          <w:color w:val="000000"/>
        </w:rPr>
        <w:t>, neither the Company Board nor any committee thereof shall (i) withdraw, modify or qualify, or propose publicly to withdraw, modify or qualify, in any manner adverse to Buyer, the approval of this Agreement or the Transactions or the Company Recommendation (it being understood that if any Acquisition Proposal structured as a tender or exchange offer is commenced, the Company Board failing to recommend against acceptance of such tender or exchange offer by the Company’s stockholders within 10 Business Days of commencement thereof pursuant to Rule 14e-2 of the Exchange Act shall be considered a modification to the Company Recommendation that is adverse to Buyer), (ii) fail to include the Company Recommendation in the Proxy Statement when disseminated to the Company’s stockholders, (iii) adopt, approve, endorse, declare advisable or recommend, or propose publicly to adopt, approve, endorse, declare advisable or recommend, any Acquisition Proposal or (iv) approve any transaction, or any transaction resulting in any third party becoming an “interested stockholder”, under Section 203 of the DGCL (any of the foregoing, a “</w:t>
      </w:r>
      <w:r>
        <w:rPr>
          <w:rFonts w:ascii="Times New Roman" w:cs="Times New Roman" w:eastAsia="Times New Roman" w:hAnsi="Times New Roman"/>
          <w:sz w:val="18"/>
          <w:szCs w:val="18"/>
          <w:u w:val="single" w:color="auto"/>
          <w:color w:val="000000"/>
        </w:rPr>
        <w:t>Change in the Company Recommendation</w:t>
      </w:r>
      <w:r>
        <w:rPr>
          <w:rFonts w:ascii="Times New Roman" w:cs="Times New Roman" w:eastAsia="Times New Roman" w:hAnsi="Times New Roman"/>
          <w:sz w:val="18"/>
          <w:szCs w:val="18"/>
          <w:color w:val="000000"/>
        </w:rPr>
        <w:t>”). For purposes of this Agreement, a Change in the Company Recommendation shall also include any failure by the Company to include the Company Recommendation in the Proxy Statement.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w:t>
      </w:r>
    </w:p>
    <w:p>
      <w:pPr>
        <w:spacing w:after="0" w:line="225" w:lineRule="exact"/>
        <w:rPr>
          <w:sz w:val="20"/>
          <w:szCs w:val="20"/>
          <w:color w:val="auto"/>
        </w:rPr>
      </w:pPr>
    </w:p>
    <w:p>
      <w:pPr>
        <w:ind w:right="80" w:firstLine="1944"/>
        <w:spacing w:after="0" w:line="25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Company Board shall be permitted, in response to a Company Superior Proposal received after the date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that did not result from or in connection with a breach of this Agreement, to effect a Change in the Company Recommendation, or to cause the Company to terminate this Agreement pursuant to </w:t>
      </w:r>
      <w:r>
        <w:rPr>
          <w:rFonts w:ascii="Times New Roman" w:cs="Times New Roman" w:eastAsia="Times New Roman" w:hAnsi="Times New Roman"/>
          <w:sz w:val="18"/>
          <w:szCs w:val="18"/>
          <w:u w:val="single" w:color="auto"/>
          <w:color w:val="000000"/>
        </w:rPr>
        <w:t>Section 8.1(c)(ii)</w:t>
      </w:r>
      <w:r>
        <w:rPr>
          <w:rFonts w:ascii="Times New Roman" w:cs="Times New Roman" w:eastAsia="Times New Roman" w:hAnsi="Times New Roman"/>
          <w:sz w:val="18"/>
          <w:szCs w:val="18"/>
          <w:color w:val="000000"/>
        </w:rPr>
        <w:t xml:space="preserve">, in each case, only if all of the following conditions are met: (A) the Company Stockholder Approval has not been obtained; (B) the Company Board determines in good faith, after consulting with its outside legal counsel and financial advisors, that failing to take such action would be inconsistent with the fiduciary duties of the Company Board to the Company’s stockholders under applicable Law; (C) before taking any such action, the Company promptly gives Buyer written notice advising Buyer of the decision of the Company Board to take such action, including the reasons therefor and specifying the material terms and conditions of the applicable Acquisition Proposal and the identity of the Person making such Acquisition Proposal (and the Company will also promptly give Buyer such a notice with respect to any subsequent change in such proposal), and the Company has given Buyer at least four (4) Business Days (as modified, extended or continued by this </w:t>
      </w:r>
      <w:r>
        <w:rPr>
          <w:rFonts w:ascii="Times New Roman" w:cs="Times New Roman" w:eastAsia="Times New Roman" w:hAnsi="Times New Roman"/>
          <w:sz w:val="18"/>
          <w:szCs w:val="18"/>
          <w:u w:val="single" w:color="auto"/>
          <w:color w:val="000000"/>
        </w:rPr>
        <w:t>Section 6.3(b)(i)</w:t>
      </w:r>
      <w:r>
        <w:rPr>
          <w:rFonts w:ascii="Times New Roman" w:cs="Times New Roman" w:eastAsia="Times New Roman" w:hAnsi="Times New Roman"/>
          <w:sz w:val="18"/>
          <w:szCs w:val="18"/>
          <w:color w:val="000000"/>
        </w:rPr>
        <w:t>, the “</w:t>
      </w:r>
      <w:r>
        <w:rPr>
          <w:rFonts w:ascii="Times New Roman" w:cs="Times New Roman" w:eastAsia="Times New Roman" w:hAnsi="Times New Roman"/>
          <w:sz w:val="18"/>
          <w:szCs w:val="18"/>
          <w:u w:val="single" w:color="auto"/>
          <w:color w:val="000000"/>
        </w:rPr>
        <w:t>Superior Proposal Match Period</w:t>
      </w:r>
      <w:r>
        <w:rPr>
          <w:rFonts w:ascii="Times New Roman" w:cs="Times New Roman" w:eastAsia="Times New Roman" w:hAnsi="Times New Roman"/>
          <w:sz w:val="18"/>
          <w:szCs w:val="18"/>
          <w:color w:val="000000"/>
        </w:rPr>
        <w:t>”) after delivery of such notice to propose revisions to the terms of the Merger or this Agreement (or to make another proposal) in response to such Acquisition Proposal and during such period has made its Representatives reasonably available to negotiate with Buyer (to the extent Buyer wishes to negotiate) with respect to such proposed revisions or other proposal, if any (it being understood and agreed that any amendment or modification (other than immaterial amendments or modifications) of such Acquisition Proposal shall require a new notice period with a new Superior Proposal Match Period of two (2) Business Days); and (D) the Company Board determines in good faith that such Acquisition Proposal constitutes a Company Superior Proposal at the end of such Superior Proposal Match Period after consultation with its outside legal counsel and financial advisors and after taking into account any revisions to the terms of the Merger or this Agreement proposed by Buyer.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firstLine="1944"/>
        <w:spacing w:after="0" w:line="25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Company Board shall be permitted, in response to an Intervening Event occurring after the date of this Agreement,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 a Change in the Company Recommendation, only if all of the following conditions are met: (A) the Company Stockholder Approval has not been obtained; (B) the Company Board determines in good faith, after consulting with its outside legal counsel and financial advisors, that failing to take such action in response to such Intervening Event would be inconsistent with the fiduciary duties of the Company Board to the Company’s stockholders under applicable Law; (C) before taking any such action, the Company gives Buyer written notice of the facts and circumstances relating to the Intervening Event and advising Buyer of the decision of the Company Board to take such action in response to such Intervening Event (which notice shall describe the Intervening Event in reasonable detail), and the Company has given Buyer at least four (4) Business Days (as modified, extended or continued by this Section ‎6.3(b)(ii), the “</w:t>
      </w:r>
      <w:r>
        <w:rPr>
          <w:rFonts w:ascii="Times New Roman" w:cs="Times New Roman" w:eastAsia="Times New Roman" w:hAnsi="Times New Roman"/>
          <w:sz w:val="18"/>
          <w:szCs w:val="18"/>
          <w:u w:val="single" w:color="auto"/>
          <w:color w:val="000000"/>
        </w:rPr>
        <w:t>Match Period</w:t>
      </w:r>
      <w:r>
        <w:rPr>
          <w:rFonts w:ascii="Times New Roman" w:cs="Times New Roman" w:eastAsia="Times New Roman" w:hAnsi="Times New Roman"/>
          <w:sz w:val="18"/>
          <w:szCs w:val="18"/>
          <w:color w:val="000000"/>
        </w:rPr>
        <w:t>”) after delivery of such notice to propose revisions to the terms of the Merger or this Agreement (or to make another proposal) in response to such Intervening Event and during such period has made its Representatives reasonably available to negotiate with Buyer (to the extent Buyer wishes to negotiate) with respect to such proposed revisions or other proposal, if any (it being understood and agreed that any change in fact (other than an immaterial change) relating to such Intervening Event shall require a new notice period with a new Match Period of two (2) Business Days); and (D) Buyer does not make, within the Match Period, a proposal in a manner that would form a binding contract if accepted by the Company that the Company Board determines in good faith, after consultation with its outside legal counsel and financial advisors, would obviate the need to take such action in response to such Intervening Event. Without limiting the Company’s right to terminate this Agreement in the circumstances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786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ind w:right="400"/>
        <w:spacing w:after="0" w:line="260" w:lineRule="auto"/>
        <w:rPr>
          <w:sz w:val="20"/>
          <w:szCs w:val="20"/>
          <w:color w:val="auto"/>
        </w:rPr>
      </w:pP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a Change in the Company Recommendation shall not limit the Company’s obligation to submit this Agreement to the stockholders of the Company for the purpose of obtaining the Company Stockholder Approval at the Company Stockholder Meeting.</w:t>
      </w:r>
    </w:p>
    <w:p>
      <w:pPr>
        <w:spacing w:after="0" w:line="181"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As promptly as practicable following the date of this Agreement, Buyer and the Company shall prepare, and no later than 15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from the date of this Agreement, the Company shall file with the SEC, the Proxy Statement. Each of Buyer and the Company shall use all reasonable efforts for the Proxy Statement to be cleared by the SEC and its staff under the Exchange Act as promptly as practicable after such filing. Buyer shall promptly comply with all reasonable requests from the Company for information regarding Buyer or Merger Sub and required by applicable Law for inclusion in the Proxy Statement and any amendments or supplements thereto. The Company will not file the Proxy Statement, or any amendments or supplements thereto, with the SEC without first providing Buyer and its counsel a reasonable opportunity to review and comment thereon, and the Company will (x) include the reasonable additions, deletions or changes suggested by Buyer or its counsel to the extent relating to Buyer or its Affiliates and (y) consider in good faith all other such reasonable additions, deletions or changes suggested by Buyer or its counsel in connection therewith. The Company shall cause the Proxy Statement to be mailed to stockholders of the Company as promptly as practicable after receipt of confirmation from the SEC that it will not review, or that it has completed its review of, the Proxy Statement.</w:t>
      </w:r>
    </w:p>
    <w:p>
      <w:pPr>
        <w:spacing w:after="0" w:line="194"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Each of the Company and Buyer shall ensure that none of the information supplied by or on its behalf for inclusion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incorporation by reference in the Proxy Statement will, at the date it is first mailed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80"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If, at any time prior to the receipt of the Company Stockholder Approval, any information relating to the Company, Buyer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Merger Sub or any of their respective Affiliates, directors or officers is discovered by the Company, Buyer or Merger Sub, which is required to be set forth in an amendment or supplement to the Proxy Statement so that none of such documents would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applicable Law, disseminated to the stockholders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1" w:name="page82"/>
    <w:bookmarkEnd w:id="81"/>
    <w:p>
      <w:pPr>
        <w:ind w:right="40" w:firstLine="1296"/>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Each of the Company and Buyer shall, as promptly as practicable after receipt thereof, provide the other with copies of any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comments, and advise the other of any oral comments, received from the SEC with respect to the Proxy Statement and shall provide the other with copies of all correspondence between it and its Affiliates, on the one hand, and the SEC, on the other hand, with respect thereto. Each of the Company and Buyer shall provide the other with a reasonable opportunity to participate in any meetings or calls with the SEC relating to the Proxy Statement and review and comment on any communications with the SEC prior to filing such with the SEC, and will promptly provide the other with a copy of all such filings and communications made with the SEC. The Company and Buyer shall use their respective reasonable best efforts to respond to any comments of the SEC or its staff with respect to the Proxy Statement as promptly as reasonably practicable.</w:t>
      </w:r>
    </w:p>
    <w:p>
      <w:pPr>
        <w:spacing w:after="0" w:line="18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Company shall take all action necessary in accordance with applicable Law and its Organizational Documents to establish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record date for, duly call, give notice of, convene and hold a meeting of its stockholders as promptly as reasonably practicable after receipt of confirmation from the SEC that it will not review, or that it has completed its review of, the Proxy Statement (subject to any Change in the Company Recommendation permitted by, and in accordance with, Section 6‎.3(b)), and in any event shall hold a meeting of its stockholders within 45 days thereafter, for the purpose of obtaining the Company Stockholder Approval (the “</w:t>
      </w:r>
      <w:r>
        <w:rPr>
          <w:rFonts w:ascii="Times New Roman" w:cs="Times New Roman" w:eastAsia="Times New Roman" w:hAnsi="Times New Roman"/>
          <w:sz w:val="18"/>
          <w:szCs w:val="18"/>
          <w:u w:val="single" w:color="auto"/>
          <w:color w:val="000000"/>
        </w:rPr>
        <w:t>Company Stockholder Meeting</w:t>
      </w:r>
      <w:r>
        <w:rPr>
          <w:rFonts w:ascii="Times New Roman" w:cs="Times New Roman" w:eastAsia="Times New Roman" w:hAnsi="Times New Roman"/>
          <w:sz w:val="18"/>
          <w:szCs w:val="18"/>
          <w:color w:val="000000"/>
        </w:rPr>
        <w:t xml:space="preserve">”), and the Company Board shall include the Company Recommendation in the Proxy Statement and make the Company Recommendation at the Company Stockholder Meeting;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Company Board may effect a Change in the Company Recommendation if permitted by, and in accordance with, Section 6‎.3(b). Without limiting the generality of the foregoing, but subject to Section 6‎.3(b) and the Company’s rights to terminate this Agreement under the circumstances set forth in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the Company agrees that its obligations pursuant to the first sentence of this Section 6‎.3(g) or its other obligations under this Section 6‎.3 shall not be affected by the commencement, public proposal, public disclosure or communication to the Company or its stockholders or representatives of any Acquisition Proposal. The Company shall not, without the prior written consent of Buyer, adjourn, postpone, recess or otherwise delay the Company Stockholder Meeting;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Company may, notwithstanding the foregoing, after reasonable consultation with Buyer, adjourn or postpone the Company Stockholder Meeting (A) if, after consultation with Buyer, the Company believes in good faith that such adjournment or postponement is reasonably necessary to allow reasonable additional time to (1) solicit additional proxies necessary to obtain the Company Stockholder Approval, or (2) distribute any supplement or amendment to the Proxy Statement, the distribution of which the Company Board has determined in good faith to be necessary under applicable Law after consultation with its outside legal counsel or (B) for an absence of a quorum, and the Company shall use its reasonable best efforts to obtain such a quorum as promptly as practicable. Notwithstanding the foregoing, the Company may not, without the prior written consent of Buyer, adjourn or postpone the Company Stockholder Meeting more than a total of three (3) times pursuant to clause (A)(1) or (B) of the immediately preceding sentence, and no such adjournment or postponement pursuant to clause (A)(1) or (B) of the immediately preceding sentence shall be, without the prior written consent of Buyer, for a period exceeding ten (10) days in connection with any one adjournment or postponement or more than an aggregate of thirty (30) days. Without the prior written consent of Buyer, (x) the Company shall not change the record date for the Company Stockholder Meeting and (y) the matters contemplated by the Company Stockholder Approval shall be the only matters (other than matters of procedure and matters required by applicable Law to be voted on by the Company’s stockholders in connection therewith and the Transactions) that the Company shall propose to be voted on by the stockholders of the Company at the Company Stockholder Meeting. The Company shall otherwise coordinate and cooperate with Buyer with respect to the timing of the Company Stockholder Meeting. The Company shall provide updates to Buyer with respect to the proxy solicitation for the Company Stockholder Meeting (including interim results) as reasonably requested by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-3038475</wp:posOffset>
            </wp:positionV>
            <wp:extent cx="6470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-2626995</wp:posOffset>
            </wp:positionV>
            <wp:extent cx="6470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-2489835</wp:posOffset>
            </wp:positionV>
            <wp:extent cx="6470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-2352675</wp:posOffset>
            </wp:positionV>
            <wp:extent cx="6470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-2352675</wp:posOffset>
            </wp:positionV>
            <wp:extent cx="5137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Cooperation; Efforts to Consummate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terms and conditions of this Agreement (including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6.4(f)</w:t>
      </w:r>
      <w:r>
        <w:rPr>
          <w:rFonts w:ascii="Times New Roman" w:cs="Times New Roman" w:eastAsia="Times New Roman" w:hAnsi="Times New Roman"/>
          <w:sz w:val="18"/>
          <w:szCs w:val="18"/>
          <w:color w:val="000000"/>
        </w:rPr>
        <w:t>), each of the Company and Buyer shall use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reasonable best efforts to take (and, in the case of Buyer, including the efforts required by Section 6‎.4(e)), or cause to be taken, all actions and to do, or cause to be done, all things necessary, proper or advisable under applicable Law to consummate and make effective the Merger and the other Transactions as promptly as practicable after the date of this Agreement and, in any event, prior to the End Date, including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preparing and filing, in consultation with the other Parties, as promptly as practicable with any Governmental Entity or other third party all documentation to effect all necessary, proper, requested or advisable filings, notices, petitions, statements, registrations, submissions of information, applications and other documents,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xml:space="preserve">) obtaining and maintaining all approvals, consents, registrations, permits, authorizations and other confirmations required to be obtained from any Governmental Entity or other third party, in each case, that are necessary, proper, requested or advisable to consummate and make effective the Merger and the other Transactions (whether or not such approvals, consents, registrations, permits, authorizations and other confirmations are conditions to the consummation of the Merger pursuant to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xml:space="preserve">‎) and (iii) taking the actions set forth in </w:t>
      </w:r>
      <w:r>
        <w:rPr>
          <w:rFonts w:ascii="Times New Roman" w:cs="Times New Roman" w:eastAsia="Times New Roman" w:hAnsi="Times New Roman"/>
          <w:sz w:val="18"/>
          <w:szCs w:val="18"/>
          <w:u w:val="single" w:color="auto"/>
          <w:color w:val="000000"/>
        </w:rPr>
        <w:t>Section 6.4(a)</w:t>
      </w:r>
      <w:r>
        <w:rPr>
          <w:rFonts w:ascii="Times New Roman" w:cs="Times New Roman" w:eastAsia="Times New Roman" w:hAnsi="Times New Roman"/>
          <w:sz w:val="18"/>
          <w:szCs w:val="18"/>
          <w:color w:val="000000"/>
        </w:rPr>
        <w:t xml:space="preserve"> of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-1124585</wp:posOffset>
            </wp:positionV>
            <wp:extent cx="6407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7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furtherance and not in limitation of the foregoing (and subject to the other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each of Buyer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Company shall make as promptly as practicable after the date of this Agreement (i) a filing of the notification and report form required under the HSR Act and any other similar filings required under other applicable Antitrust Laws and (ii) any filings, notices or reports required to be made with or to Regulators pursuant to applicable Regulatory Laws or otherwise set forth in </w:t>
      </w:r>
      <w:r>
        <w:rPr>
          <w:rFonts w:ascii="Times New Roman" w:cs="Times New Roman" w:eastAsia="Times New Roman" w:hAnsi="Times New Roman"/>
          <w:sz w:val="18"/>
          <w:szCs w:val="18"/>
          <w:u w:val="single" w:color="auto"/>
          <w:color w:val="000000"/>
        </w:rPr>
        <w:t>Section 6.4(a)</w:t>
      </w:r>
      <w:r>
        <w:rPr>
          <w:rFonts w:ascii="Times New Roman" w:cs="Times New Roman" w:eastAsia="Times New Roman" w:hAnsi="Times New Roman"/>
          <w:sz w:val="18"/>
          <w:szCs w:val="18"/>
          <w:color w:val="000000"/>
        </w:rPr>
        <w:t xml:space="preserve"> of the Company Disclosure Letter;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each of Buyer and the Company shall make its filing with respect to the HSR Act within twenty-five (25) Business Days after the date of this Agreement. Subject to the other provisions of this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each of the Company and Buyer shall (A) supply as promptly as practicable any additional information and documentary material that may be requested by a Governmental Entity in connection with the foregoing, including any information, documentation or other material that may be requested by a Governmental Entity with respect to any controlling person of Buyer, (B) furnish to each other any necessary information and reasonable assistance as the other may request in connection with the foregoing, and (C) take all other actions necessary or advisable to cause the expiration or termination of any applicable waiting periods under the HSR Act and any other applicable Antitrust Laws and Regulatory Laws, in each case as promptly as practicable and, in any event, prior to the End Date. The Company and Buyer shall each request early termination of the waiting period with respect to the Merger under the HSR Act. Buyer shall pay all filing fees payable under the HSR Act or in connection with any other applicable Antitrust Laws or Regulatory Laws, regardless of whether the Transactions are consummated.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as prohibited by applicable Law or Governmental Order, each of Buyer and the Company shall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cooperate and consult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each other in connection with any filing or submission with a Governmental Entity in connection with the Transactions and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by a Governmental Entity relating to the Transactions, including by allowing the other Party to have a reasonable opportunity to review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and comment on drafts of filings and submissions,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promptly inform the other Party of (and if in writing, supply to the other Party)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substantive communication received by such Party from, or given by such Party to, the Federal Trade Commission, the Antitrust Division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Justice or any other Governmental Entity, in each case regarding any of the Transactions,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consult with each other prior to taking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position with respect to the filings contemplated by Section 6‎.4(b) in discussions with or filings to be submitted to any Governmental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-19050</wp:posOffset>
            </wp:positionV>
            <wp:extent cx="6470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permit the other to review and discuss in advance, and consider in good faith the views of the other in connection with, any analyses, 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memoranda, briefs, arguments, opinions and proposals to be submitted to any Governmental Entity with respect to the filings contemplated by</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‎6.4(b)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coordinate with the other in preparing and exchanging such information and promptly provide the other (and its counsel) with copies of all filings, presentations or submissions (and a summary of any oral presentations) made by such Party with any Governmental Entity relating to this Agreement or the Transactions. Notwithstanding the foregoing, in the event of any dispute between the Parties relating to strategy in connection with obtaining all necessary approvals under Antitrust Laws or Regulatory Laws or from any Governmental Entity with respect to the Merger or the other Transactions, the Parties shall escalate such dispute to the chief legal officers of the Company and Buyer for resolution. If such dispute is not resolved pursuant to the preceding sentence, Buyer shall have the right to make the final determination with respect to such matter acting in a manner consistent with Buyer’s obligations under Section ‎6.4(e).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6470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1218565</wp:posOffset>
            </wp:positionH>
            <wp:positionV relativeFrom="paragraph">
              <wp:posOffset>-31115</wp:posOffset>
            </wp:positionV>
            <wp:extent cx="6407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68" w:lineRule="exact"/>
        <w:rPr>
          <w:sz w:val="20"/>
          <w:szCs w:val="20"/>
          <w:color w:val="auto"/>
        </w:rPr>
      </w:pPr>
    </w:p>
    <w:p>
      <w:pPr>
        <w:ind w:right="60" w:firstLine="1296"/>
        <w:spacing w:after="0" w:line="274"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Unless prohibited by applicable Law or Governmental Order, to the extent reasonably practicable, (</w:t>
      </w:r>
      <w:r>
        <w:rPr>
          <w:rFonts w:ascii="Times New Roman" w:cs="Times New Roman" w:eastAsia="Times New Roman" w:hAnsi="Times New Roman"/>
          <w:sz w:val="17"/>
          <w:szCs w:val="17"/>
          <w:u w:val="single" w:color="auto"/>
          <w:color w:val="000000"/>
        </w:rPr>
        <w:t>i</w:t>
      </w:r>
      <w:r>
        <w:rPr>
          <w:rFonts w:ascii="Times New Roman" w:cs="Times New Roman" w:eastAsia="Times New Roman" w:hAnsi="Times New Roman"/>
          <w:sz w:val="17"/>
          <w:szCs w:val="17"/>
          <w:color w:val="000000"/>
        </w:rPr>
        <w:t>) none of the Company, Buyer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their respective Affiliates shall participate in or attend any meeting, or engage in any substantive conversation, with any Governmental Entity in respect of the Merger (including with respect to any of the actions referred to in Section 6‎.4(a)) without the other, (</w:t>
      </w:r>
      <w:r>
        <w:rPr>
          <w:rFonts w:ascii="Times New Roman" w:cs="Times New Roman" w:eastAsia="Times New Roman" w:hAnsi="Times New Roman"/>
          <w:sz w:val="17"/>
          <w:szCs w:val="17"/>
          <w:u w:val="single" w:color="auto"/>
          <w:color w:val="000000"/>
        </w:rPr>
        <w:t>ii</w:t>
      </w:r>
      <w:r>
        <w:rPr>
          <w:rFonts w:ascii="Times New Roman" w:cs="Times New Roman" w:eastAsia="Times New Roman" w:hAnsi="Times New Roman"/>
          <w:sz w:val="17"/>
          <w:szCs w:val="17"/>
          <w:color w:val="000000"/>
        </w:rPr>
        <w:t>) each of the Company and Buyer shall give the other reasonable prior notice of any such meeting or conversation and (</w:t>
      </w:r>
      <w:r>
        <w:rPr>
          <w:rFonts w:ascii="Times New Roman" w:cs="Times New Roman" w:eastAsia="Times New Roman" w:hAnsi="Times New Roman"/>
          <w:sz w:val="17"/>
          <w:szCs w:val="17"/>
          <w:u w:val="single" w:color="auto"/>
          <w:color w:val="000000"/>
        </w:rPr>
        <w:t>iii</w:t>
      </w:r>
      <w:r>
        <w:rPr>
          <w:rFonts w:ascii="Times New Roman" w:cs="Times New Roman" w:eastAsia="Times New Roman" w:hAnsi="Times New Roman"/>
          <w:sz w:val="17"/>
          <w:szCs w:val="17"/>
          <w:color w:val="000000"/>
        </w:rPr>
        <w:t>) in the event either the Company or Buyer is prohibited by applicable Law or Governmental Order or by the applicable Governmental Entity from participating or attending any such meeting or engaging in any such conversation, the participating or attending Party shall keep the non-participating or non-attending, as the case may be, Party reasonably apprised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-452120</wp:posOffset>
            </wp:positionV>
            <wp:extent cx="6407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53"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6.4(f)</w:t>
      </w:r>
      <w:r>
        <w:rPr>
          <w:rFonts w:ascii="Times New Roman" w:cs="Times New Roman" w:eastAsia="Times New Roman" w:hAnsi="Times New Roman"/>
          <w:sz w:val="18"/>
          <w:szCs w:val="18"/>
          <w:color w:val="000000"/>
        </w:rPr>
        <w:t>, Buyer and its Affiliates shall take all actions necessary to avoid or eliminate each and every impediment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may be asserted by any Governmental Entity with respect to the Transactions so as to enable the Closing to occur as promptly as practicable and, in any event, prior to the End Date, including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the prompt use of its reasonable best efforts to avoid the entry of, or to effect the dissolution of, any permanent, preliminary or temporary Governmental Order that would restrain, prevent, enjoin or otherwise prohibit consummation of the Transactions so as to permit the Transactions to be consummated on a schedule as close as possible to that contemplated by this Agreement and, in any event, prior to the End Date, including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the agreement by Buyer to sell, lease, license or otherwise dispose of, or hold separate pending such disposition, and promptly to effect the sale, lease, license, disposal and holding separate of, such assets, rights, product lines, categories of assets or businesses or other operations or interests therein of Buyer or any of its Subsidiaries (including, after the Closing, the Company and its Subsidiaries) (and the entry into agreements with, and submission to orders of, the relevant Governmental Entity giving effect thereto, including the entry into hold separate arrangements, terminating, assigning or modifying Contracts (or portions thereof) or other business relationships, accepting restrictions on business operations and entering into commitments and obligations)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the agreement by Buyer to take such other actions, and promptly to effect such other actions (and the entry into agreements with, and submission to orders of, the relevant Governmental Entity giving effect thereto, including the entry into hold separate arrangements, terminating, assigning or modifying Contracts (or portions thereof) or other business relationships, accepting restrictions on business operations and entering into commitments and obligations), in each case if such action should be necessary or advisable to avoid, prevent, eliminate or remove the actual, anticipated or threatened issuance of any Governmental Order that would restrain, prevent, enjoin or otherwise prohibit consummation of the Transactions by any Governmental Entity (any of the foregoing actions in clauses (A) or (B) of this clause (i), a “</w:t>
      </w:r>
      <w:r>
        <w:rPr>
          <w:rFonts w:ascii="Times New Roman" w:cs="Times New Roman" w:eastAsia="Times New Roman" w:hAnsi="Times New Roman"/>
          <w:sz w:val="18"/>
          <w:szCs w:val="18"/>
          <w:u w:val="single" w:color="auto"/>
          <w:color w:val="000000"/>
        </w:rPr>
        <w:t>Remedy</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defending through litigation on the merits any claim asserted in any court, agency or other Proceeding by any Person, including any Governmental Entity, seeking to restrain, prevent, enjoin or otherwise prohibit consummation of the Transactions. Nothing in this Agreement shall obligate Buyer or the Company to take, refrain from taking, proffer, make or agree to (i) any Remedy the effectiveness of which is not conditioned on the consummation of the Closing or (ii) any non-</w:t>
      </w:r>
      <w:r>
        <w:rPr>
          <w:rFonts w:ascii="Times New Roman" w:cs="Times New Roman" w:eastAsia="Times New Roman" w:hAnsi="Times New Roman"/>
          <w:sz w:val="18"/>
          <w:szCs w:val="18"/>
          <w:i w:val="1"/>
          <w:iCs w:val="1"/>
          <w:color w:val="000000"/>
        </w:rPr>
        <w:t>de minimis</w:t>
      </w:r>
      <w:r>
        <w:rPr>
          <w:rFonts w:ascii="Times New Roman" w:cs="Times New Roman" w:eastAsia="Times New Roman" w:hAnsi="Times New Roman"/>
          <w:sz w:val="18"/>
          <w:szCs w:val="18"/>
          <w:color w:val="000000"/>
        </w:rPr>
        <w:t xml:space="preserve"> payment to any third party in order to seek or obtain from such third party any approvals, consents, registrations, permits, authorizations and other confirmations.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right="420" w:firstLine="1296"/>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Without limiting any of the foregoing, Buyer shall not, and shall cause its Affiliates not to, acquire, or propose, announce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intention, enter into any agreements, agree or otherwise make a commitment to acquire, any business, whether by merger, consolidation, purchase of property or assets, licenses or otherwise, that would reasonably be expected to prevent, materially delay or materially impair the consummation of the Transactions.</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Notwithstanding anything to the contrary in this Agreement (including the other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none of Buyer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its Affiliates (including, for this purpose, the Company and its Subsidiaries) shall be required to take, refrain from taking, proffer, make or agree to any Remedy that, individually or in the aggregate with all other Remedies to be taken, refrained from, proffered, made or agreed to, would reasonably be expected to have a Regulatory Material Adverse Effect. “</w:t>
      </w:r>
      <w:r>
        <w:rPr>
          <w:rFonts w:ascii="Times New Roman" w:cs="Times New Roman" w:eastAsia="Times New Roman" w:hAnsi="Times New Roman"/>
          <w:sz w:val="18"/>
          <w:szCs w:val="18"/>
          <w:u w:val="single" w:color="auto"/>
          <w:color w:val="000000"/>
        </w:rPr>
        <w:t>Regulatory Material Adverse Effect</w:t>
      </w:r>
      <w:r>
        <w:rPr>
          <w:rFonts w:ascii="Times New Roman" w:cs="Times New Roman" w:eastAsia="Times New Roman" w:hAnsi="Times New Roman"/>
          <w:sz w:val="18"/>
          <w:szCs w:val="18"/>
          <w:color w:val="000000"/>
        </w:rPr>
        <w:t xml:space="preserve">” means a material adverse effect on Buyer and its Subsidiaries (including, for this purpose, the Company and its Subsidiaries), taken as a whole. Notwithstanding anything to the contrary in this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xml:space="preserve">, in connection with the efforts described in this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xml:space="preserve"> to obtain all approvals, consents, registrations, permits, authorizations and other confirmations required to be obtained from any Governmental Entity as promptly as practicable, Buyer shall have the right to a reasonable period in which to engage with Governmental Entities and to discuss any objections that a Governmental Entity raises with respect to the Transactions and in which to attempt in good faith to resolve, narrow or overcome such objections.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5" w:name="page86"/>
    <w:bookmarkEnd w:id="85"/>
    <w:p>
      <w:pPr>
        <w:ind w:right="40" w:firstLine="1296"/>
        <w:spacing w:after="0" w:line="258"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The Company and its Subsidiaries (i) shall be required, at Buyer’s sole discretion (subject to and without limiting Buyer’s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obligations under this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xml:space="preserve">), to take, refrain from taking, proffer, make and agree to any Remedy (including the entry into any agreements at Buyer’s request), the effectiveness of which is conditioned on the consummation of the Closing, and (ii) shall not (without the prior written consent of Buyer, which, subject to and without limiting Buyer’s obligations under this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may be granted or withheld in Buyer’s sole discretion) take, refrain from taking, proffer, make or agree to any Remedy.</w:t>
      </w:r>
    </w:p>
    <w:p>
      <w:pPr>
        <w:spacing w:after="0" w:line="183" w:lineRule="exact"/>
        <w:rPr>
          <w:sz w:val="20"/>
          <w:szCs w:val="20"/>
          <w:color w:val="auto"/>
        </w:rPr>
      </w:pPr>
    </w:p>
    <w:p>
      <w:pPr>
        <w:ind w:right="160" w:firstLine="1296"/>
        <w:spacing w:after="0" w:line="256"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Status; Notifications</w:t>
      </w:r>
      <w:r>
        <w:rPr>
          <w:rFonts w:ascii="Times New Roman" w:cs="Times New Roman" w:eastAsia="Times New Roman" w:hAnsi="Times New Roman"/>
          <w:sz w:val="18"/>
          <w:szCs w:val="18"/>
          <w:color w:val="auto"/>
        </w:rPr>
        <w:t xml:space="preserve">. Subject to applicable Law and as otherwise required by any Governmental Entity, the Company and Buyer each shall keep the other apprised of the status of matters relating to the consummation of the Transactions. The Company shall give prompt notice to Buyer of any Company Material Adverse Effect, and each of the Company and Buyer shall give the other Party prompt notice of any failure of any condition to the other Party’s obligation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6.5 shall not affect or be deemed to modify any representation, warranty, covenant, right, remedy or condition to any obligation of any Party or update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-306070</wp:posOffset>
            </wp:positionV>
            <wp:extent cx="5143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Information; Access and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applicable Law and the other provisions of this Section 6‎.6, each of the Company and Buyer shall, upon request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furnish the other with all information concerning itself, its Affiliates, directors and officers and such other matters as may be reasonably necessary or advisable in connection with the Proxy Statement or any other statement, filing, notice or application made by or on behalf of Buyer or the Company or any of their respective Subsidiaries to any third party or any Governmental Entity in connection with the Transactions, and shall, upon giving of reasonable notice by the other, afford the other’s authorized Representatives reasonable access, during normal business hours following reasonable advance notice throughout the period prior to the Effective Time, to its officers, employees, agents, contracts, books and records (including the work papers of its independent accountants upon receipt of any required consents from such accountants), as well as properties, offices and other facilities, and, during such period, each of the Company and Buyer shall (and shall cause its Subsidiaries to) furnish promptly to the other all information concerning its business, properties and personnel as may reasonably be requested by the other, in each case, for purposes reasonably related to the consummation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-1261745</wp:posOffset>
            </wp:positionV>
            <wp:extent cx="5137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174" w:lineRule="exact"/>
        <w:rPr>
          <w:sz w:val="20"/>
          <w:szCs w:val="20"/>
          <w:color w:val="auto"/>
        </w:rPr>
      </w:pPr>
    </w:p>
    <w:p>
      <w:pPr>
        <w:ind w:right="40" w:firstLine="1296"/>
        <w:spacing w:after="0" w:line="267"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foregoing provisions of this Section 6‎.6 shall not require and shall not be construed to require either the Company or Buyer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permit any access to any of its officers, employees, agents, contracts, books or records, or its properties, offices or other facilities, or to permit any inspection, review, sampling or audit, or to disclose or otherwise make available any information that in the reasonable judgment of the Company or Buyer, as applicable, would (i) result in the disclosure of any trade secrets of any third parties or violate the terms of any confidentiality provisions in any agreement with a third party entered into prior to the date of this Agreement if the Party shall have used commercially reasonable efforts (without payment of any consideration, fees or expenses) to obtain the consent of such third party to such inspection or disclosure, (ii) result in a violation of applicable Law, including any fiduciary duty, (iii) result in the loss of the protection of any attorney-client privilege, (iv) result in the disclosure of any personal information that would expose the Party to the risk of liability or (v) unreasonably disrupt the operations of such Party or any of its Subsidiaries. In the event that the Company or Buyer, as applicable, objects to any request submitted pursuant to and in accordance with Section 6‎.6(a) and withholds information on the basis of the foregoing clauses (i) through (iii), the Company or Buyer, as applicable, shall inform the other Party as to the general nature of what is being withheld and the Company or Buyer, as applicable, shall use commercially reasonable efforts to make appropriate substitute arrangements to permit reasonable disclosure that does not suffer from any of the foregoing impediments, including through the use of commercially reasonable efforts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-1533525</wp:posOffset>
            </wp:positionV>
            <wp:extent cx="5137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-436245</wp:posOffset>
            </wp:positionV>
            <wp:extent cx="6407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ind w:right="20" w:firstLine="8"/>
        <w:spacing w:after="0" w:line="251" w:lineRule="auto"/>
        <w:tabs>
          <w:tab w:leader="none" w:pos="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Each of the Company or Buyer,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Section 6‎.6 shall be directed to the executive officer of the other Party or to another Person designated by the Company or Buyer, as applicable. All information exchanged or made available shall be governed by the terms of the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-165100</wp:posOffset>
            </wp:positionV>
            <wp:extent cx="5137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To the extent that any of the information or material furnished pursuant to this Section 6‎.6 or otherwise in accordance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terms of this Agreement may include material subject to the attorney-client privilege, work product doctrine or any other applicable privilege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-854075</wp:posOffset>
            </wp:positionV>
            <wp:extent cx="5137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169"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No exchange of information or investigation by Buyer or its Representatives shall affect or be deemed to affect, modify or waive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representations and warranties of the Company set forth in this Agreement, and no investigation by the Company or its Representatives shall affect or be deemed to affect, modify or waive the representations and warranties of Buyer or Merger Sub set forth in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7" w:name="page88"/>
    <w:bookmarkEnd w:id="87"/>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Exchange Act Deregistration</w:t>
      </w:r>
      <w:r>
        <w:rPr>
          <w:rFonts w:ascii="Times New Roman" w:cs="Times New Roman" w:eastAsia="Times New Roman" w:hAnsi="Times New Roman"/>
          <w:sz w:val="18"/>
          <w:szCs w:val="18"/>
          <w:color w:val="auto"/>
        </w:rPr>
        <w:t>. The Company shall, with the reasonable cooperation of Buyer, take, or cause to be taken, all actions, and do or cause to be done all things, necessary, proper or advisable on its part under applicable Laws and rules and policies of NASDAQ to permit the Company Stock and any other security issued by the Company or one of its Subsidiaries and listed on NASDAQ to be de-listed from NASDAQ and de-registered under the Exchange Act as promptly as practicable following the Effective Time.</w:t>
      </w:r>
    </w:p>
    <w:p>
      <w:pPr>
        <w:spacing w:after="0" w:line="180"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The initial press release with respect to the Transactions shall be a joint press release and thereafter the Company and Buyer shall consult with each other, and provide meaningful opportunity for review and give due consideration to reasonable comment by the other Party, prior to issuing any press releases or otherwise making planned public statements with respect to the Transactions and prior to making any filings with any third party or any Governmental Entity (including any national securities exchange) with respect thereto, except (i) as may be required by applicable Law or by obligations pursuant to any listing agreement with or rules of any national securities exchange or trading market, (ii) any consultation that would not be reasonably practicable as a result of requirements of applicable Law or (iii) with respect to or following any Change in the Company Recommendation made in accordance with this Agreement or in response to any Acquisition Proposal in accordance with this Agreement. Notwithstanding any of the foregoing, except to the extent previously included in the initial press release with respect to the Transactions, any reference to the PIPE Transaction or any Equity Financing Source in any press release issued, or public statements or filings made, with respect to the Transactions shall require the prior written consent of Buyer. Each of the Company and Buyer may make any public statements without complying with the foregoing requirements if the substance of such statements was publicly disclosed and previously subject to the foregoing requirements.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For a period of twelve (12) months following the Effective Time (the “</w:t>
      </w:r>
      <w:r>
        <w:rPr>
          <w:rFonts w:ascii="Times New Roman" w:cs="Times New Roman" w:eastAsia="Times New Roman" w:hAnsi="Times New Roman"/>
          <w:sz w:val="18"/>
          <w:szCs w:val="18"/>
          <w:u w:val="single" w:color="auto"/>
          <w:color w:val="000000"/>
        </w:rPr>
        <w:t>Continuation Period</w:t>
      </w:r>
      <w:r>
        <w:rPr>
          <w:rFonts w:ascii="Times New Roman" w:cs="Times New Roman" w:eastAsia="Times New Roman" w:hAnsi="Times New Roman"/>
          <w:sz w:val="18"/>
          <w:szCs w:val="18"/>
          <w:color w:val="000000"/>
        </w:rPr>
        <w:t>”), the Surviving Corporation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shall (and Buyer shall cause the Surviving Corporation and its Subsidiaries to) provide each Continuing Employee with (i) a base salary or wage rate, as applicable, target cash incentive opportunities (including, as applicable, target annual or short-term bonus and commission opportunities) and target equity or equity-based incentive opportunities that are, in each case, no less than those in effect for such Continuing Employee immediately before the Effective Time (provided that Buyer shall not be required to grant equity or equity-based incentives to Continuing Employees and shall be permitted to replace such value with cash or cash-based awards) and (ii) all other employee benefits (excluding deferred compensation, severance and defined benefit pension benefits) that are substantially comparable in the aggregate to those (excluding deferred compensation, severance and defined benefit pension benefits) that are in effect for (or available to) such Continuing Employee as of the Effective Time. For the avoidance of doubt, base salary or wage rate and target annual or short-term cash and target long-term incentive compensation opportunities shall not be decreased during the Continuation Period for any Continuing Employee employed during that period.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right="40"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During the Continuation Period (or such longer period required by the terms of the applicable Company Plan), the Surviving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Corporation and its Subsidiaries shall (and Buyer shall cause the Surviving Corporation and its Subsidiaries to) provide each Continuing Employee with severance and termination benefits that are no less favorable than those applicable to such Continuing Employee immediately before the Effective Time as set forth on </w:t>
      </w:r>
      <w:r>
        <w:rPr>
          <w:rFonts w:ascii="Times New Roman" w:cs="Times New Roman" w:eastAsia="Times New Roman" w:hAnsi="Times New Roman"/>
          <w:sz w:val="18"/>
          <w:szCs w:val="18"/>
          <w:u w:val="single" w:color="auto"/>
          <w:color w:val="000000"/>
        </w:rPr>
        <w:t>Section 4.8(a)</w:t>
      </w:r>
      <w:r>
        <w:rPr>
          <w:rFonts w:ascii="Times New Roman" w:cs="Times New Roman" w:eastAsia="Times New Roman" w:hAnsi="Times New Roman"/>
          <w:sz w:val="18"/>
          <w:szCs w:val="18"/>
          <w:color w:val="000000"/>
        </w:rPr>
        <w:t xml:space="preserve"> of the Company Disclosure Letter;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such severance benefits shall be subject to the execution and non-revocation of a release of claims in favor of Buyer and its Subsidiaries.</w:t>
      </w:r>
    </w:p>
    <w:p>
      <w:pPr>
        <w:spacing w:after="0" w:line="183"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With respect to each benefit or compensation plan, program, policy, arrangement or agreement that is made available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Continuing Employee at or after the Effective Time (each such plan, a “</w:t>
      </w:r>
      <w:r>
        <w:rPr>
          <w:rFonts w:ascii="Times New Roman" w:cs="Times New Roman" w:eastAsia="Times New Roman" w:hAnsi="Times New Roman"/>
          <w:sz w:val="18"/>
          <w:szCs w:val="18"/>
          <w:u w:val="single" w:color="auto"/>
          <w:color w:val="000000"/>
        </w:rPr>
        <w:t>New Plan</w:t>
      </w:r>
      <w:r>
        <w:rPr>
          <w:rFonts w:ascii="Times New Roman" w:cs="Times New Roman" w:eastAsia="Times New Roman" w:hAnsi="Times New Roman"/>
          <w:sz w:val="18"/>
          <w:szCs w:val="18"/>
          <w:color w:val="000000"/>
        </w:rPr>
        <w:t>”), the Surviving Corporation and its Subsidiaries shall (and Buyer shall cause the Surviving Corporation and its Subsidiaries to) cause to be granted to such Continuing Employee credit for all service with the Company and its Subsidiaries prior to the Effective Time for purposes of eligibility to participate, vesting and entitlement to benefits where length of service is relevant (including for purposes of vacation accrual, long-term incentive compensation, and severance entitlement or termination pay), except (x) to the extent that it would result in duplication of coverage or benefits for the same period of service or (y) for purposes of defined benefit pension plans or post-employment health and welfare arrangements. In addition, and without limiting the generality of the foregoing: (i) each Continuing Employee will be immediately eligible to participate, without any waiting period, in any and all New Plans to the extent that coverage pursuant to any such New Plan replaces coverage pursuant to a corresponding Company Plan (such plans, the “</w:t>
      </w:r>
      <w:r>
        <w:rPr>
          <w:rFonts w:ascii="Times New Roman" w:cs="Times New Roman" w:eastAsia="Times New Roman" w:hAnsi="Times New Roman"/>
          <w:sz w:val="18"/>
          <w:szCs w:val="18"/>
          <w:u w:val="single" w:color="auto"/>
          <w:color w:val="000000"/>
        </w:rPr>
        <w:t>Old Plans</w:t>
      </w:r>
      <w:r>
        <w:rPr>
          <w:rFonts w:ascii="Times New Roman" w:cs="Times New Roman" w:eastAsia="Times New Roman" w:hAnsi="Times New Roman"/>
          <w:sz w:val="18"/>
          <w:szCs w:val="18"/>
          <w:color w:val="000000"/>
        </w:rPr>
        <w:t>”); (ii) for purposes of each New Plan providing life insurance, medical, dental, pharmaceutical, vision or disability benefits, the Surviving Corporation and its Subsidiaries shall use commercially reasonable efforts to cause all waiting periods, pre-existing condition exclusions, evidence of insurability requirements and actively-at-work or similar requirements of such New Plan to be waived for the Continuing Employees and their covered dependents; and (iii) for purposes of each New Plan providing medical, dental, pharmaceutical, or vision benefits, the Surviving Corporation and its Subsidiaries shall cause any eligible expenses incurred by the Continuing Employees and their covered dependents during the portion of the plan year of the Old Plans ending on the date that Continuing Employees’ participation in the corresponding New Plan begins to be given full credit pursuant to such New Plan for purposes of satisfying all deductible, coinsurance and maximum out-of-pocket requirements applicable to such Continuing Employees and their covered dependents for the applicable plan year as if such amounts had been paid in accordance with such New Plan. Any vacation or paid time off accrued but unused by a Continuing Employee as of immediately prior to the Effective Time will be credited to such Continuing Employee following the Effective Time and will not be subject to accrual limits or other forfeiture and shall not limit future accruals.</w:t>
      </w:r>
    </w:p>
    <w:p>
      <w:pPr>
        <w:spacing w:after="0" w:line="192"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In respect of each Continuing Employee’s annual bonus for the calendar year in which the Closing Date occurs (the “</w:t>
      </w:r>
      <w:r>
        <w:rPr>
          <w:rFonts w:ascii="Times New Roman" w:cs="Times New Roman" w:eastAsia="Times New Roman" w:hAnsi="Times New Roman"/>
          <w:sz w:val="17"/>
          <w:szCs w:val="17"/>
          <w:u w:val="single" w:color="auto"/>
          <w:color w:val="000000"/>
        </w:rPr>
        <w:t>Closing Year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Annual Bonus</w:t>
      </w:r>
      <w:r>
        <w:rPr>
          <w:rFonts w:ascii="Times New Roman" w:cs="Times New Roman" w:eastAsia="Times New Roman" w:hAnsi="Times New Roman"/>
          <w:sz w:val="17"/>
          <w:szCs w:val="17"/>
          <w:color w:val="000000"/>
        </w:rPr>
        <w:t>”), Buyer shall, or shall cause the Surviving Corporation to, pay to each Continuing Employee the Closing Year Annual Bonus in an amount equal to the greater of (i) such Continuing Employee’s full bonus entitlement under the applicable Company Plan, assuming for purposes of determining such Closing Year Annual Bonus (x) with respect to any applicable individual performance goals, that such goals are achieved at no less than target levels of performance and (y) with respect to any applicable company performance goals, that such goals are achieved at the greater of (A) target performance and</w:t>
      </w:r>
    </w:p>
    <w:p>
      <w:pPr>
        <w:spacing w:after="0" w:line="3" w:lineRule="exact"/>
        <w:rPr>
          <w:sz w:val="20"/>
          <w:szCs w:val="20"/>
          <w:color w:val="auto"/>
        </w:rPr>
      </w:pPr>
    </w:p>
    <w:p>
      <w:pPr>
        <w:ind w:right="20" w:firstLine="8"/>
        <w:spacing w:after="0" w:line="251" w:lineRule="auto"/>
        <w:tabs>
          <w:tab w:leader="none" w:pos="2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based on actual performance through the Closing Date, extrapolated through the end of the applicable calendar year in which the Closing Date occurs, in either case, as determined in good faith and otherwise in the Ordinary Course by the Company prior to the Closing Date and (ii) the amount payable to such Continuing Employee under the applicable Company Plan based on actual performance through the end of the applicable performance period under such plan, as determined by Buyer in good faith and consistent with the Company’s past practice (such amount,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Year Annual Bonus Payment</w:t>
      </w:r>
      <w:r>
        <w:rPr>
          <w:rFonts w:ascii="Times New Roman" w:cs="Times New Roman" w:eastAsia="Times New Roman" w:hAnsi="Times New Roman"/>
          <w:sz w:val="18"/>
          <w:szCs w:val="18"/>
          <w:color w:val="auto"/>
        </w:rPr>
        <w:t>”); provided that the Closing Year Annual Bonus Payment will be payable at the same time and subject to the same terms and conditions as called for in the applicable Company Plan in effect as of the Closing Date (including any continued employment or similar requirement under an applicable Company Plan); and provided, further, that in no event will any Continuing Employee receive any Closing Year Annual Bonus Payment, or portion thereof, that would be duplicative of any bonus-related amounts payable as severance, termination pay or similar pay under any Company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right="18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From and after the Effective Time, the Surviving Corporation shall (and Buyer shall cause the Surviving Corporation to) assume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honor all of the Company Plans, including, for avoidance of doubt, employment agreements with Continuing Employees, in accordance with their terms as in effect immediately prior to the Effective Time.</w:t>
      </w:r>
    </w:p>
    <w:p>
      <w:pPr>
        <w:spacing w:after="0" w:line="176"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Surviving Corporation shall (and Buyer shall cause the Surviving Corporation to) assume all Collective Bargaining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Agreements to which the Company or any of its Subsidiaries is a party in accordance with their terms as in effect immediately prior to the Effective Time. Notwithstanding the foregoing or anything in this Agreement to the contrary, the terms and conditions of employment for any (i) Continuing Employees covered, or who become covered, by a Collective Bargaining Agreement shall be governed by the applicable Collective Bargaining Agreement until the expiration, modification or termination of such Collective Bargaining Agreement in accordance with its terms or applicable Law, and (ii) Continuing Employees otherwise located outside the United States shall be subject to applicable Law.</w:t>
      </w:r>
    </w:p>
    <w:p>
      <w:pPr>
        <w:spacing w:after="0" w:line="187" w:lineRule="exact"/>
        <w:rPr>
          <w:sz w:val="20"/>
          <w:szCs w:val="20"/>
          <w:color w:val="auto"/>
        </w:rPr>
      </w:pPr>
    </w:p>
    <w:p>
      <w:pPr>
        <w:jc w:val="both"/>
        <w:ind w:right="120" w:firstLine="1296"/>
        <w:spacing w:after="0" w:line="255"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Nothing in this Agreement shall confer upon any Person any right to continue in the employ or service of the Company, Buyer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of their respective Affiliates, or shall interfere with or restrict in any way the rights of the Company, Buyer or any of their respective Affiliates, which rights are hereby expressly reserved, to discharge or terminate the services of any Person at any time for any reason whatsoever, with or without cause, in accordance with any Collective Bargaining Agreements. Notwithstanding any provision in this Agreement to the contrary, nothing in this</w:t>
      </w:r>
    </w:p>
    <w:p>
      <w:pPr>
        <w:spacing w:after="0" w:line="3"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6.9(g)</w:t>
      </w:r>
      <w:r>
        <w:rPr>
          <w:rFonts w:ascii="Times New Roman" w:cs="Times New Roman" w:eastAsia="Times New Roman" w:hAnsi="Times New Roman"/>
          <w:sz w:val="18"/>
          <w:szCs w:val="18"/>
          <w:color w:val="auto"/>
        </w:rPr>
        <w:t xml:space="preserve"> shall (i) be deemed or construed to be an amendment or other modification of any Company Plan, or any plan, program or arrangement of the Company, Buyer or any of their respective Affiliates, or (ii) create any third-party rights in any current or former service provider or employee of the Company or its Affiliates (or any beneficiaries or dependents thereof).</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Indemnification; Directors’ and Officers’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For a period of six (6) years after the Effective Time, Buyer agrees that, to the fullest extent permitted under applicable Law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Organizational Documents of the Company (or Organizational Documents of any of its Subsidiaries) in effect as of the date of this Agreement, Buyer shall cause the Surviving Corporation to indemnify and hold harmless each present and former (determined as of the Effective Time) director and officer of the Company or any of its Subsidiaries, in each case, when acting in such capacity (collectively, the “</w:t>
      </w:r>
      <w:r>
        <w:rPr>
          <w:rFonts w:ascii="Times New Roman" w:cs="Times New Roman" w:eastAsia="Times New Roman" w:hAnsi="Times New Roman"/>
          <w:sz w:val="18"/>
          <w:szCs w:val="18"/>
          <w:u w:val="single" w:color="auto"/>
          <w:color w:val="000000"/>
        </w:rPr>
        <w:t>Indemnified Parties</w:t>
      </w:r>
      <w:r>
        <w:rPr>
          <w:rFonts w:ascii="Times New Roman" w:cs="Times New Roman" w:eastAsia="Times New Roman" w:hAnsi="Times New Roman"/>
          <w:sz w:val="18"/>
          <w:szCs w:val="18"/>
          <w:color w:val="000000"/>
        </w:rPr>
        <w:t xml:space="preserve">”), against any costs or expenses (including reasonable attorneys’ fees), judgments,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Transactions and (ii) actions to enforce this provision or any other indemnification or advancement right of any Indemnified Party, and Buyer shall cause the Surviving Corporation to advance expenses as incurred to the fullest extent required to do so under applicable Law and the Organizational Documents of the Company (or Organizational Documents of any of its Subsidiaries) in effect as of the date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Person to whom expenses are advanced provides an undertaking to repay such advances if it is ultimately determined by final adjudication that such Person is not entitled to indemnification.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ind w:firstLine="1296"/>
        <w:spacing w:after="0" w:line="25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Prior to the Effective Time, the Company shall and, if the Company is unable to, Buyer shall cause the Surviving Corporation as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Effective Time to, obtain and fully pay the premium for “tail” insurance policies for the extension of (i) the directors’ and officers’ liability coverage of the Company’s and its Subsidiaries’ existing directors’ and officers’ insurance policies, and (ii) the Company’s and its Subsidiaries’ existing fiduciary liability insurance policies, in each case for a claims reporting or discovery period of six years from and after the Effective Time (the “</w:t>
      </w:r>
      <w:r>
        <w:rPr>
          <w:rFonts w:ascii="Times New Roman" w:cs="Times New Roman" w:eastAsia="Times New Roman" w:hAnsi="Times New Roman"/>
          <w:sz w:val="18"/>
          <w:szCs w:val="18"/>
          <w:u w:val="single" w:color="auto"/>
          <w:color w:val="000000"/>
        </w:rPr>
        <w:t>Tail Period</w:t>
      </w:r>
      <w:r>
        <w:rPr>
          <w:rFonts w:ascii="Times New Roman" w:cs="Times New Roman" w:eastAsia="Times New Roman" w:hAnsi="Times New Roman"/>
          <w:sz w:val="18"/>
          <w:szCs w:val="18"/>
          <w:color w:val="000000"/>
        </w:rPr>
        <w:t>”) from one or more insurance carriers with the same or better credit rating as the Company’s and its Subsidiaries’ insurance carrier as of the date of this Agreement with respect to directors’ and officers’ liability insurance and fiduciary liability insurance (collectively, “</w:t>
      </w:r>
      <w:r>
        <w:rPr>
          <w:rFonts w:ascii="Times New Roman" w:cs="Times New Roman" w:eastAsia="Times New Roman" w:hAnsi="Times New Roman"/>
          <w:sz w:val="18"/>
          <w:szCs w:val="18"/>
          <w:u w:val="single" w:color="auto"/>
          <w:color w:val="000000"/>
        </w:rPr>
        <w:t>D&amp;O Insurance</w:t>
      </w:r>
      <w:r>
        <w:rPr>
          <w:rFonts w:ascii="Times New Roman" w:cs="Times New Roman" w:eastAsia="Times New Roman" w:hAnsi="Times New Roman"/>
          <w:sz w:val="18"/>
          <w:szCs w:val="18"/>
          <w:color w:val="000000"/>
        </w:rPr>
        <w:t xml:space="preserve">”) with terms, conditions, retentions and limits of liability that are at least as favorable in the aggregate to the insureds as the Company’s and its Subsidiaries’ existing policies with respect to matters existing or occurring at or prior to the Effective Time (including in connection with this Agreement or the Transactions). If the Company and the Surviving Corporation for any reason fail to obtain such “tail” insurance policies as of the Effective Time, the Surviving Corporation shall, and Buyer shall cause the Surviving Corporation to, continue to maintain in effect for the Tail Period the D&amp;O Insurance in place as of the date of this Agreement with terms, conditions, retentions and limits of liability that are at least as favorable in the aggregate to the insureds as provided in the Company’s and its Subsidiaries’ existing policies as of the date of this Agreement, or the Surviving Corporation shall, and Buyer shall cause the Surviving Corporation to, purchase comparable D&amp;O Insurance for the Tail Period with terms, conditions, retentions and limits of liability that are at least as favorable as provided in the Company’s and its Subsidiaries’ existing policies as of the date of this Agreement. In no event shall the Company expend, or Buyer or the Surviving Corporation be required to expend, for such policies required to be obtained under this </w:t>
      </w:r>
      <w:r>
        <w:rPr>
          <w:rFonts w:ascii="Times New Roman" w:cs="Times New Roman" w:eastAsia="Times New Roman" w:hAnsi="Times New Roman"/>
          <w:sz w:val="18"/>
          <w:szCs w:val="18"/>
          <w:u w:val="single" w:color="auto"/>
          <w:color w:val="000000"/>
        </w:rPr>
        <w:t>Section 6.10(b)</w:t>
      </w:r>
      <w:r>
        <w:rPr>
          <w:rFonts w:ascii="Times New Roman" w:cs="Times New Roman" w:eastAsia="Times New Roman" w:hAnsi="Times New Roman"/>
          <w:sz w:val="18"/>
          <w:szCs w:val="18"/>
          <w:color w:val="000000"/>
        </w:rPr>
        <w:t xml:space="preserve">, a premium amount in excess of 300% of the annual premiums currently paid by the Company for such insurance;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if the premium for such insurance coverage exceeds such amount, Buyer shall cause the Surviving Corporation to obtain a policy with the greatest coverage available for a cost not exceeding such amount.</w:t>
      </w:r>
    </w:p>
    <w:p>
      <w:pPr>
        <w:spacing w:after="0" w:line="19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Indemnified Party wishing to claim indemnification under this Section 6‎.10, upon learning of any such Proceeding,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promptly notify the Surviving Corporation thereof in writing, but the failure to so notify shall not relieve the Surviving Corporation of any liability it may have to such Indemnified Party except to the extent such failure materially prejudices the Surviving Corporation. In the event of any Proceeding: (i) Buyer or the Surviving Corporation shall have the right to assume the defense thereof (it being understood that by electing to assume the defense thereof, neither Buyer nor the Surviving Corporation will be deemed to have waived any right to object to the Indemnified Party’s entitlement to indemnification hereunder with respect thereto or assumed any liability with respect thereto), except that if Buyer or the Surviving Corporation elects not to assume such defense or legal counsel for the Indemnified Party advises that there are issues which raise conflicts of interest between Buyer or the Surviving Corporation and the Indemnified Party, the Indemnified Party may retain legal counsel satisfactory to them, and the Surviving Corporation shall pay all reasonable and documented fees and expenses of such legal counsel for the Indemnified Party promptly as statements therefor are received;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Surviving Corporation shall be obligated pursuant to this Section 6‎.10 to pay for only one firm of legal counsel for all Indemnified Parties in any jurisdiction unless the use of one legal counsel for such Indemnified Parties would present such legal counsel with a conflict of interest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fewest number of legal counsels necessary to avoid conflicts of interest shall be used); (ii) the Indemnified Parties shall cooperate in the defense of any such matter if Buyer or the Surviving Corporation elects to assume such defense, and Buyer and the Surviving Corporation shall cooperate in the defense of any such matter if Buyer or the Surviving Corporation elects not to assume such defense; (iii) the Indemnified Parties shall not be liable for any settlement effected without their prior written consent (which consent shall not be unreasonably withheld, conditioned or delayed) if Buyer or the Surviving Corporation elects to assume such defense and Buyer and the Surviving Corporation shall not be liable for any settlement effected without their prior written consent (which consent shall not be unreasonably withheld, conditioned or delayed) if Buyer or the Surviving Corporation elects not to assume such defense; (iv) Buyer and the Surviving Corporation shall not have any obligation hereunder to any Indemnified Party if and when a court of competent jurisdiction shall ultimately determine, and such determination shall have become final, that the indemnification of such Indemnified Party in the manner contemplated hereby is prohibited by applicable Law; and (v) all rights to indemnification in respect of any such Proceedings shall continue until final disposition of all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-2774315</wp:posOffset>
            </wp:positionV>
            <wp:extent cx="570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-1539875</wp:posOffset>
            </wp:positionV>
            <wp:extent cx="570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right="60" w:firstLine="1296"/>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rights to indemnification and exculpation from liabilities for acts or omissions occurring at or prior to the Effective Time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rights to advancement of expenses relating thereto now existing in favor of any Indemnified Party as provided in the Organizational Documents of the Company or any of its Subsidiaries or any indemnification agreement between such Indemnified Party and the Company or any of its Subsidiaries, in each case, as in effect on (and made available to Buyer prior to) the date of this Agreement, shall survive the Transactions unchanged and shall not be amended, restated, repealed or otherwise modified in any manner that would adversely affect any right thereunder of any such Indemnified Party.</w:t>
      </w:r>
    </w:p>
    <w:p>
      <w:pPr>
        <w:spacing w:after="0" w:line="183"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If Buyer or the Surviving Corporation or any of their respective successors or assigns (i) shall consolidate with or merge into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Person and shall not be the continuing or surviving Person of such consolidation or merger or (ii) shall transfer all or substantially all of its properties and assets to any Person, then, and in each such case, proper provisions shall be made so that the successors and assigns of Buyer or the Surviving Corporation shall assume all of the obligations set forth in this ‎Section 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-36830</wp:posOffset>
            </wp:positionV>
            <wp:extent cx="5708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rights of the Indemnified Parties under this ‎Section 6.10 are in addition to any rights such Indemnified Parties may have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Organizational Documents of the Company or any of its Subsidiaries, or under any applicable Contracts or Laws and nothing in this Agreement is intended to, shall be construed or shall release, waive or impair any rights to directors’ and officers’ insurance claims under any policy that is or has been in existence with respect to the Company or any of its Subsidiaries for any of their respective directors, officers or other employees (it being understood that the indemnification provided for in this ‎Section 6.10 is not prior to or in substitution of any such claims under such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-582930</wp:posOffset>
            </wp:positionV>
            <wp:extent cx="5708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-34290</wp:posOffset>
            </wp:positionV>
            <wp:extent cx="5708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This Section‎ 6.10 is intended to be for the benefit of, and from and after the Effective Time shall be enforceable by,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-7620</wp:posOffset>
            </wp:positionV>
            <wp:extent cx="5708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Parties, who shall be third-party beneficiaries of this Section‎ 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-19050</wp:posOffset>
            </wp:positionV>
            <wp:extent cx="5708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Takeover Statutes</w:t>
      </w:r>
      <w:r>
        <w:rPr>
          <w:rFonts w:ascii="Times New Roman" w:cs="Times New Roman" w:eastAsia="Times New Roman" w:hAnsi="Times New Roman"/>
          <w:sz w:val="18"/>
          <w:szCs w:val="18"/>
          <w:color w:val="auto"/>
        </w:rPr>
        <w:t>. If any Takeover Statute is or may become applicable to the Transactions, each of the Company (including the Company Board) and Buyer (including the Buyer Board), respectively, shall grant such approvals and take such actions as are necessary so that the Transactions may be consummated as promptly as practicable on the terms contemplated by this Agreement and otherwise use reasonable best efforts to eliminate or minimize the effects of such statute or regulation on the Transactions.</w:t>
      </w:r>
    </w:p>
    <w:p>
      <w:pPr>
        <w:spacing w:after="0" w:line="18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Section 16 Matters</w:t>
      </w:r>
      <w:r>
        <w:rPr>
          <w:rFonts w:ascii="Times New Roman" w:cs="Times New Roman" w:eastAsia="Times New Roman" w:hAnsi="Times New Roman"/>
          <w:sz w:val="18"/>
          <w:szCs w:val="18"/>
          <w:color w:val="auto"/>
        </w:rPr>
        <w:t>. The Company, Buyer and the Company Board and the Buyer Board (or duly formed committees thereof consisting of non-employee directors (as such term is defined for the purposes of Rule 16b-3 promulgated under the Exchange Act)), shall, prior to the Effective Time, take all such actions as may be necessary or appropriate to cause the Transactions and any other dispositions of equity securities of the Company (including derivative securities) in connection with the Transactions by any individual who is subject to the reporting requirements of Section 16(a) of the Exchange Act with respect to the Company to be exempt under Rule 16b-3 promulgated under the Exchange Act, to the extent permitted by applicable Law.</w:t>
      </w:r>
    </w:p>
    <w:p>
      <w:pPr>
        <w:spacing w:after="0" w:line="187"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u w:val="single" w:color="auto"/>
          <w:color w:val="auto"/>
        </w:rPr>
        <w:t>  Transaction Litigation</w:t>
      </w:r>
      <w:r>
        <w:rPr>
          <w:rFonts w:ascii="Times New Roman" w:cs="Times New Roman" w:eastAsia="Times New Roman" w:hAnsi="Times New Roman"/>
          <w:sz w:val="18"/>
          <w:szCs w:val="18"/>
          <w:color w:val="auto"/>
        </w:rPr>
        <w:t>. In the event that any stockholder litigation related to this Agreement or the Transactions is brought against the Company or any members of the Company Board or any of its officers from and following the date of this Agreement and prior to the Effective Time (such litigation,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the Company shall promptly notify Buyer of such Company Transaction Litigation and shall keep Buyer reasonably informed with respect to the status thereof. The Company shall consult with Buyer, give Buyer a reasonable opportunity to participate in the defense or settlement (at Buyer’s sole expense) of any Company Transaction Litigation (including by providing Buyer the opportunity to review and comment on all material filings or responses to be made by the Company) and shall consider in good faith Buyer’s advice with respect to such Company Transaction Litigation;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any event control such defense and the disclosure of information to Buyer in connection therewith shall be subject to the provisions of Section 6‎.5;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settle or agree to settle any Company Transaction Litigation without prior written consent of Buyer (which consent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-168275</wp:posOffset>
            </wp:positionV>
            <wp:extent cx="5137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2" w:name="page93"/>
    <w:bookmarkEnd w:id="92"/>
    <w:p>
      <w:pPr>
        <w:ind w:left="1300"/>
        <w:spacing w:after="0"/>
        <w:rPr>
          <w:sz w:val="20"/>
          <w:szCs w:val="20"/>
          <w:color w:val="auto"/>
        </w:rPr>
      </w:pPr>
      <w:r>
        <w:rPr>
          <w:rFonts w:ascii="Times New Roman" w:cs="Times New Roman" w:eastAsia="Times New Roman" w:hAnsi="Times New Roman"/>
          <w:sz w:val="18"/>
          <w:szCs w:val="18"/>
          <w:color w:val="auto"/>
        </w:rPr>
        <w:t>Section 6.14    </w:t>
      </w:r>
      <w:r>
        <w:rPr>
          <w:rFonts w:ascii="Times New Roman" w:cs="Times New Roman" w:eastAsia="Times New Roman" w:hAnsi="Times New Roman"/>
          <w:sz w:val="18"/>
          <w:szCs w:val="18"/>
          <w:u w:val="single" w:color="auto"/>
          <w:color w:val="auto"/>
        </w:rPr>
        <w:t>  Financing; Mutual Cooperation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Cooperation</w:t>
      </w:r>
      <w:r>
        <w:rPr>
          <w:rFonts w:ascii="Times New Roman" w:cs="Times New Roman" w:eastAsia="Times New Roman" w:hAnsi="Times New Roman"/>
          <w:sz w:val="18"/>
          <w:szCs w:val="18"/>
          <w:color w:val="000000"/>
        </w:rPr>
        <w:t>. Each Financing Cooperation Provider agrees to use its commercially reasonable efforts to provide such assistance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to cause its subsidiaries and its and their respective personnel and advisors to use their respective commercially reasonable efforts to provide such assistance) with the Applicable Financing Transaction of the Financing Cooperation Recipient as is reasonably requested by the applicable Financing Cooperation Recipient. Such assistance shall include, but not be limited to, the following:</w:t>
      </w:r>
    </w:p>
    <w:p>
      <w:pPr>
        <w:spacing w:after="0" w:line="180" w:lineRule="exact"/>
        <w:rPr>
          <w:sz w:val="20"/>
          <w:szCs w:val="20"/>
          <w:color w:val="auto"/>
        </w:rPr>
      </w:pPr>
    </w:p>
    <w:p>
      <w:pPr>
        <w:ind w:right="340" w:firstLine="1944"/>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delivery by the Company to Buyer of (x) the Debt Financing Required Information with respect to the Buyer Debt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Financing and (y) in the case of a Buyer Public Equity Offering, information of the type contemplated by clauses (1) (with respect to investor and road show presentation), (4) and (5) of the definition of “Debt Financing Required Information” as if references to Buyer Debt Financing therein were references to a Buyer Public Equity Offering;</w:t>
      </w:r>
    </w:p>
    <w:p>
      <w:pPr>
        <w:spacing w:after="0" w:line="180" w:lineRule="exact"/>
        <w:rPr>
          <w:sz w:val="20"/>
          <w:szCs w:val="20"/>
          <w:color w:val="auto"/>
        </w:rPr>
      </w:pPr>
    </w:p>
    <w:p>
      <w:pPr>
        <w:ind w:right="300" w:firstLine="1944"/>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participation, including by officers of appropriate seniority and experience, in and assistance with the preparation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negotiation of the applicable Debt Financing Documents;</w:t>
      </w:r>
    </w:p>
    <w:p>
      <w:pPr>
        <w:spacing w:after="0" w:line="162" w:lineRule="exact"/>
        <w:rPr>
          <w:sz w:val="20"/>
          <w:szCs w:val="20"/>
          <w:color w:val="auto"/>
        </w:rPr>
      </w:pPr>
    </w:p>
    <w:p>
      <w:pPr>
        <w:ind w:right="80" w:firstLine="1944"/>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participation, including by officers of appropriate seniority and experience, in and assistance with (x) Debt Marketing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Activity undertaken by the applicable Financing Cooperation Recipient in connection with its Applicable Financing Transaction and (y) Equity Marketing Activity undertaken by Buyer in connection with any Buyer Public Equity Financing;</w:t>
      </w:r>
    </w:p>
    <w:p>
      <w:pPr>
        <w:spacing w:after="0" w:line="176" w:lineRule="exact"/>
        <w:rPr>
          <w:sz w:val="20"/>
          <w:szCs w:val="20"/>
          <w:color w:val="auto"/>
        </w:rPr>
      </w:pPr>
    </w:p>
    <w:p>
      <w:pPr>
        <w:ind w:firstLine="1944"/>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delivery by the Company to Buyer of all Financing KYC Deliverables with respect to the Buyer Debt Financing or Buyer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Public Equity Financing;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delivery to Buyer will occur at least five Business Days prior to the Closing Date, to the extent requested by Buyer at least nine Business Days prior to the Closing Date;</w:t>
      </w:r>
    </w:p>
    <w:p>
      <w:pPr>
        <w:spacing w:after="0" w:line="176" w:lineRule="exact"/>
        <w:rPr>
          <w:sz w:val="20"/>
          <w:szCs w:val="20"/>
          <w:color w:val="auto"/>
        </w:rPr>
      </w:pPr>
    </w:p>
    <w:p>
      <w:pPr>
        <w:ind w:right="280" w:firstLine="1944"/>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take such other actions as are reasonably requested by the applicable Financing Cooperation Recipient to facilitate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satisfaction on a timely basis of the conditions precedent set forth in Exhibit C to the Debt Commitment Letter or other debt commitment letters with respect to the Applicable Financing Transaction, as applicable, that are within its control;</w:t>
      </w:r>
    </w:p>
    <w:p>
      <w:pPr>
        <w:spacing w:after="0" w:line="176" w:lineRule="exact"/>
        <w:rPr>
          <w:sz w:val="20"/>
          <w:szCs w:val="20"/>
          <w:color w:val="auto"/>
        </w:rPr>
      </w:pPr>
    </w:p>
    <w:p>
      <w:pPr>
        <w:ind w:right="60" w:firstLine="1944"/>
        <w:spacing w:after="0" w:line="261"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provide to applicable Financing Cooperation Recipient such information as may be necessary so that the Marketing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for its Applicable Financing Transaction is complete and correct in all material respects and does not and will not contain any untrue statement of a material fact or omit to state a material fact necessary to make the statements contained therein, in the light of the circumstances under which such statements are made, not misleading; and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3" w:name="page94"/>
    <w:bookmarkEnd w:id="93"/>
    <w:p>
      <w:pPr>
        <w:ind w:right="280" w:firstLine="1944"/>
        <w:spacing w:after="0" w:line="258"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inform the applicable Financing Cooperation Recipient promptly in writing if the applicable Financing Cooperation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Provider (A) concludes that any previously issued financial statement of such Financing Cooperation Provider or any of its Subsidiaries included in any materials with respect to the Applicable Financing Transaction of the Financing Cooperation Recipient should no longer be relied upon per Item 4.02 of Form 8-K under the Exchange Act or (B) determines that a restatement of any of such Financing Cooperation Provider’s or its Subsidiaries’ financial statements is required or reasonably likely.</w:t>
      </w:r>
    </w:p>
    <w:p>
      <w:pPr>
        <w:spacing w:after="0" w:line="183"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Coordination</w:t>
      </w:r>
      <w:r>
        <w:rPr>
          <w:rFonts w:ascii="Times New Roman" w:cs="Times New Roman" w:eastAsia="Times New Roman" w:hAnsi="Times New Roman"/>
          <w:sz w:val="18"/>
          <w:szCs w:val="18"/>
          <w:color w:val="000000"/>
        </w:rPr>
        <w:t>. Each Financing Cooperation Recipient shall reasonably coordinate its Applicable Financing Transaction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Financing Cooperation Recipient, and neither shall take any actions with respect to its Applicable Financing Transaction that could reasonably be expected to interfere with the other Applicable Financing Transaction. In furtherance of the foregoing, each Financing Cooperation Recipient shall consult with and provide to the Financing Cooperation Provider, upon request, copies of all draft and final agreements and other documents relating to its Applicable Financing Transaction and shall keep the Financing Cooperation Provider reasonably informed on a current basis and in reasonable detail of material developments in respect of its Applicable Financing Transaction.</w:t>
      </w:r>
    </w:p>
    <w:p>
      <w:pPr>
        <w:spacing w:after="0" w:line="187" w:lineRule="exact"/>
        <w:rPr>
          <w:sz w:val="20"/>
          <w:szCs w:val="20"/>
          <w:color w:val="auto"/>
        </w:rPr>
      </w:pPr>
    </w:p>
    <w:p>
      <w:pPr>
        <w:ind w:right="320"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Use of Logos.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Each Financing Cooperation Provider hereby consents to the customary use of its and its Subsidiaries’ marks,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designs, names, logos, trademarks, copyrights, service marks and other intellectual property by the applicable Financing Cooperation Recipient and the applicable debt financing sources in connection with its Applicable Financing Transaction;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 such uses are solely in a manner that is not intended to or reasonably likely to harm or disparage such Financing Cooperation Provider or its Subsidiaries or the reputation or goodwill of such Financing Cooperation Provider or any of its Subsidiaries and (ii) each Financing Cooperation Recipient shall provide the applicable Financing Cooperation Provider with a reasonable opportunity to review any documents, communications or other materials in connection with such uses, and consider in good faith the reasonable comments of such Financing Cooperation Provider, prior to such uses.</w:t>
      </w:r>
    </w:p>
    <w:p>
      <w:pPr>
        <w:spacing w:after="0" w:line="189"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 Each Financing Cooperation Recipient shall indemnify and hold harmless the applicable Financing Cooperation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Provider, each of its Subsidiaries and their respective Representatives from and against any and all liabilities, losses or damages, suffered or incurred by them in connection with any and all of the matters contemplated by this </w:t>
      </w:r>
      <w:r>
        <w:rPr>
          <w:rFonts w:ascii="Times New Roman" w:cs="Times New Roman" w:eastAsia="Times New Roman" w:hAnsi="Times New Roman"/>
          <w:sz w:val="18"/>
          <w:szCs w:val="18"/>
          <w:u w:val="single" w:color="auto"/>
          <w:color w:val="000000"/>
        </w:rPr>
        <w:t>Section 6.14</w:t>
      </w:r>
      <w:r>
        <w:rPr>
          <w:rFonts w:ascii="Times New Roman" w:cs="Times New Roman" w:eastAsia="Times New Roman" w:hAnsi="Times New Roman"/>
          <w:sz w:val="18"/>
          <w:szCs w:val="18"/>
          <w:color w:val="000000"/>
        </w:rPr>
        <w:t xml:space="preserve"> (other than such liabilities, losses or damages (i) arising from gross negligence, fraud, willful misconduct or intentional misrepresentation on the part of the Financing Cooperation Provider, its Subsidiaries or its or their respective Representatives, (ii) arising from incorrect or misleading information provided by the Financing Cooperation Provider or its Subsidiaries or its and their respective Representatives, or (iii) relating to matters with respect to which the Financing Cooperation Provider otherwise is entitled to indemnity hereunder).</w:t>
      </w:r>
    </w:p>
    <w:p>
      <w:pPr>
        <w:spacing w:after="0" w:line="18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Sharing of Information</w:t>
      </w:r>
      <w:r>
        <w:rPr>
          <w:rFonts w:ascii="Times New Roman" w:cs="Times New Roman" w:eastAsia="Times New Roman" w:hAnsi="Times New Roman"/>
          <w:sz w:val="18"/>
          <w:szCs w:val="18"/>
          <w:color w:val="000000"/>
        </w:rPr>
        <w:t>. Notwithstanding any other provision set forth herein or in any other agreement between or among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Parties (or any of their respective Affiliates), each Financing Cooperation Recipient may share non-public or confidential information regarding the applicable Financing Cooperation Provider, its Subsidiaries and their respective businesses with the Debt Financing Sources providing debt financing in the Applicable Financing Transaction to such Financing Cooperation Recipient or its Affiliates, and such Financing Cooperation Recipient, its Affiliates and such Debt Financing Sources may share such information with potential debt investors in connection with any Debt Marketing Activity undertaken in connection with such Applicable Financing Transaction;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recipients of such information agree to customary (including “click through”) confidentiality arrangements. In addition, Buyer may share non-public or confidential information regarding the Company, its Subsidiaries and their respective businesses with (x) one or more investment banks acting as underwriters, bookrunners or dealer-managers in a Buyer Public Equity Financing, subject to customary confidentiality arrangements, and (y) potential equity investors on a “wall-crossed” basis in connection with Equity Marketing Activity undertaken in connection with a Buyer Public Equity Financing, subject to customary wall-crossing and cleansing procedures. Any access or information contemplated to be provided by a Financing Cooperation Provider or any of its Subsidiaries pursuant to this </w:t>
      </w:r>
      <w:r>
        <w:rPr>
          <w:rFonts w:ascii="Times New Roman" w:cs="Times New Roman" w:eastAsia="Times New Roman" w:hAnsi="Times New Roman"/>
          <w:sz w:val="18"/>
          <w:szCs w:val="18"/>
          <w:u w:val="single" w:color="auto"/>
          <w:color w:val="000000"/>
        </w:rPr>
        <w:t>Section 6.14</w:t>
      </w:r>
      <w:r>
        <w:rPr>
          <w:rFonts w:ascii="Times New Roman" w:cs="Times New Roman" w:eastAsia="Times New Roman" w:hAnsi="Times New Roman"/>
          <w:sz w:val="18"/>
          <w:szCs w:val="18"/>
          <w:color w:val="000000"/>
        </w:rPr>
        <w:t xml:space="preserve"> shall, to the extent such information constitutes material non-public information of such Financing Cooperation Provider or any of its Subsidiaries, only be provided to a third party if such third party affirmatively agrees to maintain the confidentiality of such information and to comply with all federal and state securities Laws applicable to such information.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4" w:name="page95"/>
    <w:bookmarkEnd w:id="94"/>
    <w:p>
      <w:pPr>
        <w:ind w:firstLine="1296"/>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Effect on Condition to Obligations Hereunder</w:t>
      </w:r>
      <w:r>
        <w:rPr>
          <w:rFonts w:ascii="Times New Roman" w:cs="Times New Roman" w:eastAsia="Times New Roman" w:hAnsi="Times New Roman"/>
          <w:sz w:val="18"/>
          <w:szCs w:val="18"/>
          <w:color w:val="000000"/>
        </w:rPr>
        <w:t>. Notwithstanding anything to the contrary herein, it is understood and agreed that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conditions precedent set forth in </w:t>
      </w:r>
      <w:r>
        <w:rPr>
          <w:rFonts w:ascii="Times New Roman" w:cs="Times New Roman" w:eastAsia="Times New Roman" w:hAnsi="Times New Roman"/>
          <w:sz w:val="18"/>
          <w:szCs w:val="18"/>
          <w:u w:val="single" w:color="auto"/>
          <w:color w:val="000000"/>
        </w:rPr>
        <w:t>Section 7.2(b)</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7.3(b)</w:t>
      </w:r>
      <w:r>
        <w:rPr>
          <w:rFonts w:ascii="Times New Roman" w:cs="Times New Roman" w:eastAsia="Times New Roman" w:hAnsi="Times New Roman"/>
          <w:sz w:val="18"/>
          <w:szCs w:val="18"/>
          <w:color w:val="000000"/>
        </w:rPr>
        <w:t xml:space="preserve"> (as applied to the applicable Financing Cooperation Provider’s obligations under this </w:t>
      </w:r>
      <w:r>
        <w:rPr>
          <w:rFonts w:ascii="Times New Roman" w:cs="Times New Roman" w:eastAsia="Times New Roman" w:hAnsi="Times New Roman"/>
          <w:sz w:val="18"/>
          <w:szCs w:val="18"/>
          <w:u w:val="single" w:color="auto"/>
          <w:color w:val="000000"/>
        </w:rPr>
        <w:t>Section 6.14</w:t>
      </w:r>
      <w:r>
        <w:rPr>
          <w:rFonts w:ascii="Times New Roman" w:cs="Times New Roman" w:eastAsia="Times New Roman" w:hAnsi="Times New Roman"/>
          <w:sz w:val="18"/>
          <w:szCs w:val="18"/>
          <w:color w:val="000000"/>
        </w:rPr>
        <w:t xml:space="preserve">) shall be deemed to be satisfied unless (i) the applicable Financing Cooperation Provider has failed to satisfy its obligations in any material respect under this </w:t>
      </w:r>
      <w:r>
        <w:rPr>
          <w:rFonts w:ascii="Times New Roman" w:cs="Times New Roman" w:eastAsia="Times New Roman" w:hAnsi="Times New Roman"/>
          <w:sz w:val="18"/>
          <w:szCs w:val="18"/>
          <w:u w:val="single" w:color="auto"/>
          <w:color w:val="000000"/>
        </w:rPr>
        <w:t>Section 6.14</w:t>
      </w:r>
      <w:r>
        <w:rPr>
          <w:rFonts w:ascii="Times New Roman" w:cs="Times New Roman" w:eastAsia="Times New Roman" w:hAnsi="Times New Roman"/>
          <w:sz w:val="18"/>
          <w:szCs w:val="18"/>
          <w:color w:val="000000"/>
        </w:rPr>
        <w:t>, (ii) the applicable Financing Cooperation Recipient has notified the applicable Financing Cooperation Provider of such failure in writing a reasonably sufficient amount of time prior to the Closing to afford the applicable Financing Cooperation Provider with a reasonable opportunity to cure such failure and (iii) such failure has been a proximate cause of the applicable Financing Cooperation Recipient’s failure to receive the proceeds of the Applicable Financing Transaction.</w:t>
      </w:r>
    </w:p>
    <w:p>
      <w:pPr>
        <w:spacing w:after="0" w:line="189"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u w:val="single" w:color="auto"/>
          <w:color w:val="000000"/>
        </w:rPr>
        <w:t>Financing Not a Condition</w:t>
      </w:r>
      <w:r>
        <w:rPr>
          <w:rFonts w:ascii="Times New Roman" w:cs="Times New Roman" w:eastAsia="Times New Roman" w:hAnsi="Times New Roman"/>
          <w:sz w:val="18"/>
          <w:szCs w:val="18"/>
          <w:color w:val="000000"/>
        </w:rPr>
        <w:t>. Each Party hereto acknowledges and agrees that the consummation of either or both of the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Financing Transactions is not a condition to any Party’s obligations under this Agreement. If any Applicable Financing Transaction has not been consummated, each Party shall continue to be obligated, until such time as the Agreement is terminated in accordance with its terms and subject to the waiver or fulfillment of the conditions set forth herein, to complete the Transactions.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6.15    </w:t>
      </w:r>
      <w:r>
        <w:rPr>
          <w:rFonts w:ascii="Times New Roman" w:cs="Times New Roman" w:eastAsia="Times New Roman" w:hAnsi="Times New Roman"/>
          <w:sz w:val="18"/>
          <w:szCs w:val="18"/>
          <w:u w:val="single" w:color="auto"/>
          <w:color w:val="auto"/>
        </w:rPr>
        <w:t>  Company’s Financing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Company shall cooperate with Buyer with respect to any actions that are reasonably requested by Buyer to be taken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or its Subsidiaries under any of the Company’s or any of its Subsidiaries’ outstanding debt securities in connection with the Transactions, including by, at Buyer’s sole election:</w:t>
      </w:r>
    </w:p>
    <w:p>
      <w:pPr>
        <w:spacing w:after="0" w:line="176" w:lineRule="exact"/>
        <w:rPr>
          <w:sz w:val="20"/>
          <w:szCs w:val="20"/>
          <w:color w:val="auto"/>
        </w:rPr>
      </w:pPr>
    </w:p>
    <w:p>
      <w:pPr>
        <w:ind w:right="120" w:firstLine="1944"/>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eliminating or complying with the obligation to commence an Exchange Offer (as defined in the Company’s Offer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Purchase and Consent Solicitation Statement, dated as of June 9, 2025 (the “</w:t>
      </w:r>
      <w:r>
        <w:rPr>
          <w:rFonts w:ascii="Times New Roman" w:cs="Times New Roman" w:eastAsia="Times New Roman" w:hAnsi="Times New Roman"/>
          <w:sz w:val="18"/>
          <w:szCs w:val="18"/>
          <w:u w:val="single" w:color="auto"/>
          <w:color w:val="000000"/>
        </w:rPr>
        <w:t>Offer to Purchase</w:t>
      </w:r>
      <w:r>
        <w:rPr>
          <w:rFonts w:ascii="Times New Roman" w:cs="Times New Roman" w:eastAsia="Times New Roman" w:hAnsi="Times New Roman"/>
          <w:sz w:val="18"/>
          <w:szCs w:val="18"/>
          <w:color w:val="000000"/>
        </w:rPr>
        <w:t>”)) with respect to each series of the Company’s Amended Notes (as defined in the Offer to Purchase) (the “</w:t>
      </w:r>
      <w:r>
        <w:rPr>
          <w:rFonts w:ascii="Times New Roman" w:cs="Times New Roman" w:eastAsia="Times New Roman" w:hAnsi="Times New Roman"/>
          <w:sz w:val="18"/>
          <w:szCs w:val="18"/>
          <w:u w:val="single" w:color="auto"/>
          <w:color w:val="000000"/>
        </w:rPr>
        <w:t>Company Notes</w:t>
      </w:r>
      <w:r>
        <w:rPr>
          <w:rFonts w:ascii="Times New Roman" w:cs="Times New Roman" w:eastAsia="Times New Roman" w:hAnsi="Times New Roman"/>
          <w:sz w:val="18"/>
          <w:szCs w:val="18"/>
          <w:color w:val="000000"/>
        </w:rPr>
        <w:t>”) as a result of the repayment or repurchase of such Company Notes and/or the payment of the $100 per $1,000/€100 per €1,000 premium contemplated by the Offer to Purchase;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ind w:right="140" w:firstLine="1944"/>
        <w:spacing w:after="0" w:line="282"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entering into transactions with respect to the Company Notes and any of the Company’s or any of its Subsidiaries’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debt securities as necessary to permit the incurrence of the Buyer Financing Transactions;</w:t>
      </w:r>
    </w:p>
    <w:p>
      <w:pPr>
        <w:spacing w:after="0" w:line="162" w:lineRule="exact"/>
        <w:rPr>
          <w:sz w:val="20"/>
          <w:szCs w:val="20"/>
          <w:color w:val="auto"/>
        </w:rPr>
      </w:pPr>
    </w:p>
    <w:p>
      <w:pPr>
        <w:ind w:right="60" w:firstLine="1944"/>
        <w:spacing w:after="0" w:line="266" w:lineRule="auto"/>
        <w:rPr>
          <w:sz w:val="20"/>
          <w:szCs w:val="20"/>
          <w:color w:val="auto"/>
        </w:rPr>
      </w:pPr>
      <w:r>
        <w:rPr>
          <w:rFonts w:ascii="Times New Roman" w:cs="Times New Roman" w:eastAsia="Times New Roman" w:hAnsi="Times New Roman"/>
          <w:sz w:val="18"/>
          <w:szCs w:val="18"/>
          <w:color w:val="010000"/>
        </w:rPr>
        <w:t xml:space="preserve">(iii)           </w:t>
      </w:r>
      <w:r>
        <w:rPr>
          <w:rFonts w:ascii="Times New Roman" w:cs="Times New Roman" w:eastAsia="Times New Roman" w:hAnsi="Times New Roman"/>
          <w:sz w:val="18"/>
          <w:szCs w:val="18"/>
          <w:color w:val="000000"/>
        </w:rPr>
        <w:t>taking such actions as are necessary to effect the redemption contemporaneously with the Closing, and, if requested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Buyer in writing, the satisfaction and discharge (the “</w:t>
      </w:r>
      <w:r>
        <w:rPr>
          <w:rFonts w:ascii="Times New Roman" w:cs="Times New Roman" w:eastAsia="Times New Roman" w:hAnsi="Times New Roman"/>
          <w:sz w:val="18"/>
          <w:szCs w:val="18"/>
          <w:u w:val="single" w:color="auto"/>
          <w:color w:val="000000"/>
        </w:rPr>
        <w:t>Discharge</w:t>
      </w:r>
      <w:r>
        <w:rPr>
          <w:rFonts w:ascii="Times New Roman" w:cs="Times New Roman" w:eastAsia="Times New Roman" w:hAnsi="Times New Roman"/>
          <w:sz w:val="18"/>
          <w:szCs w:val="18"/>
          <w:color w:val="000000"/>
        </w:rPr>
        <w:t>”) on the Closing Date, of any series of outstanding debt securities (including the Company Notes); or</w:t>
      </w:r>
    </w:p>
    <w:p>
      <w:pPr>
        <w:spacing w:after="0" w:line="176" w:lineRule="exact"/>
        <w:rPr>
          <w:sz w:val="20"/>
          <w:szCs w:val="20"/>
          <w:color w:val="auto"/>
        </w:rPr>
      </w:pPr>
    </w:p>
    <w:p>
      <w:pPr>
        <w:ind w:right="60" w:firstLine="1944"/>
        <w:spacing w:after="0" w:line="261"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preparing all necessary and appropriate documentation in connection with the repurchase, redemption or amendment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series of outstanding debt securities pursuant to a tender offer (a “</w:t>
      </w:r>
      <w:r>
        <w:rPr>
          <w:rFonts w:ascii="Times New Roman" w:cs="Times New Roman" w:eastAsia="Times New Roman" w:hAnsi="Times New Roman"/>
          <w:sz w:val="18"/>
          <w:szCs w:val="18"/>
          <w:u w:val="single" w:color="auto"/>
          <w:color w:val="000000"/>
        </w:rPr>
        <w:t>Tender Offer</w:t>
      </w:r>
      <w:r>
        <w:rPr>
          <w:rFonts w:ascii="Times New Roman" w:cs="Times New Roman" w:eastAsia="Times New Roman" w:hAnsi="Times New Roman"/>
          <w:sz w:val="18"/>
          <w:szCs w:val="18"/>
          <w:color w:val="000000"/>
        </w:rPr>
        <w:t>”), a consent solicitation (a “</w:t>
      </w:r>
      <w:r>
        <w:rPr>
          <w:rFonts w:ascii="Times New Roman" w:cs="Times New Roman" w:eastAsia="Times New Roman" w:hAnsi="Times New Roman"/>
          <w:sz w:val="18"/>
          <w:szCs w:val="18"/>
          <w:u w:val="single" w:color="auto"/>
          <w:color w:val="000000"/>
        </w:rPr>
        <w:t>Consent Solicitation</w:t>
      </w:r>
      <w:r>
        <w:rPr>
          <w:rFonts w:ascii="Times New Roman" w:cs="Times New Roman" w:eastAsia="Times New Roman" w:hAnsi="Times New Roman"/>
          <w:sz w:val="18"/>
          <w:szCs w:val="18"/>
          <w:color w:val="000000"/>
        </w:rPr>
        <w:t>”) and/or other liability management transaction (a “</w:t>
      </w:r>
      <w:r>
        <w:rPr>
          <w:rFonts w:ascii="Times New Roman" w:cs="Times New Roman" w:eastAsia="Times New Roman" w:hAnsi="Times New Roman"/>
          <w:sz w:val="18"/>
          <w:szCs w:val="18"/>
          <w:u w:val="single" w:color="auto"/>
          <w:color w:val="000000"/>
        </w:rPr>
        <w:t>Liability Management Transaction</w:t>
      </w:r>
      <w:r>
        <w:rPr>
          <w:rFonts w:ascii="Times New Roman" w:cs="Times New Roman" w:eastAsia="Times New Roman" w:hAnsi="Times New Roman"/>
          <w:sz w:val="18"/>
          <w:szCs w:val="18"/>
          <w:color w:val="000000"/>
        </w:rPr>
        <w:t>”), including notices of redemption, notices of offers to purchase and/or consent solicitation statements for or in respect of any series of outstanding debt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In furtherance and without limiting the foregoing, the Company shall, and shall cause its Subsidiaries to, use reasonable best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to:</w:t>
      </w:r>
    </w:p>
    <w:p>
      <w:pPr>
        <w:spacing w:after="0" w:line="207" w:lineRule="exact"/>
        <w:rPr>
          <w:sz w:val="20"/>
          <w:szCs w:val="20"/>
          <w:color w:val="auto"/>
        </w:rPr>
      </w:pPr>
    </w:p>
    <w:p>
      <w:pPr>
        <w:ind w:firstLine="1944"/>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with respect to the Company Bridge Facility and the Revolving Facility, deliver to Buyer (A) at least five (5) days prior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Closing Date, draft payoff letters and (B) at least two (2) Business Days prior to the Closing Date, executed payoff letters, in form and substance customary for transactions of this type; and</w:t>
      </w:r>
    </w:p>
    <w:p>
      <w:pPr>
        <w:spacing w:after="0" w:line="176" w:lineRule="exact"/>
        <w:rPr>
          <w:sz w:val="20"/>
          <w:szCs w:val="20"/>
          <w:color w:val="auto"/>
        </w:rPr>
      </w:pPr>
    </w:p>
    <w:p>
      <w:pPr>
        <w:ind w:right="100" w:firstLine="1944"/>
        <w:spacing w:after="0" w:line="266"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take any other actions reasonably requested by Buyer that are reasonably necessary for the payoff and termination in full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customary exceptions for contingent obligations thereunder that are not yet due and payable) of the Company Bridge Facility and the Revolving Facility (the payoff of such facilities, together, the “</w:t>
      </w:r>
      <w:r>
        <w:rPr>
          <w:rFonts w:ascii="Times New Roman" w:cs="Times New Roman" w:eastAsia="Times New Roman" w:hAnsi="Times New Roman"/>
          <w:sz w:val="18"/>
          <w:szCs w:val="18"/>
          <w:u w:val="single" w:color="auto"/>
          <w:color w:val="000000"/>
        </w:rPr>
        <w:t>Debt Payoff</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any such action described above shall not be required unless it can be and is conditioned on the occurrence of the Closing, and</w:t>
      </w:r>
    </w:p>
    <w:p>
      <w:pPr>
        <w:spacing w:after="0" w:line="27" w:lineRule="exact"/>
        <w:rPr>
          <w:sz w:val="20"/>
          <w:szCs w:val="20"/>
          <w:color w:val="auto"/>
        </w:rPr>
      </w:pPr>
    </w:p>
    <w:p>
      <w:pPr>
        <w:ind w:right="120" w:firstLine="8"/>
        <w:spacing w:after="0" w:line="260"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Buyer shall pay, or cause to be paid, any outstanding indebtedness under the Company Bridge Facility or the Revolving Facility (subject to customary arrangements for any outstanding letters of credit).</w:t>
      </w:r>
    </w:p>
    <w:p>
      <w:pPr>
        <w:spacing w:after="0" w:line="181" w:lineRule="exact"/>
        <w:rPr>
          <w:sz w:val="20"/>
          <w:szCs w:val="20"/>
          <w:color w:val="auto"/>
        </w:rPr>
      </w:pPr>
    </w:p>
    <w:p>
      <w:pPr>
        <w:ind w:right="60" w:firstLine="1296"/>
        <w:spacing w:after="0" w:line="312" w:lineRule="auto"/>
        <w:rPr>
          <w:sz w:val="20"/>
          <w:szCs w:val="20"/>
          <w:color w:val="auto"/>
        </w:rPr>
      </w:pPr>
      <w:r>
        <w:rPr>
          <w:rFonts w:ascii="Times New Roman" w:cs="Times New Roman" w:eastAsia="Times New Roman" w:hAnsi="Times New Roman"/>
          <w:sz w:val="17"/>
          <w:szCs w:val="17"/>
          <w:color w:val="010000"/>
        </w:rPr>
        <w:t xml:space="preserve">(c)           </w:t>
      </w:r>
      <w:r>
        <w:rPr>
          <w:rFonts w:ascii="Times New Roman" w:cs="Times New Roman" w:eastAsia="Times New Roman" w:hAnsi="Times New Roman"/>
          <w:sz w:val="17"/>
          <w:szCs w:val="17"/>
          <w:color w:val="000000"/>
        </w:rPr>
        <w:t>The Company shall, and shall cause its applicable Subsidiaries and its and their respective Representatives to, provide cooperation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reasonably requested by Buyer in connection with the Debt Payoff, Discharge, Tender Offer, Consent Solicitation or Liability Management Transaction.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96" w:name="page97"/>
    <w:bookmarkEnd w:id="96"/>
    <w:p>
      <w:pPr>
        <w:ind w:left="1300"/>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Buyer’s Financing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(a)           </w:t>
      </w:r>
      <w:r>
        <w:rPr>
          <w:rFonts w:ascii="Times New Roman" w:cs="Times New Roman" w:eastAsia="Times New Roman" w:hAnsi="Times New Roman"/>
          <w:sz w:val="18"/>
          <w:szCs w:val="18"/>
          <w:color w:val="000000"/>
        </w:rPr>
        <w:t>Buyer shall not, without the prior consent of the Company, permit any amendment, modification to, or any waiver of any provision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remedy under, any of the Commitment Letter or any definitive agreement related to the Committed Financing unless: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such amendment, modification or waiver would not impose new or additional conditions to the Committed Financing; and</w:t>
      </w: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such amendment, modification or waiver would not reasonably be expected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 xml:space="preserve">(A)           </w:t>
      </w:r>
      <w:r>
        <w:rPr>
          <w:rFonts w:ascii="Times New Roman" w:cs="Times New Roman" w:eastAsia="Times New Roman" w:hAnsi="Times New Roman"/>
          <w:sz w:val="18"/>
          <w:szCs w:val="18"/>
          <w:color w:val="000000"/>
        </w:rPr>
        <w:t>prevent, materially delay or materially impede consummation of the Merger and the other Transactions;</w:t>
      </w:r>
    </w:p>
    <w:p>
      <w:pPr>
        <w:spacing w:after="0" w:line="225" w:lineRule="exact"/>
        <w:rPr>
          <w:sz w:val="20"/>
          <w:szCs w:val="20"/>
          <w:color w:val="auto"/>
        </w:rPr>
      </w:pPr>
    </w:p>
    <w:p>
      <w:pPr>
        <w:ind w:firstLine="2592"/>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reduce the aggregate amount of the Committed Financing to an amount, together with the proceeds of the Equity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Investment and any cash, marketable securities, available lines of credit or other sources of immediately available funds of Buyer, less than the amount necessary for Buyer and Merger Sub to consummate the Transactions (it being understood that any mandatory commitment reduction due to obtaining net proceeds of a debt or equity issuance, entry into a limited condition bank loan or obtaining net proceeds of certain asset sales in accordance with the terms of such Commitment Letter shall be permitted without the Company’s prior consent); and</w:t>
      </w:r>
    </w:p>
    <w:p>
      <w:pPr>
        <w:spacing w:after="0" w:line="18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materially and adversely affect the enforceability of the Commitment Letter by Buyer.</w:t>
      </w:r>
    </w:p>
    <w:p>
      <w:pPr>
        <w:spacing w:after="0" w:line="225"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Buyer shall promptly upon request provide true, complete and correct copies of each amendment, modification and waiver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the Commitment Letters or any definitive agreement related to the Committed Financing to the Company;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notwithstanding any other provision of this Agreement, Buyer shall be entitled from time to time to (x) substitute other debt financing for all or any portion of the Committed Financing from the same or alternative financing sources, including, for the avoidance of doubt, one or more issuances of debt securities, and (y) amend, restate, replace, supplement or otherwise modify the Committed Financing for the purpose of adding agents, co-agents, lenders, arrangers, bookrunners or other similar Persons.</w:t>
      </w:r>
    </w:p>
    <w:p>
      <w:pPr>
        <w:spacing w:after="0" w:line="18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any Debt Financing Failure Event occurs, Buyer shall use its commercially reasonable efforts, promptly and in consultation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to arrange for alternative debt financing (“</w:t>
      </w:r>
      <w:r>
        <w:rPr>
          <w:rFonts w:ascii="Times New Roman" w:cs="Times New Roman" w:eastAsia="Times New Roman" w:hAnsi="Times New Roman"/>
          <w:sz w:val="18"/>
          <w:szCs w:val="18"/>
          <w:u w:val="single" w:color="auto"/>
          <w:color w:val="000000"/>
        </w:rPr>
        <w:t>Debt Replacement Financing</w:t>
      </w:r>
      <w:r>
        <w:rPr>
          <w:rFonts w:ascii="Times New Roman" w:cs="Times New Roman" w:eastAsia="Times New Roman" w:hAnsi="Times New Roman"/>
          <w:sz w:val="18"/>
          <w:szCs w:val="18"/>
          <w:color w:val="000000"/>
        </w:rPr>
        <w:t>”) in an amount that when added with the Equity Investment and any cash, marketable securities, available lines of credit or other sources of immediately available funds of Buyer would be sufficient to pay the amounts owed by Buyer on the Closing Date pursuant to this Agreement. Buyer shall deliver to the Company true, correct and complete copies of all contracts or other arrangements pursuant to which any alternative source shall have committed to provide any portion of the Debt Replacement Financing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fee letters in connection therewith may be redacted in a manner consistent with the Debt Fee Letter provided as of the date hereof).</w:t>
      </w:r>
    </w:p>
    <w:p>
      <w:pPr>
        <w:spacing w:after="0" w:line="18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010000"/>
        </w:rPr>
        <w:t>(d)            If any Equity Financing Failure Event occurs, Buyer shall promptly notify the Company and, to the extent applicable, in consultation with the Company, use commercially reasonable efforts to arrange for alternative equity financing (“</w:t>
      </w:r>
      <w:r>
        <w:rPr>
          <w:rFonts w:ascii="Times New Roman" w:cs="Times New Roman" w:eastAsia="Times New Roman" w:hAnsi="Times New Roman"/>
          <w:sz w:val="18"/>
          <w:szCs w:val="18"/>
          <w:u w:val="single" w:color="auto"/>
          <w:color w:val="010000"/>
        </w:rPr>
        <w:t>Equity Replacement Financing</w:t>
      </w:r>
      <w:r>
        <w:rPr>
          <w:rFonts w:ascii="Times New Roman" w:cs="Times New Roman" w:eastAsia="Times New Roman" w:hAnsi="Times New Roman"/>
          <w:sz w:val="18"/>
          <w:szCs w:val="18"/>
          <w:color w:val="010000"/>
        </w:rPr>
        <w:t>”) in an amount that when added with the Buyer Debt Financing and any cash, marketable securities, available lines of credit or other sources of immediately available funds of Buyer would be sufficient to pay the amounts owed by Buyer on the Closing Date pursuant to this Agreement. Buyer shall deliver to the Company true, correct and complete copies of all contracts or other arrangements pursuant to which any alternative source shall have committed to provide any portion of the Equity Replacement Financing.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7" w:name="page98"/>
    <w:bookmarkEnd w:id="97"/>
    <w:p>
      <w:pPr>
        <w:ind w:right="100" w:firstLine="1304"/>
        <w:spacing w:after="0" w:line="256" w:lineRule="auto"/>
        <w:tabs>
          <w:tab w:leader="none" w:pos="217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Buyer agrees that it shall take (or cause to be taken) all actions and do (or cause to be done) all things necessary, proper or advisable to obtain the Equity Investment (or any Equity Replacement Financing), including taking all actions necessary to (i) comply with the terms of and maintain in effect the Subscription Agreements, (ii) satisfy on a timely basis all conditions and obligations in the Subscription Agreements and (iii) consummate the Equity Investment (or any Equity Replacement Financing) at or prior to the Closing. Buyer further agrees that it shall take (or cause to be taken) all actions and do (or cause to be done) all things necessary, proper or advisable to fully enforce its rights (including through litigation) under the Subscription Agreements.</w:t>
      </w:r>
    </w:p>
    <w:p>
      <w:pPr>
        <w:spacing w:after="0" w:line="187" w:lineRule="exact"/>
        <w:rPr>
          <w:rFonts w:ascii="Times New Roman" w:cs="Times New Roman" w:eastAsia="Times New Roman" w:hAnsi="Times New Roman"/>
          <w:sz w:val="18"/>
          <w:szCs w:val="18"/>
          <w:color w:val="010000"/>
        </w:rPr>
      </w:pPr>
    </w:p>
    <w:p>
      <w:pPr>
        <w:ind w:right="240" w:firstLine="1304"/>
        <w:spacing w:after="0" w:line="282" w:lineRule="auto"/>
        <w:tabs>
          <w:tab w:leader="none" w:pos="215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Buyer shall, on or prior to the Closing Date, apply the cash proceeds of the Equity Investment (or any Equity Replacement Financing) to payment of the aggregate Merger Consideration pursuant to the terms of this Agreement.</w:t>
      </w:r>
    </w:p>
    <w:p>
      <w:pPr>
        <w:spacing w:after="0" w:line="378" w:lineRule="exact"/>
        <w:rPr>
          <w:sz w:val="20"/>
          <w:szCs w:val="20"/>
          <w:color w:val="auto"/>
        </w:rPr>
      </w:pPr>
    </w:p>
    <w:p>
      <w:pPr>
        <w:ind w:right="300" w:firstLine="1296"/>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 Buyer shall use its reasonable best efforts to cause the Equity Financing Sources to make any necessary filings with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submissions to, or supply information or documentation to, Governmental Entities in connection with the filings, notices and reports as required by this Agreement and (ii) the Company shall furnish Buyer any reasonable assistance, including making any necessary filings with or submissions to, or supplying information or documentation to, Governmental Entities, as Buyer may request in connection with the Buyer Financing Transactions.</w:t>
      </w:r>
    </w:p>
    <w:p>
      <w:pPr>
        <w:spacing w:after="0" w:line="180"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(h)             </w:t>
      </w:r>
      <w:r>
        <w:rPr>
          <w:rFonts w:ascii="Times New Roman" w:cs="Times New Roman" w:eastAsia="Times New Roman" w:hAnsi="Times New Roman"/>
          <w:sz w:val="18"/>
          <w:szCs w:val="18"/>
          <w:color w:val="000000"/>
        </w:rPr>
        <w:t>Notwithstanding anything to the contrary herein, nothing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6.16</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require (i) funding of any equity financing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the Equity Investment or any Equity Replacement Financing, (ii) the incurrence of any debt financing other than the Committed Financing or any Debt Replacement Financing, or (iii) the payment of fees in connection with the Committed Financing or Equity Investment in excess of the amounts contemplated by the Debt Commitment Letter and the Subscription Agreements.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CONDITIONS</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Obligation of Each Party</w:t>
      </w:r>
      <w:r>
        <w:rPr>
          <w:rFonts w:ascii="Times New Roman" w:cs="Times New Roman" w:eastAsia="Times New Roman" w:hAnsi="Times New Roman"/>
          <w:sz w:val="18"/>
          <w:szCs w:val="18"/>
          <w:color w:val="auto"/>
        </w:rPr>
        <w:t>. The respective obligation of each Party to consummate the Merger is subject to the satisfaction (or waiver to the extent permitted by applicable Law) at or prior to the Closing of each of the following conditions: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Stockholder Approval</w:t>
      </w:r>
      <w:r>
        <w:rPr>
          <w:rFonts w:ascii="Times New Roman" w:cs="Times New Roman" w:eastAsia="Times New Roman" w:hAnsi="Times New Roman"/>
          <w:sz w:val="18"/>
          <w:szCs w:val="18"/>
          <w:color w:val="000000"/>
        </w:rPr>
        <w:t>. The Company Stockholder Approval shall have been obtained.</w:t>
      </w:r>
    </w:p>
    <w:p>
      <w:pPr>
        <w:spacing w:after="0" w:line="225"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Regulatory Approvals</w:t>
      </w:r>
      <w:r>
        <w:rPr>
          <w:rFonts w:ascii="Times New Roman" w:cs="Times New Roman" w:eastAsia="Times New Roman" w:hAnsi="Times New Roman"/>
          <w:sz w:val="18"/>
          <w:szCs w:val="18"/>
          <w:color w:val="000000"/>
        </w:rPr>
        <w:t>. (i) any applicable waiting period under the HSR Act relating to the Merger shall have expired or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terminated, and any commitments not to close any of the Transactions before a certain date under a timing agreement entered into by the Parties with any Governmental Entity shall have expired or been terminated; and (ii) any applicable mandatory waiting period, clearance or affirmative approval of any governmental body, agency or authority or other condition set forth in </w:t>
      </w:r>
      <w:r>
        <w:rPr>
          <w:rFonts w:ascii="Times New Roman" w:cs="Times New Roman" w:eastAsia="Times New Roman" w:hAnsi="Times New Roman"/>
          <w:sz w:val="18"/>
          <w:szCs w:val="18"/>
          <w:u w:val="single" w:color="auto"/>
          <w:color w:val="000000"/>
        </w:rPr>
        <w:t>Section 7.1(b)(ii)</w:t>
      </w:r>
      <w:r>
        <w:rPr>
          <w:rFonts w:ascii="Times New Roman" w:cs="Times New Roman" w:eastAsia="Times New Roman" w:hAnsi="Times New Roman"/>
          <w:sz w:val="18"/>
          <w:szCs w:val="18"/>
          <w:color w:val="000000"/>
        </w:rPr>
        <w:t xml:space="preserve"> of the Company Disclosure Letter shall have expired or been obtained (clauses (i) and (ii), collectively, the “</w:t>
      </w:r>
      <w:r>
        <w:rPr>
          <w:rFonts w:ascii="Times New Roman" w:cs="Times New Roman" w:eastAsia="Times New Roman" w:hAnsi="Times New Roman"/>
          <w:sz w:val="18"/>
          <w:szCs w:val="18"/>
          <w:u w:val="single" w:color="auto"/>
          <w:color w:val="000000"/>
        </w:rPr>
        <w:t>Required Governmental Consents</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Laws or Governmental Orders</w:t>
      </w:r>
      <w:r>
        <w:rPr>
          <w:rFonts w:ascii="Times New Roman" w:cs="Times New Roman" w:eastAsia="Times New Roman" w:hAnsi="Times New Roman"/>
          <w:sz w:val="18"/>
          <w:szCs w:val="18"/>
          <w:color w:val="000000"/>
        </w:rPr>
        <w:t>. No Governmental Entity shall after the date of this Agreement have enacted, issued or promulgated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Law or Governmental Order that is in effect and that restrains, enjoins or otherwise prohibits the consummation of the Merger.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to Obligation of the Company to Effect the Merger</w:t>
      </w:r>
      <w:r>
        <w:rPr>
          <w:rFonts w:ascii="Times New Roman" w:cs="Times New Roman" w:eastAsia="Times New Roman" w:hAnsi="Times New Roman"/>
          <w:sz w:val="18"/>
          <w:szCs w:val="18"/>
          <w:color w:val="auto"/>
        </w:rPr>
        <w:t>. The obligation of the Company to effect the Merger is further subject to the satisfaction (or waiver by the Company to the extent permitted by applicable Law) of the following conditions:</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representations and warranties of Buyer and Merger Sub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true and correct at and as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Closing,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prevent, materially delay or materially impair the ability of Buyer and Merger Sub to consummate the Transactions.</w:t>
      </w:r>
    </w:p>
    <w:p>
      <w:pPr>
        <w:spacing w:after="0" w:line="180"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Buyer and Merger Sub shall have performed in all material respects all obligations and complied in all material respects with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covenants required by this Agreement to be performed or complied with by them prior to the Closing.</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Buyer shall have delivered to the Company a certificate, dated as of the Closing Date and signed by its Chief Executive Officer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another senior officer, certifying to the effect that the conditions set forth in Section 7‎.2(a) and Section 7‎.2(b)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-48260</wp:posOffset>
            </wp:positionV>
            <wp:extent cx="1510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142"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Obligation of Buyer and Merger Sub to Effect the Merger</w:t>
      </w:r>
      <w:r>
        <w:rPr>
          <w:rFonts w:ascii="Times New Roman" w:cs="Times New Roman" w:eastAsia="Times New Roman" w:hAnsi="Times New Roman"/>
          <w:sz w:val="18"/>
          <w:szCs w:val="18"/>
          <w:color w:val="auto"/>
        </w:rPr>
        <w:t>. The obligations of Buyer and Merger Sub to effect the Merger are further subject to the satisfaction (or waiver by Buyer to the extent permitted by applicable Law) of the following conditions:</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 The representations and warranties of the Company set forth in Section 4‎.2(a) (Capitalization) shall be true and correct in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respects, at and as of the Closing, as if made at and as of such time (except to the extent expressly made as of an earlier date, in which case as of such date), in each case, except for de minimis inaccuracies; (ii) the representation and warranty of the Company set forth in Section 4‎.6(a) (Absence of Certain Changes) shall be true and correct in all respects at and as of the date of this Agreement; (iii) the representations and warranties of the Company set forth in the first sentence of Section 4‎.1 (Organization, Good Standing and Qualification), </w:t>
      </w:r>
      <w:r>
        <w:rPr>
          <w:rFonts w:ascii="Times New Roman" w:cs="Times New Roman" w:eastAsia="Times New Roman" w:hAnsi="Times New Roman"/>
          <w:sz w:val="18"/>
          <w:szCs w:val="18"/>
          <w:u w:val="single" w:color="auto"/>
          <w:color w:val="000000"/>
        </w:rPr>
        <w:t>Section 4.2(b)</w:t>
      </w:r>
      <w:r>
        <w:rPr>
          <w:rFonts w:ascii="Times New Roman" w:cs="Times New Roman" w:eastAsia="Times New Roman" w:hAnsi="Times New Roman"/>
          <w:sz w:val="18"/>
          <w:szCs w:val="18"/>
          <w:color w:val="000000"/>
        </w:rPr>
        <w:t xml:space="preserve"> (Capitalization), </w:t>
      </w:r>
      <w:r>
        <w:rPr>
          <w:rFonts w:ascii="Times New Roman" w:cs="Times New Roman" w:eastAsia="Times New Roman" w:hAnsi="Times New Roman"/>
          <w:sz w:val="18"/>
          <w:szCs w:val="18"/>
          <w:u w:val="single" w:color="auto"/>
          <w:color w:val="000000"/>
        </w:rPr>
        <w:t>Section 4.3(a)</w:t>
      </w:r>
      <w:r>
        <w:rPr>
          <w:rFonts w:ascii="Times New Roman" w:cs="Times New Roman" w:eastAsia="Times New Roman" w:hAnsi="Times New Roman"/>
          <w:sz w:val="18"/>
          <w:szCs w:val="18"/>
          <w:color w:val="000000"/>
        </w:rPr>
        <w:t xml:space="preserve"> (Corporate Authority and Approval), </w:t>
      </w:r>
      <w:r>
        <w:rPr>
          <w:rFonts w:ascii="Times New Roman" w:cs="Times New Roman" w:eastAsia="Times New Roman" w:hAnsi="Times New Roman"/>
          <w:sz w:val="18"/>
          <w:szCs w:val="18"/>
          <w:u w:val="single" w:color="auto"/>
          <w:color w:val="000000"/>
        </w:rPr>
        <w:t>Section 4.3(b)</w:t>
      </w:r>
      <w:r>
        <w:rPr>
          <w:rFonts w:ascii="Times New Roman" w:cs="Times New Roman" w:eastAsia="Times New Roman" w:hAnsi="Times New Roman"/>
          <w:sz w:val="18"/>
          <w:szCs w:val="18"/>
          <w:color w:val="000000"/>
        </w:rPr>
        <w:t xml:space="preserve"> (Corporate Authority and Approval), Section 4‎.18 (Brokers and Finders) and </w:t>
      </w:r>
      <w:r>
        <w:rPr>
          <w:rFonts w:ascii="Times New Roman" w:cs="Times New Roman" w:eastAsia="Times New Roman" w:hAnsi="Times New Roman"/>
          <w:sz w:val="18"/>
          <w:szCs w:val="18"/>
          <w:u w:val="single" w:color="auto"/>
          <w:color w:val="000000"/>
        </w:rPr>
        <w:t>Section 4.20</w:t>
      </w:r>
      <w:r>
        <w:rPr>
          <w:rFonts w:ascii="Times New Roman" w:cs="Times New Roman" w:eastAsia="Times New Roman" w:hAnsi="Times New Roman"/>
          <w:sz w:val="18"/>
          <w:szCs w:val="18"/>
          <w:color w:val="000000"/>
        </w:rPr>
        <w:t xml:space="preserve"> (Termination of Netflix Merger Agreement) shall be true and correct, without regard to any “materiality” or “Company Material Adverse Effect” qualifiers specified therein, in all material respects, at and as of the Closing, as if made at and as of such time (except to the extent expressly made as of an earlier date, in which case as of such date); and (iv) the other representations and warranties of the Company set forth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shall be true and correct, without regard to any “materiality” or “Company Material Adverse Effect” qualifiers specified therein, at and as of the Closing,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-1539240</wp:posOffset>
            </wp:positionV>
            <wp:extent cx="6407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-1264920</wp:posOffset>
            </wp:positionV>
            <wp:extent cx="6407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-990600</wp:posOffset>
            </wp:positionV>
            <wp:extent cx="5137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-853440</wp:posOffset>
            </wp:positionV>
            <wp:extent cx="5708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70"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Company shall have performed in all material respects all obligations and complied in all material respects with all covenants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by this Agreement to be performed or complied with by it prior to the Closing.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Since the date of this Agreement, there shall not have occurred any Company Material Adverse Effect.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right="140" w:firstLine="1296"/>
        <w:spacing w:after="0" w:line="289"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None of the Required Governmental Consents or any other approvals, consents, registrations, permits, authorizations and other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confirmations required under applicable Law in connection with the consummation of the Merger shall have imposed any Remedy that, individually or in the aggregate with all other Remedies imposed, to be taken or agreed to, would reasonably be expected to have a Regulatory Material Adverse Effect.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Company shall not have effected the Separation, nor shall any dividend to effectuate the Separation have been declared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Company shall have delivered to Buyer a certificate, dated as of the Closing Date and signed by its Chief Executive Officer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another senior officer, certifying to the effect that the conditions set forth in Section 7‎.3(a), Section 7‎.3(b) and Section 7‎.3(c)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-48260</wp:posOffset>
            </wp:positionV>
            <wp:extent cx="22072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07260" cy="8890"/>
                    </a:xfrm>
                    <a:prstGeom prst="rect">
                      <a:avLst/>
                    </a:prstGeom>
                    <a:noFill/>
                  </pic:spPr>
                </pic:pic>
              </a:graphicData>
            </a:graphic>
          </wp:anchor>
        </w:drawing>
      </w:r>
    </w:p>
    <w:p>
      <w:pPr>
        <w:spacing w:after="0" w:line="142"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No Party may rely, either as a basis for not consummating the Merger or terminating this Agreement and abandoning the Merger, on the failure of any condition set forth in ‎Section 7.1, ‎Section 7.2 or ‎Section 7.3, as the case may be, to be satisfied if such failure was caused by such Party’s material breach of any covenant or agreement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-175895</wp:posOffset>
            </wp:positionV>
            <wp:extent cx="17513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TERMINATION</w:t>
      </w:r>
    </w:p>
    <w:p>
      <w:pPr>
        <w:spacing w:after="0" w:line="225"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or Abandonment</w:t>
      </w:r>
      <w:r>
        <w:rPr>
          <w:rFonts w:ascii="Times New Roman" w:cs="Times New Roman" w:eastAsia="Times New Roman" w:hAnsi="Times New Roman"/>
          <w:sz w:val="18"/>
          <w:szCs w:val="18"/>
          <w:color w:val="auto"/>
        </w:rPr>
        <w:t>. This Agreement may be terminated and abandoned prior to the Effective Time, whether before or after the Company Stockholder Approval: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by the mutual written consent of the Company and Buyer;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by either the Company or Buyer, if: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(A) the Effective Time shall not have occurred by 11:59 p.m. (New York City time) on the date that is twelve (12) months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of this Agreement (as may be extended,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on such date one or more of the conditions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‎7.1(b) or Section ‎7.1(c) (as the result of any applicable Antitrust Law or Regulatory Law or a Governmental Order resulting from the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40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of any applicable Antitrust Law or Regulatory Law) has not been satisfied or, to the extent permitted by applicable Law, waived and all other conditions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to the extent permitted by applicable Law, waived (except for any conditions that by their nature can only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at the Closing, but subject to the satisfaction or, to the extent permitted by applicable Law, waiver of such conditions at the Closing), the End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automatically be extended to 11:59 p.m. (New York City time) on the date that is fifteen (15) months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on such extended date one or more of the conditions set forth in Section 7‎.1(b) or Section 7‎.1(c) (as the result of any applicable Antitrust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-19050</wp:posOffset>
            </wp:positionV>
            <wp:extent cx="1440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Law or Regulatory Law or a Governmental Order resulting from the enforcement of any applicable Antitrust Law or Regulatory Law) has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satisfied or, to the extent permitted by applicable Law, waived and all of the other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applicable Law, waived (except for any conditions that by their nature can only be satisfied at the Closing, but subject to the satisfaction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permitted by applicable Law, waiver of such conditions at the Closing), the End Date shall automatically be extended to 11:59 p.m.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 on the date that is eighteen (18) months after the date of this Agreement and (B) the Party seeking to terminate this Agreement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8‎.1(b)(i) shall not have breached in any material respect its obligations under this Agreement in any manner that has been the primary cause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550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550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failure to consummate the Merger on or before such date. If all the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are satisfied (except for any conditions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their nature can only be satisfied at the Closing, but subject to the satisfaction or, to the extent permitted by applicable Law, waiver of such conditions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Closing) on a date that occurs on or prior to the End Date but the Closing would thereafter occur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on a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Date</w:t>
      </w:r>
      <w:r>
        <w:rPr>
          <w:rFonts w:ascii="Times New Roman" w:cs="Times New Roman" w:eastAsia="Times New Roman" w:hAnsi="Times New Roman"/>
          <w:sz w:val="18"/>
          <w:szCs w:val="18"/>
          <w:color w:val="auto"/>
        </w:rPr>
        <w:t>”) after such End Date, then such End Date shall automatically be extended to the Specified Date and the Specified Date shall become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Date for all purposes of this Agreement;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0" w:name="page101"/>
    <w:bookmarkEnd w:id="100"/>
    <w:p>
      <w:pPr>
        <w:ind w:right="160" w:firstLine="1944"/>
        <w:spacing w:after="0" w:line="261"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any Law or Governmental Order permanently enjoining or prohibiting the consummation of the Merger shall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issued or promulgated and become final and non-appealable;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w:t>
      </w:r>
      <w:r>
        <w:rPr>
          <w:rFonts w:ascii="Times New Roman" w:cs="Times New Roman" w:eastAsia="Times New Roman" w:hAnsi="Times New Roman"/>
          <w:sz w:val="18"/>
          <w:szCs w:val="18"/>
          <w:color w:val="000000"/>
        </w:rPr>
        <w:t>r, that the Party seeking to terminate this Agreement pursuant to this Section 8‎.1(b)(ii) shall not have breached in any material respect its obligations under this Agreement in any manner that has been the primary cause of such Law or Governmental Order;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867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spacing w:after="0" w:line="160"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Company Stockholder Meeting (including any adjournments or postponements thereof) shall have been held and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concluded and the Company Stockholder Approval shall not have been obtained;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by the Company:</w:t>
      </w:r>
    </w:p>
    <w:p>
      <w:pPr>
        <w:spacing w:after="0" w:line="225" w:lineRule="exact"/>
        <w:rPr>
          <w:sz w:val="20"/>
          <w:szCs w:val="20"/>
          <w:color w:val="auto"/>
        </w:rPr>
      </w:pPr>
    </w:p>
    <w:p>
      <w:pPr>
        <w:ind w:firstLine="1944"/>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Buyer or Merger Sub shall have breached or failed to perform in any material respect any of their representations,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warranties, covenants or other agreements contained in this Agreement, which breach or failure to perform (A) would result in a failure of a condition set forth in Section ‎7.1 or Section ‎7.2 and (B) cannot be cured by the End Date or, if curable, is not cured by the earlier of (x) the End Date and (y) 45 Business Days following the Company’s delivery of written notice to Buyer stating the Company’s intention to terminate this Agreement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-160655</wp:posOffset>
            </wp:positionV>
            <wp:extent cx="11804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ind w:right="280"/>
        <w:spacing w:after="0" w:line="260" w:lineRule="auto"/>
        <w:rPr>
          <w:sz w:val="20"/>
          <w:szCs w:val="20"/>
          <w:color w:val="auto"/>
        </w:rPr>
      </w:pPr>
      <w:r>
        <w:rPr>
          <w:rFonts w:ascii="Times New Roman" w:cs="Times New Roman" w:eastAsia="Times New Roman" w:hAnsi="Times New Roman"/>
          <w:sz w:val="18"/>
          <w:szCs w:val="18"/>
          <w:color w:val="auto"/>
        </w:rPr>
        <w:t xml:space="preserve">Section ‎8.1(c)(i)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have a right to terminate this Agreement pursuant to this Section ‎8.1(c)(i) if the Company is then in material breach of any representation, warranty, agreement or covenant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486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8665" cy="889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-35560</wp:posOffset>
            </wp:positionV>
            <wp:extent cx="7486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48665" cy="8890"/>
                    </a:xfrm>
                    <a:prstGeom prst="rect">
                      <a:avLst/>
                    </a:prstGeom>
                    <a:noFill/>
                  </pic:spPr>
                </pic:pic>
              </a:graphicData>
            </a:graphic>
          </wp:anchor>
        </w:drawing>
      </w:r>
    </w:p>
    <w:p>
      <w:pPr>
        <w:spacing w:after="0" w:line="161" w:lineRule="exact"/>
        <w:rPr>
          <w:sz w:val="20"/>
          <w:szCs w:val="20"/>
          <w:color w:val="auto"/>
        </w:rPr>
      </w:pPr>
    </w:p>
    <w:p>
      <w:pPr>
        <w:ind w:right="120" w:firstLine="1944"/>
        <w:spacing w:after="0" w:line="261"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prior to receipt of the Company Stockholder Approval, in order to enter into, concurrently with termination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a definitive agreement providing for a Company Superior Proposal subject to compliance with Section 6‎.3(b) if the Company has not violated its obligations under </w:t>
      </w:r>
      <w:r>
        <w:rPr>
          <w:rFonts w:ascii="Times New Roman" w:cs="Times New Roman" w:eastAsia="Times New Roman" w:hAnsi="Times New Roman"/>
          <w:sz w:val="18"/>
          <w:szCs w:val="18"/>
          <w:u w:val="single" w:color="auto"/>
          <w:color w:val="000000"/>
        </w:rPr>
        <w:t>Section 6.2</w:t>
      </w:r>
      <w:r>
        <w:rPr>
          <w:rFonts w:ascii="Times New Roman" w:cs="Times New Roman" w:eastAsia="Times New Roman" w:hAnsi="Times New Roman"/>
          <w:sz w:val="18"/>
          <w:szCs w:val="18"/>
          <w:color w:val="000000"/>
        </w:rPr>
        <w:t xml:space="preserve"> and the Company has paid, or simultaneously with the termination of this Agreement pays, to Buyer the Company Termination Fee due under </w:t>
      </w:r>
      <w:r>
        <w:rPr>
          <w:rFonts w:ascii="Times New Roman" w:cs="Times New Roman" w:eastAsia="Times New Roman" w:hAnsi="Times New Roman"/>
          <w:sz w:val="18"/>
          <w:szCs w:val="18"/>
          <w:u w:val="single" w:color="auto"/>
          <w:color w:val="000000"/>
        </w:rPr>
        <w:t>Section 8.3</w:t>
      </w:r>
      <w:r>
        <w:rPr>
          <w:rFonts w:ascii="Times New Roman" w:cs="Times New Roman" w:eastAsia="Times New Roman" w:hAnsi="Times New Roman"/>
          <w:sz w:val="18"/>
          <w:szCs w:val="18"/>
          <w:color w:val="000000"/>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-311150</wp:posOffset>
            </wp:positionV>
            <wp:extent cx="6470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56" w:lineRule="exact"/>
        <w:rPr>
          <w:sz w:val="20"/>
          <w:szCs w:val="20"/>
          <w:color w:val="auto"/>
        </w:rPr>
      </w:pPr>
    </w:p>
    <w:p>
      <w:pPr>
        <w:ind w:right="80" w:firstLine="1944"/>
        <w:spacing w:after="0" w:line="274" w:lineRule="auto"/>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color w:val="000000"/>
        </w:rPr>
        <w:t>if (A) all of the conditions set forth in Section 7‎.1 and Section 7</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color w:val="000000"/>
        </w:rPr>
        <w:t>.3 have been satisfied (other than those that, by their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nature, are to be satisfied at the Closing and which were, as of the date the Closing was required to have occurred pursuant to Section 1‎.2, capable of being satisfied) or have been waived (in writing) by Buyer, in each case, at the time the Closing is required to have occurred in accordance with Section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-299085</wp:posOffset>
            </wp:positionV>
            <wp:extent cx="12496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-161925</wp:posOffset>
            </wp:positionV>
            <wp:extent cx="5137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-24765</wp:posOffset>
            </wp:positionV>
            <wp:extent cx="5137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ind w:right="40" w:firstLine="8"/>
        <w:spacing w:after="0" w:line="260" w:lineRule="auto"/>
        <w:tabs>
          <w:tab w:leader="none" w:pos="2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written notice to Buyer that all of the conditions set forth in Section 7‎.1 and Section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 have been satisfied (other than those that, by their nature, are to be satisfied at the Closing and which were, as of the date the Closing was required to have occurred pursuant to Section 1‎.2, capable of being satisfied), and that it is ready, willing and able to take the actions within its control to consummate the Closing; (C) Buyer failed to consummate the Closing by the date that the Closing was required to have occurred in accordance with Section 1‎.2; and (D) Buyer fails to consummate the Closing by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delivery of the Company’s notice pursuant to clause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-687070</wp:posOffset>
            </wp:positionV>
            <wp:extent cx="12496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6363335</wp:posOffset>
            </wp:positionH>
            <wp:positionV relativeFrom="paragraph">
              <wp:posOffset>-549910</wp:posOffset>
            </wp:positionV>
            <wp:extent cx="5137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-275590</wp:posOffset>
            </wp:positionV>
            <wp:extent cx="5137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by Buyer:</w:t>
      </w:r>
    </w:p>
    <w:p>
      <w:pPr>
        <w:spacing w:after="0" w:line="225" w:lineRule="exact"/>
        <w:rPr>
          <w:sz w:val="20"/>
          <w:szCs w:val="20"/>
          <w:color w:val="auto"/>
        </w:rPr>
      </w:pPr>
    </w:p>
    <w:p>
      <w:pPr>
        <w:ind w:firstLine="1944"/>
        <w:spacing w:after="0" w:line="25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the Company shall have breached or failed to perform in any material respect any of its representations, warranties,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covenants or other agreements contained in this Agreement, which breach or failure to perform (A) would result in a failure of a condition set forth in Section 7‎.1 or Section 7‎.3 and (B) cannot be cured by the End Date or, if curable, is not cured by the earlier of (x) the End Date and (y) 45 Business Days following Buyer’s delivery of written notice to the Company stating Buyer’s intention to terminate this Agreement pursuant to this Section 8‎.1(d)(i) and the basis for such termination;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Buyer shall not have a right to terminate this Agreement pursuant to this Section 8‎.1(d)(i) if Buyer or Merger Sub is then in material breach of any representation, warranty, agreement or covenant contained in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1804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80465" cy="8255"/>
                    </a:xfrm>
                    <a:prstGeom prst="rect">
                      <a:avLst/>
                    </a:prstGeom>
                    <a:noFill/>
                  </pic:spPr>
                </pic:pic>
              </a:graphicData>
            </a:graphic>
          </wp:anchor>
        </w:drawing>
        <w:drawing>
          <wp:anchor simplePos="0" relativeHeight="251657728" behindDoc="1" locked="0" layoutInCell="0" allowOverlap="1">
            <wp:simplePos x="0" y="0"/>
            <wp:positionH relativeFrom="column">
              <wp:posOffset>6007735</wp:posOffset>
            </wp:positionH>
            <wp:positionV relativeFrom="paragraph">
              <wp:posOffset>-306070</wp:posOffset>
            </wp:positionV>
            <wp:extent cx="7550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5501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-168910</wp:posOffset>
            </wp:positionV>
            <wp:extent cx="755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55015" cy="8890"/>
                    </a:xfrm>
                    <a:prstGeom prst="rect">
                      <a:avLst/>
                    </a:prstGeom>
                    <a:noFill/>
                  </pic:spPr>
                </pic:pic>
              </a:graphicData>
            </a:graphic>
          </wp:anchor>
        </w:drawing>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prior to receipt of the Company Stockholder Approval, if a Change in the Company Recommendation has occurred.</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In the event of a valid termination of this Agreement pursuant to Section 8‎.1, the terminating Party shall forthwith give written notice thereof to the other Party or Parties and this Agreement shall terminate, and the Transactions shall be abandoned, without further action by any of the Parties. In the event of a valid termination of this Agreement pursuant to Section 8‎.1, this Agreement shall forthwith become null and void and there shall be no liability or obligation on the part of the Company, Buyer, Merger Sub or their respective Subsidiaries or Affiliates, except that: (i) no such termination shall relieve any Party of its obligation to pay the Company Termination Fee or the Regulatory Termination Fee, as applicable, if, as and when required pursuant to Section 8‎.3 or any of its other obligations under Section 8‎.3 expressly contemplated to survive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5447030</wp:posOffset>
            </wp:positionH>
            <wp:positionV relativeFrom="paragraph">
              <wp:posOffset>-707390</wp:posOffset>
            </wp:positionV>
            <wp:extent cx="5137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4624705</wp:posOffset>
            </wp:positionH>
            <wp:positionV relativeFrom="paragraph">
              <wp:posOffset>-433070</wp:posOffset>
            </wp:positionV>
            <wp:extent cx="5137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-21590</wp:posOffset>
            </wp:positionV>
            <wp:extent cx="5137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-21590</wp:posOffset>
            </wp:positionV>
            <wp:extent cx="5137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termination of this Agreement pursuant to Section‎ 8.3; (ii) no such termination shall relieve any Party for liability for such Party’s Fraud or Willful Breach of any covenant or obligation contained in this Agreement prior to its termination; and (iii) the provisions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survive the termination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-306705</wp:posOffset>
            </wp:positionV>
            <wp:extent cx="5143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2" w:name="page103"/>
    <w:bookmarkEnd w:id="102"/>
    <w:p>
      <w:pPr>
        <w:ind w:left="130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Company Termination Fee</w:t>
      </w:r>
      <w:r>
        <w:rPr>
          <w:rFonts w:ascii="Times New Roman" w:cs="Times New Roman" w:eastAsia="Times New Roman" w:hAnsi="Times New Roman"/>
          <w:sz w:val="17"/>
          <w:szCs w:val="17"/>
          <w:color w:val="000000"/>
        </w:rPr>
        <w:t>. If (A) this Agreement is terminated by the Company pursuant to Section ‎8.1(c)(ii), (B)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-635</wp:posOffset>
            </wp:positionV>
            <wp:extent cx="7804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terminated by Buyer pursuant to Section ‎8.1(d)(ii), (C) this Agreement is terminated by the Company or Buyer pursuant to Section ‎8.1(b)(iii) at 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-19050</wp:posOffset>
            </wp:positionV>
            <wp:extent cx="7867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86765" cy="8890"/>
                    </a:xfrm>
                    <a:prstGeom prst="rect">
                      <a:avLst/>
                    </a:prstGeom>
                    <a:noFill/>
                  </pic:spPr>
                </pic:pic>
              </a:graphicData>
            </a:graphic>
          </wp:anchor>
        </w:drawing>
        <w:drawing>
          <wp:anchor simplePos="0" relativeHeight="251657728" behindDoc="1" locked="0" layoutInCell="0" allowOverlap="1">
            <wp:simplePos x="0" y="0"/>
            <wp:positionH relativeFrom="column">
              <wp:posOffset>5748020</wp:posOffset>
            </wp:positionH>
            <wp:positionV relativeFrom="paragraph">
              <wp:posOffset>-19050</wp:posOffset>
            </wp:positionV>
            <wp:extent cx="8185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when Buyer had the right to terminate pursuant to Section 8‎.1(d)(ii) or (D) (x) after the date of this Agreement, an Acquisition Proposal (substituting,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-19050</wp:posOffset>
            </wp:positionV>
            <wp:extent cx="786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purposes of this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in the definition thereof “50%” for “20%” in each place each such phrase appears) is publicly proposed or publicly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prior to the Company Stockholder Meeting, or, in the case of termination by Buyer pursuant to Section 8‎.1(d)(i), is publicly or privately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-19050</wp:posOffset>
            </wp:positionV>
            <wp:extent cx="7550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550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to the Company Board, and in each case is not publicly and irrevocably withdrawn, (y) this Agreement is terminated by (1) the Company or Buyer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Section 8‎.1(b)(iii) or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(and the conditions set forth in </w:t>
      </w:r>
      <w:r>
        <w:rPr>
          <w:rFonts w:ascii="Times New Roman" w:cs="Times New Roman" w:eastAsia="Times New Roman" w:hAnsi="Times New Roman"/>
          <w:sz w:val="18"/>
          <w:szCs w:val="18"/>
          <w:u w:val="single" w:color="auto"/>
          <w:color w:val="auto"/>
        </w:rPr>
        <w:t>Sections 7.1(b)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7.1(c)</w:t>
      </w:r>
      <w:r>
        <w:rPr>
          <w:rFonts w:ascii="Times New Roman" w:cs="Times New Roman" w:eastAsia="Times New Roman" w:hAnsi="Times New Roman"/>
          <w:sz w:val="18"/>
          <w:szCs w:val="18"/>
          <w:color w:val="auto"/>
        </w:rPr>
        <w:t xml:space="preserve"> have been satisfied) or (2) by Buyer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-19050</wp:posOffset>
            </wp:positionV>
            <wp:extent cx="8185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and (z) concurrently with or within 12 months after such termination, the Company (1) consummates an Acquisition Proposal or (2) enters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 definitive agreement providing for an Acquisition Proposal, whether or not such Acquisition Proposal is later consummated, then the Company shall</w:t>
      </w:r>
    </w:p>
    <w:p>
      <w:pPr>
        <w:spacing w:after="0" w:line="9"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8"/>
          <w:szCs w:val="18"/>
          <w:color w:val="auto"/>
        </w:rPr>
        <w:t>pay to Buyer, by wire transfer of immediately available funds to an account designated in writing by Buyer, a fee of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cash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such payment to be made concurrently with such termination in the case of clause (A) above or clause (C) above with respect to a termination by the Company, within three Business Days after such termination in the case of clause (B) above or clause (C) above with respect to a termination by Buyer, or within three Business Days after the earlier of such entry into a definitive agreement providing for an Acquisition Proposal or consummation of an Acquisition Proposal in the case of clause (D) above; it being understood that in no event shall the Company be required to pay the Company Termination Fee on more than one occasion.</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Regulatory Termination Fee</w:t>
      </w:r>
      <w:r>
        <w:rPr>
          <w:rFonts w:ascii="Times New Roman" w:cs="Times New Roman" w:eastAsia="Times New Roman" w:hAnsi="Times New Roman"/>
          <w:sz w:val="18"/>
          <w:szCs w:val="18"/>
          <w:color w:val="000000"/>
        </w:rPr>
        <w:t>. If this Agreement is terminated by the Company or Buyer (A) pursuant to Section 8‎.1(b)(i), and 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time of such termination, (1) one or more of the conditions set forth in Section 7‎.1(b) or Section 7‎.1(c) (as the result of any applicable Antitrust Law or Regulatory Law or a Governmental Order resulting from the enforcement of any applicable Antitrust Law or Regulatory Law) has not been satisfied or, to the extent permitted by applicable Law, waived and (2) all of the other conditions set forth in Section 7‎.1 and Section 7‎.3 have been satisfied or, to the extent permitted by applicable Law, waived (except for (i) those conditions that by their nature are to be satisfied at the Closing;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conditions were then capable of being satisfied if the Closing had taken place and (ii) any condition that has not been satisfied as a result of a breach by Buyer or Merger Sub of its representations, warranties, covenants or agreements contained in this Agreement) or (B) pursuant to Section 8‎.1(b)(ii) as a result of any applicable Antitrust Law or Regulatory Law or a Governmental Order resulting from the enforcement of any applicable Antitrust Law or Regulatory Law, then Buyer shall pay to the Company, by wire transfer of immediately available funds to an account designated in writing by the Company, a fee of $5,800,000,000 in cash (the “</w:t>
      </w:r>
      <w:r>
        <w:rPr>
          <w:rFonts w:ascii="Times New Roman" w:cs="Times New Roman" w:eastAsia="Times New Roman" w:hAnsi="Times New Roman"/>
          <w:sz w:val="18"/>
          <w:szCs w:val="18"/>
          <w:u w:val="single" w:color="auto"/>
          <w:color w:val="000000"/>
        </w:rPr>
        <w:t>Regulatory Termination Fee</w:t>
      </w:r>
      <w:r>
        <w:rPr>
          <w:rFonts w:ascii="Times New Roman" w:cs="Times New Roman" w:eastAsia="Times New Roman" w:hAnsi="Times New Roman"/>
          <w:sz w:val="18"/>
          <w:szCs w:val="18"/>
          <w:color w:val="000000"/>
        </w:rPr>
        <w:t>”), with such payment to be made (x) in the case of Buyer’s termination of this Agreement, prior to or concurrently with, and as a condition to, such termination, or (y) in the case of the Company’s termination of this Agreement, within three Business Days of such termination; it being understood that in no event shall Buyer be required to pay the Regulatory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-1677670</wp:posOffset>
            </wp:positionV>
            <wp:extent cx="755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5501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-1540510</wp:posOffset>
            </wp:positionV>
            <wp:extent cx="14401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-1266190</wp:posOffset>
            </wp:positionV>
            <wp:extent cx="12496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-854710</wp:posOffset>
            </wp:positionV>
            <wp:extent cx="7867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spacing w:after="0" w:line="124" w:lineRule="exact"/>
        <w:rPr>
          <w:sz w:val="20"/>
          <w:szCs w:val="20"/>
          <w:color w:val="auto"/>
        </w:rPr>
      </w:pPr>
    </w:p>
    <w:p>
      <w:pPr>
        <w:ind w:left="120" w:hanging="112"/>
        <w:spacing w:after="0"/>
        <w:tabs>
          <w:tab w:leader="none" w:pos="12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To be 3.75% of Company equity value.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3" w:name="page104"/>
    <w:bookmarkEnd w:id="103"/>
    <w:p>
      <w:pPr>
        <w:ind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Acknowledgements</w:t>
      </w:r>
      <w:r>
        <w:rPr>
          <w:rFonts w:ascii="Times New Roman" w:cs="Times New Roman" w:eastAsia="Times New Roman" w:hAnsi="Times New Roman"/>
          <w:sz w:val="18"/>
          <w:szCs w:val="18"/>
          <w:color w:val="000000"/>
        </w:rPr>
        <w:t>. Each Party acknowledges that the agreements contained in this Section 8‎.3 are an integral part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and that, without Section 8‎.3(a), Buyer would not have entered into this Agreement and that, without Section 8‎.3(b), the Company would not have entered into this Agreement. Accordingly, if the Company or Buyer fails to promptly pay any amount due pursuant to this Section 8‎.3, the Company or Buyer, as applicable, shall pay to Buyer or the Company, respectively, all fees, costs and expenses of enforcement (including attorneys’ fees as well as expenses reasonably incurred in connection with any action initiated seeking such payment), together with interest on the amount of the Company Termination Fee or the Regulatory Termination Fee, as applicable, at the prime lending rate as published in </w:t>
      </w:r>
      <w:r>
        <w:rPr>
          <w:rFonts w:ascii="Times New Roman" w:cs="Times New Roman" w:eastAsia="Times New Roman" w:hAnsi="Times New Roman"/>
          <w:sz w:val="18"/>
          <w:szCs w:val="18"/>
          <w:i w:val="1"/>
          <w:iCs w:val="1"/>
          <w:color w:val="000000"/>
        </w:rPr>
        <w:t>The Wall Street Journal</w:t>
      </w:r>
      <w:r>
        <w:rPr>
          <w:rFonts w:ascii="Times New Roman" w:cs="Times New Roman" w:eastAsia="Times New Roman" w:hAnsi="Times New Roman"/>
          <w:sz w:val="18"/>
          <w:szCs w:val="18"/>
          <w:color w:val="000000"/>
        </w:rPr>
        <w:t>, in effect on the date such payment is required to be made. Notwithstanding anything to the contrary in this Agreement, the Parties hereby acknowledge that in the event that the Company Termination Fee or the Regulatory Termination Fee, as applicable, become payable by, and are paid by, the Company to Buyer or Buyer to the Company, as applicable, such Company Termination Fee or Regulatory Termination Fee, as applicable, shall be the receiving Party’s sole and exclusive remedy for any breach or failure of performance pursuant to this Agreement (other than in respect of Fraud or Willful Breach). The Parties further acknowledge that the right to receive the Company Termination Fee or the Regulatory Termination Fee, as applicable, shall not limit or otherwise affect any such Party’s right to specific performance as provided in Section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-1539240</wp:posOffset>
            </wp:positionV>
            <wp:extent cx="5137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-1402080</wp:posOffset>
            </wp:positionV>
            <wp:extent cx="6407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5179695</wp:posOffset>
            </wp:positionH>
            <wp:positionV relativeFrom="paragraph">
              <wp:posOffset>-1402080</wp:posOffset>
            </wp:positionV>
            <wp:extent cx="6470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5845810</wp:posOffset>
            </wp:positionH>
            <wp:positionV relativeFrom="paragraph">
              <wp:posOffset>-1264920</wp:posOffset>
            </wp:positionV>
            <wp:extent cx="5137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-30480</wp:posOffset>
            </wp:positionV>
            <wp:extent cx="5137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3715" cy="8890"/>
                    </a:xfrm>
                    <a:prstGeom prst="rect">
                      <a:avLst/>
                    </a:prstGeom>
                    <a:noFill/>
                  </pic:spPr>
                </pic:pic>
              </a:graphicData>
            </a:graphic>
          </wp:anchor>
        </w:drawing>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 AND GENERAL</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covenants and agreements in this Agreement shall survive the Effective Time or the termination of this Agreement only to the extent provided in this Section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-48260</wp:posOffset>
            </wp:positionV>
            <wp:extent cx="5137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140"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following provisions of this Agreement shall survive the Effective Time: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IX</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i w:val="1"/>
          <w:iCs w:val="1"/>
          <w:color w:val="000000"/>
        </w:rPr>
        <w:t>Miscellaneous and General</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Confidentiality Agreement, the agreements of the Parties contained in </w:t>
      </w:r>
      <w:r>
        <w:rPr>
          <w:rFonts w:ascii="Times New Roman" w:cs="Times New Roman" w:eastAsia="Times New Roman" w:hAnsi="Times New Roman"/>
          <w:sz w:val="18"/>
          <w:szCs w:val="18"/>
          <w:u w:val="single" w:color="auto"/>
          <w:color w:val="000000"/>
        </w:rPr>
        <w:t>Article 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i w:val="1"/>
          <w:iCs w:val="1"/>
          <w:color w:val="000000"/>
        </w:rPr>
        <w:t>The Merger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Effect of the Merger on Capital Stock</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Article III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i w:val="1"/>
          <w:iCs w:val="1"/>
          <w:color w:val="000000"/>
        </w:rPr>
        <w:t>Delivery of Merger Consideration; Procedures for Surrender</w:t>
      </w:r>
      <w:r>
        <w:rPr>
          <w:rFonts w:ascii="Times New Roman" w:cs="Times New Roman" w:eastAsia="Times New Roman" w:hAnsi="Times New Roman"/>
          <w:sz w:val="18"/>
          <w:szCs w:val="18"/>
          <w:color w:val="000000"/>
        </w:rPr>
        <w:t>), Section 4‎.21 (</w:t>
      </w:r>
      <w:r>
        <w:rPr>
          <w:rFonts w:ascii="Times New Roman" w:cs="Times New Roman" w:eastAsia="Times New Roman" w:hAnsi="Times New Roman"/>
          <w:sz w:val="18"/>
          <w:szCs w:val="18"/>
          <w:i w:val="1"/>
          <w:iCs w:val="1"/>
          <w:color w:val="000000"/>
        </w:rPr>
        <w:t>No Other Representations and Warranties</w:t>
      </w:r>
      <w:r>
        <w:rPr>
          <w:rFonts w:ascii="Times New Roman" w:cs="Times New Roman" w:eastAsia="Times New Roman" w:hAnsi="Times New Roman"/>
          <w:sz w:val="18"/>
          <w:szCs w:val="18"/>
          <w:color w:val="000000"/>
        </w:rPr>
        <w:t>), Section 5‎.10 (</w:t>
      </w:r>
      <w:r>
        <w:rPr>
          <w:rFonts w:ascii="Times New Roman" w:cs="Times New Roman" w:eastAsia="Times New Roman" w:hAnsi="Times New Roman"/>
          <w:sz w:val="18"/>
          <w:szCs w:val="18"/>
          <w:i w:val="1"/>
          <w:iCs w:val="1"/>
          <w:color w:val="000000"/>
        </w:rPr>
        <w:t>No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Representations and Warranties</w:t>
      </w:r>
      <w:r>
        <w:rPr>
          <w:rFonts w:ascii="Times New Roman" w:cs="Times New Roman" w:eastAsia="Times New Roman" w:hAnsi="Times New Roman"/>
          <w:sz w:val="18"/>
          <w:szCs w:val="18"/>
          <w:color w:val="000000"/>
        </w:rPr>
        <w:t>), Section 6‎.9 (</w:t>
      </w:r>
      <w:r>
        <w:rPr>
          <w:rFonts w:ascii="Times New Roman" w:cs="Times New Roman" w:eastAsia="Times New Roman" w:hAnsi="Times New Roman"/>
          <w:sz w:val="18"/>
          <w:szCs w:val="18"/>
          <w:i w:val="1"/>
          <w:iCs w:val="1"/>
          <w:color w:val="000000"/>
        </w:rPr>
        <w:t>Employee Matters</w:t>
      </w:r>
      <w:r>
        <w:rPr>
          <w:rFonts w:ascii="Times New Roman" w:cs="Times New Roman" w:eastAsia="Times New Roman" w:hAnsi="Times New Roman"/>
          <w:sz w:val="18"/>
          <w:szCs w:val="18"/>
          <w:color w:val="000000"/>
        </w:rPr>
        <w:t>), Section 6‎.10 (</w:t>
      </w:r>
      <w:r>
        <w:rPr>
          <w:rFonts w:ascii="Times New Roman" w:cs="Times New Roman" w:eastAsia="Times New Roman" w:hAnsi="Times New Roman"/>
          <w:sz w:val="18"/>
          <w:szCs w:val="18"/>
          <w:i w:val="1"/>
          <w:iCs w:val="1"/>
          <w:color w:val="000000"/>
        </w:rPr>
        <w:t>Indemnification; Directors’ and Officers’ Insurance</w:t>
      </w:r>
      <w:r>
        <w:rPr>
          <w:rFonts w:ascii="Times New Roman" w:cs="Times New Roman" w:eastAsia="Times New Roman" w:hAnsi="Times New Roman"/>
          <w:sz w:val="18"/>
          <w:szCs w:val="18"/>
          <w:color w:val="000000"/>
        </w:rPr>
        <w:t>), and Section 9‎.11</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Expenses</w:t>
      </w:r>
      <w:r>
        <w:rPr>
          <w:rFonts w:ascii="Times New Roman" w:cs="Times New Roman" w:eastAsia="Times New Roman" w:hAnsi="Times New Roman"/>
          <w:sz w:val="18"/>
          <w:szCs w:val="18"/>
          <w:color w:val="000000"/>
        </w:rPr>
        <w:t>), and those other covenants and agreements contained herein that by their terms apply, or that are to be performed in whole or in part, after the Effective Time, and the provisions that substantively define any related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-445135</wp:posOffset>
            </wp:positionV>
            <wp:extent cx="5708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-445135</wp:posOffset>
            </wp:positionV>
            <wp:extent cx="5708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-307975</wp:posOffset>
            </wp:positionV>
            <wp:extent cx="5137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-307975</wp:posOffset>
            </wp:positionV>
            <wp:extent cx="5708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-307975</wp:posOffset>
            </wp:positionV>
            <wp:extent cx="5670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following provisions of this Agreement shall survive the termination of this Agreement: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IX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Miscellaneous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Confidentiality Agreement, and the agreements of the Parties contained in Section ‎4.21 (</w:t>
      </w:r>
      <w:r>
        <w:rPr>
          <w:rFonts w:ascii="Times New Roman" w:cs="Times New Roman" w:eastAsia="Times New Roman" w:hAnsi="Times New Roman"/>
          <w:sz w:val="18"/>
          <w:szCs w:val="18"/>
          <w:i w:val="1"/>
          <w:iCs w:val="1"/>
          <w:color w:val="auto"/>
        </w:rPr>
        <w:t>No Other Representations and Warranties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-19050</wp:posOffset>
            </wp:positionV>
            <wp:extent cx="5708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Section 5‎.10 (</w:t>
      </w:r>
      <w:r>
        <w:rPr>
          <w:rFonts w:ascii="Times New Roman" w:cs="Times New Roman" w:eastAsia="Times New Roman" w:hAnsi="Times New Roman"/>
          <w:sz w:val="17"/>
          <w:szCs w:val="17"/>
          <w:i w:val="1"/>
          <w:iCs w:val="1"/>
          <w:color w:val="auto"/>
        </w:rPr>
        <w:t>No Other Representations and Warranties</w:t>
      </w:r>
      <w:r>
        <w:rPr>
          <w:rFonts w:ascii="Times New Roman" w:cs="Times New Roman" w:eastAsia="Times New Roman" w:hAnsi="Times New Roman"/>
          <w:sz w:val="17"/>
          <w:szCs w:val="17"/>
          <w:color w:val="auto"/>
        </w:rPr>
        <w:t>), Section 8‎.2 (</w:t>
      </w:r>
      <w:r>
        <w:rPr>
          <w:rFonts w:ascii="Times New Roman" w:cs="Times New Roman" w:eastAsia="Times New Roman" w:hAnsi="Times New Roman"/>
          <w:sz w:val="17"/>
          <w:szCs w:val="17"/>
          <w:i w:val="1"/>
          <w:iCs w:val="1"/>
          <w:color w:val="auto"/>
        </w:rPr>
        <w:t>Effect of Termination</w:t>
      </w:r>
      <w:r>
        <w:rPr>
          <w:rFonts w:ascii="Times New Roman" w:cs="Times New Roman" w:eastAsia="Times New Roman" w:hAnsi="Times New Roman"/>
          <w:sz w:val="17"/>
          <w:szCs w:val="17"/>
          <w:color w:val="auto"/>
        </w:rPr>
        <w:t>), Section 8‎.3 (</w:t>
      </w:r>
      <w:r>
        <w:rPr>
          <w:rFonts w:ascii="Times New Roman" w:cs="Times New Roman" w:eastAsia="Times New Roman" w:hAnsi="Times New Roman"/>
          <w:sz w:val="17"/>
          <w:szCs w:val="17"/>
          <w:i w:val="1"/>
          <w:iCs w:val="1"/>
          <w:color w:val="auto"/>
        </w:rPr>
        <w:t>Termination Fees</w:t>
      </w:r>
      <w:r>
        <w:rPr>
          <w:rFonts w:ascii="Times New Roman" w:cs="Times New Roman" w:eastAsia="Times New Roman" w:hAnsi="Times New Roman"/>
          <w:sz w:val="17"/>
          <w:szCs w:val="17"/>
          <w:color w:val="auto"/>
        </w:rPr>
        <w:t>), and Section 9‎.11 (</w:t>
      </w: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708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2658745</wp:posOffset>
            </wp:positionH>
            <wp:positionV relativeFrom="paragraph">
              <wp:posOffset>-12065</wp:posOffset>
            </wp:positionV>
            <wp:extent cx="5137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-12065</wp:posOffset>
            </wp:positionV>
            <wp:extent cx="5137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-12065</wp:posOffset>
            </wp:positionV>
            <wp:extent cx="5670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705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provisions that substantively define any related defined terms.</w:t>
      </w:r>
    </w:p>
    <w:p>
      <w:pPr>
        <w:spacing w:after="0" w:line="207" w:lineRule="exact"/>
        <w:rPr>
          <w:sz w:val="20"/>
          <w:szCs w:val="20"/>
          <w:color w:val="auto"/>
        </w:rPr>
      </w:pPr>
    </w:p>
    <w:p>
      <w:pPr>
        <w:ind w:right="64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All other representations, warranties, covenants and agreements in this Agreement or in any instrument or other document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delivered pursuant to this Agreement shall not survive the Effective Time or the termination of this Agreement, as applicable.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4" w:name="page105"/>
    <w:bookmarkEnd w:id="104"/>
    <w:p>
      <w:pPr>
        <w:ind w:left="130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Modification or Amendment;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provisions of applicable Law and the provisions of Section 6‎.10, at any time prior to the Effective Time,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may be amended, modified or waived if such amendment, modification or waiver is in writing and signed, in the case of an amendment or modification, by each Party, or in the case of a waiver, by the Party against whom the waiver is to be effective. The conditions to each of the Parties’ respective obligations to consummate the Transactions are for the sole benefit of such Party and may be waived by such Party in whole or in part to the extent permitted by applicable Law;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any such waiver shall only be effective if made in writing and executed by the Party against whom the waiver is to be effective. Notwithstanding the foregoing, no amendments or modifications to the provisions which the Debt Financing Sources are expressly made third-party beneficiaries pursuant to </w:t>
      </w:r>
      <w:r>
        <w:rPr>
          <w:rFonts w:ascii="Times New Roman" w:cs="Times New Roman" w:eastAsia="Times New Roman" w:hAnsi="Times New Roman"/>
          <w:sz w:val="18"/>
          <w:szCs w:val="18"/>
          <w:u w:val="single" w:color="auto"/>
          <w:color w:val="000000"/>
        </w:rPr>
        <w:t>Section 9.15</w:t>
      </w:r>
      <w:r>
        <w:rPr>
          <w:rFonts w:ascii="Times New Roman" w:cs="Times New Roman" w:eastAsia="Times New Roman" w:hAnsi="Times New Roman"/>
          <w:sz w:val="18"/>
          <w:szCs w:val="18"/>
          <w:color w:val="000000"/>
        </w:rPr>
        <w:t xml:space="preserve"> shall be permitted in a manner adverse to any Debt Financing Source without the prior written consent of the Debt Financing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-989330</wp:posOffset>
            </wp:positionV>
            <wp:extent cx="5708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7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failure or delay by any Party in exercising any right, power or privilege hereunder or under applicable Law shall operate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waiver of such rights and, except as otherwise expressly provided herein, no single or partial exercise thereof shall preclude any other or further exercise thereof or the exercise of any other right, power or privilege. The rights and remedies herein provided shall be cumulative and not exclusive of any rights or remedies provided by Law.</w:t>
      </w:r>
    </w:p>
    <w:p>
      <w:pPr>
        <w:spacing w:after="0" w:line="180"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Governing Law and Venue; Submission to Jurisdiction; Selection of Forum;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This Agreement shall be deemed to be made in and in all respects shall be interpreted, construed and governed by and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accordance with the laws of the state of Delaware without regard to the conflict of law principles thereof (or any other jurisdiction) to the extent that such principles would direct a matter to another jurisdiction.</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of the Parties agrees that: (i) it shall bring any Proceeding in connection with, arising out of or otherwise relating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any instrument or other document delivered pursuant to this Agreement or the Transactions exclusively in the Court of Chancery of the State of Delaware, or (and only if) such court finds it lacks subject matter jurisdiction, the Superior Court of the State of Delaware (Complex Commercial Division);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subject matter jurisdiction over the matter that is the subject of the Proceeding is vested exclusively in the United States federal courts, such Proceeding shall be heard in the United States District Court for the District of Delaware (the “</w:t>
      </w:r>
      <w:r>
        <w:rPr>
          <w:rFonts w:ascii="Times New Roman" w:cs="Times New Roman" w:eastAsia="Times New Roman" w:hAnsi="Times New Roman"/>
          <w:sz w:val="18"/>
          <w:szCs w:val="18"/>
          <w:u w:val="single" w:color="auto"/>
          <w:color w:val="000000"/>
        </w:rPr>
        <w:t>Chosen Courts</w:t>
      </w:r>
      <w:r>
        <w:rPr>
          <w:rFonts w:ascii="Times New Roman" w:cs="Times New Roman" w:eastAsia="Times New Roman" w:hAnsi="Times New Roman"/>
          <w:sz w:val="18"/>
          <w:szCs w:val="18"/>
          <w:color w:val="000000"/>
        </w:rPr>
        <w:t>”); and (ii) solely in connection with such Proceedings, (A) it irrevocably and unconditionally submits to the exclusive jurisdiction of the Chosen Courts, (B) it waives any objection to the laying of venue in any Proceeding in the Chosen Courts, (C) it waives any objection that the Chosen Courts are an inconvenient forum or do not have jurisdiction over any Party, (D) mailing of process or other papers in connection with any such Proceeding in the manner provided in Section 9‎.6 or in such other manner as may be permitted by applicable Law shall be valid and sufficient service thereof and (E) it shall not assert as a defense any matter or claim waived by the foregoing clauses (A) through (D) of this Section 9‎.4(b) or that any Governmental Order issued by the Chosen Courts may not be enforced in or by the Chosen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6105525</wp:posOffset>
            </wp:positionH>
            <wp:positionV relativeFrom="paragraph">
              <wp:posOffset>-440055</wp:posOffset>
            </wp:positionV>
            <wp:extent cx="5137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-165735</wp:posOffset>
            </wp:positionV>
            <wp:extent cx="6470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right="20"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PARTY ACKNOWLEDGES AND AGREES THAT ANY CONTROVERSY WHICH MAY BE IN CONNECTION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ARISE OUT OF OR OTHERWISE RELATE TO THIS AGREEMENT, ANY INSTRUMENT OR OTHER DOCUMENT DELIVERED PURSUANT TO THIS AGREEMENT OR OTHER DOCUMENT DELIVERED PURSUANT TO THIS AGREEMENT OR THE TRANSACTIONS, IS LIKELY TO INVOLVE COMPLICATED AND DIFFICULT ISSUES, AND THEREFORE EACH PARTY IRREVOCABLY AND UNCONDITIONALLY WAIVES TO THE FULLEST EXTENT PERMITTED BY APPLICABLE LAW ANY RIGHT IT MAY HAVE TO A TRIAL BY JURY WITH RESPECT TO ANY PROCEEDING DIRECTLY OR INDIRECTLY, IN CONNECTION WITH, ARISING OUT OF OR OTHERWISE RELATING TO THIS AGREEMENT, ANY INSTRUMENT OR OTHER DOCUMENT DELIVERED PURSUANT TO THIS AGREEMENT OR THE TRANSACTIONS. EACH PARTY HEREBY ACKNOWLEDGES AND CERTIFIES (i) THAT NO REPRESENTATIVE OF THE OTHER PARTIES HAS REPRESENTED, EXPRESSLY OR OTHERWISE, THAT SUCH OTHER PARTIES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 SECTION 9‎.4(c).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-31750</wp:posOffset>
            </wp:positionV>
            <wp:extent cx="7804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6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without necessity of posting a bond or other form of security. In the event that any Proceeding should be brought in equity to enforce the provisions of this Agreement, no Party shall allege, and each Party hereby waives the defense, that there is an adequate remedy at law.</w:t>
      </w:r>
    </w:p>
    <w:p>
      <w:pPr>
        <w:spacing w:after="0" w:line="19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instructions, consents, claims, demands, waivers, approvals and other communications to be given or made hereunder by one or more Parties to one or more of the other Parties shall be in writing and shall be deemed to have been duly given or made on the date of receipt by the recipient thereof if received prior to 5:00 p.m. in the place of receipt and such day is a Business Day (or otherwise on the next succeeding Business Day) if (a) served by personal delivery or by a nationally recognized overnight courier service upon the Party or Parties for whom it is intended, (b) delivered by registered or certified mail, return receipt requested or (c) sent by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email transmission is promptly confirmed by telephone or in writing by the recipient thereof (excluding out-of-office replies or other automatically generated responses). Such communications shall be sent to the respective Parties at the following street addresses or email addresses or at such other street address or email address for a Party as shall be specified for such purpose in a notice given in accordance with this ‎Section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-29210</wp:posOffset>
            </wp:positionV>
            <wp:extent cx="5143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1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Warner Bros. Discovery, Inc.</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Line 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Line 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20"/>
        <w:spacing w:after="0"/>
        <w:tabs>
          <w:tab w:leader="none" w:pos="2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20"/>
        <w:spacing w:after="0"/>
        <w:tabs>
          <w:tab w:leader="none" w:pos="212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20"/>
        <w:spacing w:after="0"/>
        <w:tabs>
          <w:tab w:leader="none" w:pos="2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66 Hudson Boulevard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020"/>
        <w:spacing w:after="0"/>
        <w:tabs>
          <w:tab w:leader="none" w:pos="2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Jonathan E. Levitsky</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Gordon S. Moodie</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Katherine D. Taylor</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Erik J. Andren</w:t>
      </w:r>
    </w:p>
    <w:p>
      <w:pPr>
        <w:spacing w:after="0" w:line="207" w:lineRule="exact"/>
        <w:rPr>
          <w:sz w:val="20"/>
          <w:szCs w:val="20"/>
          <w:color w:val="auto"/>
        </w:rPr>
      </w:pPr>
    </w:p>
    <w:p>
      <w:pPr>
        <w:ind w:left="1020"/>
        <w:spacing w:after="0"/>
        <w:tabs>
          <w:tab w:leader="none" w:pos="2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jelevitsky@debevoise.com</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gsmoodie@debevoise.com</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ketaylor@debevoise.com</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ejandren@debevoise.com</w:t>
      </w: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020"/>
        <w:spacing w:after="0"/>
        <w:tabs>
          <w:tab w:leader="none" w:pos="2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J. Nussbaum</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Karessa L. Cain</w:t>
      </w:r>
    </w:p>
    <w:p>
      <w:pPr>
        <w:spacing w:after="0" w:line="9" w:lineRule="exact"/>
        <w:rPr>
          <w:sz w:val="20"/>
          <w:szCs w:val="20"/>
          <w:color w:val="auto"/>
        </w:rPr>
      </w:pPr>
    </w:p>
    <w:p>
      <w:pPr>
        <w:ind w:left="1020"/>
        <w:spacing w:after="0"/>
        <w:tabs>
          <w:tab w:leader="none" w:pos="2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ajnussbaum@wlrk.com</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klcain@wlrk.com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18"/>
          <w:szCs w:val="18"/>
          <w:color w:val="auto"/>
        </w:rPr>
        <w:t>If to Buyer or Merger Sub:</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2140"/>
        <w:spacing w:after="0"/>
        <w:tabs>
          <w:tab w:leader="none" w:pos="32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Legal Officer and General Counsel</w:t>
      </w:r>
    </w:p>
    <w:p>
      <w:pPr>
        <w:spacing w:after="0" w:line="9" w:lineRule="exact"/>
        <w:rPr>
          <w:sz w:val="20"/>
          <w:szCs w:val="20"/>
          <w:color w:val="auto"/>
        </w:rPr>
      </w:pPr>
    </w:p>
    <w:p>
      <w:pPr>
        <w:ind w:left="2140"/>
        <w:spacing w:after="0"/>
        <w:tabs>
          <w:tab w:leader="none" w:pos="32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paramountgloballegalnotices@paramount.com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Cravath, Swaine and Moore LLP</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2140"/>
        <w:spacing w:after="0"/>
        <w:tabs>
          <w:tab w:leader="none" w:pos="32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Faiza Saeed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Daniel Cerqueira</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Claudia Ricciardi</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Alexander Greenberg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Minh Van Ngo</w:t>
      </w:r>
    </w:p>
    <w:p>
      <w:pPr>
        <w:spacing w:after="0" w:line="9" w:lineRule="exact"/>
        <w:rPr>
          <w:sz w:val="20"/>
          <w:szCs w:val="20"/>
          <w:color w:val="auto"/>
        </w:rPr>
      </w:pPr>
    </w:p>
    <w:p>
      <w:pPr>
        <w:ind w:left="2140"/>
        <w:spacing w:after="0"/>
        <w:tabs>
          <w:tab w:leader="none" w:pos="32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fsaeed@cravath.com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dcerqueira@cravath.com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cricciardi@cravath.com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agreenberg@cravath.com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mngo@cravath.com</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2140"/>
        <w:spacing w:after="0"/>
        <w:tabs>
          <w:tab w:leader="none" w:pos="32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Ian Nussbaum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Rick Offsay</w:t>
      </w:r>
    </w:p>
    <w:p>
      <w:pPr>
        <w:spacing w:after="0" w:line="9" w:lineRule="exact"/>
        <w:rPr>
          <w:sz w:val="20"/>
          <w:szCs w:val="20"/>
          <w:color w:val="auto"/>
        </w:rPr>
      </w:pPr>
    </w:p>
    <w:p>
      <w:pPr>
        <w:ind w:left="2140"/>
        <w:spacing w:after="0"/>
        <w:tabs>
          <w:tab w:leader="none" w:pos="32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ian.nussbaum@lw.com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rick.offsay@lw.com</w:t>
      </w:r>
    </w:p>
    <w:p>
      <w:pPr>
        <w:spacing w:after="0" w:line="200" w:lineRule="exact"/>
        <w:rPr>
          <w:sz w:val="20"/>
          <w:szCs w:val="20"/>
          <w:color w:val="auto"/>
        </w:rPr>
      </w:pP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This Agreement (including the exhibits hereto), the Company Disclosure Letter, the Confidentiality Agreement and the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 Documents constitute the entire agreement among the Parties with respect to the subject matter hereof and thereof and supersede all prior and contemporaneous agreements, negotiations, understandings, and representations and warranties, whether oral or written, with respect to such matters.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08" w:name="page109"/>
    <w:bookmarkEnd w:id="108"/>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Party acknowledges and agrees to the provisions set forth in Section 4‎.21 and Section 5‎.10 and, without limiting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provisions, additionally acknowledges and agrees that, except for the representations and warranties expressly set forth in this Agreement or any instrument or other document delivered pursuant to this Agreement, (i) no Party has made or is making any other representations, warranties, statements, information or inducements, (ii) no Party has relied on or is relying on any other representations, warranties, statements, information or inducements and (iii) each Party hereby disclaims reliance on any other representations, warranties, statements, information or inducements, oral or written, express or implied, or as to the accuracy or completeness of any statements or other information, made by, or made available by, itself or any of its Representatives, in each case with respect to, or in connection with, the negotiation, execution or delivery of this Agreement, any instrument or other document delivered pursuant to this Agreement or the Transactions, and notwithstanding the distribution, disclosure or other delivery to the other or the other’s Representatives of any documentation or other information with respect to any one or more of the foregoing, and waives any claims or causes of action relating thereto, other than those for Fraud in connection with, arising out of or otherwise related to the express representations and warranties set forth in this Agreement or any instrument or other document delivered pursuant to this Agreement. For the avoidance of doubt, solely for purposes of the approval and adoption of this Agreement under the DGCL, none of the exhibits or annexes hereto or the Company Disclosure Letter or any other Transaction Document shall be deemed part of this Agreement, but shall for all other purposes have the effects provided therein and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-1677670</wp:posOffset>
            </wp:positionV>
            <wp:extent cx="1363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167"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Except (x) that, in accordance with Section 261 of the DGCL, the Company shall have the right, on behalf of the Company’s stockholders, to pursue specific performance as set forth in Section 9‎.5 or, if specific performance is not sought or granted as a remedy, to seek damages in accordance with this Agreement (which shall include the benefit of the bargain lost by the Company’s stockholders) in the event of a breach by Buyer or Merger Sub of this Agreement, it being acknowledged and agreed that in no event shall any such stockholders of the Company or any other Person be entitled to enforce any of their rights, or any of Buyer’s or Merger Sub’s obligations, under this Agreement in the event of any such breach, but rather the Company shall have the sole and exclusive right to do so as a representative for such stockholders of the Company (and upon receipt of any payments as a result thereof, the Company shall be entitled to retain the amount of such payments so received) and (y) from and after the Effective Time, the Indemnified Parties with respect to the provisions of Section 6‎.10, the Parties hereby agree that their respective representations, warranties and covenants set forth in this Agreement are solely for the benefit of the other Parties on the terms and subject to the conditions set forth in this Agreement, and this Agreement is not intended to, and does not, confer upon any Person other than the Parties and their respective successors, legal representatives and permitted assigns any rights or remedies, express or implied, hereunder, including, without limiting the generality of Section 9‎.7, the right to rely upon the representations and warranties set forth in this Agreement. Any inaccuracies in such representations and warranties are subject to waiver by the Parties in accordance with Section 9‎.2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-1946910</wp:posOffset>
            </wp:positionV>
            <wp:extent cx="5137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-1123950</wp:posOffset>
            </wp:positionV>
            <wp:extent cx="5708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6257290</wp:posOffset>
            </wp:positionH>
            <wp:positionV relativeFrom="paragraph">
              <wp:posOffset>-712470</wp:posOffset>
            </wp:positionV>
            <wp:extent cx="5137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3715" cy="825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-438150</wp:posOffset>
            </wp:positionV>
            <wp:extent cx="5137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9" w:name="page110"/>
    <w:bookmarkEnd w:id="109"/>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xml:space="preserve">. Unless expressly agreed to otherwise by the Parties in writing, this Agreement may only be enforced against, and any Proceeding in connection with, arising out of or otherwise resulting from this Agreement, or any instrument or other document delivered pursuant to this Agreement or the Transactions, may only be brought against the Persons expressly named as Parties (or any of their respective successors, legal representatives and permitted assigns) and then only with respect to the specific obligations set forth herein with respect to such Party. No past, present or future director, employee (including any officer), incorporator, manager, member, partner, stockholder, other equity holder or Persons in a similar capacity, controlling Person, Affiliate or Representative of any Party or of any Affiliate of any Party, or any of their respective successors, Representatives and permitted assigns (unless, for the avoidance of doubt, such Person is a Party), shall have any liability or other obligation for any obligation of any Party under this Agreement or for any Proceeding in connection with, arising out of or otherwise resulting from this Agreement, or any instrument or other document delivered pursuant to this Agreement or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9‎.9 shall limit any liability or other obligation of the Parties for breaches of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-164465</wp:posOffset>
            </wp:positionV>
            <wp:extent cx="5137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174" w:lineRule="exact"/>
        <w:rPr>
          <w:sz w:val="20"/>
          <w:szCs w:val="20"/>
          <w:color w:val="auto"/>
        </w:rPr>
      </w:pPr>
    </w:p>
    <w:p>
      <w:pPr>
        <w:ind w:firstLine="1296"/>
        <w:spacing w:after="0" w:line="274"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Fulfillment of Obligations</w:t>
      </w:r>
      <w:r>
        <w:rPr>
          <w:rFonts w:ascii="Times New Roman" w:cs="Times New Roman" w:eastAsia="Times New Roman" w:hAnsi="Times New Roman"/>
          <w:sz w:val="17"/>
          <w:szCs w:val="17"/>
          <w:color w:val="auto"/>
        </w:rPr>
        <w:t>. Whenever this Agreement requires a Subsidiary of the Company to take any action, prior to the Effective Time, such requirement shall be deemed to include an undertaking on the part of the Company to cause such Subsidiary to take such action, and, from and after the Effective Time, on the part of the Surviving Corporation to cause such Subsidiary to take such action. Whenever this Agreement requires a Subsidiary of Buyer to take any action, such requirement shall be deemed to include an undertaking on the part of Buyer to cause such Subsidiary to take such action. Any obligation of one Party to any other Party under this Agreement or any of the other Transaction Documents, which obligation is performed, satisfied or properly fulfilled by an Affiliate of such Party, shall be deemed to have been performed, satisfied or fulfilled by such Party.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Expenses; Transfer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otherwise provided in this Agreement and the other Transaction Documents and whether or not the Transactions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consummated, all costs and expenses (including fees and expenses of counsel and financial advisors) incurred in connection with this Agreement and the Transactions shall be paid by the Party incurring such costs and expenses.</w:t>
      </w:r>
    </w:p>
    <w:p>
      <w:pPr>
        <w:spacing w:after="0" w:line="176"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as otherwise provided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3.2</w:t>
      </w:r>
      <w:r>
        <w:rPr>
          <w:rFonts w:ascii="Times New Roman" w:cs="Times New Roman" w:eastAsia="Times New Roman" w:hAnsi="Times New Roman"/>
          <w:sz w:val="18"/>
          <w:szCs w:val="18"/>
          <w:color w:val="000000"/>
        </w:rPr>
        <w:t>, all transfer, documentary, sales, use, stamp, recording, value added, registration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similar Taxes and all conveyance fees, recording fees and other similar charges arising in connection with the Merger shall be paid by Buyer when due, and Buyer shall, at its own expense, file (or cause to be filed) all necessary Tax Returns and other documentation with respect to all such Taxes and fees.</w:t>
      </w:r>
    </w:p>
    <w:p>
      <w:pPr>
        <w:spacing w:after="0" w:line="180" w:lineRule="exact"/>
        <w:rPr>
          <w:sz w:val="20"/>
          <w:szCs w:val="20"/>
          <w:color w:val="auto"/>
        </w:rPr>
      </w:pPr>
    </w:p>
    <w:p>
      <w:pPr>
        <w:ind w:right="60" w:firstLine="1296"/>
        <w:spacing w:after="0" w:line="273"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to be negotiated by the Parties, each acting reasonably and in good faith shall be substituted therefor in order to carry out, so far as may be legal, valid and enforceable, the intent and purpose of such illegal,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0" w:name="page111"/>
    <w:bookmarkEnd w:id="110"/>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any of their respective successors, legal representatives and permitted assigns). Except as may be required to satisfy the obligations contemplated by Section 6‎.10, no Party may assign any of its rights or delegate any of its obligations under this Agreement, in whole or in part, by operation of Law or otherwise, without the prior written consent of the other Parties, except as provided for in Section 9‎.10, and any attempted or purported assignment or delegation in violation of this Section 9‎.13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-445770</wp:posOffset>
            </wp:positionV>
            <wp:extent cx="5708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-171450</wp:posOffset>
            </wp:positionV>
            <wp:extent cx="5708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-34290</wp:posOffset>
            </wp:positionV>
            <wp:extent cx="5994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9440" cy="8890"/>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Interpretation and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table of contents and headings herein are for convenience of reference only, do not constitute part of this Agreement and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 be deemed to limit or otherwise affect any of the provisions hereof.</w:t>
      </w:r>
    </w:p>
    <w:p>
      <w:pPr>
        <w:spacing w:after="0" w:line="162"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Preamble, and all Recital, Article, Section, Subsection, Schedule and Exhibit references used in this Agreement are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recitals, articles, sections, subsections, schedules and exhibits to this Agreement unless otherwise specified herein.</w:t>
      </w:r>
    </w:p>
    <w:p>
      <w:pPr>
        <w:spacing w:after="0" w:line="162" w:lineRule="exact"/>
        <w:rPr>
          <w:sz w:val="20"/>
          <w:szCs w:val="20"/>
          <w:color w:val="auto"/>
        </w:rPr>
      </w:pPr>
    </w:p>
    <w:p>
      <w:pPr>
        <w:ind w:right="120" w:firstLine="1296"/>
        <w:spacing w:after="0" w:line="272"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Except as otherwise expressly provided herein, for purposes of this Agreement: (i) the terms defined in the singular have 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comparable meaning when used in the plural and </w:t>
      </w:r>
      <w:r>
        <w:rPr>
          <w:rFonts w:ascii="Times New Roman" w:cs="Times New Roman" w:eastAsia="Times New Roman" w:hAnsi="Times New Roman"/>
          <w:sz w:val="17"/>
          <w:szCs w:val="17"/>
          <w:i w:val="1"/>
          <w:iCs w:val="1"/>
          <w:color w:val="000000"/>
        </w:rPr>
        <w:t>vice versa</w:t>
      </w:r>
      <w:r>
        <w:rPr>
          <w:rFonts w:ascii="Times New Roman" w:cs="Times New Roman" w:eastAsia="Times New Roman" w:hAnsi="Times New Roman"/>
          <w:sz w:val="17"/>
          <w:szCs w:val="17"/>
          <w:color w:val="000000"/>
        </w:rPr>
        <w:t xml:space="preserve">; (ii) words importing the masculine gender shall include the feminine and neutral genders and </w:t>
      </w:r>
      <w:r>
        <w:rPr>
          <w:rFonts w:ascii="Times New Roman" w:cs="Times New Roman" w:eastAsia="Times New Roman" w:hAnsi="Times New Roman"/>
          <w:sz w:val="17"/>
          <w:szCs w:val="17"/>
          <w:i w:val="1"/>
          <w:iCs w:val="1"/>
          <w:color w:val="000000"/>
        </w:rPr>
        <w:t>vice versa</w:t>
      </w:r>
      <w:r>
        <w:rPr>
          <w:rFonts w:ascii="Times New Roman" w:cs="Times New Roman" w:eastAsia="Times New Roman" w:hAnsi="Times New Roman"/>
          <w:sz w:val="17"/>
          <w:szCs w:val="17"/>
          <w:color w:val="000000"/>
        </w:rPr>
        <w:t>; (iii) whenever the words “includes” or “including” are used, they shall be deemed to be followed by the words “including without limitation”;</w:t>
      </w:r>
    </w:p>
    <w:p>
      <w:pPr>
        <w:spacing w:after="0" w:line="2" w:lineRule="exact"/>
        <w:rPr>
          <w:sz w:val="20"/>
          <w:szCs w:val="20"/>
          <w:color w:val="auto"/>
        </w:rPr>
      </w:pPr>
    </w:p>
    <w:p>
      <w:pPr>
        <w:ind w:right="60" w:firstLine="8"/>
        <w:spacing w:after="0" w:line="253" w:lineRule="auto"/>
        <w:tabs>
          <w:tab w:leader="none" w:pos="3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 (v) the words “hereto,” “hereof,” “hereby,” “herein,” “hereunder” and similar terms in this Agreement shall refer to this Agreement as a whole and not any particular provision of this Agreement; (vi) the word “extent” in the phrase “to the extent” shall mean the degree to which a subject or other thing extends and such phrase shall not mean simply “if”; and (vii) the word “will” shall be construed to have the same meaning and effect as the word “shall”.</w:t>
      </w:r>
    </w:p>
    <w:p>
      <w:pPr>
        <w:spacing w:after="0" w:line="189"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words “made available to Buyer” and words of similar import refer to documents (i) posted to the Datasite virtual data room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provided pursuant to “clean team” arrangements, in each case by or on behalf of the Company prior to [●] [a.m./p.m.], New York City time, on [●], 2025, (ii) included in the Company Reports or (iii) if permitted to be “made available” after the date of this Agreement, delivered to Buyer or its Representatives after the date hereof in accordance with the notice procedures set forth in </w:t>
      </w:r>
      <w:r>
        <w:rPr>
          <w:rFonts w:ascii="Times New Roman" w:cs="Times New Roman" w:eastAsia="Times New Roman" w:hAnsi="Times New Roman"/>
          <w:sz w:val="18"/>
          <w:szCs w:val="18"/>
          <w:u w:val="single" w:color="auto"/>
          <w:color w:val="000000"/>
        </w:rPr>
        <w:t>Section 9.6</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All accounting terms used herein and not expressly defined herein shall have the meanings given to them under GAAP.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1" w:name="page112"/>
    <w:bookmarkEnd w:id="111"/>
    <w:p>
      <w:pPr>
        <w:ind w:right="460"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Except as otherwise expressly provided herein, the term “dollars” and the symbol “$” mean United States Dollars, and any $</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thresholds refer to the aggregate of all applicable consideration or payment of any kind or nature, whether in cash or in kind.</w:t>
      </w:r>
    </w:p>
    <w:p>
      <w:pPr>
        <w:spacing w:after="0" w:line="162"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Except as otherwise expressly provided herein, all references in this Agreement to any statute include the rules and regulations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The Company Disclosure Letter may include items and information the disclosure of which is not required either in response to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express disclosure requirement contained in a provision of this Agreement or as an exception to one or more representations or warranties contained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or to one or more covenants contained in this Agreement. Inclusion of any items or information in the Company Disclosure Letter shall not be deemed to be an acknowledgement or agreement that any such item or information (or any non-disclosed item or information of comparable or greater significance) is “material” or that, individually or in the aggregate, has had or would have a Company Material Adverse Effect, or to affect the interpretation of such term for purposes of this Agreement.</w:t>
      </w:r>
    </w:p>
    <w:p>
      <w:pPr>
        <w:spacing w:after="0" w:line="187"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The Parties have participated jointly in negotiating and drafting this Agreement. In the event that an ambiguity or a question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Concerning Debt Financing Sources</w:t>
      </w:r>
      <w:r>
        <w:rPr>
          <w:rFonts w:ascii="Times New Roman" w:cs="Times New Roman" w:eastAsia="Times New Roman" w:hAnsi="Times New Roman"/>
          <w:sz w:val="18"/>
          <w:szCs w:val="18"/>
          <w:color w:val="auto"/>
        </w:rPr>
        <w:t>. Notwithstanding anything in this Agreement to the contrary (but in all cases subject to and without in any way limiting the rights, remedies and claims of Buyer or any of its Affiliates under or pursuant to the Debt Commitment Letter or of any Applicable Financing Cooperation Recipient under any other agreement entered into with respect to the Applicable Financing Transaction), each Party hereby:</w:t>
      </w:r>
    </w:p>
    <w:p>
      <w:pPr>
        <w:spacing w:after="0" w:line="18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 waives any and all claims and causes of action against the Debt Financing Sources relating to or arising out of this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Debt Commitment Letter, or any contract entered into with respect to any Applicable Financing Transaction, or the performance of any services thereunder, whether in law or in equity, whether in contract or in tort or otherwise, (ii) agrees that none of the Debt Financing Sources will have any liability to any Party or any of its Affiliates relating to or arising out of this Agreement, the Debt Commitment Letter, or any contract entered into with respect to any Applicable Financing Transaction, or the performance of any services thereunder, whether in law or in equity, whether in contract or in tort or otherwise, and (iii) agrees not to seek to enforce commitments or other rights under the Debt Commitment Letter or any contract entered into with respect to any Applicable Financing Transaction against, or make any claims for breach of such commitments or such other rights against, or seek to recover monetary damages from, the Debt Financing Sources, or otherwise sue the Debt Financing Sources for any reason related to the Debt Commitment Letter or any contract entered into with respect to any Applicable Financing Transaction, except, in the case of each clauses (i) through (iii), in the case of Buyer and its Affiliates, pursuant to or in connection with the Debt Commitment Letter or any contract relating to the Applicable Financing Transaction;</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12" w:name="page113"/>
    <w:bookmarkEnd w:id="112"/>
    <w:p>
      <w:pPr>
        <w:ind w:right="240"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agrees not to bring, or support any Person in bringing, or permit any of its Affiliates to bring, or support any Person in bringing,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legal proceeding against, or seek to recover monetary damages from, any Debt Financing Sources in any way arising out of or relating to this Agreement, the Debt Commitment Letter, or any contract entered into with respect to any Applicable Financing Transaction, or the performance of any services thereunder, whether in contract or in tort or otherwise, in any forum, other than the Federal court of the United States of America sitting in the Borough of Manhattan or, if that court does not have subject matter jurisdiction, in any state court located in the City and County of New York;</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agrees that any Proceeding against any of the Debt Financing Sources in any way arising out of or relating to this Agreement,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Debt Commitment Letter, or any contract entered into with respect to any Applicable Financing Transaction, or the performance of any services thereunder, whether in contract or in tort or otherwise, shall be subject to the exclusive jurisdiction of, and shall be brought and heard and determined exclusively in, the Federal court of the United States of America sitting in the Borough of Manhattan or, if that court does not have subject matter jurisdiction, in any state court located in the City and County of New York, and any appellate court thereof and irrevocably submits itself and its property with respect to any such legal proceeding to the exclusive jurisdiction of such court;</w:t>
      </w:r>
    </w:p>
    <w:p>
      <w:pPr>
        <w:spacing w:after="0" w:line="187" w:lineRule="exact"/>
        <w:rPr>
          <w:sz w:val="20"/>
          <w:szCs w:val="20"/>
          <w:color w:val="auto"/>
        </w:rPr>
      </w:pPr>
    </w:p>
    <w:p>
      <w:pPr>
        <w:jc w:val="both"/>
        <w:ind w:right="18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irrevocably waives, to the fullest extent that it may effectively do so, the defense of an inconvenient forum to the maintenance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such legal proceeding in the Federal court of the United States of America sitting in the Borough of Manhattan or, if that court does not have subject matter jurisdiction, in any state court located in the City and County of New York, and any appellate court thereof;</w:t>
      </w:r>
    </w:p>
    <w:p>
      <w:pPr>
        <w:spacing w:after="0" w:line="176" w:lineRule="exact"/>
        <w:rPr>
          <w:sz w:val="20"/>
          <w:szCs w:val="20"/>
          <w:color w:val="auto"/>
        </w:rPr>
      </w:pPr>
    </w:p>
    <w:p>
      <w:pPr>
        <w:ind w:right="640" w:firstLine="1296"/>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agrees that any such legal proceeding shall be governed by the laws of the State of New York (without giving effect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conflicts of law principles that would result in the application of the laws of another state);</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agrees that service of process upon such party in any such legal proceeding shall be effective if notice is given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notice provisions of this Agreement;</w:t>
      </w:r>
    </w:p>
    <w:p>
      <w:pPr>
        <w:spacing w:after="0" w:line="162"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knowingly, intentionally and voluntarily waives (to the fullest extent permitted by law) trial by jury in any Proceeding brought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against the Debt Financing Sources in any way arising out of or relating to this Agreement, the Debt Commitment Letter or any other contract entered into with respect to any Applicable Financing Transaction or the performance of any services thereunder;</w:t>
      </w:r>
    </w:p>
    <w:p>
      <w:pPr>
        <w:spacing w:after="0" w:line="176"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agrees that the Debt Financing Sources are express third-party beneficiaries of, and may enforce, this Section and any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provisions in this Agreement (including </w:t>
      </w:r>
      <w:r>
        <w:rPr>
          <w:rFonts w:ascii="Times New Roman" w:cs="Times New Roman" w:eastAsia="Times New Roman" w:hAnsi="Times New Roman"/>
          <w:sz w:val="18"/>
          <w:szCs w:val="18"/>
          <w:u w:val="single" w:color="auto"/>
          <w:color w:val="000000"/>
        </w:rPr>
        <w:t>Section 9.2(a)</w:t>
      </w:r>
      <w:r>
        <w:rPr>
          <w:rFonts w:ascii="Times New Roman" w:cs="Times New Roman" w:eastAsia="Times New Roman" w:hAnsi="Times New Roman"/>
          <w:sz w:val="18"/>
          <w:szCs w:val="18"/>
          <w:color w:val="000000"/>
        </w:rPr>
        <w:t xml:space="preserve">) reflecting the agreements set forth in this </w:t>
      </w:r>
      <w:r>
        <w:rPr>
          <w:rFonts w:ascii="Times New Roman" w:cs="Times New Roman" w:eastAsia="Times New Roman" w:hAnsi="Times New Roman"/>
          <w:sz w:val="18"/>
          <w:szCs w:val="18"/>
          <w:u w:val="single" w:color="auto"/>
          <w:color w:val="000000"/>
        </w:rPr>
        <w:t>Section 9.15</w:t>
      </w:r>
      <w:r>
        <w:rPr>
          <w:rFonts w:ascii="Times New Roman" w:cs="Times New Roman" w:eastAsia="Times New Roman" w:hAnsi="Times New Roman"/>
          <w:sz w:val="18"/>
          <w:szCs w:val="18"/>
          <w:color w:val="000000"/>
        </w:rPr>
        <w:t>; and</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agrees that the provisions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9.15</w:t>
      </w:r>
      <w:r>
        <w:rPr>
          <w:rFonts w:ascii="Times New Roman" w:cs="Times New Roman" w:eastAsia="Times New Roman" w:hAnsi="Times New Roman"/>
          <w:sz w:val="18"/>
          <w:szCs w:val="18"/>
          <w:color w:val="000000"/>
        </w:rPr>
        <w:t>, the definitions used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used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9.15</w:t>
      </w:r>
      <w:r>
        <w:rPr>
          <w:rFonts w:ascii="Times New Roman" w:cs="Times New Roman" w:eastAsia="Times New Roman" w:hAnsi="Times New Roman"/>
          <w:sz w:val="18"/>
          <w:szCs w:val="18"/>
          <w:color w:val="000000"/>
        </w:rPr>
        <w:t>) and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provisions of this Agreement to the extent an amendment, waiver or modification thereof would adversely affect the substance of any of the foregoing as it affects the Debt Financing Sources, shall not be amended, waived or otherwise modified, in each case, in any way adverse to the Debt Financing Sources without the prior written consent of the Debt Financing Sources party to the Debt Commitment Letter.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3" w:name="page114"/>
    <w:bookmarkEnd w:id="11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officers of the parties to this Agreement as of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Warner Bros. Discovery,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Prince Sub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114" w:name="page115"/>
    <w:bookmarkEnd w:id="114"/>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means, with respect to any Person, any other Person directly or indirectly controlling, controlled by, or under common control with such Person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Buyer,</w:t>
      </w:r>
    </w:p>
    <w:p>
      <w:pPr>
        <w:spacing w:after="0" w:line="3" w:lineRule="exact"/>
        <w:rPr>
          <w:sz w:val="20"/>
          <w:szCs w:val="20"/>
          <w:color w:val="auto"/>
        </w:rPr>
      </w:pPr>
    </w:p>
    <w:p>
      <w:pPr>
        <w:jc w:val="both"/>
        <w:ind w:right="120" w:firstLine="8"/>
        <w:spacing w:after="0" w:line="253"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 xml:space="preserve">, “Affiliate” means any Person that is controlled, directly or indirectly, by Buyer and (ii) solely with respect to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 xml:space="preserve">, “Affiliate” shall include Ellison (as defined in Buyer’s Organizational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this clause (ii), “Affiliate” shall not include Oracle Corporation, Ellison Institute of Technology or any of the respective controlled Affiliates of Oracle Corporation or Ellison Institute of Technology.</w:t>
      </w:r>
    </w:p>
    <w:p>
      <w:pPr>
        <w:spacing w:after="0" w:line="189"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Affiliation Agreements</w:t>
      </w:r>
      <w:r>
        <w:rPr>
          <w:rFonts w:ascii="Times New Roman" w:cs="Times New Roman" w:eastAsia="Times New Roman" w:hAnsi="Times New Roman"/>
          <w:sz w:val="18"/>
          <w:szCs w:val="18"/>
          <w:color w:val="auto"/>
        </w:rPr>
        <w:t>” means Contracts for the distribution of video programming services, including linear networks and direct-to-consumer services, with any Person that distributes video services via any technology (including cable systems, SMATV, open video systems and MMDS, MDS and DBS systems, wireless and broadband, or a video-on-demand or “over the top” service providers, and further including application distribution and the ingestion of content comprising a service), and any correspondence or writings amending the foregoing.</w:t>
      </w:r>
    </w:p>
    <w:p>
      <w:pPr>
        <w:spacing w:after="0" w:line="180"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means, in addition to any definition for “artificial intelligence” or “artificial intelligence system” or any similar term under applicable Law, any and all technologies, systems or tools that use machine learning, deep learning, neural networks, natural language processing, generative models, or other artificial intelligence methodologies, including statistical learning algorithms and all software or hardware implementations thereof that are capable of generating or analyzing output such as predictions, data or content (including text, images, video or audio) based on input such as user-supplied prompts.</w:t>
      </w:r>
    </w:p>
    <w:p>
      <w:pPr>
        <w:spacing w:after="0" w:line="183"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means the Sherman Antitrust Act of 1890, the Clayton Act of 1914, the HSR Act and all other United States or non-United States antitrust, competition or other Laws that are designed or intended to prohibit, restrict or regulate actions having the purpose or effect of monopolization or restraint of trade or lessening of competition through merger or acquisition.</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Financing Transactions</w:t>
      </w:r>
      <w:r>
        <w:rPr>
          <w:rFonts w:ascii="Times New Roman" w:cs="Times New Roman" w:eastAsia="Times New Roman" w:hAnsi="Times New Roman"/>
          <w:sz w:val="18"/>
          <w:szCs w:val="18"/>
          <w:color w:val="auto"/>
        </w:rPr>
        <w:t>” means (a) with respect to Buyer, the Buyer Debt Financing and the Buyer Public Equity Financing, and (b) with respect to the Company, any Permitted Financing Activities by the Company, including a Term Loan Refinancing and a Junior Lien Notes Exchange.</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Buyer Stock Price</w:t>
      </w:r>
      <w:r>
        <w:rPr>
          <w:rFonts w:ascii="Times New Roman" w:cs="Times New Roman" w:eastAsia="Times New Roman" w:hAnsi="Times New Roman"/>
          <w:sz w:val="18"/>
          <w:szCs w:val="18"/>
          <w:color w:val="auto"/>
        </w:rPr>
        <w:t>” means the average of the volume weighted averages of the trading prices of Buyer Class B Common Stock on NASDAQ (as reported by Bloomberg L.P. or, if not reported thereby, in another authoritative source mutually selected by the Parties) on each of the ten consecutive Trading Days ending on (and including) the Trading Day that is three Trading Days prior to the Closing Date.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15" w:name="page116"/>
    <w:bookmarkEnd w:id="115"/>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ending at 11:59 p.m. (New York Time) other than a Saturday or Sunday or a day on which banks in the City of New York, New York or the City of Wilmington, Delaware is required or authorized by Law to close.</w:t>
      </w:r>
    </w:p>
    <w:p>
      <w:pPr>
        <w:spacing w:after="0" w:line="162" w:lineRule="exact"/>
        <w:rPr>
          <w:sz w:val="20"/>
          <w:szCs w:val="20"/>
          <w:color w:val="auto"/>
        </w:rPr>
      </w:pPr>
    </w:p>
    <w:p>
      <w:pPr>
        <w:jc w:val="both"/>
        <w:ind w:right="900"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Buyer Debt Financing</w:t>
      </w:r>
      <w:r>
        <w:rPr>
          <w:rFonts w:ascii="Times New Roman" w:cs="Times New Roman" w:eastAsia="Times New Roman" w:hAnsi="Times New Roman"/>
          <w:sz w:val="17"/>
          <w:szCs w:val="17"/>
          <w:color w:val="auto"/>
        </w:rPr>
        <w:t>” means the Committed Financing, one or more debt financing transactions contemplated by the Debt Commitment Letter, or any other bank financing or capital markets financing entered into by Buyer or its Affiliates to finance the Transactions.</w:t>
      </w:r>
    </w:p>
    <w:p>
      <w:pPr>
        <w:spacing w:after="0" w:line="140"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Public Equity Financing</w:t>
      </w:r>
      <w:r>
        <w:rPr>
          <w:rFonts w:ascii="Times New Roman" w:cs="Times New Roman" w:eastAsia="Times New Roman" w:hAnsi="Times New Roman"/>
          <w:sz w:val="18"/>
          <w:szCs w:val="18"/>
          <w:color w:val="auto"/>
        </w:rPr>
        <w:t>” means one or more equity capital markets financing transactions entered into by Buyer or its Affiliates, the proceeds of which are used in whole or in part to finance the Transactions.</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Financing Transactions</w:t>
      </w:r>
      <w:r>
        <w:rPr>
          <w:rFonts w:ascii="Times New Roman" w:cs="Times New Roman" w:eastAsia="Times New Roman" w:hAnsi="Times New Roman"/>
          <w:sz w:val="18"/>
          <w:szCs w:val="18"/>
          <w:color w:val="auto"/>
        </w:rPr>
        <w:t>” means the PIPE Transaction, the Buyer Debt Financing, the Buyer Public Equity Financing and the other transactions contemplated by the Subscription Agreements and the Commitment Letter.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 collective bargaining agreement or other similar Contract with a Labor Union.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means the Communications Act of 1934.</w:t>
      </w:r>
    </w:p>
    <w:p>
      <w:pPr>
        <w:spacing w:after="0" w:line="225" w:lineRule="exact"/>
        <w:rPr>
          <w:sz w:val="20"/>
          <w:szCs w:val="20"/>
          <w:color w:val="auto"/>
        </w:rPr>
      </w:pPr>
    </w:p>
    <w:p>
      <w:pPr>
        <w:jc w:val="both"/>
        <w:ind w:right="4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Bridge Facility</w:t>
      </w:r>
      <w:r>
        <w:rPr>
          <w:rFonts w:ascii="Times New Roman" w:cs="Times New Roman" w:eastAsia="Times New Roman" w:hAnsi="Times New Roman"/>
          <w:sz w:val="18"/>
          <w:szCs w:val="18"/>
          <w:color w:val="auto"/>
        </w:rPr>
        <w:t>” means that certain non-investment grade leveraged bridge loan facility under the non-investment grade leveraged bridge loan agreement, dated as of June 26, 2025, among the Company, one of its Affiliates, the lenders from time to time party thereto and JPMorgan Chase Bank, N.A.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Laws</w:t>
      </w:r>
      <w:r>
        <w:rPr>
          <w:rFonts w:ascii="Times New Roman" w:cs="Times New Roman" w:eastAsia="Times New Roman" w:hAnsi="Times New Roman"/>
          <w:sz w:val="18"/>
          <w:szCs w:val="18"/>
          <w:color w:val="auto"/>
        </w:rPr>
        <w:t>” means the Communications Act and the applicable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DC Plan</w:t>
      </w:r>
      <w:r>
        <w:rPr>
          <w:rFonts w:ascii="Times New Roman" w:cs="Times New Roman" w:eastAsia="Times New Roman" w:hAnsi="Times New Roman"/>
          <w:sz w:val="18"/>
          <w:szCs w:val="18"/>
          <w:color w:val="auto"/>
        </w:rPr>
        <w:t>” means the Warner Bros. Discovery, Inc. Non-Employee Directors Deferral Plan and the Company’s Supplemental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 Plan.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DSU</w:t>
      </w:r>
      <w:r>
        <w:rPr>
          <w:rFonts w:ascii="Times New Roman" w:cs="Times New Roman" w:eastAsia="Times New Roman" w:hAnsi="Times New Roman"/>
          <w:sz w:val="18"/>
          <w:szCs w:val="18"/>
          <w:color w:val="auto"/>
        </w:rPr>
        <w:t>” means any deferred stock unit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 current or former employee of the Company and its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2011 Employee Stock Purchase Plan (as amended).</w:t>
      </w:r>
    </w:p>
    <w:p>
      <w:pPr>
        <w:spacing w:after="0" w:line="225" w:lineRule="exact"/>
        <w:rPr>
          <w:sz w:val="20"/>
          <w:szCs w:val="20"/>
          <w:color w:val="auto"/>
        </w:rPr>
      </w:pPr>
    </w:p>
    <w:p>
      <w:pPr>
        <w:ind w:right="5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Options, the Company RSUs, the Company PRSUs, the Company DSUs and the Company Notional Units.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6" w:name="page117"/>
    <w:bookmarkEnd w:id="1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Information Technology</w:t>
      </w:r>
      <w:r>
        <w:rPr>
          <w:rFonts w:ascii="Times New Roman" w:cs="Times New Roman" w:eastAsia="Times New Roman" w:hAnsi="Times New Roman"/>
          <w:sz w:val="18"/>
          <w:szCs w:val="18"/>
          <w:color w:val="auto"/>
        </w:rPr>
        <w:t>” means all Information Technology owned, leased or licensed by the Company and its Subsidiaries.</w:t>
      </w:r>
    </w:p>
    <w:p>
      <w:pPr>
        <w:spacing w:after="0" w:line="22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Effect that, individually or in the aggregate with any other Effect is, or would reasonably be expected to be, materially adverse to the financial condition, properties, assets, operations, liabilities, business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alone or in combination, shall be deemed to constitute a Company Material Adverse Effect, or be taken into account in determining whether a Company Material Adverse Effect has occurred or would reasonably be expected to occur:</w:t>
      </w:r>
    </w:p>
    <w:p>
      <w:pPr>
        <w:spacing w:after="0" w:line="183" w:lineRule="exact"/>
        <w:rPr>
          <w:sz w:val="20"/>
          <w:szCs w:val="20"/>
          <w:color w:val="auto"/>
        </w:rPr>
      </w:pPr>
    </w:p>
    <w:p>
      <w:pPr>
        <w:ind w:left="660" w:right="140" w:firstLine="1296"/>
        <w:spacing w:after="0" w:line="266" w:lineRule="auto"/>
        <w:rPr>
          <w:sz w:val="20"/>
          <w:szCs w:val="20"/>
          <w:color w:val="auto"/>
        </w:rPr>
      </w:pPr>
      <w:r>
        <w:rPr>
          <w:rFonts w:ascii="Times New Roman" w:cs="Times New Roman" w:eastAsia="Times New Roman" w:hAnsi="Times New Roman"/>
          <w:sz w:val="18"/>
          <w:szCs w:val="18"/>
          <w:color w:val="auto"/>
        </w:rPr>
        <w:t>(A)            Effects generally affecting the economy, credit, capital, securities or financial markets or political, regulatory, economic or business conditions (including tariffs, trade policies and sanctions) in any jurisdiction in which the Company or its Subsidiaries has material operations or in which products or services of the Company or its Subsidiaries are sold;</w:t>
      </w:r>
    </w:p>
    <w:p>
      <w:pPr>
        <w:spacing w:after="0" w:line="176" w:lineRule="exact"/>
        <w:rPr>
          <w:sz w:val="20"/>
          <w:szCs w:val="20"/>
          <w:color w:val="auto"/>
        </w:rPr>
      </w:pPr>
    </w:p>
    <w:p>
      <w:pPr>
        <w:ind w:left="660" w:right="660" w:firstLine="1296"/>
        <w:spacing w:after="0" w:line="282" w:lineRule="auto"/>
        <w:rPr>
          <w:sz w:val="20"/>
          <w:szCs w:val="20"/>
          <w:color w:val="auto"/>
        </w:rPr>
      </w:pPr>
      <w:r>
        <w:rPr>
          <w:rFonts w:ascii="Times New Roman" w:cs="Times New Roman" w:eastAsia="Times New Roman" w:hAnsi="Times New Roman"/>
          <w:sz w:val="18"/>
          <w:szCs w:val="18"/>
          <w:color w:val="auto"/>
        </w:rPr>
        <w:t>(B)            Effects that are the result of factors generally affecting the industries, markets or geographical areas in which the Company or its Subsidiaries has material operations;</w:t>
      </w:r>
    </w:p>
    <w:p>
      <w:pPr>
        <w:spacing w:after="0" w:line="162" w:lineRule="exact"/>
        <w:rPr>
          <w:sz w:val="20"/>
          <w:szCs w:val="20"/>
          <w:color w:val="auto"/>
        </w:rPr>
      </w:pPr>
    </w:p>
    <w:p>
      <w:pPr>
        <w:ind w:left="660" w:right="1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changes in the relationship of the Company or its Subsidiaries, contractual or otherwise, with customers, employees, unions, suppliers, distributors, financing sources, partners or similar relationship or any resulting Effect that was caused by the entry into, announcement, pendency or performance of the Transactions by, or resulting or arising from the identity of or any facts or circumstances relating to, Buyer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(C) shall not apply to references to “Company Material Adverse Effect”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right="180" w:firstLine="1296"/>
        <w:spacing w:after="0" w:line="312" w:lineRule="auto"/>
        <w:rPr>
          <w:sz w:val="20"/>
          <w:szCs w:val="20"/>
          <w:color w:val="auto"/>
        </w:rPr>
      </w:pPr>
      <w:r>
        <w:rPr>
          <w:rFonts w:ascii="Times New Roman" w:cs="Times New Roman" w:eastAsia="Times New Roman" w:hAnsi="Times New Roman"/>
          <w:sz w:val="17"/>
          <w:szCs w:val="17"/>
          <w:color w:val="auto"/>
        </w:rPr>
        <w:t>(D)            changes or modifications in accounting standards applicable to the Company or its Subsidiaries, including GAAP, or in any Law of general applicability, including the repeal thereof, or in the interpretation or enforcement thereof, after the date of this Agreement;</w:t>
      </w:r>
    </w:p>
    <w:p>
      <w:pPr>
        <w:spacing w:after="0" w:line="140" w:lineRule="exact"/>
        <w:rPr>
          <w:sz w:val="20"/>
          <w:szCs w:val="20"/>
          <w:color w:val="auto"/>
        </w:rPr>
      </w:pPr>
    </w:p>
    <w:p>
      <w:pPr>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any failure by the Company or its Subsidiaries to meet any internal or public projections or forecasts or estimates of revenues or earnings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(E)‎ shall not prevent or otherwise affect a determination that any Effect underlying such failure has resulted in, or contributed to, or would reasonably be expected to result in, or contribute to, a Company Material Adverse Effect;</w:t>
      </w:r>
    </w:p>
    <w:p>
      <w:pPr>
        <w:spacing w:after="0" w:line="180" w:lineRule="exact"/>
        <w:rPr>
          <w:sz w:val="20"/>
          <w:szCs w:val="20"/>
          <w:color w:val="auto"/>
        </w:rPr>
      </w:pPr>
    </w:p>
    <w:p>
      <w:pPr>
        <w:ind w:left="660" w:right="40" w:firstLine="1296"/>
        <w:spacing w:after="0" w:line="261" w:lineRule="auto"/>
        <w:rPr>
          <w:sz w:val="20"/>
          <w:szCs w:val="20"/>
          <w:color w:val="auto"/>
        </w:rPr>
      </w:pPr>
      <w:r>
        <w:rPr>
          <w:rFonts w:ascii="Times New Roman" w:cs="Times New Roman" w:eastAsia="Times New Roman" w:hAnsi="Times New Roman"/>
          <w:sz w:val="18"/>
          <w:szCs w:val="18"/>
          <w:color w:val="auto"/>
        </w:rPr>
        <w:t>(F)            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7" w:name="page118"/>
    <w:bookmarkEnd w:id="117"/>
    <w:p>
      <w:pPr>
        <w:jc w:val="both"/>
        <w:ind w:left="660" w:right="1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any actions taken or failed to be taken by the Company or its Subsidiaries that are expressly required to be taken by this Agreement or any other Transaction Document or any actions taken with Buyer’s written consent or failed to be taken at Buyer’s written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(G) shall not apply to any actions taken or failed to be taken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ind w:left="660"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any Effect or announcement of an Effect affecting the credit rating or other rating of financial strength of the Company, its Subsidiaries or any of their respective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prevent or otherwise affect a determination that any Effect underlying such Effect or announcement of an Effect has resulted in, or contributed to, or would reasonably be expected to result in, or contribute to, a Company Material Adverse Effect;</w:t>
      </w:r>
    </w:p>
    <w:p>
      <w:pPr>
        <w:spacing w:after="0" w:line="180"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clauses (A),‎ (B),‎ (D)‎ and (F),‎ such Effect shall be taken into account in determining whether a “Company Material Adverse Effect” has occurred or is occurring to the extent it materially and disproportionately adversely affects the Company and its Subsidiaries (taken as a whole) compared to other companies operating in the industries and geographies in which the Company and its Subsidiaries operate (in which case only the incremental disproportionate impact may be taken into account, and only to the extent otherwise permitted by this definition).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Notional Unit</w:t>
      </w:r>
      <w:r>
        <w:rPr>
          <w:rFonts w:ascii="Times New Roman" w:cs="Times New Roman" w:eastAsia="Times New Roman" w:hAnsi="Times New Roman"/>
          <w:sz w:val="18"/>
          <w:szCs w:val="18"/>
          <w:color w:val="auto"/>
        </w:rPr>
        <w:t>” means each notional investment unit with respect to shares of Company Stock subject to a Company DC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shares of Company Stock granted under any Company Stock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IP</w:t>
      </w:r>
      <w:r>
        <w:rPr>
          <w:rFonts w:ascii="Times New Roman" w:cs="Times New Roman" w:eastAsia="Times New Roman" w:hAnsi="Times New Roman"/>
          <w:sz w:val="18"/>
          <w:szCs w:val="18"/>
          <w:color w:val="auto"/>
        </w:rPr>
        <w:t>” means all Intellectual Property owned or purported to be owned by the Company or any of its Subsidiaries.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“employee benefit plan” (as defined in Section 3(3) of ERISA) and each other bonus, commission, stock option, stock appreciation right, restricted stock, restricted stock unit, performance stock unit, stock purchase or other equity-based, incentive compensation, profit sharing, savings, retirement, disability, vacation, deferred compensation, employment, individual consulting, individual independent contractor, severance, separation, termination, retention, change of control, stay bonus and other similar plan, program, agreement or arrangement that is maintained or contributed to by the Company or any of its Subsidiaries or with respect to which the Company or any of its Subsidiaries has or would reasonably be expected to have any liability, other than any such plan, scheme or arrangement (i) that is sponsored or maintained by, or provided through, a Governmental Entity or Labor Union or (ii) any Multiemployer Plan.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PRSU</w:t>
      </w:r>
      <w:r>
        <w:rPr>
          <w:rFonts w:ascii="Times New Roman" w:cs="Times New Roman" w:eastAsia="Times New Roman" w:hAnsi="Times New Roman"/>
          <w:sz w:val="18"/>
          <w:szCs w:val="18"/>
          <w:color w:val="auto"/>
        </w:rPr>
        <w:t>” means any performance restricted stock unit of the Company.</w:t>
      </w:r>
    </w:p>
    <w:p>
      <w:pPr>
        <w:spacing w:after="0" w:line="225"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means the forms, statements, certifications, reports and documents filed with or furnished by the Company with the SEC pursuant to the Exchange Act or the Securities Act since the Applicable Date, including those filed with or furnished to the SEC subsequent to the date of this Agreement, in each case as amended.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8" w:name="page119"/>
    <w:bookmarkEnd w:id="11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each restricted stock unit of the Company (other than any Company PRSU or Company DSU).</w:t>
      </w:r>
    </w:p>
    <w:p>
      <w:pPr>
        <w:spacing w:after="0" w:line="225"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the Amended and Restated Warner Bros. Discovery, Inc. Stock Incentive Plan, the Company ESPP, the Warner Bros. Discovery, Inc. 2013 Incentive Plan (as amended) and the Warner Bros. Discovery, Inc. 2005 Non-Employee Director Incentive Plan (as amended).</w:t>
      </w:r>
    </w:p>
    <w:p>
      <w:pPr>
        <w:spacing w:after="0" w:line="176"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the affirmative vote of the holders of a majority of the outstanding shares of Company Stock entitled to vote on such matter at a stockholders’ meeting duly called and held for such purpose.</w:t>
      </w:r>
    </w:p>
    <w:p>
      <w:pPr>
        <w:spacing w:after="0" w:line="162" w:lineRule="exact"/>
        <w:rPr>
          <w:sz w:val="20"/>
          <w:szCs w:val="20"/>
          <w:color w:val="auto"/>
        </w:rPr>
      </w:pPr>
    </w:p>
    <w:p>
      <w:pPr>
        <w:ind w:right="9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letter agreement entered into between Buyer and the Company, dated November 10, 2025, and the clean team agreement entered into between Buyer and the Company, dated November 25, 2025.</w:t>
      </w:r>
    </w:p>
    <w:p>
      <w:pPr>
        <w:spacing w:after="0" w:line="162"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Content</w:t>
      </w:r>
      <w:r>
        <w:rPr>
          <w:rFonts w:ascii="Times New Roman" w:cs="Times New Roman" w:eastAsia="Times New Roman" w:hAnsi="Times New Roman"/>
          <w:sz w:val="18"/>
          <w:szCs w:val="18"/>
          <w:color w:val="auto"/>
        </w:rPr>
        <w:t>” means television shows, movies, video games, music and other audiovisual, visual or audio content intended for broadcast, download, streaming or other transmission to an audience.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Content IP</w:t>
      </w:r>
      <w:r>
        <w:rPr>
          <w:rFonts w:ascii="Times New Roman" w:cs="Times New Roman" w:eastAsia="Times New Roman" w:hAnsi="Times New Roman"/>
          <w:sz w:val="18"/>
          <w:szCs w:val="18"/>
          <w:color w:val="auto"/>
        </w:rPr>
        <w:t>” means Copyrights and Trademarks in, or otherwise relating to, Content.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individual who is a Company Employee immediately prior to the Effective Time (including those on vacation, sick leave, maternity leave, military service, lay-off, disability or other paid time off or leave of absence) and continues to be an employee of Buyer or one of its Subsidiaries (including the Surviving Corporation) immediately following the Effective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contract, agreement, lease, license, note, mortgage, indenture, arrangement or other obligation.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COT Property</w:t>
      </w:r>
      <w:r>
        <w:rPr>
          <w:rFonts w:ascii="Times New Roman" w:cs="Times New Roman" w:eastAsia="Times New Roman" w:hAnsi="Times New Roman"/>
          <w:sz w:val="18"/>
          <w:szCs w:val="18"/>
          <w:color w:val="auto"/>
        </w:rPr>
        <w:t xml:space="preserve">” means the Intellectual Property set forth in </w:t>
      </w:r>
      <w:r>
        <w:rPr>
          <w:rFonts w:ascii="Times New Roman" w:cs="Times New Roman" w:eastAsia="Times New Roman" w:hAnsi="Times New Roman"/>
          <w:sz w:val="18"/>
          <w:szCs w:val="18"/>
          <w:u w:val="single" w:color="auto"/>
          <w:color w:val="auto"/>
        </w:rPr>
        <w:t>Section A(1)</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COT Property Agreements</w:t>
      </w:r>
      <w:r>
        <w:rPr>
          <w:rFonts w:ascii="Times New Roman" w:cs="Times New Roman" w:eastAsia="Times New Roman" w:hAnsi="Times New Roman"/>
          <w:sz w:val="18"/>
          <w:szCs w:val="18"/>
          <w:color w:val="auto"/>
        </w:rPr>
        <w:t>” means all material Contracts (including development agreements, settlement agreements, license agreements (including Key Out-License Agreements), assignment agreements and Affiliation Agreements) relating to the development or Exploitation of any COT Properties, including all modifications, amendments and supplements thereto, and waivers thereunder.</w:t>
      </w:r>
    </w:p>
    <w:p>
      <w:pPr>
        <w:spacing w:after="0" w:line="176"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each Senior Executive and each other employee of the Company or its Subsidiaries classified by the Company as a “Career Band 2” or “Career Band 3” employee.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9" w:name="page120"/>
    <w:bookmarkEnd w:id="11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Documents</w:t>
      </w:r>
      <w:r>
        <w:rPr>
          <w:rFonts w:ascii="Times New Roman" w:cs="Times New Roman" w:eastAsia="Times New Roman" w:hAnsi="Times New Roman"/>
          <w:sz w:val="18"/>
          <w:szCs w:val="18"/>
          <w:color w:val="auto"/>
        </w:rPr>
        <w:t>” means the agreements, documents and certificates contemplated by the Applicable Financing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20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(a)            all credit agreements, security agreements, guarantee agreements, and all note purchase agreements, indentures, and notes, relating to the Applicable Financing Transaction;</w:t>
      </w:r>
    </w:p>
    <w:p>
      <w:pPr>
        <w:spacing w:after="0" w:line="162"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(b)            all officer, secretary, solvency and perfection certificates, and legal opinions to be provided in connection with the Applicable Financing Transaction;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agreements, documents or certificates relating to the creation, perfection or enforcement of liens securing the Applicable Financing Transaction, including control agreements, access letters and similar arrangements, surveys and title insurance with respect to real property, and intellectual property security agreements.</w:t>
      </w:r>
    </w:p>
    <w:p>
      <w:pPr>
        <w:spacing w:after="0" w:line="176" w:lineRule="exact"/>
        <w:rPr>
          <w:sz w:val="20"/>
          <w:szCs w:val="20"/>
          <w:color w:val="auto"/>
        </w:rPr>
      </w:pPr>
    </w:p>
    <w:p>
      <w:pPr>
        <w:ind w:right="320" w:firstLine="1296"/>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Debt Financing Failure Event</w:t>
      </w:r>
      <w:r>
        <w:rPr>
          <w:rFonts w:ascii="Times New Roman" w:cs="Times New Roman" w:eastAsia="Times New Roman" w:hAnsi="Times New Roman"/>
          <w:sz w:val="17"/>
          <w:szCs w:val="17"/>
          <w:color w:val="auto"/>
        </w:rPr>
        <w:t>” means any of the following: (a) the commitments with respect to all or any portion of the Committed Financing expiring, or being terminated, (b) for any reason, all or any portion of the Committed Financing becoming unavailable, (c) a breach or repudiation or threatened or anticipated breach or repudiation by any Debt Financing Source party to the Commitment Letter of which Buyer becomes aware, (d) it becoming reasonably foreseeable that any of the events set forth in clauses (a) through (c) shall occur, or (e) any party to the Commitment Letter or any Affiliate or agent of such Person shall allege in writing that any of the events set forth in the foregoing clauses has occurred.</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Required Information</w:t>
      </w:r>
      <w:r>
        <w:rPr>
          <w:rFonts w:ascii="Times New Roman" w:cs="Times New Roman" w:eastAsia="Times New Roman" w:hAnsi="Times New Roman"/>
          <w:sz w:val="18"/>
          <w:szCs w:val="18"/>
          <w:color w:val="auto"/>
        </w:rPr>
        <w:t>” means (1) materials for rating agency presentations and investor and road show presentations,</w:t>
      </w:r>
    </w:p>
    <w:p>
      <w:pPr>
        <w:spacing w:after="0" w:line="27" w:lineRule="exact"/>
        <w:rPr>
          <w:sz w:val="20"/>
          <w:szCs w:val="20"/>
          <w:color w:val="auto"/>
        </w:rPr>
      </w:pPr>
    </w:p>
    <w:p>
      <w:pPr>
        <w:ind w:firstLine="8"/>
        <w:spacing w:after="0" w:line="25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information memoranda (including a public-side version thereof), syndication documents, registration statements, prospectuses, offering memoranda, projections and private placement memoranda (as well as customary certificates and “backup” support), (3) lender presentations and other information packages regarding the business, operations, financial condition, projections and prospects of the Company, (4) such financial and other information as is customarily required in connection with the execution of financings of a type similar to the Buyer Debt Financing, including (A) audited consolidated balance sheets and related audited consolidated statements of operations, comprehensive income, equity and cash flows of the Company for each of the three fiscal years most recently ended more than sixty (60) days prior to the Closing Date, (B) unaudited consolidated balance sheets and related unaudited consolidated statements of operations, comprehensive income and cash flows of the Company for each subsequent fiscal quarter ended more than forty (40) days prior to the Closing Date and (C) other historical financial information regarding the Company and its Subsidiaries reasonably necessary to permit Buyer to prepare pro forma financial statements required by the Debt Financing Sources or customarily included in marketing and offering documents for an offering of debt securities of Buyer on a registration statement filed with the SEC, and (5) similar documents and materials, in each case necessary, customary or advisable in connection with any portion of the Buyer Debt Financing to the extent reasonably requested by Buyer or contemplated by the definitive agreements related to any Buyer Debt Financing (including the Commitment Letter) and limited to information to be contained therein with respect to the Company and its Subsidiaries.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0" w:name="page121"/>
    <w:bookmarkEnd w:id="120"/>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Source</w:t>
      </w:r>
      <w:r>
        <w:rPr>
          <w:rFonts w:ascii="Times New Roman" w:cs="Times New Roman" w:eastAsia="Times New Roman" w:hAnsi="Times New Roman"/>
          <w:sz w:val="18"/>
          <w:szCs w:val="18"/>
          <w:color w:val="auto"/>
        </w:rPr>
        <w:t>” means any Person that has committed to provide financing, or has entered into the definitive agreements related to any Applicable Financing Transaction (including the Commitment Letter with respect to the Buyer Debt Financing), including any of such Person’s Affiliates or its or their respective officers, directors, managers, members, employees, partners, trustees, stockholders, controlling persons, agents and representatives, and each of the successors or assigns of the foregoing.</w:t>
      </w:r>
    </w:p>
    <w:p>
      <w:pPr>
        <w:spacing w:after="0" w:line="180"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Marketing Activity</w:t>
      </w:r>
      <w:r>
        <w:rPr>
          <w:rFonts w:ascii="Times New Roman" w:cs="Times New Roman" w:eastAsia="Times New Roman" w:hAnsi="Times New Roman"/>
          <w:sz w:val="18"/>
          <w:szCs w:val="18"/>
          <w:color w:val="auto"/>
        </w:rPr>
        <w:t>” means all activity undertaken (or proposed to be undertaken) in connection with the syndication or other marketing of the Applicable Financing Transaction, including:</w:t>
      </w:r>
    </w:p>
    <w:p>
      <w:pPr>
        <w:spacing w:after="0" w:line="162"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participation, including by officers of appropriate seniority and experience, in and assistance with, (i) the preparation of the Debt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Marketing Material and due diligence sessions related thereto, (ii) bank meetings and a customary road show with prospective debt investors, (iii) the preparation of rating agency presentations and meetings with rating agencies, and (iv) provided that the applicable Financing Cooperation Provider has been provided a reasonable opportunity to review and comment on a substantially final draft of the Debt Marketing Material used in connection with the arrangement of the Applicable Financing Transaction, and the applicable Financing Cooperation Recipient has considered such comments in good faith, prior to dissemination of such materials to potential public-side lenders or other debt investors in any proposed Applicable Financing Transaction, filing such reports under securities laws as may be customary or required for transactions of the type contemplated by this Agreement and the Debt Commitment Letter or as is reasonably requested or required to comply with Regulation FD in connection with the distribution of Debt Marketing Material or reasonably requested by the applicable Financing Cooperation Provider in connection with the syndication or other marketing of the Applicable Financing Transaction;</w:t>
      </w:r>
    </w:p>
    <w:p>
      <w:pPr>
        <w:spacing w:after="0" w:line="173" w:lineRule="exact"/>
        <w:rPr>
          <w:sz w:val="20"/>
          <w:szCs w:val="20"/>
          <w:color w:val="auto"/>
        </w:rPr>
      </w:pPr>
    </w:p>
    <w:p>
      <w:pPr>
        <w:ind w:right="140"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subject to customary confidentiality provisions and disclaimers, provision of customary authorization letters to the Financing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Cooperation Recipient in connection with the Applicable Financing Transaction authorizing the distribution of information to prospective lenders and containing a customary representation that such information does not contain a material misstatement or omission and containing a representation that the public side versions of such documents, if any, do not include material non-public information about the applicable Financing Cooperation Provider or its Subsidiaries or their respective securities;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letters provide that (A) the applicable Financing Cooperation Provider and its Affiliates shall not have any liability of any kind or nature resulting from the use of such information except for liability under the applicable Debt Financing Documents for such Applicable Financing Transaction and (B) any representation regarding the accuracy of information shall be substantially consistent with the corresponding representation in the Debt Commitment Letter; and</w:t>
      </w:r>
    </w:p>
    <w:p>
      <w:pPr>
        <w:spacing w:after="0" w:line="192" w:lineRule="exact"/>
        <w:rPr>
          <w:sz w:val="20"/>
          <w:szCs w:val="20"/>
          <w:color w:val="auto"/>
        </w:rPr>
      </w:pPr>
    </w:p>
    <w:p>
      <w:pPr>
        <w:ind w:right="200"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applicable Financing Cooperation Provider using its commercially reasonable efforts to cause its independent auditors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cooperate with the Applicable Financing Transaction, including by (i) providing customary “comfort letters”, including customary “negative assurances” (including drafts thereof which such accountants are prepared to issue at the time of pricing and at closing of any offering or placement of the Applicable Financing Transaction) and assistance with the due diligence activities of the financing sources involved with the Applicable Financing Transaction,</w:t>
      </w:r>
    </w:p>
    <w:p>
      <w:pPr>
        <w:spacing w:after="0" w:line="3" w:lineRule="exact"/>
        <w:rPr>
          <w:sz w:val="20"/>
          <w:szCs w:val="20"/>
          <w:color w:val="auto"/>
        </w:rPr>
      </w:pPr>
    </w:p>
    <w:p>
      <w:pPr>
        <w:ind w:right="20" w:firstLine="8"/>
        <w:spacing w:after="0" w:line="260"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proving customary consents to the inclusion of audit reports in any applicable Debt Marketing Material or related government filings and (iii) providing customary consents to references to the auditor as an expert in any applicable Debt Marketing Material or related government filings.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Marketing Material</w:t>
      </w:r>
      <w:r>
        <w:rPr>
          <w:rFonts w:ascii="Times New Roman" w:cs="Times New Roman" w:eastAsia="Times New Roman" w:hAnsi="Times New Roman"/>
          <w:sz w:val="18"/>
          <w:szCs w:val="18"/>
          <w:color w:val="auto"/>
        </w:rPr>
        <w:t>” means each of the following: (a) customary “public side” and “private side” bank books, lender presentations and other information packages and (b) a road show presentation and a preliminary offering memorandum, each of which is suitable for use in a customary “high yield road show” for a private placement of debt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effect, event, development, change, state of facts, condition, circumstance or occurrence.</w:t>
      </w:r>
    </w:p>
    <w:p>
      <w:pPr>
        <w:spacing w:after="0" w:line="225" w:lineRule="exact"/>
        <w:rPr>
          <w:sz w:val="20"/>
          <w:szCs w:val="20"/>
          <w:color w:val="auto"/>
        </w:rPr>
      </w:pPr>
    </w:p>
    <w:p>
      <w:pPr>
        <w:jc w:val="both"/>
        <w:ind w:right="180"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Law or Governmental Order relating to the protection, investigation or restoration of the environment or natural resources or, as it relates to any exposure to any hazardous or toxic substance in the environment, to the protection of human health and safety.</w:t>
      </w:r>
    </w:p>
    <w:p>
      <w:pPr>
        <w:spacing w:after="0" w:line="140"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Exchange Ratio</w:t>
      </w:r>
      <w:r>
        <w:rPr>
          <w:rFonts w:ascii="Times New Roman" w:cs="Times New Roman" w:eastAsia="Times New Roman" w:hAnsi="Times New Roman"/>
          <w:sz w:val="18"/>
          <w:szCs w:val="18"/>
          <w:color w:val="auto"/>
        </w:rPr>
        <w:t>” means the quotient (rounded to four decimals) obtained by dividing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Merger Consideration by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Average Buyer Stock Price.</w:t>
      </w:r>
    </w:p>
    <w:p>
      <w:pPr>
        <w:spacing w:after="0" w:line="162" w:lineRule="exact"/>
        <w:rPr>
          <w:sz w:val="20"/>
          <w:szCs w:val="20"/>
          <w:color w:val="auto"/>
        </w:rPr>
      </w:pPr>
    </w:p>
    <w:p>
      <w:pPr>
        <w:ind w:right="12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Financing Failure Event</w:t>
      </w:r>
      <w:r>
        <w:rPr>
          <w:rFonts w:ascii="Times New Roman" w:cs="Times New Roman" w:eastAsia="Times New Roman" w:hAnsi="Times New Roman"/>
          <w:sz w:val="18"/>
          <w:szCs w:val="18"/>
          <w:color w:val="auto"/>
        </w:rPr>
        <w:t>” means any of the following: (a) the commitments with respect to all or any portion of the Equity Investment expiring, or being terminated, (b) for any reason, all or any portion of the Equity Investment becoming unavailable, (c) a breach or repudiation or threatened or anticipated breach or repudiation by any Equity Financing Source party to the Subscription Agreements of which Buyer becomes aware,</w:t>
      </w:r>
    </w:p>
    <w:p>
      <w:pPr>
        <w:spacing w:after="0" w:line="1" w:lineRule="exact"/>
        <w:rPr>
          <w:sz w:val="20"/>
          <w:szCs w:val="20"/>
          <w:color w:val="auto"/>
        </w:rPr>
      </w:pPr>
    </w:p>
    <w:p>
      <w:pPr>
        <w:ind w:right="20" w:firstLine="8"/>
        <w:spacing w:after="0" w:line="260"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becoming reasonably foreseeable that any of the events set forth in clauses (a) through (c) shall occur, or (e) any party to the Subscription Agreements or any Affiliate or agent of such Person shall allege in writing that any of the events set forth in the foregoing clauses has occurred.</w:t>
      </w:r>
    </w:p>
    <w:p>
      <w:pPr>
        <w:spacing w:after="0" w:line="181" w:lineRule="exact"/>
        <w:rPr>
          <w:sz w:val="20"/>
          <w:szCs w:val="20"/>
          <w:color w:val="auto"/>
        </w:rPr>
      </w:pPr>
    </w:p>
    <w:p>
      <w:pPr>
        <w:jc w:val="both"/>
        <w:ind w:right="20"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Financing Sources</w:t>
      </w:r>
      <w:r>
        <w:rPr>
          <w:rFonts w:ascii="Times New Roman" w:cs="Times New Roman" w:eastAsia="Times New Roman" w:hAnsi="Times New Roman"/>
          <w:sz w:val="17"/>
          <w:szCs w:val="17"/>
          <w:color w:val="auto"/>
        </w:rPr>
        <w:t>” means any Person that has committed to provide financing, or has entered into the Subscription Agreements, in connection with the PIPE Transaction, including any of such Person’s Affiliates or its or their respective officers, directors, employees, partners, trustees, stockholders, controlling persons, agents, representatives, successors or assigns and including, for the avoidance of doubt, L. Ellison and David Ellison.</w:t>
      </w:r>
    </w:p>
    <w:p>
      <w:pPr>
        <w:spacing w:after="0" w:line="158"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Marketing Activity</w:t>
      </w:r>
      <w:r>
        <w:rPr>
          <w:rFonts w:ascii="Times New Roman" w:cs="Times New Roman" w:eastAsia="Times New Roman" w:hAnsi="Times New Roman"/>
          <w:sz w:val="18"/>
          <w:szCs w:val="18"/>
          <w:color w:val="auto"/>
        </w:rPr>
        <w:t>” means all activity undertaken (or proposed to be undertaken) in connection with the syndication or other marketing of the Buyer Public Equity Financing, including:</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participation, including by officers of appropriate seniority and experience and by representatives of the Company’s independent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auditors, in and assistance with, (i) the preparation of the one or more registration statements, preliminary or final prospectuses, prospectus supplements or free writing prospectuses (collectively, “</w:t>
      </w:r>
      <w:r>
        <w:rPr>
          <w:rFonts w:ascii="Times New Roman" w:cs="Times New Roman" w:eastAsia="Times New Roman" w:hAnsi="Times New Roman"/>
          <w:sz w:val="18"/>
          <w:szCs w:val="18"/>
          <w:u w:val="single" w:color="auto"/>
          <w:color w:val="000000"/>
        </w:rPr>
        <w:t>Public Equity Offering Documents</w:t>
      </w:r>
      <w:r>
        <w:rPr>
          <w:rFonts w:ascii="Times New Roman" w:cs="Times New Roman" w:eastAsia="Times New Roman" w:hAnsi="Times New Roman"/>
          <w:sz w:val="18"/>
          <w:szCs w:val="18"/>
          <w:color w:val="000000"/>
        </w:rPr>
        <w:t>”) and due diligence sessions related thereto and (ii) a customary road show with prospective equity investors;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Company using its commercially reasonable efforts to cause its independent auditors to cooperate with the applicable Buyer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Public Equity Financing, including by (i) providing customary “comfort letters”, including customary “negative assurances” (including drafts thereof which such accountants are prepared to issue at the time of pricing and at closing of any offering or placement of the applicable Buyer Public Equity Financing) and assistance with the due diligence activities of the financing sources involved with the applicable Buyer Public Equity Financing, (ii) providing customary consents to the inclusion of audit reports in any applicable Public Equity Offering Document or related government filings and (iii) providing customary consents to references to the auditor as an expert in any applicable Public Equity Offering Document or related government filings.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Exploitation</w:t>
      </w:r>
      <w:r>
        <w:rPr>
          <w:rFonts w:ascii="Times New Roman" w:cs="Times New Roman" w:eastAsia="Times New Roman" w:hAnsi="Times New Roman"/>
          <w:sz w:val="18"/>
          <w:szCs w:val="18"/>
          <w:color w:val="auto"/>
        </w:rPr>
        <w:t>” (or any variant thereof) shall mean, regarding any asset or property (including any Intellectual Property), the exhibition, sale, distribution, publication, transmission, broadcast, telecast, performance, display, license, covenant not to sue or enjoin, right to obtain, enforce or register, covenant not to sue or enjoin last, sublicense, use, reproduction, marketing, creating derivative works of, or other commercial exploitation thereof, by any means, methods, processes, media devices and delivery systems of every kind or character, whether now known or hereafter created. “Exploit” means to cause the Exploitation.</w:t>
      </w:r>
    </w:p>
    <w:p>
      <w:pPr>
        <w:spacing w:after="0" w:line="183"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and Sanctions Regulations</w:t>
      </w:r>
      <w:r>
        <w:rPr>
          <w:rFonts w:ascii="Times New Roman" w:cs="Times New Roman" w:eastAsia="Times New Roman" w:hAnsi="Times New Roman"/>
          <w:sz w:val="18"/>
          <w:szCs w:val="18"/>
          <w:color w:val="auto"/>
        </w:rPr>
        <w:t>” means sanctions and export control Laws and regulations where such Person does business or is otherwise subject to jurisdiction, including the U.S. International Traffic in Arms Regulations, the Export Administration Regulations, U.S. sanctions Laws and regulations administered by the Department of the Treasury’s Office of Foreign Assets Control and the anti-boycott regulations administered by the U.S. Department of Commerce and U.S. Department of Treasury.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U.S. Federal Communications Commission.</w:t>
      </w:r>
    </w:p>
    <w:p>
      <w:pPr>
        <w:spacing w:after="0" w:line="225"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 License</w:t>
      </w:r>
      <w:r>
        <w:rPr>
          <w:rFonts w:ascii="Times New Roman" w:cs="Times New Roman" w:eastAsia="Times New Roman" w:hAnsi="Times New Roman"/>
          <w:sz w:val="18"/>
          <w:szCs w:val="18"/>
          <w:color w:val="auto"/>
        </w:rPr>
        <w:t>” means a license or other authorization issued by the FCC to the Company or its Subsidiaries, including licenses in the FCC’s Industrial/Business pool frequencies for wireless telecommunications services using private radio systems.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w:t>
      </w:r>
    </w:p>
    <w:p>
      <w:pPr>
        <w:spacing w:after="0" w:line="225"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Cooperation Provider</w:t>
      </w:r>
      <w:r>
        <w:rPr>
          <w:rFonts w:ascii="Times New Roman" w:cs="Times New Roman" w:eastAsia="Times New Roman" w:hAnsi="Times New Roman"/>
          <w:sz w:val="18"/>
          <w:szCs w:val="18"/>
          <w:color w:val="auto"/>
        </w:rPr>
        <w:t>” means (a) with respect to the Buyer Debt Financing and the Buyer Public Equity Financing, the Company and (b) with respect to the Permitted Financing Activities, Buyer.</w:t>
      </w:r>
    </w:p>
    <w:p>
      <w:pPr>
        <w:spacing w:after="0" w:line="162"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Cooperation Recipient</w:t>
      </w:r>
      <w:r>
        <w:rPr>
          <w:rFonts w:ascii="Times New Roman" w:cs="Times New Roman" w:eastAsia="Times New Roman" w:hAnsi="Times New Roman"/>
          <w:sz w:val="18"/>
          <w:szCs w:val="18"/>
          <w:color w:val="auto"/>
        </w:rPr>
        <w:t>” means (a) with respect to the Buyer Debt Financing and the Buyer Public Equity Financing, Buyer and (b) with respect to the Permitted Financing Activities, the Company.</w:t>
      </w:r>
    </w:p>
    <w:p>
      <w:pPr>
        <w:spacing w:after="0" w:line="162"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KYC Deliverables</w:t>
      </w:r>
      <w:r>
        <w:rPr>
          <w:rFonts w:ascii="Times New Roman" w:cs="Times New Roman" w:eastAsia="Times New Roman" w:hAnsi="Times New Roman"/>
          <w:sz w:val="18"/>
          <w:szCs w:val="18"/>
          <w:color w:val="auto"/>
        </w:rPr>
        <w:t>” means all documentation and other information reasonably requested by Buyer with respect to the Company and its Subsidiaries in connection with applicable “know your customer” and anti-money laundering rules and regulations, including the USA PATRIOT Act, Title III of Pub. L.107-56 and 31 C.F.R. § 1010.230 and OFAC, FCPA and the Investment Company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and intentional common law fraud under Delaware law with respect to a representation and warranty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by the Party making such representation or warranty. For the avoidance of doubt, “Fraud” shall not include any claim for equitable fraud, promissory fraud, unfair dealings fraud or any torts (including a claim for fraud) based on negligence or recklessness.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official, officer, employee, or representative of, or any Person acting in an official capacity for or on behalf of, any Governmental Entity, and includes any official or employee of any entity directly or indirectly owned or controlled by any Governmental Entity, and any officer or employee of a public international organization, as well as any Person acting in an official capacity for or on behalf of any such Governmental Entity, or for or on behalf of any such public international organization.</w:t>
      </w:r>
    </w:p>
    <w:p>
      <w:pPr>
        <w:spacing w:after="0" w:line="180"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non-United States, supranational or transnational governmental (including public international organizations), quasi-governmental, regulatory or self-regulatory authority, agency, commission, body, department or instrumentality or any court, tribunal or arbitrator or other entity or subdivision thereof or other legislative, executive or judicial entity or subdivision thereof, in each case, of competent jurisdiction.</w:t>
      </w:r>
    </w:p>
    <w:p>
      <w:pPr>
        <w:spacing w:after="0" w:line="180"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writ, judgment, temporary, preliminary or permanent injunction, decree, ruling, stipulation, determination, or award entered by or with any Governmental Entity.</w:t>
      </w:r>
    </w:p>
    <w:p>
      <w:pPr>
        <w:spacing w:after="0" w:line="16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Guilds</w:t>
      </w:r>
      <w:r>
        <w:rPr>
          <w:rFonts w:ascii="Times New Roman" w:cs="Times New Roman" w:eastAsia="Times New Roman" w:hAnsi="Times New Roman"/>
          <w:sz w:val="18"/>
          <w:szCs w:val="18"/>
          <w:color w:val="auto"/>
        </w:rPr>
        <w:t>” means guilds, unions or other labor organizations, domestic or foreign, that relate to or support the development, production, release, exhibit, performance, broadcast or other form of use or exploitation of audio or audiovisual content or works of any kind (e.g., the Screen Actors Guild, the Writers Guild of America, the Directors Guild of America, the International Alliance of Theatrical Stage Employees, International Brotherhood of Teamsters and American Federation of Musicians or other union if the bargaining unit is employed in connection with the development, production, release, exhibit or performance, broadcast or other form of use or exploitation of audio or audiovisual content or work of any kind).</w:t>
      </w:r>
    </w:p>
    <w:p>
      <w:pPr>
        <w:spacing w:after="0" w:line="18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substance regulated under Environmental Law as being harmful or hazardous to human health or the environment including those listed, classified or regulated as “hazardous,” “toxic,” a “pollutant,” a “contaminant,” or words of similar meaning and regulatory effect pursuant to any Environmental Law and also including any petroleum product or by-product, asbestos-containing material, lead-containing paint, mold, per- or poly-fluorinated substances, polychlorinated biphenyls or radioactive materials.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 Act of 1976.</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124" w:name="page125"/>
    <w:bookmarkEnd w:id="124"/>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Technology</w:t>
      </w:r>
      <w:r>
        <w:rPr>
          <w:rFonts w:ascii="Times New Roman" w:cs="Times New Roman" w:eastAsia="Times New Roman" w:hAnsi="Times New Roman"/>
          <w:sz w:val="18"/>
          <w:szCs w:val="18"/>
          <w:color w:val="auto"/>
        </w:rPr>
        <w:t>” means software, computer systems (including computers, screens, servers, middleware, workstations, routers, hubs, switches, networks, data communications lines and hardware), network and telecommunications systems hardware and other information technology equipment.</w:t>
      </w:r>
    </w:p>
    <w:p>
      <w:pPr>
        <w:spacing w:after="0" w:line="176" w:lineRule="exact"/>
        <w:rPr>
          <w:sz w:val="20"/>
          <w:szCs w:val="20"/>
          <w:color w:val="auto"/>
        </w:rPr>
      </w:pPr>
    </w:p>
    <w:p>
      <w:pPr>
        <w:ind w:right="14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collectively, all United States and non-United States intellectual property rights, including all such rights in (a) patents and patent applications, including divisions, continuations, continuations-in-part, extensions, reissues, reexaminations, and any other governmental grant for the protection of inventions or industrial designs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brand names, certification marks, collective marks, d/b/a’s, logos, designs, symbols, trade dress, trade names, Internet domain names, social media handles, and other indicia of source or origin, including all applications and registrations for the foregoing, and all goodwill associated therewith and symbolized thereby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firstLine="8"/>
        <w:spacing w:after="0" w:line="252"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and unpublished works of authorship in any media (including software, source code, object code, information, data, databases and other compilations of information), copyrights therein and thereto, and registrations and applications therefor, including all renewals, extensions, restorations and reversions thereof, and including all derivative, compilation and ancillary rights of every kind, whether now known or hereafter recognized, related to copyrights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 trade secrets and all other confidential and proprietary information, including, rights in know-how, processes, schematics, business methods, formulae, technical data, specifications, operating and maintenance manuals, drawings, prototypes, models, designs, customer lists and supplier lists; and (e) moral rights, rights of publicity and rights of privacy.</w:t>
      </w:r>
    </w:p>
    <w:p>
      <w:pPr>
        <w:spacing w:after="0" w:line="190"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material event or development or material change in circumstances with respect to the Company and its Subsidiaries, taken as a whole, that (a) was not known to, or reasonably foreseeable (with respect to magnitude or material consequences) by, the Company Board (or any member thereof) as of, or prior to, the date hereof and (b) does not involve or relate to the receipt, existence or terms of any Acquisition Proposal (or any proposal or inquiry that would reasonably be expected to lead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in no event shall any action that is taken by Buyer to the extent required by the affirmative covenants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the consequences of any such action constitute an Intervening Event and (ii) in no event shall any change in the market price, trading volume or ratings of any securities or indebtedness of the Company, any Subsidiary of the Company, Buyer or any Subsidiary of Buyer constitute an Intervening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causes of any such change may be considered in determining whether an Intervening Event has occurred.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Property</w:t>
      </w:r>
      <w:r>
        <w:rPr>
          <w:rFonts w:ascii="Times New Roman" w:cs="Times New Roman" w:eastAsia="Times New Roman" w:hAnsi="Times New Roman"/>
          <w:sz w:val="18"/>
          <w:szCs w:val="18"/>
          <w:color w:val="auto"/>
        </w:rPr>
        <w:t xml:space="preserve">” means (i) the Intellectual Property set forth in </w:t>
      </w:r>
      <w:r>
        <w:rPr>
          <w:rFonts w:ascii="Times New Roman" w:cs="Times New Roman" w:eastAsia="Times New Roman" w:hAnsi="Times New Roman"/>
          <w:sz w:val="18"/>
          <w:szCs w:val="18"/>
          <w:u w:val="single" w:color="auto"/>
          <w:color w:val="auto"/>
        </w:rPr>
        <w:t>Section A(2)</w:t>
      </w:r>
      <w:r>
        <w:rPr>
          <w:rFonts w:ascii="Times New Roman" w:cs="Times New Roman" w:eastAsia="Times New Roman" w:hAnsi="Times New Roman"/>
          <w:sz w:val="18"/>
          <w:szCs w:val="18"/>
          <w:color w:val="auto"/>
        </w:rPr>
        <w:t xml:space="preserve"> of the Company Disclosure Letter and (ii) any Content IP of Content that has not been published or distributed commercially as of the date of this Agreement.</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Out-License Agreements</w:t>
      </w:r>
      <w:r>
        <w:rPr>
          <w:rFonts w:ascii="Times New Roman" w:cs="Times New Roman" w:eastAsia="Times New Roman" w:hAnsi="Times New Roman"/>
          <w:sz w:val="18"/>
          <w:szCs w:val="18"/>
          <w:color w:val="auto"/>
        </w:rPr>
        <w:t>” means the material Contracts pursuant to which any COT Property is licensed by the Company or any Subsidiary or any of its or their predecessors to a third party, copies of which have been made available to Buyer.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5" w:name="page126"/>
    <w:bookmarkEnd w:id="12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Out-License Summary</w:t>
      </w:r>
      <w:r>
        <w:rPr>
          <w:rFonts w:ascii="Times New Roman" w:cs="Times New Roman" w:eastAsia="Times New Roman" w:hAnsi="Times New Roman"/>
          <w:sz w:val="18"/>
          <w:szCs w:val="18"/>
          <w:color w:val="auto"/>
        </w:rPr>
        <w:t xml:space="preserve">” means the information set forth in </w:t>
      </w:r>
      <w:r>
        <w:rPr>
          <w:rFonts w:ascii="Times New Roman" w:cs="Times New Roman" w:eastAsia="Times New Roman" w:hAnsi="Times New Roman"/>
          <w:sz w:val="18"/>
          <w:szCs w:val="18"/>
          <w:u w:val="single" w:color="auto"/>
          <w:color w:val="auto"/>
        </w:rPr>
        <w:t>Section A(3)</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when used in this Agreement (i) with respect to the Company, means the actual knowledge, after reasonable inquiry of the employees with primary responsibility regarding such matter, of the Persons listed in </w:t>
      </w:r>
      <w:r>
        <w:rPr>
          <w:rFonts w:ascii="Times New Roman" w:cs="Times New Roman" w:eastAsia="Times New Roman" w:hAnsi="Times New Roman"/>
          <w:sz w:val="18"/>
          <w:szCs w:val="18"/>
          <w:u w:val="single" w:color="auto"/>
          <w:color w:val="auto"/>
        </w:rPr>
        <w:t>Section A(4)</w:t>
      </w:r>
      <w:r>
        <w:rPr>
          <w:rFonts w:ascii="Times New Roman" w:cs="Times New Roman" w:eastAsia="Times New Roman" w:hAnsi="Times New Roman"/>
          <w:sz w:val="18"/>
          <w:szCs w:val="18"/>
          <w:color w:val="auto"/>
        </w:rPr>
        <w:t xml:space="preserve"> of the Company Disclosure Letter and (ii) with respect to Buyer, means the actual knowledge, after reasonable inquiry of the employees with primary responsibility regarding such matter, of the Persons listed in </w:t>
      </w:r>
      <w:r>
        <w:rPr>
          <w:rFonts w:ascii="Times New Roman" w:cs="Times New Roman" w:eastAsia="Times New Roman" w:hAnsi="Times New Roman"/>
          <w:sz w:val="18"/>
          <w:szCs w:val="18"/>
          <w:u w:val="single" w:color="auto"/>
          <w:color w:val="auto"/>
        </w:rPr>
        <w:t>Section A(5)</w:t>
      </w:r>
      <w:r>
        <w:rPr>
          <w:rFonts w:ascii="Times New Roman" w:cs="Times New Roman" w:eastAsia="Times New Roman" w:hAnsi="Times New Roman"/>
          <w:sz w:val="18"/>
          <w:szCs w:val="18"/>
          <w:color w:val="auto"/>
        </w:rPr>
        <w:t xml:space="preserve"> of the Company Disclosure Letter.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Union</w:t>
      </w:r>
      <w:r>
        <w:rPr>
          <w:rFonts w:ascii="Times New Roman" w:cs="Times New Roman" w:eastAsia="Times New Roman" w:hAnsi="Times New Roman"/>
          <w:sz w:val="18"/>
          <w:szCs w:val="18"/>
          <w:color w:val="auto"/>
        </w:rPr>
        <w:t>” means any labor union, works council or similar employee or labor organization, including any Guild.</w:t>
      </w:r>
    </w:p>
    <w:p>
      <w:pPr>
        <w:spacing w:after="0" w:line="225" w:lineRule="exact"/>
        <w:rPr>
          <w:sz w:val="20"/>
          <w:szCs w:val="20"/>
          <w:color w:val="auto"/>
        </w:rPr>
      </w:pPr>
    </w:p>
    <w:p>
      <w:pPr>
        <w:ind w:right="3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any federal, state, local, foreign, international or transnational law, statute, ordinance, common law, rule, regulation, standard, judgment, determination, order, writ, injunction, decree, arbitration award, treaty, agency requirement, authorization, license or permit of any Governmental Entity.</w:t>
      </w:r>
    </w:p>
    <w:p>
      <w:pPr>
        <w:spacing w:after="0" w:line="176"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permits, licenses, certifications, approvals, registrations, consents, authorizations, franchises, variances, exemptions and orders issued or granted by a Governmental Entity.</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lien, charge, pledge, security interest, hypothecation, mortgage, deed of trust, claim, transfer restriction, option, right of first offer or refusal or other encumbrance.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Material</w:t>
      </w:r>
      <w:r>
        <w:rPr>
          <w:rFonts w:ascii="Times New Roman" w:cs="Times New Roman" w:eastAsia="Times New Roman" w:hAnsi="Times New Roman"/>
          <w:sz w:val="18"/>
          <w:szCs w:val="18"/>
          <w:color w:val="auto"/>
        </w:rPr>
        <w:t>” means any Debt Marketing Material or any Public Equity Offering Document.</w:t>
      </w:r>
    </w:p>
    <w:p>
      <w:pPr>
        <w:spacing w:after="0" w:line="225"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Affiliation Agreement</w:t>
      </w:r>
      <w:r>
        <w:rPr>
          <w:rFonts w:ascii="Times New Roman" w:cs="Times New Roman" w:eastAsia="Times New Roman" w:hAnsi="Times New Roman"/>
          <w:sz w:val="18"/>
          <w:szCs w:val="18"/>
          <w:color w:val="auto"/>
        </w:rPr>
        <w:t>” means an Affiliation Agreement that (i) provides for the distribution of one or more linear networks (which may also provide for access to a direct to consumer service) and (ii) is with a top 10 counterparty (based on aggregate 2024 distribution revenue to the Company and its Subsidiaries), and treating any group of affiliated counterparties or services as a single counterparty.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“multiemployer plan” within the meaning of Section 3(37) of ERISA.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means, with respect to an action taken by any Person, that such action is consistent with the ordinary course of business and past practices of such Person.</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Financing Activities</w:t>
      </w:r>
      <w:r>
        <w:rPr>
          <w:rFonts w:ascii="Times New Roman" w:cs="Times New Roman" w:eastAsia="Times New Roman" w:hAnsi="Times New Roman"/>
          <w:sz w:val="18"/>
          <w:szCs w:val="18"/>
          <w:color w:val="auto"/>
        </w:rPr>
        <w:t>” means (a) debt consisting of or relating to the sale, transfer, distribution, or financing of motion pictures, video and television programs, sound recordings, books or rights with respect thereto or with groups who may receive tax benefits or other third-party investors in connection with the financing and/or distribution of motion pictures, video and television programming, sound recordings or books in the Ordinary Course and the granting to Subsidiaries of rights to distribute such motion pictures, video, and television programming, sound recordings, or books, (b) advances to employees and consultants for travel and other business-related expenses in the Ordinary Course or (c) guarantees of obligations of the Company or any of its wholly owned Subsidiaries.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6" w:name="page127"/>
    <w:bookmarkEnd w:id="126"/>
    <w:p>
      <w:pPr>
        <w:ind w:right="26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(i) with respect to any Person that is a corporation, its articles or certificate of incorporation, memorandum and articles of association, as applicable, and bylaws, or comparable documents, (ii) with respect to any Person that is a partnership, its certificate of partnership and partnership agreement, or comparable documents, (iii) with respect to any Person that is a limited liability company, its certificate of formation and limited liability company or operating agreement, or comparable documents, (iv) with respect to any Person that is a trust or other entity, its declaration or agreement of trust or other constituent document or comparable documents and (v) with respect to any other Person that is not an individual, its comparable organizational documents.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Financing Activities</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jc w:val="both"/>
        <w:ind w:firstLine="1304"/>
        <w:spacing w:after="0" w:line="253" w:lineRule="auto"/>
        <w:tabs>
          <w:tab w:leader="none" w:pos="2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refinancing by the Company or any of its Subsidiaries of all or any portion of the indebtedness under (and the termination of all or any portion of the commitments under) that certain Non-Investment Grade Leveraged Bridge Loan Agreement, dated as of June 26, 2025 (as amended, amended and restated, modified or otherwise supplemented, replaced or refinanced (the “</w:t>
      </w:r>
      <w:r>
        <w:rPr>
          <w:rFonts w:ascii="Times New Roman" w:cs="Times New Roman" w:eastAsia="Times New Roman" w:hAnsi="Times New Roman"/>
          <w:sz w:val="18"/>
          <w:szCs w:val="18"/>
          <w:u w:val="single" w:color="auto"/>
          <w:color w:val="auto"/>
        </w:rPr>
        <w:t>Bridge Facility</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Company, JPMorgan Chase Bank, N.A., as administrative agent and collateral agent, and each lender from time to time party thereto, as amended, supplemented or otherwise modified from time to time; it being agreed that the Company and its Subsidiaries shall consult with Buyer in good faith in connection with any such refinancing or incurrence of indebtedness in connection therewith, and any indebtedness incurred in connection with such refinancing may contain such market terms and conditions (including, without limitation, with respect to interest, fees, maturity, amortization, call protection, covenants, and events of default) as are acceptable to the Company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of indebtedness incurred in such refinancing does not exceed the aggregate principal amount of indebtedness under the Bridge Facility being refinanced (plus accrued and unpaid interest and fees), and (B) other than with respect to indebtedness incurred in such refinancing in the form of customary term loan bank financing facilities, any such refinancing indebtedness shall contain a customary mandatory redemption feature that requires such indebtedness to be redeemed at par (plus accrued interest) upon consummation of the Merger (any such refinancing, a “</w:t>
      </w:r>
      <w:r>
        <w:rPr>
          <w:rFonts w:ascii="Times New Roman" w:cs="Times New Roman" w:eastAsia="Times New Roman" w:hAnsi="Times New Roman"/>
          <w:sz w:val="18"/>
          <w:szCs w:val="18"/>
          <w:u w:val="single" w:color="auto"/>
          <w:color w:val="auto"/>
        </w:rPr>
        <w:t>Term Loan Refinancing</w:t>
      </w:r>
      <w:r>
        <w:rPr>
          <w:rFonts w:ascii="Times New Roman" w:cs="Times New Roman" w:eastAsia="Times New Roman" w:hAnsi="Times New Roman"/>
          <w:sz w:val="18"/>
          <w:szCs w:val="18"/>
          <w:color w:val="auto"/>
        </w:rPr>
        <w:t>”), and (ii) any amendment to the Bridge Facility that extends the maturity thereof on customary terms for a bridge facility, including any payments made in connection therewith;</w:t>
      </w:r>
    </w:p>
    <w:p>
      <w:pPr>
        <w:spacing w:after="0" w:line="187"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issuance of junior lien notes pursuant to a Tender Offer, Consent Solicitation or Liability Management Transaction undertaken pursuant to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(such notes, the “</w:t>
      </w:r>
      <w:r>
        <w:rPr>
          <w:rFonts w:ascii="Times New Roman" w:cs="Times New Roman" w:eastAsia="Times New Roman" w:hAnsi="Times New Roman"/>
          <w:sz w:val="18"/>
          <w:szCs w:val="18"/>
          <w:u w:val="single" w:color="auto"/>
          <w:color w:val="auto"/>
        </w:rPr>
        <w:t>Junior Lien Exchange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exchange offer is on, and the Junior Lien Exchange Notes contain, terms and conditions acceptable to Buyer in its sole discretion (any such issuance, a “</w:t>
      </w:r>
      <w:r>
        <w:rPr>
          <w:rFonts w:ascii="Times New Roman" w:cs="Times New Roman" w:eastAsia="Times New Roman" w:hAnsi="Times New Roman"/>
          <w:sz w:val="18"/>
          <w:szCs w:val="18"/>
          <w:u w:val="single" w:color="auto"/>
          <w:color w:val="auto"/>
        </w:rPr>
        <w:t>Junior Lien Notes Exchange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any amendment, replacement, renewal, extension, refinancing or similar transaction involving any other existing debt consisting of debt for borrowed money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with respect to a refinancing of an existing revolving credit facility with another customary revolving bank facility, such amendment, replacement, renewal, extension, refinancing or similar transaction is on terms and conditions that are acceptable to Buyer in its sole discretion.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any of the following: (a) Liens for Taxes, assessments and governmental charges or levies either not yet delinquent or which are being contested in good faith by appropriate proceedings and for which appropriate reserves have been established in accordance with GAAP; (b) mechanics, carriers’, workmen’s, warehouseman’s, repairmen’s, materialmen’s, landlords’ or other Liens arising or incurred in the ordinary course of business relating to obligations which are not yet due or payable or that are being contested in good faith by appropriate proceedings and for which appropriate reserves have been established in accordance with GAAP; (c) with respect to real property, (i) easements, covenants and rights-of-way of record and other similar non-monetary encumbrances and (ii) zoning, building and other land use regulations promulgated by Governmental Entities, in each case of clauses (i) and (ii), that are not presently violated and that do not materially detract from the value or marketability of the real property to which they relate or materially interfere with the operation of the subject real property as currently conducted; (d) Liens incurred in the ordinary course of business in connection with workers’ compensation, unemployment insurance and other types of social security Laws; and (e) Liens that will be discharged or released on or prior to the Closing Date.</w:t>
      </w:r>
    </w:p>
    <w:p>
      <w:pPr>
        <w:spacing w:after="0" w:line="194"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not-for-profit), general or limited partnership, limited liability company, joint venture, estate, trust, association, organization, Governmental Entity or other entity of any kind or nature.</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with respect to a Party, any data or information in any media that can reasonably be used to identify a particular individual or device, including any data or other information that constitutes personal information or analogous term under any applicable Law.</w:t>
      </w:r>
    </w:p>
    <w:p>
      <w:pPr>
        <w:spacing w:after="0" w:line="162"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cause of action, claim, demand, litigation, suit, investigation, grievance, citation, summons, subpoena, inquiry, audit, hearing, originating application to a tribunal, arbitration or other similar proceeding of any nature, civil, criminal, regulatory, administrative or otherwise, whether in equity or at law, in contract, in tort or otherwise.</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that is performed on Personal Data, such as the use, collection, processing, storage, recording, organization, adaption, alteration, transfer, retrieval, consultation, disclosure, dissemination or combination of such Personal Data.</w:t>
      </w:r>
    </w:p>
    <w:p>
      <w:pPr>
        <w:spacing w:after="0" w:line="162"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the proxy statement/prospectus relating to the matters to be submitted to the holders of Company Stock at the Company Stockholder Meeting to be filed by the Company with the SEC.</w:t>
      </w:r>
    </w:p>
    <w:p>
      <w:pPr>
        <w:spacing w:after="0" w:line="162" w:lineRule="exact"/>
        <w:rPr>
          <w:sz w:val="20"/>
          <w:szCs w:val="20"/>
          <w:color w:val="auto"/>
        </w:rPr>
      </w:pPr>
    </w:p>
    <w:p>
      <w:pPr>
        <w:ind w:right="9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means issued by, registered with, or the subject of a pending application for issuance or registration before, any Governmental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Company IP</w:t>
      </w:r>
      <w:r>
        <w:rPr>
          <w:rFonts w:ascii="Times New Roman" w:cs="Times New Roman" w:eastAsia="Times New Roman" w:hAnsi="Times New Roman"/>
          <w:sz w:val="18"/>
          <w:szCs w:val="18"/>
          <w:color w:val="auto"/>
        </w:rPr>
        <w:t>” means Company Owned IP that is Registered.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Regulators</w:t>
      </w:r>
      <w:r>
        <w:rPr>
          <w:rFonts w:ascii="Times New Roman" w:cs="Times New Roman" w:eastAsia="Times New Roman" w:hAnsi="Times New Roman"/>
          <w:sz w:val="18"/>
          <w:szCs w:val="18"/>
          <w:color w:val="auto"/>
        </w:rPr>
        <w:t>” means Governmental Entities with jurisdiction over Regulatory 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all (a) foreign and transnational Laws regarding (i) the provision of broadcasting, streaming or audio-visual media services, (ii) foreign direct investments Laws and (iii) Laws concerning the review, notification or regulation of subsidies or other forms of state support provided by non-domestic governments, including any Laws governing the assessment of distortive subsidies in connection with mergers, acquisitions, joint ventures or public procurement and (b) Communications Laws.</w:t>
      </w:r>
    </w:p>
    <w:p>
      <w:pPr>
        <w:spacing w:after="0" w:line="180"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any director, officer, principal, partner, manager, member (if such Person is a member-managed limited liability company or similar entity), employee, consultant, investment banker, financial advisor, legal counsel, attorneys-in-fact, accountant or other advisor, agent or other representative of such Person, in each case acting in their capacity as such.</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that certain revolving credit facility under the credit agreement, dated as of October 4, 2024, as amended on June 26, 2025, among certain Affiliates of the Company, the lenders party thereto, Bank of America, N.A., JPMorgan Chase Bank, N.A., and Goldman Sachs Bank USA.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Executive</w:t>
      </w:r>
      <w:r>
        <w:rPr>
          <w:rFonts w:ascii="Times New Roman" w:cs="Times New Roman" w:eastAsia="Times New Roman" w:hAnsi="Times New Roman"/>
          <w:sz w:val="18"/>
          <w:szCs w:val="18"/>
          <w:color w:val="auto"/>
        </w:rPr>
        <w:t>” means with respect to the Company and its Subsidiaries, any of the Company’s executive officers (as such term is defined in the Exchange Act).</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(i)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 or (ii) of which such Person, directly or indirectly, possesses the power to direct or cause the direction of the management and policies by Contract.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means a “fair price”, “moratorium”, “control share acquisition” or other similar anti-takeover statute or regulation.</w:t>
      </w:r>
    </w:p>
    <w:p>
      <w:pPr>
        <w:spacing w:after="0" w:line="22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income, gross income, gross receipts, profits, capital stock, franchise, withholding, payroll, social security, workers compensation, unemployment, disability, property, ad valorem, value added, stamp, excise, severance, occupation, service, digital services, environmental, sales, consumption, turnover, goods and services, use, license, lease, transfer, import, export, customs duty, escheat, alternative minimum, estimated or other tax (including any fee, assessment, or other charge in the nature of or in lieu of any tax), imposed by any Governmental Entity or political subdivision thereof, and any interest, penalty, additions to tax or additional amounts in respect of the foregoing.</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Law</w:t>
      </w:r>
      <w:r>
        <w:rPr>
          <w:rFonts w:ascii="Times New Roman" w:cs="Times New Roman" w:eastAsia="Times New Roman" w:hAnsi="Times New Roman"/>
          <w:sz w:val="18"/>
          <w:szCs w:val="18"/>
          <w:color w:val="auto"/>
        </w:rPr>
        <w:t>” means the Law of any Governmental Entity or political subdivision thereof relating to any Tax.</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29" w:name="page130"/>
    <w:bookmarkEnd w:id="129"/>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of Taxes due, any claim for refund of Taxes paid, any information return with respect to Taxes, any documentation with respect to transfer pricing or any other similar report, statement, declaration, or document filed or required to be filed under the Code or other Tax Law with respect to Taxes, including any attachments, exhibits, or other materials submitted with any of the foregoing, and including any amendments or supplements to any of the foregoing.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shares of Buyer Class B Common Stock are traded on NASDAQ.</w:t>
      </w:r>
    </w:p>
    <w:p>
      <w:pPr>
        <w:spacing w:after="0" w:line="225"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Confidentiality Agreement and the Buyer Guarantee, including all annexes, Exhibits, Schedules, attachments and appendices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an intentional and willful material breach, or an intentional and willful material failure to perform, in each case that is the consequence of an act or omission by a Party with the knowledge that the taking of such act or failure to take such act would cause a breach of this Agreement.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(a)(5)(M)</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ubscription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 by and among Paramount Skydance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Lawrence J. Ellison Revocable Trust, u/a/d 1/22/88, as amended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7(s)</w:t>
      </w:r>
      <w:r>
        <w:rPr>
          <w:rFonts w:ascii="Times New Roman" w:cs="Times New Roman" w:eastAsia="Times New Roman" w:hAnsi="Times New Roman"/>
          <w:sz w:val="18"/>
          <w:szCs w:val="18"/>
          <w:color w:val="auto"/>
        </w:rPr>
        <w:t>, Lawrence J. Ellison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has entered into an Agreement and Plan of Merger with Warner Bros. Discovery, Inc., a Delaware corporation (“</w:t>
      </w:r>
      <w:r>
        <w:rPr>
          <w:rFonts w:ascii="Times New Roman" w:cs="Times New Roman" w:eastAsia="Times New Roman" w:hAnsi="Times New Roman"/>
          <w:sz w:val="18"/>
          <w:szCs w:val="18"/>
          <w:u w:val="single" w:color="auto"/>
          <w:color w:val="auto"/>
        </w:rPr>
        <w:t>Warner Bros.</w:t>
      </w:r>
      <w:r>
        <w:rPr>
          <w:rFonts w:ascii="Times New Roman" w:cs="Times New Roman" w:eastAsia="Times New Roman" w:hAnsi="Times New Roman"/>
          <w:sz w:val="18"/>
          <w:szCs w:val="18"/>
          <w:color w:val="auto"/>
        </w:rPr>
        <w:t>”), and Prince Sub Inc., a Delaware corporation and a wholly owned direct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dated as of [●], providing for, among other transactions, an acquisition of Warner Bros. by the Company (as amended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Merger Agreement, on the terms and subject to the conditions set forth therein and in accordance with the General Corporation Law of the State of Delaware, Merger Sub shall merge with and into Warner Bros., with Warner Bros. surviving the merger and becoming, directly or indirectly, a wholly owned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and immediately prior to the consummation of the Merger, Subscriber desires to subscribe for and purchase from the Company, and the Company desires to issue and sell to Subscriber in consideration of the payment of $[●] per share of Company Class B Common Stock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the number of newly issued shares of the Company’s Class B Common Stock, par value $0.001 per share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set forth on the signature page hereto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representing a purchase price in the aggregate of $40,400,000,000.00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if (and only if) the Regulatory Termination Fee (as defined in the Merger Agreement) becomes due and payable in connection with termination of the Merger Agreement, Subscriber desires to subscribe for and purchase from the Company, and the Company desires to issue and sell to Subscriber in consideration of the payment of the Per Share Price, [●] newly issued shares of Company Class B Common Stock (the “</w:t>
      </w:r>
      <w:r>
        <w:rPr>
          <w:rFonts w:ascii="Times New Roman" w:cs="Times New Roman" w:eastAsia="Times New Roman" w:hAnsi="Times New Roman"/>
          <w:sz w:val="18"/>
          <w:szCs w:val="18"/>
          <w:u w:val="single" w:color="auto"/>
          <w:color w:val="auto"/>
        </w:rPr>
        <w:t>Termination Funding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in lieu of the purchase of the Subscribed Shares, representing a purchase price in the aggregate of $5,800,000,000.00 (the “</w:t>
      </w:r>
      <w:r>
        <w:rPr>
          <w:rFonts w:ascii="Times New Roman" w:cs="Times New Roman" w:eastAsia="Times New Roman" w:hAnsi="Times New Roman"/>
          <w:sz w:val="18"/>
          <w:szCs w:val="18"/>
          <w:u w:val="single" w:color="auto"/>
          <w:color w:val="auto"/>
        </w:rPr>
        <w:t>Termination Fee Purchase Price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Subscription Agreement, the Company is entering into that certain subscription agreement (the “</w:t>
      </w:r>
      <w:r>
        <w:rPr>
          <w:rFonts w:ascii="Times New Roman" w:cs="Times New Roman" w:eastAsia="Times New Roman" w:hAnsi="Times New Roman"/>
          <w:sz w:val="18"/>
          <w:szCs w:val="18"/>
          <w:u w:val="single" w:color="auto"/>
          <w:color w:val="auto"/>
        </w:rPr>
        <w:t>Other Subscription Agreement</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that certain other investor (the “</w:t>
      </w:r>
      <w:r>
        <w:rPr>
          <w:rFonts w:ascii="Times New Roman" w:cs="Times New Roman" w:eastAsia="Times New Roman" w:hAnsi="Times New Roman"/>
          <w:sz w:val="18"/>
          <w:szCs w:val="18"/>
          <w:u w:val="single" w:color="auto"/>
          <w:color w:val="auto"/>
        </w:rPr>
        <w:t>Other Subscriber</w:t>
      </w:r>
      <w:r>
        <w:rPr>
          <w:rFonts w:ascii="Times New Roman" w:cs="Times New Roman" w:eastAsia="Times New Roman" w:hAnsi="Times New Roman"/>
          <w:sz w:val="18"/>
          <w:szCs w:val="18"/>
          <w:color w:val="auto"/>
        </w:rPr>
        <w:t>”), which is on substantially the same terms as the terms of this Subscription Agreement, pursuant to which the Other Subscriber has agreed to purchase, in connection with the Merger, an aggregate amount of up to [●] shares of Company Class B Common Stock, at the Per Share Price (such transactions, together with the Subscription (as defined below), collectively, the “</w:t>
      </w:r>
      <w:r>
        <w:rPr>
          <w:rFonts w:ascii="Times New Roman" w:cs="Times New Roman" w:eastAsia="Times New Roman" w:hAnsi="Times New Roman"/>
          <w:sz w:val="18"/>
          <w:szCs w:val="18"/>
          <w:u w:val="single" w:color="auto"/>
          <w:color w:val="auto"/>
        </w:rPr>
        <w:t>PIPE 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of this Subscription Agreement, the Guarantor and Subscriber have delivered that certain irrevocable guarantee to Warner Bros. (the “</w:t>
      </w:r>
      <w:r>
        <w:rPr>
          <w:rFonts w:ascii="Times New Roman" w:cs="Times New Roman" w:eastAsia="Times New Roman" w:hAnsi="Times New Roman"/>
          <w:sz w:val="18"/>
          <w:szCs w:val="18"/>
          <w:u w:val="single" w:color="auto"/>
          <w:color w:val="auto"/>
        </w:rPr>
        <w:t>Ellison Guarantee</w:t>
      </w:r>
      <w:r>
        <w:rPr>
          <w:rFonts w:ascii="Times New Roman" w:cs="Times New Roman" w:eastAsia="Times New Roman" w:hAnsi="Times New Roman"/>
          <w:sz w:val="18"/>
          <w:szCs w:val="18"/>
          <w:color w:val="auto"/>
        </w:rPr>
        <w:t>”) that guarantees the due and punctual performance and payment of the Guaranteed Obligations (as defined in the Ellison Guarantee) in accordance with the terms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the Company established a special committee of the Board of Directors of the Company consisting of independent and disinterested directors (the “</w:t>
      </w:r>
      <w:r>
        <w:rPr>
          <w:rFonts w:ascii="Times New Roman" w:cs="Times New Roman" w:eastAsia="Times New Roman" w:hAnsi="Times New Roman"/>
          <w:sz w:val="18"/>
          <w:szCs w:val="18"/>
          <w:u w:val="single" w:color="auto"/>
          <w:color w:val="auto"/>
        </w:rPr>
        <w:t>Company Special Committee</w:t>
      </w:r>
      <w:r>
        <w:rPr>
          <w:rFonts w:ascii="Times New Roman" w:cs="Times New Roman" w:eastAsia="Times New Roman" w:hAnsi="Times New Roman"/>
          <w:sz w:val="18"/>
          <w:szCs w:val="18"/>
          <w:color w:val="auto"/>
        </w:rPr>
        <w:t>”) to, among other things, review, evaluate and negotiate the Subscription Agreements and the PIPE Transaction and, if the Company Special Committee deems appropriate, recommend that the Board of Directors of the Company approve the Subscription Agreements and the PIPE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1" w:name="page132"/>
    <w:bookmarkEnd w:id="1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Special Committee has [unanimously] (a) determined that it is in the best interests of the Company and the stockholders of the Company, and declared it advisable, that the Company enter into the Subscription Agreements and consummate the PIPE Transaction and (b) recommended that the Board of Directors of the Company approve the Subscription Agreements and the PIPE Transaction (such recommendation, the “</w:t>
      </w:r>
      <w:r>
        <w:rPr>
          <w:rFonts w:ascii="Times New Roman" w:cs="Times New Roman" w:eastAsia="Times New Roman" w:hAnsi="Times New Roman"/>
          <w:sz w:val="18"/>
          <w:szCs w:val="18"/>
          <w:u w:val="single" w:color="auto"/>
          <w:color w:val="auto"/>
        </w:rPr>
        <w:t>Company Special Committee Recommendation</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of Directors of the Company, acting upon the Company Special Committee Recommendation, has [unanimously]</w:t>
      </w:r>
    </w:p>
    <w:p>
      <w:pPr>
        <w:spacing w:after="0" w:line="27" w:lineRule="exact"/>
        <w:rPr>
          <w:sz w:val="20"/>
          <w:szCs w:val="20"/>
          <w:color w:val="auto"/>
        </w:rPr>
      </w:pPr>
    </w:p>
    <w:p>
      <w:pPr>
        <w:ind w:firstLine="8"/>
        <w:spacing w:after="0" w:line="260" w:lineRule="auto"/>
        <w:tabs>
          <w:tab w:leader="none" w:pos="2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it is in the best interests of the Company and the stockholders of the Company, and declared it advisable, that the Company enter into the Subscription Agreements and consummate the PIPE Transaction and (b) approved the Subscription Agreements and the PIPE Transaction.</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Subscriptions</w:t>
      </w:r>
      <w:r>
        <w:rPr>
          <w:rFonts w:ascii="Times New Roman" w:cs="Times New Roman" w:eastAsia="Times New Roman" w:hAnsi="Times New Roman"/>
          <w:sz w:val="18"/>
          <w:szCs w:val="18"/>
          <w:color w:val="auto"/>
        </w:rPr>
        <w:t>. Subject to the terms and conditions hereof, on the date prior to the Closing or the Termination Funding Closing (each as defined below), as applicable, or at the Closing or the Termination Funding Closing, as applicable, Subscriber hereby agrees to subscribe for and purchase, and the Company hereby agrees to issue and sell to Subscriber, as applicable, (a) upon the payment of the Purchase Price, the Subscribed Shares (the “</w:t>
      </w:r>
      <w:r>
        <w:rPr>
          <w:rFonts w:ascii="Times New Roman" w:cs="Times New Roman" w:eastAsia="Times New Roman" w:hAnsi="Times New Roman"/>
          <w:sz w:val="18"/>
          <w:szCs w:val="18"/>
          <w:u w:val="single" w:color="auto"/>
          <w:color w:val="auto"/>
        </w:rPr>
        <w:t>Closing Subscription</w:t>
      </w:r>
      <w:r>
        <w:rPr>
          <w:rFonts w:ascii="Times New Roman" w:cs="Times New Roman" w:eastAsia="Times New Roman" w:hAnsi="Times New Roman"/>
          <w:sz w:val="18"/>
          <w:szCs w:val="18"/>
          <w:color w:val="auto"/>
        </w:rPr>
        <w:t>”) or (b) upon payment of the Termination Fee Purchase Price, the Termination Funding Subscribed Shares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and, together with the Closing Subscription,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Termination Funding</w:t>
      </w:r>
      <w:r>
        <w:rPr>
          <w:rFonts w:ascii="Times New Roman" w:cs="Times New Roman" w:eastAsia="Times New Roman" w:hAnsi="Times New Roman"/>
          <w:sz w:val="17"/>
          <w:szCs w:val="17"/>
          <w:color w:val="auto"/>
        </w:rPr>
        <w:t>. If (and only if) the Regulatory Termination Fee becomes due and payable pursuant to Section 8.3(b) of the Merger Agreement (the “</w:t>
      </w:r>
      <w:r>
        <w:rPr>
          <w:rFonts w:ascii="Times New Roman" w:cs="Times New Roman" w:eastAsia="Times New Roman" w:hAnsi="Times New Roman"/>
          <w:sz w:val="17"/>
          <w:szCs w:val="17"/>
          <w:u w:val="single" w:color="auto"/>
          <w:color w:val="auto"/>
        </w:rPr>
        <w:t>Termination Funding Date</w:t>
      </w:r>
      <w:r>
        <w:rPr>
          <w:rFonts w:ascii="Times New Roman" w:cs="Times New Roman" w:eastAsia="Times New Roman" w:hAnsi="Times New Roman"/>
          <w:sz w:val="17"/>
          <w:szCs w:val="17"/>
          <w:color w:val="auto"/>
        </w:rPr>
        <w:t>”), the Company shall promptly deliver written notice to Subscriber (the “</w:t>
      </w:r>
      <w:r>
        <w:rPr>
          <w:rFonts w:ascii="Times New Roman" w:cs="Times New Roman" w:eastAsia="Times New Roman" w:hAnsi="Times New Roman"/>
          <w:sz w:val="17"/>
          <w:szCs w:val="17"/>
          <w:u w:val="single" w:color="auto"/>
          <w:color w:val="auto"/>
        </w:rPr>
        <w:t>Termination Funding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specifying (i) the anticipated Termination Funding Date and (ii) the wire instructions for delivery of the Termination Fee Purchase Price to the Company. No later than two (2) Business Days (as defined in the Merger Agreement) prior to the Termination Funding Date, Subscriber shall deliver to the Company such information as is reasonably requested in the Termination Funding Notice in order for the Company to issue the Termination Funding Subscribed Shares to Subscriber, including, without limitation, the legal name of the person in whose name the Termination Funding Subscribed Shares are to be issued. On the Termination Funding Date, Subscriber shall deliver the Termination Fee Purchase Price for the Termination Funding Subscribed Shares by wire transfer of United States dollars in immediately available funds to the account specified by the Company in the Termination Funding Notice, and the Company shall deliver to Subscriber (A) the Termination Funding Subscribed Shares in book entry form, free and clear of any liens or other restrictions (other than those arising under state or federal securities Laws (as defined in the Merger Agreement) or those created by Subscriber), in the name of Subscriber (or its nominee in accordance with its delivery instructions), and</w:t>
      </w:r>
    </w:p>
    <w:p>
      <w:pPr>
        <w:spacing w:after="0" w:line="2" w:lineRule="exact"/>
        <w:rPr>
          <w:sz w:val="20"/>
          <w:szCs w:val="20"/>
          <w:color w:val="auto"/>
        </w:rPr>
      </w:pPr>
    </w:p>
    <w:p>
      <w:pPr>
        <w:ind w:left="660" w:hanging="4"/>
        <w:spacing w:after="0" w:line="260" w:lineRule="auto"/>
        <w:tabs>
          <w:tab w:leader="none" w:pos="9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from the Company’s transfer agent (or other evidence reasonably acceptable to Subscriber) of the issuance to Subscriber of the Termination Funding Subscribed Shares on and as of the Termination Funding Date (the “</w:t>
      </w:r>
      <w:r>
        <w:rPr>
          <w:rFonts w:ascii="Times New Roman" w:cs="Times New Roman" w:eastAsia="Times New Roman" w:hAnsi="Times New Roman"/>
          <w:sz w:val="18"/>
          <w:szCs w:val="18"/>
          <w:u w:val="single" w:color="auto"/>
          <w:color w:val="auto"/>
        </w:rPr>
        <w:t>Termination Funding Closing</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Merger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600" w:right="20" w:firstLine="648"/>
        <w:spacing w:after="0" w:line="266" w:lineRule="auto"/>
        <w:rPr>
          <w:sz w:val="20"/>
          <w:szCs w:val="20"/>
          <w:color w:val="auto"/>
        </w:rPr>
      </w:pPr>
      <w:r>
        <w:rPr>
          <w:rFonts w:ascii="Times New Roman" w:cs="Times New Roman" w:eastAsia="Times New Roman" w:hAnsi="Times New Roman"/>
          <w:sz w:val="18"/>
          <w:szCs w:val="18"/>
          <w:color w:val="auto"/>
        </w:rPr>
        <w:t>(i)            The consummation of the Closing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is contingent upon the prior or substantially concurrent consummation of the Merger and shall occur on the Closing Date (as defined in the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left="1940" w:firstLine="648"/>
        <w:spacing w:after="0" w:line="253" w:lineRule="auto"/>
        <w:rPr>
          <w:sz w:val="20"/>
          <w:szCs w:val="20"/>
          <w:color w:val="auto"/>
        </w:rPr>
      </w:pPr>
      <w:r>
        <w:rPr>
          <w:rFonts w:ascii="Times New Roman" w:cs="Times New Roman" w:eastAsia="Times New Roman" w:hAnsi="Times New Roman"/>
          <w:sz w:val="18"/>
          <w:szCs w:val="18"/>
          <w:color w:val="auto"/>
        </w:rPr>
        <w:t>(ii)            At least five (5) Business Days before the anticipated date of the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Company shall deliver written notice to Subscriber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specifying (A) the anticipated Closing Date and (B) the wire instructions for delivery of the Purchase Price to the Company. No later than two (2) Business Days prior to the Closing Date, Subscriber shall deliver to the Company such information as is reasonably requested in the Closing Notice in order for the Company to issue the Subscribed Shares to Subscriber, including, without limitation, the legal name of the person in whose name the Subscribed Shares are to be issued. On the Closing Date, prior to the Effective Time (as defined in the Merger Agreement), Subscriber shall deliver the Purchase Price for the Subscribed Shares by wire transfer of United States dollars in immediately available funds to the account specified by the Company in the Closing Notice, and the Company shall deliver to Subscriber at the Closing, (a) the Subscribed Shares in book entry form, free and clear of any liens or other restrictions (other than those arising under state or federal securities Laws or those created by Subscriber), in the name of Subscriber (or its nominee in accordance with its delivery instructions), and (b) evidence from the Company’s transfer agent (or other evidence reasonably acceptable to Subscriber) of the issuance to Subscriber of the Subscribed Shares on and as of the Closing Date.</w:t>
      </w:r>
    </w:p>
    <w:p>
      <w:pPr>
        <w:spacing w:after="0" w:line="187" w:lineRule="exact"/>
        <w:rPr>
          <w:sz w:val="20"/>
          <w:szCs w:val="20"/>
          <w:color w:val="auto"/>
        </w:rPr>
      </w:pPr>
    </w:p>
    <w:p>
      <w:pPr>
        <w:jc w:val="both"/>
        <w:ind w:left="1940" w:firstLine="648"/>
        <w:spacing w:after="0" w:line="266" w:lineRule="auto"/>
        <w:rPr>
          <w:sz w:val="20"/>
          <w:szCs w:val="20"/>
          <w:color w:val="auto"/>
        </w:rPr>
      </w:pPr>
      <w:r>
        <w:rPr>
          <w:rFonts w:ascii="Times New Roman" w:cs="Times New Roman" w:eastAsia="Times New Roman" w:hAnsi="Times New Roman"/>
          <w:sz w:val="18"/>
          <w:szCs w:val="18"/>
          <w:color w:val="auto"/>
        </w:rPr>
        <w:t>(iii)            The Closing shall be subject to the satisfaction (or waiver, to the extent permitted by applicable law, by the Company, on the one hand, and by Subscriber, on the other hand), on or prior to the Closing Date, of the following conditions:</w:t>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            the prior or substantially concurrent consummation of the Merger in accordance with the terms of the Merger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Agreement; and</w:t>
      </w:r>
    </w:p>
    <w:p>
      <w:pPr>
        <w:spacing w:after="0" w:line="207" w:lineRule="exact"/>
        <w:rPr>
          <w:sz w:val="20"/>
          <w:szCs w:val="20"/>
          <w:color w:val="auto"/>
        </w:rPr>
      </w:pPr>
    </w:p>
    <w:p>
      <w:pPr>
        <w:jc w:val="both"/>
        <w:ind w:left="640" w:firstLine="1296"/>
        <w:spacing w:after="0" w:line="256" w:lineRule="auto"/>
        <w:rPr>
          <w:sz w:val="20"/>
          <w:szCs w:val="20"/>
          <w:color w:val="auto"/>
        </w:rPr>
      </w:pPr>
      <w:r>
        <w:rPr>
          <w:rFonts w:ascii="Times New Roman" w:cs="Times New Roman" w:eastAsia="Times New Roman" w:hAnsi="Times New Roman"/>
          <w:sz w:val="18"/>
          <w:szCs w:val="18"/>
          <w:color w:val="auto"/>
        </w:rPr>
        <w:t>(B)            (x) no injunction or similar order by any Governmental Entity (as defined in the Merger Agreement) having jurisdiction over any party hereto or any of its subsidiaries (whether temporary, preliminary or permanent) shall have been issued that prohibits the consummation of the Closing Subscription and shall continue to be in effect, and (y) no Law shall have been enacted, entered, promulgated, enforced or deemed applicable by any Governmental Entity having jurisdiction over any party hereto or any of its subsidiaries that has the effect of making the Closing Subscription illegal or otherwise prohibiting consummation of the Closing Subscription.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Subscriber shall deliver to the Company all such other information as is reasonably requested by the Company in order for the Company to issue the Termination Funding Subscribed Shares or the Subscribed Shares, as applicable, to Subscriber, including a duly completed and executed Internal Revenue Service Form W-9 or appropriate Form W-8, as applicable.</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3" w:name="page134"/>
    <w:bookmarkEnd w:id="133"/>
    <w:p>
      <w:pPr>
        <w:ind w:left="4"/>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Company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represents and warrants to Subscriber that:</w:t>
      </w:r>
    </w:p>
    <w:p>
      <w:pPr>
        <w:spacing w:after="0" w:line="227"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7"/>
          <w:szCs w:val="17"/>
          <w:color w:val="auto"/>
        </w:rPr>
        <w:t>(a)            Each of the Company and its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in each jurisdiction where the ownership, leasing or operation of its assets or properties or conduct of its business requires such qualification, except where the failure to be so organized, qualified or in good standing, or to have such power or authority, would not, individually or in the aggregate, reasonably be expected to have a Company Material Adverse Effect, or reasonably be expected to prevent, materially delay or materially impair the ability of the Company to consummate the Transactions. For purposes of this Subscription Agreement, a “</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means any effect, event, development, change, state of facts, condition, circumstance or occurrence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that, individually or in the aggregate with any other Effect is, or would reasonably be likely to be, materially adverse to the financial condition, properties, assets, operations, liabilities, business or results of operations of the Company and its subsidiaries taken as a whole;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none of the following, alone or in combination, shall be deemed to constitute a Company Material Adverse Effect, or be taken into account in determining whether a Company Material Adverse Effect has occurred or would reasonably be likely to occur: (1) Effects generally affecting the economy, credit, capital, securities or financial markets or political, regulatory, economic or business conditions (including tariffs, trade policies and sanctions) in any jurisdiction in which the Company or its subsidiaries has material operations or in which products or services of the Company or its subsidiaries are sold,</w:t>
      </w:r>
    </w:p>
    <w:p>
      <w:pPr>
        <w:spacing w:after="0" w:line="9" w:lineRule="exact"/>
        <w:rPr>
          <w:sz w:val="20"/>
          <w:szCs w:val="20"/>
          <w:color w:val="auto"/>
        </w:rPr>
      </w:pPr>
    </w:p>
    <w:p>
      <w:pPr>
        <w:jc w:val="both"/>
        <w:ind w:left="4" w:hanging="4"/>
        <w:spacing w:after="0" w:line="250" w:lineRule="auto"/>
        <w:tabs>
          <w:tab w:leader="none" w:pos="2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Effects that are the result of factors generally affecting the industries, markets or geographical areas in which the Company or its subsidiaries have material operations, (3) changes in the relationship of the Company or its subsidiaries, contractual or otherwise, with customers, employees, unions, suppliers, distributors, financing sources, partners or similar relationship or any resulting Effect that was caused by the entry into, announcement, pendency or performance of the Transactions by, or resulting or arising from the identity of or any facts or circumstances relating to, Warner Bros. or its Affiliates (as defined in the Merger Agreement), (4) changes or modifications in accounting standards applicable to the Company or its subsidiaries, including GAAP (as defined in the Merger Agreement), or in any Law of general applicability, including the repeal thereof, or in the interpretation or enforcement thereof, after the date of this Subscription Agreement, (5) any failure by the Company or any of its subsidiaries to meet any internal or public projections or forecasts or estimates of revenues or earnings for any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(5)</w:t>
      </w:r>
      <w:r>
        <w:rPr>
          <w:rFonts w:ascii="Times New Roman" w:cs="Times New Roman" w:eastAsia="Times New Roman" w:hAnsi="Times New Roman"/>
          <w:sz w:val="18"/>
          <w:szCs w:val="18"/>
          <w:color w:val="auto"/>
        </w:rPr>
        <w:t xml:space="preserve"> shall not prevent or otherwise affect a determination that any Effect underlying such failure has resulted in, or contributed to, or would reasonably be expected to result in, or contribute to, a Company Material Adverse Effect, (6) 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 (7) any actions taken or failed to be taken by the Company or any of its subsidiaries that are expressly required to be taken by this Subscription Agreement, or (8) any Effect or announcement of an Effect affecting the credit rating or other rating of financial strength of the Company or any of its subsidiaries or any of their respective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(8)</w:t>
      </w:r>
      <w:r>
        <w:rPr>
          <w:rFonts w:ascii="Times New Roman" w:cs="Times New Roman" w:eastAsia="Times New Roman" w:hAnsi="Times New Roman"/>
          <w:sz w:val="18"/>
          <w:szCs w:val="18"/>
          <w:color w:val="auto"/>
        </w:rPr>
        <w:t xml:space="preserve"> shall not prevent or otherwise affect a determination that any Effect underlying such Effect or announcement of an Effect has resulted in, or contributed to, or would reasonably be expected to result in, or contribute to, a Company Material Adverse Effect;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the foregoing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such Effect shall be taken into account in determining whether a “Company Material Adverse Effect” has occurred or is occurring to the extent it materially and disproportionately adversely affects the Company and its subsidiaries (taken as a whole) compared to other companies operating in the industries and geographies in which the Company and its subsidiaries operate (in which case only the incremental disproportionate impact may be taken into account, and only to the extent otherwise permitted by this definition).</w:t>
      </w:r>
    </w:p>
    <w:p>
      <w:pPr>
        <w:spacing w:after="0" w:line="200" w:lineRule="exact"/>
        <w:rPr>
          <w:sz w:val="20"/>
          <w:szCs w:val="20"/>
          <w:color w:val="auto"/>
        </w:rPr>
      </w:pPr>
    </w:p>
    <w:p>
      <w:pPr>
        <w:spacing w:after="0" w:line="22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4" w:name="page135"/>
    <w:bookmarkEnd w:id="1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Subscribed Shares and the Termination Funding Subscribed Shares have been duly authorized and, when issued and delivered to Subscriber against full payment therefor in accordance with the terms of this Subscription Agreement, will be validly issued, fully paid and non-assessable and will not have been issued in violation of any preemptive or similar rights created under the Company’s organizational documents or the Laws of its jurisdiction of incorporation.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This Subscription Agreement (including the transactions contemplated herein) has been duly authorized and validly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or by the availability of specific performance, injunctive relief and other equitable remedies, whether considered at law or equity.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all consents, approvals, and other authorizations described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have been made or taken, the execution and delivery of this Subscription Agreement, the issuance and sale of the Subscribed Shares or the Termination Funding Subscribed Shares, as applicable, and the performance by the Company of its obligations under this Subscription Agreement (including compliance by the Company with all of the provisions of this Subscription Agreement), and the consummation of the transactions contemplated herein do not and will not (as applicable)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any of its subsidiaries, or (iii) any statute or any judgment, order, rule or regulation of any court or governmental agency or body, domestic or foreign, having jurisdiction over the Company or any of its respective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not, individually or in the aggregate, have a Company Material Adverse Effect, or reasonably be expected to prevent, materially delay or materially impair the ability of the Company to consummate the Transactions.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other than the necessary filings, notices, reports, consents, registrations, approvals, permits, expirations of waiting periods or authorizations (i) required to comply with state securities or “blue-sky” Laws, (ii) required to register the Subscribed Shares or Termination Funding Subscribed Shares, including the filing of any registration statement, (iii) required to be filed with or to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other regulatory authorities relating to the Transactions, (iv) required under the rules and regulations of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(v) required under the HSR Act (as defined in the Merger Agreement) or any other applicable Antitrust Laws (as defined in the Merger Agreement) relating to the Transactions, (vi) required under the Exchange Act (as defined below) or the Securities Act (as defined below) and (vii) as may be required with or to Regulators (as defined in the Merger Agreement) pursuant to applicable Regulatory Laws (as defined in the Merger Agreement), no filings, notices or reports are required to be made by any of the Company or its subsidiaries with, nor are any consents, registrations, approvals, permits, expirations of waiting periods or authorizations required to be obtained by the Company or any of its subsidiaries from, any Governmental Entity in connection with the execution, delivery and performance of this Subscription Agreement by the Company or the consummation by the Company of the PIPE Transaction, except, in each case, those that the failure to make or obtain would not, individually or in the aggregate, have a Company Material Adverse Effect or reasonably be expected to prevent, materially delay or materially impair the ability of the Company to consummate the Transactions.</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5" w:name="page136"/>
    <w:bookmarkEnd w:id="1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As of the date hereof, there are no Proceedings (as defined in the Merger Agreement) pending or, to the Knowledge (as defined in the Merger Agreement) of the Company, threatened against the Company or any of its subsidiaries or any property or asset of the Company or its subsidiaries, except for those that would not, individually or in the aggregate, have a Company Material Adverse Effect or reasonably be expected to prevent, materially delay or materially impair the ability of the Company to consummate the Transactions.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(g)            The Company (and, prior to August 7, 2025, Paramount Global) has filed or furnished or will file or furnish, as applicable, on a timely basis, all forms, statements, certifications, reports, and documents with the Commission pursuant to the Exchange Act or the Securities Act, including those filed with or furnished to the Commission subsequent to the date of this Subscription Agreement, in each case as amended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since the Applicable Date (as defined in the Merger Agreement). Each of the Company Reports, at the time of its filing or being furnished complied (or, if not yet filed or furnished, will comply)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Sarbanes-Oxley Act of 2002, and the rules and regulations of the Commission promulgated thereunder. As of their respective dates (or, if amended prior to the date of this Subscription Agreement, as of the date of such amendment), the Company Reports did not, and any Company Reports filed with or furnished to the SEC subsequent to the date of this Subscription Agreement will not, contain any untrue statement of a material fact or omit to state a material fact required to be stated therein or necessary in order to make the statements therein, in the light of the circumstances under which they were made, not misleading. Each of the consolidated balance sheets included in or incorporated by reference into the Company Reports (including the related notes and schedules) fairly presents or, in the case of Company Reports filed after the date of this Subscription Agreement, will fairly present, in each case, in all material respects, the consolidated financial position of the Company and its subsidiaries, as of the date of such balance sheet, and each of the consolidated statements of operations, cash flows and changes in stockholders’ equity (deficit) included in or incorporated by reference into the Company Reports (including any related notes and schedules) fairly presents, or, in the case of Company Reports filed after the date of this Subscription Agreement, will fairly present,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and complied or will comply, as of their respective dates of filing with the Commission, in all material respects with the published rules and regulations of the Commission with respect thereto. None of the Company Reports filed on or prior to the date hereof is, to the Knowledge of the Company, subject to ongoing review or investigation by the Commission, and there are no inquiries or investigations by the Commission or any internal investigations pending or threatened, in each case regarding any accounting practices of the Company.</w:t>
      </w: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6" w:name="page137"/>
    <w:bookmarkEnd w:id="136"/>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(h)            The authorized capital stock of the Company consists of (i) 5,500,000,000 shares of Company Class B Common Stock, of which [ ● ] shares of Company Class B Common Stock are issued and outstanding as of the close of business on [ ● ]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w:t>
      </w:r>
    </w:p>
    <w:p>
      <w:pPr>
        <w:jc w:val="both"/>
        <w:ind w:left="4" w:hanging="4"/>
        <w:spacing w:after="0" w:line="250" w:lineRule="auto"/>
        <w:tabs>
          <w:tab w:leader="none" w:pos="2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par value $0.001 per share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and, together with the Company Class B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of which [●] shares of Company Class A Common Stock are issued and outstanding as of the close of business on the Reference Date, and (iii) 100,000,000 shares of Preferred Stock, par value $0.001 per share, none of which have been issued or are outstanding as of the close of business on the Reference Date. As of the close of business on the Reference Date, [●] shares of Company Class A Common Stock and [●] shares of Company Class B Common Stock were held in treasury. There are 200,000,000 warrants of the Company issued and outstanding as of the close of business on the Reference Date, each exercisable for one share of Company Class B Common Stock at an initial exercise price of $30.50 per share. Since immediately prior to the close of business on [●], through the date hereof, no shares of Company Class A Common Stock or Company Class B Common Stock have been issued except to the extent any such shares have been issued pursuant to (i) the vesting of any awards or (ii) exercises of stock options, in each case referred to in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All of the outstanding Company Common Stock has been duly authorized and validly issued and are fully paid and nonassessable and were created in accordance with applicable Law, the Company’s certificate of incorporation and bylaws and any agreement to which it is a party. The Company Common Stock has been issued in compliance in all material respects with all applicable federal securities Laws and all applicable foreign and state securities or “blue sky” Laws. As of the Reference Date, there are no preemptive or other outstanding rights, options, warrants, conversion rights, stock appreciation rights, redemption rights, repurchase rights, agreements, arrangements, calls, commitments or rights of any kind that obligate the Company or any of its subsidiaries to issue or sell any capital stock or other equity or voting securities of the Company or any of its subsidiaries. As of the Reference Date, except as set forth in the organizational documents of the Company or in the Company Reports, the Company is not under any obligation, nor is it bound by any Contract (as defined in the Merger Agreement) pursuant to which it may become obligated, to repurchase, redeem, or otherwise acquire any outstanding Company Common Stock. [As of the Reference Date, [ ● ] shares of Company Class B Common Stock were reserved for, and [●] shares of Company Class B Common Stock were subject to, issuance pursuant to Company’s compensation and benefit plans, which included (i) [●] shares of Company Class B Common Stock in respect of options to purchase Company Class B Common Stock pursuant to Company compensation and benefit plans, (ii) [●] restricted stock units subject solely to service based vesting conditions granted under the Company compensation and benefit plans entitling the holders thereof to receive [ ● ] shares of Company Class B Common Stock and (iii) [●] restricted stock units subject to both service and performance-based conditions granted under the Company compensation and benefit plans entitling the holders thereof to receive [●] shares of Company Class B Common Stock (assuming the achievement of any performance criteria at target levels)]. Other than as set forth above, there is no issued, reserved for issuance, outstanding or authorized stock option, restricted stock unit award, restricted stock award, stock appreciation, phantom stock, profit participation, or similar right, or compensatory equity or equity-linked award with respect to the Company or any of its subsidiaries to which the Company or any of its subsidiaries is a party or by which the Company or any of its subsidiaries is bound. As of the close of business on the Reference Date, except as set forth above and pursuant to (A) the Other Subscription Agreement, and (B) the Merger Agreement, there is no: (i) outstanding share of capital stock or other equity interest in the Company,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the Company, in each case, issued by the Company or to which the Company is bound, except as set forth in the organizational documents of the Company,</w:t>
      </w:r>
    </w:p>
    <w:p>
      <w:pPr>
        <w:spacing w:after="0" w:line="1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security, instrument, bond, debenture, note, or obligation that is or may become convertible into or exchangeable for any share of the capital stock or other securities of the Company, or (iv) stockholder rights plan (or similar plan commonly referred to as a “poison pill”) or Contract under which the Company is or may become obligated to sell or otherwise issue any share of its capital stock or any other security.</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7" w:name="page138"/>
    <w:bookmarkEnd w:id="1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The issued and outstanding shares of Company Class B Common Stock are registered pursuant to Section 12(b) of the Exchange Act and are listed for trading on Nasdaq under the symbol “PSKY”. The Company is in compliance in all material respects with the applicable listing and corporate governance rules and regulations of the Nasdaq. There is no Proceeding pending or, to the Knowledge of the Company, threatened against the Company by Nasdaq or the Commission with respect to any intention by such entity to deregister the shares of Company Common Stock or prohibit or terminate the listing of the shares of Company Class B Common Stock on Nasdaq. As of the date hereof, the Company Class B Common Stock constitutes the only outstanding class of securities of Company registered under the Exchange Act.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(j)            Assuming the accuracy of Subscriber’s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no registration under the Securities Act is required for the offer and sale of the Subscribed Shares or the Termination Funding Subscribed Shares by the Company to Subscriber in the manner contemplated by this Subscription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Neither the Company nor any person acting on its behalf has engaged in any form of general solicitation or general advertising (within the meaning of Regulation D) in connection with any offer or sale of the Subscribed Shares or the Termination Funding Subscribed Shares. Neither the Subscribed Shares or the Termination Funding Subscribed Shares are being offered in a manner involving a public offering under, or in a distribution in violation of, the Securities Act, or any state securities Laws.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            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the Company, except for a Disqualification Event as to which Rule 506(d)(2)(ii)-(iv) or (d)(3) is applicable.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            Except for Centerview Partners LLC, RedBird BD LLC, Bank of America, N.A., Citigroup Global Markets Inc. and Barclays Capital Inc., no broker or finder is entitled to any brokerage or finder’s fee or commission solely in connection with the sale of the Subscribed Shares or the Termination Funding Subscribed Shares to Subscriber.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            The Company is not, and immediately after receipt of payment for the Subscribed Shares or the Termination Funding Subscribed Shares, as applicable, will not be, an “investment company” within the meaning of the Investment Company Act of 1940, as amended.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The Company and its subsidiaries, since the Applicable Date, have not been and are not currently in violation of any applicable federal, state, local, foreign or transnational Law or any Governmental Order (as defined in the Merger Agreement),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as of the date of this Subscription Agreement, threatened, nor has any Governmental Entity indicated an intention to conduct the same, except for such investigations or reviews the outcome of which would not, individually or in the aggregate, reasonably be expected to have a Company Material Adverse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Since September 30, 2025, and through the date of this Subscription Agreement, there has not been any Effect that, individually or in the aggregate, has had a Company Material Adverse Effect.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8" w:name="page139"/>
    <w:bookmarkEnd w:id="138"/>
    <w:p>
      <w:pPr>
        <w:ind w:left="4"/>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the Company that:</w:t>
      </w:r>
    </w:p>
    <w:p>
      <w:pPr>
        <w:spacing w:after="0" w:line="227"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(a)            Subscriber (i) is duly established and validly existing under the Laws of its jurisdiction of incorporation, and (ii) has the requisite power and authority to enter into and perform its obligations under this Subscription Agreement.</w:t>
      </w:r>
    </w:p>
    <w:p>
      <w:pPr>
        <w:spacing w:after="0" w:line="16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(b)            This Subscription Agreement (including the transactions contemplated herein) has been duly authorized and validly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w:t>
      </w:r>
    </w:p>
    <w:p>
      <w:pPr>
        <w:spacing w:after="0" w:line="183"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Assuming the accuracy of the representations and warranties of the Company in this Subscription Agreement, the execution and delivery of this Subscription Agreement, the purchase of the Subscribed Shares or the Termination Funding Subscribed Shares, as applicable, and performance by Subscriber of its obligations under this Subscription Agreement (including the compliance by Subscriber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w:t>
      </w:r>
      <w:r>
        <w:rPr>
          <w:rFonts w:ascii="Times New Roman" w:cs="Times New Roman" w:eastAsia="Times New Roman" w:hAnsi="Times New Roman"/>
          <w:sz w:val="18"/>
          <w:szCs w:val="18"/>
          <w:u w:val="single" w:color="auto"/>
          <w:color w:val="auto"/>
        </w:rPr>
        <w:t>clauses</w:t>
      </w:r>
    </w:p>
    <w:p>
      <w:pPr>
        <w:spacing w:after="0" w:line="6" w:lineRule="exact"/>
        <w:rPr>
          <w:sz w:val="20"/>
          <w:szCs w:val="20"/>
          <w:color w:val="auto"/>
        </w:rPr>
      </w:pPr>
    </w:p>
    <w:p>
      <w:pPr>
        <w:jc w:val="both"/>
        <w:ind w:left="4" w:hanging="4"/>
        <w:spacing w:after="0" w:line="253" w:lineRule="auto"/>
        <w:tabs>
          <w:tab w:leader="none" w:pos="232" w:val="left"/>
        </w:tabs>
        <w:numPr>
          <w:ilvl w:val="0"/>
          <w:numId w:val="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individually or in the aggregate, a Subscriber Material Adverse Effect. For purposes of this Subscription Agreement, a “</w:t>
      </w:r>
      <w:r>
        <w:rPr>
          <w:rFonts w:ascii="Times New Roman" w:cs="Times New Roman" w:eastAsia="Times New Roman" w:hAnsi="Times New Roman"/>
          <w:sz w:val="18"/>
          <w:szCs w:val="18"/>
          <w:u w:val="single" w:color="auto"/>
          <w:color w:val="auto"/>
        </w:rPr>
        <w:t>Subscriber Material Adverse Effect</w:t>
      </w:r>
      <w:r>
        <w:rPr>
          <w:rFonts w:ascii="Times New Roman" w:cs="Times New Roman" w:eastAsia="Times New Roman" w:hAnsi="Times New Roman"/>
          <w:sz w:val="18"/>
          <w:szCs w:val="18"/>
          <w:color w:val="auto"/>
        </w:rPr>
        <w:t>” means any Effect that has had or would reasonably be expected to have, individually or in the aggregate, a material adverse effect on Subscriber’s ability to consummate the transactions contemplated hereby, including the purchase of the Subscribed Shares or the Termination Funding Subscribed Shares.</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Subscriber (i) is a “qualified institutional buyer” (as defined in Rule 144A under the Securities Act) or an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(ii) is acquiring the Subscribed Shares or the Termination Funding Subscribed Shares, as applicable, only for its own account and not for the account of others, or if Subscriber is subscribing for the Subscribed Shares or the Termination Funding Subscribed Shares as a fiduciary or agent for one or more investor accounts, each owner of such accounts is independently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Subscribed Shares or the Termination Funding Subscribed Shares with a view to, or for offer or sale in connection with, any distribution thereof in violation of the Securities Act (and has provided the Company with the requested information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 and such information provided is accurate and complete). Subscriber is not an entity formed for the specific purpose of acquiring the Subscribed Shares.</w:t>
      </w:r>
    </w:p>
    <w:p>
      <w:pPr>
        <w:spacing w:after="0" w:line="194"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(e)            [Except for [●],] Subscriber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9" w:name="page140"/>
    <w:bookmarkEnd w:id="139"/>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(f)            Subscriber understands that the Subscribed Shares and the Termination Funding Subscribed Shares are non-voting common stock of the Company. Accordingly, Subscriber may not have the ability to affect the outcome of corporate actions via its ownership of the Subscribed Shares or Termination Funding Subscribed Shares.</w:t>
      </w:r>
    </w:p>
    <w:p>
      <w:pPr>
        <w:spacing w:after="0" w:line="17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Subscriber understands that the Subscribed Shares and the Termination Funding Subscribed Shares are being offered by the Company in a transaction not involving any public offering within the meaning of the Securities Act and that the Subscribed Shares and the Termination Funding Subscribed Shares have not been registered under the Securities Act. Subscriber understands that the Subscribed Shares or the Termination Funding Subscribed Shares, as applicable, issued by the Company may not be offered, sold or otherwise transferred by Subscriber absent an effective registration statement under the Securities Act, except (i) to the Company or a subsidiary thereof, (ii) pursuant to an applicable exemption from the registration requirements of the Securities Act (including, without limitation, Rule 144 or a private resale pursuant to the so-called “Section 4(a)(1½)”), or (iii) an ordinary course pledge such as a broker lien over account property generally and, in each case of </w:t>
      </w:r>
      <w:r>
        <w:rPr>
          <w:rFonts w:ascii="Times New Roman" w:cs="Times New Roman" w:eastAsia="Times New Roman" w:hAnsi="Times New Roman"/>
          <w:sz w:val="18"/>
          <w:szCs w:val="18"/>
          <w:u w:val="single" w:color="auto"/>
          <w:color w:val="auto"/>
        </w:rPr>
        <w:t>clauses</w:t>
      </w:r>
    </w:p>
    <w:p>
      <w:pPr>
        <w:spacing w:after="0" w:line="3" w:lineRule="exact"/>
        <w:rPr>
          <w:sz w:val="20"/>
          <w:szCs w:val="20"/>
          <w:color w:val="auto"/>
        </w:rPr>
      </w:pPr>
    </w:p>
    <w:p>
      <w:pPr>
        <w:jc w:val="both"/>
        <w:ind w:left="4" w:hanging="4"/>
        <w:spacing w:after="0" w:line="252" w:lineRule="auto"/>
        <w:tabs>
          <w:tab w:leader="none" w:pos="219" w:val="left"/>
        </w:tabs>
        <w:numPr>
          <w:ilvl w:val="0"/>
          <w:numId w:val="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accordance with any applicable securities Laws of the states and other jurisdictions of the United States, and as a result of these transfer restrictions, Subscriber may not be able to readily resell the Subscribed Shares or the Termination Funding Subscribed Shares and may be required to bear the financial risk of an investment in the Subscribed Shares or the Termination Funding Subscribed Shares, as applicable, for an indefinite period of time. Subscriber understands that it has been advised to consult legal counsel prior to making any offer, resale, pledge or transfer of any of the Subscribed Shares or the Termination Funding Subscribed Shares. Subscriber acknowledges and agrees that, at the time of issuance by the Company, the certificate or book entry position representing the Subscribed Shares or the Termination Funding Subscribed Shares, as applicable, will bear or reflect, as applicable, a legend substantially similar to the following:</w:t>
      </w:r>
    </w:p>
    <w:p>
      <w:pPr>
        <w:spacing w:after="0" w:line="188"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“THIS SECURITY WAS ORIGINALLY ISSUED IN A TRANSACTION EXEMPT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MAY NOT BE OFFERED, SOLD OR OTHERWISE TRANSFERRED IN THE ABSENCE OF SUCH REGISTRATION OR AN APPLICABLE EXEMPTION THEREFROM. THE HOLDER OF THIS SECURITY AGREES THAT THIS SECURITY MAY BE OFFERED, SOLD OR OTHERWISE TRANSFERRED, ONLY (I) PURSUANT TO ANY EXEMPTION FROM THE REGISTRATION REQUIREMENTS OF THE SECURITIES ACT,</w:t>
      </w:r>
    </w:p>
    <w:p>
      <w:pPr>
        <w:spacing w:after="0" w:line="3" w:lineRule="exact"/>
        <w:rPr>
          <w:sz w:val="20"/>
          <w:szCs w:val="20"/>
          <w:color w:val="auto"/>
        </w:rPr>
      </w:pPr>
    </w:p>
    <w:p>
      <w:pPr>
        <w:jc w:val="both"/>
        <w:ind w:left="644" w:firstLine="4"/>
        <w:spacing w:after="0" w:line="255" w:lineRule="auto"/>
        <w:tabs>
          <w:tab w:leader="none" w:pos="93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OR (III) TO PARAMOUNT SKYDANCE CORPORATION, IN EACH OF CASES (I) THROUGH (III) IN ACCORDANCE WITH ANY APPLICABLE SECURITIES LAWS OF ANY STATE OF THE UNITED STATES.”</w:t>
      </w:r>
    </w:p>
    <w:p>
      <w:pPr>
        <w:spacing w:after="0" w:line="186"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Subscriber understands and agrees that Subscriber is purchasing the Subscribed Shares or the Termination Funding Subscribed Shares directly from the Company. Subscriber further acknowledges that there have not been, and Subscriber hereby agrees that it is not relying on, any representations, warranties, covenants or agreements made to Subscriber by the Company or any of its Affiliates or any control persons, officers, directors, employees, partners, agents or representatives, any other party to the Transactions or any other person or entity, expressly or by implication, other than those representations, warranties, covenants and agreements of the Company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w:t>
      </w:r>
    </w:p>
    <w:p>
      <w:pPr>
        <w:spacing w:after="0" w:line="187"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            Subscriber’s acquisition and holding of the Subscribed Shares or the Termination Funding Subscribed Shares will not constitute or result in a non-exempt prohibited transaction under section 406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section 4975 of the Internal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applicable similar law.</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0" w:name="page141"/>
    <w:bookmarkEnd w:id="1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Subscriber is not (i) a person or entity named on any sanctions list maintained by (A) the U.S. Department of the Treasury’s Office of Foreign Assets Control, including the List of Specially Designated Nationals and Blocked Persons, the Foreign Sanctions Evaders List, or the Sectoral Sanctions Identifications List, (B) the European Union, (C) the United Nations Security Council, (D) the government of the United Kingdom, including His Majesty’s Treasury, or (E) any individual European Union member state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Bodies</w:t>
      </w:r>
      <w:r>
        <w:rPr>
          <w:rFonts w:ascii="Times New Roman" w:cs="Times New Roman" w:eastAsia="Times New Roman" w:hAnsi="Times New Roman"/>
          <w:sz w:val="18"/>
          <w:szCs w:val="18"/>
          <w:color w:val="auto"/>
        </w:rPr>
        <w:t>”), (ii) fifty percent (50%) or more owned or controlled by, or acting on behalf of, a person, that is named on any sanctions list maintained by any Sanctions Bodies, (iii) operating, organized, resident in any jurisdiction subject to comprehensive territory-wide sanctions administered by any Sanctions Bodies, currently Cuba, Iran, North Korea, Syria, the so-called Donetsk People’s Republic, the so-called Luhansk People’s Republic, the non-government controlled areas of the Zaporizhzhia and Kherson Regions of Ukraine, the Crimea region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(iv) the government of a Sanctioned Country or the Government of Venezuela or (v) otherwise the target of sanctions administered by any Sanctions Bodies.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(k)            If Subscriber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xml:space="preserve">”), or (iv) an employee benefit plan that is a governmental plan (as defined in section 3(32) of ERISA), a church plan (as defined in section 3(33) of ERISA), a non-U.S. plan (as described in section 4(b)(4) of ERISA) or other plan that is not subject to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but may be subject to provisions under any other federal, state, local, non-U.S. or other laws or regulations that are similar to such provisions of ERISA or the Code (together with the ERISA Plans,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then Subscriber represents and warrants that none of the Company or any of its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has provided investment advice or has otherwise acted as the applicable Plan’s fiduciary with respect to its decision to acquire and hold the Subscribed Shares or the Termination Funding Subscribed Shares, and none of the Transaction Parties is or shall at any time be the Plan’s fiduciary with respect to any decision in connection with Subscriber’s investment in the Subscribed Shares or the Termination Funding Subscribed Shares.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In making its decision to purchase the Subscribed Shares or the Termination Funding Subscribed Shares, Subscriber has relied solely upon independent investigation made by Subscriber. Subscriber acknowledges and agrees that Subscriber has received such information as Subscriber deems necessary in order to make an investment decision with respect to the Subscribed Shares or the Termination Funding Subscribed Shares, as applicable, including with respect to the Company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or the Termination Funding Subscribed Shares, as applicable.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            Subscriber became aware of this offering of the Subscribed Shares and the Termination Funding Subscribed Shares solely by means of direct contact between Subscriber, on the one hand, and the Company or its representatives or Affiliates, on the other hand, and the Subscribed Shares and the Termination Funding Subscribed Shares were offered to Subscriber solely by direct contact between Subscriber and the Company or its representatives or Affiliates. Subscriber did not become aware of this offering of the Subscribed Shares and the Termination Funding Subscribed Shares, nor were the Subscribed Shares and the Termination Funding Subscribed Shares offered to Subscriber, by any other means. Subscriber acknowledges that the Subscribed Shares and the Termination Funding Subscribed Shares (i) were not offered to it in any form of general solicitation or general advertising, including methods described in Section 502(c) of Regulation D under the Securities Act, and (ii) are not being offered to it in a manner involving a public offering under, or, to its knowledge, in a distribution in violation of, the Securities Act or any other applicable securities Laws.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1" w:name="page142"/>
    <w:bookmarkEnd w:id="1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            Subscriber acknowledges that it is aware that there are substantial risks incident to the purchase and ownership of the Subscribed Shares or the Termination Funding Subscribed Shares. Subscriber is a sophisticated investor, has such knowledge and experience in financial and business matters as to be capable of evaluating the merits and risks of an investment in the Subscribed Shares or the Termination Funding Subscribed Shares, and Subscriber has had an opportunity to seek, and has sought, such accounting, legal, business and tax advice as Subscriber has considered necessary to make an informed investment decision. Subscriber acknowledges that none of the Company or any of its agents or Affiliates have provided any tax advice or any other representation or guarantee, whether written or oral, regarding the tax consequences of the transactions contemplated by this Subscription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Subscriber has adequately analyzed and fully considered the risks of an investment in the Subscribed Shares and the Termination Funding Subscribed Shares and determined that the Subscribed Shares and the Termination Funding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            Subscriber understands and agrees that no federal or state agency has passed upon or endorsed the merits of the offering of the Subscribed Shares or the Termination Funding Subscribed Shares, or otherwise made any findings or determination as to the fairness of this investment.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(q)            At the Closing or the Termination Funding Closing, as applicable, Subscriber will have sufficient immediately available funds to pay the Purchase Price or the Termination Fee Purchase Price, as applicable,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            Neither the due diligence investigation conducted by Subscriber in connection with making its decision to acquire the Subscribed Shares or the Termination Funding Subscribed Shares nor any representations and warranties made by Subscriber herein shall modify, amend or affect Subscriber’s right to rely on the truth, accuracy and completeness of the Company’s representations and warranties contained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No broker or finder is entitled to any brokerage or finder’s fee or commission solely in connection with the purchase of the Subscribed Shares or the Termination Funding Subscribed Shares by Subscriber.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            Subscriber is not a foreign person, as defined in 31 C.F.R. § 800.224. The transaction contemplated by this Subscription Agreement will not result in foreign control (as defined in 31 C.F.R. § 800.208) of the Company and does not constitute a direct or indirect investment in the Company by any foreign person (as defined in 31 C.F.R. § 800.224) that affords such foreign person any of the access, rights or involvement described in 31 C.F.R. § 800.211(b).</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Guarantor Representations and Warranties</w:t>
      </w:r>
      <w:r>
        <w:rPr>
          <w:rFonts w:ascii="Times New Roman" w:cs="Times New Roman" w:eastAsia="Times New Roman" w:hAnsi="Times New Roman"/>
          <w:sz w:val="18"/>
          <w:szCs w:val="18"/>
          <w:color w:val="auto"/>
        </w:rPr>
        <w:t>. Guarantor represents and warrants to the Company that: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He has all necessary power and authority and legal capacity to execute and deliver this Subscription Agreement and to perform his obligations hereunder.</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He has, together with the Subscriber, and will continue to have, together with the Subscriber, for so long as this Subscription Agreement is in effect, the financial capacity to pay and perform his obligations under this Subscription Agreement, taking into account his and the Subscriber’s obligations hereunder and all of his and the Subscriber’s other obligations, and all funds necessary for him and the Subscriber to fulfill their obligations under this Subscription Agreement shall be available to him or the Subscriber for so long as this Subscription Agreement shall remain in effect in accordance with the terms hereof;</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execution, delivery and performance by the Guarantor of this Subscription Agreement has been duly and validly authorized by all necessary action and do not contravene any applicable law or any material contractual restriction binding on him or his assets;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All consents, approvals, authorizations, permits of, filings with and notifications to, any governmental entity necessary for the due execution, delivery and performance of this Subscription Agreement by the Guarantor have been obtained or made and all conditions thereof have been duly complied with, and no other action by, and no notice to or filing with, any governmental entity is required in connection with the execution, delivery or performance of this Subscription Agreement;</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(e)            This Subscription Agreement has been duly and validly executed and delivered by the Guarantor and, assuming due execution and delivery by the Company, constitutes a legal, valid and binding obligation of the Subscription Agreement enforceable against him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 and</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The execution and delivery of this Subscription Agreement by the Guarantor does not, and the performance of this Subscription Agreement by the Guarantor will not, (i) conflict with or violate any law applicable to him or by which any of his properties or assets is bound or affected or (ii) result in any breach or violation of, or constitute a default (or an event which, with notice or lapse of time or both, would become a default) under, or give to others any right of termination, amendment, acceleration or cancellation of, any contract or other instrument or obligation to which the Guarantor is a party or by which the Guarantor or any of his properties or assets is bound or affected, except, with respect to each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for any such conflicts, violations, breaches, defaults or other occurrences which would not reasonably be expected to, individually or in the aggregate, materially affect his ability to enter into or timely perform its obligations under this Subscription Agreement.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on such date and at such time as the Merger Agreement is terminated in accordance with its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such termination shall relieve any party for liability for such party’s actual fraud or willful breach of any covenant or obligation contained in this Subscription Agreement prior to its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event the Regulatory Termination Fee is due and payable by the Company pursuant to Section 8.3(b) of the Merger Agreement, then Subscriber’s, the Guarantor’s and the Company’s obligations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herein (and related obligations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herein) and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the termination of this Subscription Agreement until such time that such purchase and sale of the Termination Funding Subscribed Shares is consummated in accordance therewith. Notwithstanding anything to the contrary in this Subscription Agreement, each of the Company and Subscriber hereby acknowledge that in the event that the Regulatory Termination Fee becomes payable by, and is paid by, the Company to Warner Bros., then neither the Company nor Subscriber will have any further liability hereunder (other than in respect of fraud or willful breach).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Any notice or other communication required or permitted to be delivered to any party under this Subscription Agreement shall be in writing and shall be deemed properly delivered, given and received (i) upon receipt when delivered by hand, (ii) two (2) Business Days after being sent by certified or registered mail, postage prepaid, or by nationally recognized overnight courier or express delivery service, (iii) if sent by email transmission prior to 6:00 p.m. recipient’s local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(iv) if sent by email transmission after 6:00 p.m. recipient’s local time, on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 similar message of non-delivery is received with respect thereto), and, in each case, the notice or other communication is sent to the physical address or email address specified on the signature page hereof.</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Company acknowledges and agrees that, notwithstanding anything herein to the contrary, the Subscribed Shares may be pledged by Subscriber in connection with a bona fide margin agreement, which shall not be deemed to be a transfer, sale or assignment of the Subscribed Shares hereunder, and if Subscriber effects a pledge of any Subscribed Shares it shall be required to provide the Company with notice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transfer of the Subscribed Shares in connection with any exercise of remedies in respect of such pledge shall be deemed a transfer, sale or assignment, as the case may be, of the Subscribed Shares thereunder. The Company hereby agrees to use commercially reasonable efforts to execute and deliver such documentation as a pledgee of the Subscribed Shares may reasonably request in connection with a pledge of the Subscribed Shares to such pledgee by Subscriber (including, if requested by Subscriber and subject to Subscriber and the pledgee providing representations and undertakings in customary form reasonably acceptable to the Company, such documentation as may be reasonably necessary to have the Subscribed Shares (as may be specified by Subscriber) issued with an unrestricted CUSIP and transferable through the facilities of The Depositary Trust and Clearing Corporation to facilitate such pledge).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Each party shall pay all of its own expenses in connection with this Subscription Agreement and the transactions contemplated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Closing occurs, then the Company shall pay Subscriber’s reasonable and documented out-of-pocket fees and expenses incurred by Subscriber in connection with the Subscription Agreement up to an amount of $5,000,000.</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Neither this Subscription Agreement nor any rights that may accrue to Subscriber hereunder may be transferred or assigned, except as expressly permitted hereby. Neither this Subscription Agreement nor any rights that may accrue to the Company hereunder may be transferred or assigned without the prior written consent of each party hereto and Warner Bros. Notwithstanding the foregoing, Subscriber may assign this Subscription Agreement and its rights hereunder in whole or in part (i) to any other person as a “Subscriber” hereunder, or (ii) as collateral any and/or all of its rights hereunder by way of security to any banks or other financial institutions providing financing to Subscriber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 such assignment shall relieve Subscriber of any of its obligations hereunder;</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such assignment, delegation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of the Closing Subscription commitment shall (A) materially delay, materially impair the ability of the Company to consummate the Transactions in a timely manner (and in any event prior to the End Date (as defined in the Merger Agreement)) or otherwise prevent the consummation of the Merger or (B) be to (1) an “alien” (within the meaning of 47 U.S.C. § 310(b)) who, following the consummation of the Transactions, would unlawfully own, directly or indirectly, with all other “aliens” (within the meaning of 47 U.S.C. § 310(b)), twenty five percent (25%) or more of the equity or voting interests of the Company or its subsidiaries (in each case, as calculated pursuant to the rules, regulations, published orders, policies and decisions promulgated by, and other applicable requirements of, the FCC (as defined in the Merger Agreement) and interpretations thereof by federal courts of competent jurisdiction), or (2) any “alien” (within the meaning of 47 U.S.C. § 310(b)) who is a citizen, or an entity (or other person) organized under the laws, of a “foreign adversary country” (within the meaning of 10 U.S.C. § 4872(d)(2)), in each case other than to an Affiliate of Subscriber (including funds and investment vehicles managed by or under common management with Subscriber or its Affiliates). Following any permitted assignment, delegation or transfer by Subscriber of its rights, interest and obligations hereunder pursuant to this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Subscriber will provide the Company and Warner Bros. with written notice of such assignment, delegation or transfer and the amount thereof. Any purported assignment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Each of Subscriber and the Company hereby agrees Warner Bros. shall be an express and intended third-party beneficiary of this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4" w:name="page145"/>
    <w:bookmarkEnd w:id="1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None of the representations and warranties or covenants in this Subscription Agreement, or any certificate or schedule or other document delivered pursuant to this Subscription Agreement, shall survive the earlier to occur of the Termination Funding Closing or the Closing, except those covenants that by their terms survive or contemplate performance after the Termination Funding Closing or the Closing, as applicable (which shall survive until fully performed).</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This Subscription Agreement may not be amended or modified except by an instrument in writing, signed by each of the parties hereto (acting, in the case of the Company, with the approval of the Company Special Committee) and Warner Bros. Each of Subscriber and the Company hereby agrees Warner Bros. shall be an express and intended third-party beneficiary of this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This Subscription Agreement, together with the Merger Agreement and the Ellison Guarantee, constitutes the entire agreement, and supersedes all other prior agreements, understandings, representations and warranties, both written and oral, among the parties hereto, with respect to the subject matter hereof. Except as expressly provided herein, this Subscription Agreement shall not confer any rights or remedies upon any person other than the parties hereto and their respective heirs, executors, administrators, successors, legal representatives and permitted assigns.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This Subscription Agreement shall be binding upon, and inure to the benefit of, the parties hereto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5" w:name="page146"/>
    <w:bookmarkEnd w:id="145"/>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(j)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6"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(k)            This Subscription Agreement may only be enforced against, and any legal proceeding, claim, obligation, liability or cause of action (whether in contract, in tort, at law, in equity or otherwise) based upon, arising out of, or related to this Subscription Agreement or the transactions contemplated hereby may only be brought against, the entities that are expressly named as parties hereto and then only with respect to the specific obligations set forth herein or therein with respect to such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Warner Bros. is hereby made an express and intended third-party beneficiary of the rights expressly granted to the Company under this Subscription Agreement and shall be entitled to enforce such rights and the rights expressly granted to Warner Bros. hereunder, in each case, in accordance with the terms and conditions set forth herein.</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(l)            The parties hereto agree that irreparable damage would occur in the event that any of the provisions of this Subscription Agreement were not performed in accordance with their specific terms or were otherwise breached. It is accordingly agreed that the parties hereto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83"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(m)            This Subscription Agreement shall be governed by, and construed in accordance with, the laws of the State of Delaware, without giving effect to any law, rule, or provision that would cause the application of any law other than the laws of the State of Delaware. The parties hereto expressly acknowledge and agree that: (i) the requirements of 6 Del. C. § 2708 are satisfied by the provisions of this Subscription Agreement and that such statute mandates the application of the laws of the State of Delaware to this Subscription Agreement, the relationship of the parties hereto, the transactions contemplated hereby, and the interpretation and enforcement of the rights and duties of any party hereto, (ii) the parties hereto have a reasonable basis for the application of the laws of the State of Delaware to this Subscription Agreement, the relationship of the parties hereto, the transactions contemplated hereby, and the interpretation and enforcement of the rights and duties of any party hereto, (iii) no other jurisdiction has a materially greater interest in the foregoing, and (iv) the application of the laws of the State of Delaware would not be contrary to the fundamental policy of any other jurisdiction that, absent the choice of the laws of the State of Delaware hereunder of the parties hereto, would have an interest in the foregoing.</w:t>
      </w:r>
    </w:p>
    <w:p>
      <w:pPr>
        <w:spacing w:after="0" w:line="190"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(n)            EACH PARTY HERETO IRREVOCABLY WAIVES ANY RIGHT TO A TRIAL BY JURY IN ANY PROCEEDING BETWEEN OR AMONG THE PARTIES HERETO ARISING OUT OF OR RELATING TO THE SUBJECT MATTER OF THIS SUBSCRIPTION AGREEMENT OR THE TRANSACTIONS CONTEMPLATED HEREBY. EACH PARTY HERETO HEREBY</w:t>
      </w:r>
    </w:p>
    <w:p>
      <w:pPr>
        <w:jc w:val="both"/>
        <w:ind w:left="4" w:hanging="4"/>
        <w:spacing w:after="0" w:line="253" w:lineRule="auto"/>
        <w:tabs>
          <w:tab w:leader="none" w:pos="24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CERTIFIES THAT NO REPRESENTATIVE, AGENT OR ATTORNEY OF ANY OTHER PARTY HERETO HAS REPRESENTED, EXPRESSLY OR OTHERWISE, THAT SUCH OTHER PARTY WOULD NOT, IN THE EVENT OF LITIGATION, SEEK TO ENFORCE THE FOREGOING WAIVER AND (II) ACKNOWLEDGES THAT IT HAS BEEN INDUCED TO ENTER INTO THIS SUBSCRIPTION AGREEMENT AND THE TRANSACTIONS CONTEMPLATED HEREBY, AS APPLICABLE, BY, AMONG OTHER THINGS, THE MUTUAL WAIVERS AND CERTIFICATIONS IN THIS SECTION 7(n).</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6" w:name="page147"/>
    <w:bookmarkEnd w:id="14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            The parties hereto agree that in any Proceeding arising out of or relating to this Subscription Agreement or the transactions contemplated hereby (including any amount due or payable in connection therewith or any matter arising out of or relating to the termination of either of them), each of the parties hereto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(ii) agrees that it will not attempt to deny or defeat such personal jurisdiction of such Chosen Court by motion, other request for leave, or other Proceeding, (iii) agrees that any Proceeding arising out of or relating to this Subscription Agreement or the transactions contemplated hereby shall be brought, tried, and determined only in the Chosen Courts, (iv) waives any claim of improper venue or any claim that the appropriate Chosen Court is an inconvenient forum, and (v) agrees that it will not bring any Proceeding arising out of or relating to this Subscription Agreement or the transactions contemplated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or any other manner permitted by applicable Law. A final judgment in any Proceeding commenced in accordance with this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in the foregoing shall restrict any party’s right to seek any post-judgment relief regarding, or any appeal from, such final trial court judgment.</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            The decision of Subscriber to purchase the Subscribed Shares or the Termination Funding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 Subscriber acknowledges that no Other Subscriber has acted as agent for Subscriber in connection with making its investment hereunder and no Other Subscriber will be acting as agent of Subscriber in connection with monitoring its investment in the Subscribed Shares or the Termination Funding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(q)            The Guarantor hereby irrevocably and unconditionally guarantees to the Company the due and punctual performance and observance by Subscriber of all of its obligations, commitments and undertakings under or pursuant to this Subscription Agreement, including, for the avoidance of doubt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in this Subscription Agreement to the contrary, the Company hereby agrees that the Guarantor may assert as a defense to, or release or discharge of, any payment or performance by the Guarantor under this </w:t>
      </w:r>
      <w:r>
        <w:rPr>
          <w:rFonts w:ascii="Times New Roman" w:cs="Times New Roman" w:eastAsia="Times New Roman" w:hAnsi="Times New Roman"/>
          <w:sz w:val="18"/>
          <w:szCs w:val="18"/>
          <w:u w:val="single" w:color="auto"/>
          <w:color w:val="auto"/>
        </w:rPr>
        <w:t>Section 7(q)</w:t>
      </w:r>
      <w:r>
        <w:rPr>
          <w:rFonts w:ascii="Times New Roman" w:cs="Times New Roman" w:eastAsia="Times New Roman" w:hAnsi="Times New Roman"/>
          <w:sz w:val="18"/>
          <w:szCs w:val="18"/>
          <w:color w:val="auto"/>
        </w:rPr>
        <w:t xml:space="preserve"> any claim, set-off, deduction, defense or release that Subscriber could assert against the Company under this Subscription Agreement that would relieve Subscriber of its obligations under this Subscription Agreement (other than (i) any defense, claims, set-off, deduction or release based on lack of authority of Subscriber or any other defense that would not exist if the representations or warranties of Subscriber under this Subscription Agreement were true and correct, or (ii) any defense based on any insolvency, bankruptcy, reorganization or other similar case or proceeding involving Subscriber or the Guarantor or principles of fraudulent conveyance).</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7" w:name="page148"/>
    <w:bookmarkEnd w:id="147"/>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(r)            Notwithstanding anything to the contrary set forth herein, to avoid any duplication of recovery, the Company agrees that it may not enforce any of Subscriber’s or Guarantor’s obligations, or recover any monetary damages from Subscriber or the Guarantor, in each case, to the extent that Warner Bros. has enforced the Ellison Guarantee against Subscriber or the Guarantor or has enforced the Other Subscription Agreement against the Other Subscriber, in respect of such matter. For example, this means that in the event that Warner Bros. has received $5,800,000,000.00 under the Ellison Guarantee from Subscriber as a result of the Regulatory Termination Fee becoming due and payable, then Subscriber will not be obligated to pay any additional amount to the Company for Termination Funding Subscribed Shares (but such shares shall be required to be issued to Subscriber pursuant to </w:t>
      </w:r>
      <w:r>
        <w:rPr>
          <w:rFonts w:ascii="Times New Roman" w:cs="Times New Roman" w:eastAsia="Times New Roman" w:hAnsi="Times New Roman"/>
          <w:sz w:val="18"/>
          <w:szCs w:val="18"/>
          <w:u w:val="single" w:color="auto"/>
          <w:color w:val="auto"/>
        </w:rPr>
        <w:t>Section 7(s)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4" w:firstLine="648"/>
        <w:spacing w:after="0" w:line="281" w:lineRule="auto"/>
        <w:rPr>
          <w:sz w:val="20"/>
          <w:szCs w:val="20"/>
          <w:color w:val="auto"/>
        </w:rPr>
      </w:pPr>
      <w:r>
        <w:rPr>
          <w:rFonts w:ascii="Times New Roman" w:cs="Times New Roman" w:eastAsia="Times New Roman" w:hAnsi="Times New Roman"/>
          <w:sz w:val="17"/>
          <w:szCs w:val="17"/>
          <w:color w:val="auto"/>
        </w:rPr>
        <w:t>(s)            Each of the Subscriber and the Guarantor covenants and agrees that it will not sell, pledge, assign, transfer, dispose of or encumber its assets in any manner that would or would reasonably be expected to adversely impact its ability to perform its obligations hereunder. Without limiting the generality of the foregoing, the Guarantor covenants and agrees that he will not revoke the Subscriber or otherwise take any action with the intent of avoiding payment or performance of the any obligations hereunder in accordance with the terms of this Subscription Agreement.</w:t>
      </w:r>
    </w:p>
    <w:p>
      <w:pPr>
        <w:spacing w:after="0" w:line="164" w:lineRule="exact"/>
        <w:rPr>
          <w:sz w:val="20"/>
          <w:szCs w:val="20"/>
          <w:color w:val="auto"/>
        </w:rPr>
      </w:pPr>
    </w:p>
    <w:p>
      <w:pPr>
        <w:jc w:val="both"/>
        <w:ind w:left="4" w:firstLine="648"/>
        <w:spacing w:after="0" w:line="270" w:lineRule="auto"/>
        <w:rPr>
          <w:sz w:val="20"/>
          <w:szCs w:val="20"/>
          <w:color w:val="auto"/>
        </w:rPr>
      </w:pPr>
      <w:r>
        <w:rPr>
          <w:rFonts w:ascii="Times New Roman" w:cs="Times New Roman" w:eastAsia="Times New Roman" w:hAnsi="Times New Roman"/>
          <w:sz w:val="17"/>
          <w:szCs w:val="17"/>
          <w:color w:val="auto"/>
        </w:rPr>
        <w:t>(t)            Notwithstanding anything to the contrary set forth herein, the Company agrees that it will be obligated to issue to Subscriber shares of Company Class B Common Stock in respect of any amounts Subscriber or the Guarantor pays to Warner Bros. under the Ellison Guarantee, except to the extent that such payment arose out of, or resulted from, Subscriber’s actual fraud or willful breach of its covenants or obligations under this Subscription Agreement. The number of shares to be issued in accordance with the immediately preceding sentence will be equal to</w:t>
      </w:r>
    </w:p>
    <w:p>
      <w:pPr>
        <w:spacing w:after="0" w:line="3" w:lineRule="exact"/>
        <w:rPr>
          <w:sz w:val="20"/>
          <w:szCs w:val="20"/>
          <w:color w:val="auto"/>
        </w:rPr>
      </w:pPr>
    </w:p>
    <w:p>
      <w:pPr>
        <w:ind w:left="4064" w:right="2720" w:hanging="4064"/>
        <w:spacing w:after="0" w:line="511" w:lineRule="auto"/>
        <w:tabs>
          <w:tab w:leader="none" w:pos="2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monetary amount paid to Warner Bros. under the Ellison Guarantee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Per Share Price. [Signature pages follow.]</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8" w:name="page149"/>
    <w:bookmarkEnd w:id="148"/>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Company, Subscriber, and the Guarantor, solely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7(q)</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7(s)</w:t>
      </w:r>
      <w:r>
        <w:rPr>
          <w:rFonts w:ascii="Times New Roman" w:cs="Times New Roman" w:eastAsia="Times New Roman" w:hAnsi="Times New Roman"/>
          <w:sz w:val="18"/>
          <w:szCs w:val="18"/>
          <w:color w:val="auto"/>
        </w:rPr>
        <w: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or caused this Subscription Agreement to be executed by its duly authorized representative as of the date first set forth above.</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Chief Legal Officer and General Counsel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Email: paramountgloballegalnotices@paramount.com</w:t>
      </w:r>
    </w:p>
    <w:p>
      <w:pPr>
        <w:spacing w:after="0" w:line="2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0" w:right="739" w:bottom="1440" w:gutter="0" w:footer="0" w:header="0"/>
        </w:sectPr>
      </w:pPr>
    </w:p>
    <w:bookmarkStart w:id="149" w:name="page150"/>
    <w:bookmarkEnd w:id="149"/>
    <w:p>
      <w:pPr>
        <w:ind w:left="4500"/>
        <w:spacing w:after="0"/>
        <w:rPr>
          <w:sz w:val="20"/>
          <w:szCs w:val="20"/>
          <w:color w:val="auto"/>
        </w:rPr>
      </w:pPr>
      <w:r>
        <w:rPr>
          <w:rFonts w:ascii="Times New Roman" w:cs="Times New Roman" w:eastAsia="Times New Roman" w:hAnsi="Times New Roman"/>
          <w:sz w:val="18"/>
          <w:szCs w:val="18"/>
          <w:color w:val="auto"/>
        </w:rPr>
        <w:t>GUARANTOR:</w:t>
      </w:r>
    </w:p>
    <w:p>
      <w:pPr>
        <w:spacing w:after="0" w:line="225"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8"/>
          <w:szCs w:val="18"/>
          <w:color w:val="auto"/>
        </w:rPr>
        <w:t>LAWRENCE J.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291465</wp:posOffset>
            </wp:positionV>
            <wp:extent cx="3566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Subscription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0" w:name="page151"/>
    <w:bookmarkEnd w:id="150"/>
    <w:p>
      <w:pPr>
        <w:ind w:left="5520"/>
        <w:spacing w:after="0"/>
        <w:rPr>
          <w:sz w:val="20"/>
          <w:szCs w:val="20"/>
          <w:color w:val="auto"/>
        </w:rPr>
      </w:pPr>
      <w:r>
        <w:rPr>
          <w:rFonts w:ascii="Times New Roman" w:cs="Times New Roman" w:eastAsia="Times New Roman" w:hAnsi="Times New Roman"/>
          <w:sz w:val="18"/>
          <w:szCs w:val="18"/>
          <w:color w:val="auto"/>
        </w:rPr>
        <w:t>SUBSCRIBER:</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4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LAWRENCE J. ELLISON REVOCABLE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TRUST, U/A/D 1/22/88, AS AMENDED</w:t>
            </w:r>
          </w:p>
        </w:tc>
        <w:tc>
          <w:tcPr>
            <w:tcW w:w="0" w:type="dxa"/>
            <w:vAlign w:val="bottom"/>
          </w:tcPr>
          <w:p>
            <w:pPr>
              <w:spacing w:after="0"/>
              <w:rPr>
                <w:sz w:val="1"/>
                <w:szCs w:val="1"/>
                <w:color w:val="auto"/>
              </w:rPr>
            </w:pPr>
          </w:p>
        </w:tc>
      </w:tr>
      <w:tr>
        <w:trPr>
          <w:trHeight w:val="216"/>
        </w:trPr>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9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w:t>
            </w:r>
          </w:p>
        </w:tc>
      </w:tr>
      <w:tr>
        <w:trPr>
          <w:trHeight w:val="234"/>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w:t>
            </w:r>
          </w:p>
        </w:tc>
      </w:tr>
      <w:tr>
        <w:trPr>
          <w:trHeight w:val="630"/>
        </w:trPr>
        <w:tc>
          <w:tcPr>
            <w:tcW w:w="3740" w:type="dxa"/>
            <w:vAlign w:val="bottom"/>
          </w:tcPr>
          <w:p>
            <w:pPr>
              <w:spacing w:after="0"/>
              <w:rPr>
                <w:sz w:val="24"/>
                <w:szCs w:val="24"/>
                <w:color w:val="auto"/>
              </w:rPr>
            </w:pPr>
          </w:p>
        </w:tc>
        <w:tc>
          <w:tcPr>
            <w:tcW w:w="73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for Notices:</w:t>
            </w:r>
          </w:p>
        </w:tc>
      </w:tr>
      <w:tr>
        <w:trPr>
          <w:trHeight w:val="216"/>
        </w:trPr>
        <w:tc>
          <w:tcPr>
            <w:tcW w:w="3740" w:type="dxa"/>
            <w:vAlign w:val="bottom"/>
          </w:tcPr>
          <w:p>
            <w:pPr>
              <w:spacing w:after="0"/>
              <w:rPr>
                <w:sz w:val="18"/>
                <w:szCs w:val="18"/>
                <w:color w:val="auto"/>
              </w:rPr>
            </w:pPr>
          </w:p>
        </w:tc>
        <w:tc>
          <w:tcPr>
            <w:tcW w:w="73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c/o Lawrence Investments, LLC</w:t>
            </w:r>
          </w:p>
        </w:tc>
      </w:tr>
      <w:tr>
        <w:trPr>
          <w:trHeight w:val="216"/>
        </w:trPr>
        <w:tc>
          <w:tcPr>
            <w:tcW w:w="3740" w:type="dxa"/>
            <w:vAlign w:val="bottom"/>
          </w:tcPr>
          <w:p>
            <w:pPr>
              <w:spacing w:after="0"/>
              <w:rPr>
                <w:sz w:val="18"/>
                <w:szCs w:val="18"/>
                <w:color w:val="auto"/>
              </w:rPr>
            </w:pPr>
          </w:p>
        </w:tc>
        <w:tc>
          <w:tcPr>
            <w:tcW w:w="73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101 Ygnacio Valley Rd. Suite 320</w:t>
            </w:r>
          </w:p>
        </w:tc>
      </w:tr>
      <w:tr>
        <w:trPr>
          <w:trHeight w:val="234"/>
        </w:trPr>
        <w:tc>
          <w:tcPr>
            <w:tcW w:w="3740" w:type="dxa"/>
            <w:vAlign w:val="bottom"/>
          </w:tcPr>
          <w:p>
            <w:pPr>
              <w:spacing w:after="0"/>
              <w:rPr>
                <w:sz w:val="20"/>
                <w:szCs w:val="20"/>
                <w:color w:val="auto"/>
              </w:rPr>
            </w:pPr>
          </w:p>
        </w:tc>
        <w:tc>
          <w:tcPr>
            <w:tcW w:w="73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Walnut Creek, CA 94596</w:t>
            </w: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Number of Subscribed Shares subscribed for //</w:t>
            </w:r>
          </w:p>
        </w:tc>
        <w:tc>
          <w:tcPr>
            <w:tcW w:w="7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 of Termination Funding   ____________</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Subscribed Shares subscribed for:</w:t>
            </w:r>
          </w:p>
        </w:tc>
        <w:tc>
          <w:tcPr>
            <w:tcW w:w="24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w:t>
            </w:r>
          </w:p>
        </w:tc>
        <w:tc>
          <w:tcPr>
            <w:tcW w:w="244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 Termination Fee Purchase Price:</w:t>
            </w:r>
          </w:p>
        </w:tc>
        <w:tc>
          <w:tcPr>
            <w:tcW w:w="738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$40,400,000,000.00 // $5,800,000,000.00</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must pay the Purchase Price or the Termination Fee Purchase Price, as applicable, by wire transfer of United States dollars in immediately available funds to the account of the Company specified by the Company in the Closing Notice or Termination Funding Notice, as applicable.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Annex A should be completed by Subscriber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constitutes a part of the Subscription Agreement.</w:t>
      </w:r>
    </w:p>
    <w:p>
      <w:pPr>
        <w:spacing w:after="0" w:line="207"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box, if applicable)</w:t>
      </w:r>
    </w:p>
    <w:p>
      <w:pPr>
        <w:spacing w:after="0" w:line="184" w:lineRule="exact"/>
        <w:rPr>
          <w:rFonts w:ascii="Times New Roman" w:cs="Times New Roman" w:eastAsia="Times New Roman" w:hAnsi="Times New Roman"/>
          <w:sz w:val="18"/>
          <w:szCs w:val="18"/>
          <w:color w:val="auto"/>
        </w:rPr>
      </w:pPr>
    </w:p>
    <w:p>
      <w:pPr>
        <w:ind w:left="66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Subscriber is a “qualified institutional buyer” (as defined in Rule 144A under the Securities Act).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29"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box)</w:t>
      </w:r>
    </w:p>
    <w:p>
      <w:pPr>
        <w:spacing w:after="0" w:line="225" w:lineRule="exact"/>
        <w:rPr>
          <w:sz w:val="20"/>
          <w:szCs w:val="20"/>
          <w:color w:val="auto"/>
        </w:rPr>
      </w:pPr>
    </w:p>
    <w:p>
      <w:pPr>
        <w:ind w:left="1300" w:hanging="644"/>
        <w:spacing w:after="0" w:line="282" w:lineRule="auto"/>
        <w:tabs>
          <w:tab w:leader="none" w:pos="1300" w:val="left"/>
        </w:tabs>
        <w:numPr>
          <w:ilvl w:val="1"/>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7" w:lineRule="exact"/>
        <w:rPr>
          <w:rFonts w:ascii="MS PGothic" w:cs="MS PGothic" w:eastAsia="MS PGothic" w:hAnsi="MS PGothic"/>
          <w:sz w:val="18"/>
          <w:szCs w:val="18"/>
          <w:color w:val="auto"/>
        </w:rPr>
      </w:pPr>
    </w:p>
    <w:p>
      <w:pPr>
        <w:ind w:left="240" w:hanging="232"/>
        <w:spacing w:after="0"/>
        <w:tabs>
          <w:tab w:leader="none" w:pos="2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AND **</w:t>
      </w:r>
    </w:p>
    <w:p>
      <w:pPr>
        <w:spacing w:after="0" w:line="229"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check the applicable box)</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w:t>
      </w:r>
    </w:p>
    <w:p>
      <w:pPr>
        <w:spacing w:after="0" w:line="22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1"/>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institutional “accredited investor.”</w:t>
      </w:r>
    </w:p>
    <w:p>
      <w:pPr>
        <w:spacing w:after="0" w:line="180" w:lineRule="exact"/>
        <w:rPr>
          <w:sz w:val="20"/>
          <w:szCs w:val="20"/>
          <w:color w:val="auto"/>
        </w:rPr>
      </w:pPr>
    </w:p>
    <w:p>
      <w:pPr>
        <w:ind w:left="1300" w:hanging="644"/>
        <w:spacing w:after="0" w:line="282" w:lineRule="auto"/>
        <w:tabs>
          <w:tab w:leader="none" w:pos="1300"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small business investment company, private business development company, or rural business investment company;</w:t>
      </w:r>
    </w:p>
    <w:p>
      <w:pPr>
        <w:spacing w:after="0" w:line="161" w:lineRule="exact"/>
        <w:rPr>
          <w:rFonts w:ascii="MS PGothic" w:cs="MS PGothic" w:eastAsia="MS PGothic" w:hAnsi="MS PGothic"/>
          <w:sz w:val="18"/>
          <w:szCs w:val="18"/>
          <w:color w:val="auto"/>
        </w:rPr>
      </w:pPr>
    </w:p>
    <w:p>
      <w:pPr>
        <w:ind w:left="1300" w:hanging="644"/>
        <w:spacing w:after="0"/>
        <w:tabs>
          <w:tab w:leader="none" w:pos="1300"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registered pursuant to section 203 of the Investment Advisers Act or registered pursuant to the laws of a state;</w:t>
      </w:r>
    </w:p>
    <w:p>
      <w:pPr>
        <w:spacing w:after="0" w:line="225" w:lineRule="exact"/>
        <w:rPr>
          <w:rFonts w:ascii="MS PGothic" w:cs="MS PGothic" w:eastAsia="MS PGothic" w:hAnsi="MS PGothic"/>
          <w:sz w:val="18"/>
          <w:szCs w:val="18"/>
          <w:color w:val="auto"/>
        </w:rPr>
      </w:pPr>
    </w:p>
    <w:p>
      <w:pPr>
        <w:ind w:left="1300" w:hanging="644"/>
        <w:spacing w:after="0" w:line="282" w:lineRule="auto"/>
        <w:tabs>
          <w:tab w:leader="none" w:pos="1300"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relying on the exemption from registering with the Commission under section 203(l) or (m) of the Investment Advisers Act;</w:t>
      </w:r>
    </w:p>
    <w:p>
      <w:pPr>
        <w:spacing w:after="0" w:line="161" w:lineRule="exact"/>
        <w:rPr>
          <w:rFonts w:ascii="MS PGothic" w:cs="MS PGothic" w:eastAsia="MS PGothic" w:hAnsi="MS PGothic"/>
          <w:sz w:val="18"/>
          <w:szCs w:val="18"/>
          <w:color w:val="auto"/>
        </w:rPr>
      </w:pPr>
    </w:p>
    <w:p>
      <w:pPr>
        <w:ind w:left="1300" w:hanging="644"/>
        <w:spacing w:after="0" w:line="282" w:lineRule="auto"/>
        <w:tabs>
          <w:tab w:leader="none" w:pos="1300"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both"/>
        <w:ind w:left="644" w:hanging="644"/>
        <w:spacing w:after="0" w:line="261"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Title I of the Employee Retirement Income Security Act of 1974 (“ERISA”),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179"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17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other than an entity described in the categories of “accredited investors” above, not formed for the specific purpose of acquiring the securities offered, owning investments in excess of $5,000,000;</w:t>
      </w:r>
    </w:p>
    <w:p>
      <w:pPr>
        <w:spacing w:after="0" w:line="161"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79"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client,” as defined under the Investment Advisers Act, of a family office meeting the requirements in the previous paragraph and whose prospective investment in the issuer is directed by such family office pursuant to the previous paragraph; or</w:t>
      </w:r>
    </w:p>
    <w:p>
      <w:pPr>
        <w:spacing w:after="0" w:line="161" w:lineRule="exact"/>
        <w:rPr>
          <w:rFonts w:ascii="MS PGothic" w:cs="MS PGothic" w:eastAsia="MS PGothic" w:hAnsi="MS PGothic"/>
          <w:sz w:val="18"/>
          <w:szCs w:val="18"/>
          <w:color w:val="auto"/>
        </w:rPr>
      </w:pPr>
    </w:p>
    <w:p>
      <w:pPr>
        <w:ind w:left="644" w:right="4800" w:hanging="644"/>
        <w:spacing w:after="0" w:line="477"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[Specify which tests:             ]</w:t>
      </w:r>
    </w:p>
    <w:p>
      <w:pPr>
        <w:spacing w:after="0" w:line="41" w:lineRule="exact"/>
        <w:rPr>
          <w:rFonts w:ascii="MS PGothic" w:cs="MS PGothic" w:eastAsia="MS PGothic" w:hAnsi="MS PGothic"/>
          <w:sz w:val="18"/>
          <w:szCs w:val="18"/>
          <w:color w:val="auto"/>
        </w:rPr>
      </w:pPr>
    </w:p>
    <w:p>
      <w:pPr>
        <w:ind w:left="644" w:right="20" w:hanging="644"/>
        <w:spacing w:after="0" w:line="282"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or spousal equivalent, exceeds $1,000,000. For purposes of calculating a natural person’s net worth: (a) the person’s primary residence shall not be included as an asset;</w:t>
      </w:r>
    </w:p>
    <w:p>
      <w:pPr>
        <w:jc w:val="both"/>
        <w:ind w:left="644"/>
        <w:spacing w:after="0" w:line="25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3" w:name="page154"/>
    <w:bookmarkEnd w:id="153"/>
    <w:p>
      <w:pPr>
        <w:jc w:val="both"/>
        <w:ind w:left="644" w:hanging="644"/>
        <w:spacing w:after="0" w:line="266" w:lineRule="auto"/>
        <w:tabs>
          <w:tab w:leader="none" w:pos="644"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7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holding in good standing one or more professional certifications or designations or credentials from an accredited educational institution that the Commission has designated as qualifying an individual for accredited investor status; or</w:t>
      </w:r>
    </w:p>
    <w:p>
      <w:pPr>
        <w:spacing w:after="0" w:line="161"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color w:val="auto"/>
        </w:rPr>
        <w:t>Exhibit (a)(5)(N)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ELLISON GUARANTEE</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This GUARANTEE, dated as of [ ● ] (this “</w:t>
      </w:r>
      <w:r>
        <w:rPr>
          <w:rFonts w:ascii="Times New Roman" w:cs="Times New Roman" w:eastAsia="Times New Roman" w:hAnsi="Times New Roman"/>
          <w:sz w:val="17"/>
          <w:szCs w:val="17"/>
          <w:u w:val="single" w:color="auto"/>
          <w:color w:val="auto"/>
        </w:rPr>
        <w:t>Ellison Guarantee</w:t>
      </w:r>
      <w:r>
        <w:rPr>
          <w:rFonts w:ascii="Times New Roman" w:cs="Times New Roman" w:eastAsia="Times New Roman" w:hAnsi="Times New Roman"/>
          <w:sz w:val="17"/>
          <w:szCs w:val="17"/>
          <w:color w:val="auto"/>
        </w:rPr>
        <w:t>”), sets forth the terms and conditions of the guarantee of each of The Lawrence J. Ellison Revocable Trust, u/a/d 1/22/88, as amended (the “</w:t>
      </w: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 and Mr. Lawrence J. Ellison (“</w:t>
      </w:r>
      <w:r>
        <w:rPr>
          <w:rFonts w:ascii="Times New Roman" w:cs="Times New Roman" w:eastAsia="Times New Roman" w:hAnsi="Times New Roman"/>
          <w:sz w:val="17"/>
          <w:szCs w:val="17"/>
          <w:u w:val="single" w:color="auto"/>
          <w:color w:val="auto"/>
        </w:rPr>
        <w:t>L. Ellison</w:t>
      </w:r>
      <w:r>
        <w:rPr>
          <w:rFonts w:ascii="Times New Roman" w:cs="Times New Roman" w:eastAsia="Times New Roman" w:hAnsi="Times New Roman"/>
          <w:sz w:val="17"/>
          <w:szCs w:val="17"/>
          <w:color w:val="auto"/>
        </w:rPr>
        <w:t>”) in favor of Warner Bros. Discovery, Inc., a Delaware corporation (the “</w:t>
      </w:r>
      <w:r>
        <w:rPr>
          <w:rFonts w:ascii="Times New Roman" w:cs="Times New Roman" w:eastAsia="Times New Roman" w:hAnsi="Times New Roman"/>
          <w:sz w:val="17"/>
          <w:szCs w:val="17"/>
          <w:u w:val="single" w:color="auto"/>
          <w:color w:val="auto"/>
        </w:rPr>
        <w:t>Guaranteed Party</w:t>
      </w:r>
      <w:r>
        <w:rPr>
          <w:rFonts w:ascii="Times New Roman" w:cs="Times New Roman" w:eastAsia="Times New Roman" w:hAnsi="Times New Roman"/>
          <w:sz w:val="17"/>
          <w:szCs w:val="17"/>
          <w:color w:val="auto"/>
        </w:rPr>
        <w:t>”). Each of the Trust and L. Ellison is referred to herein, individually, as a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Capitalized terms used herein but not defined shall have the meanings ascribed to such terms in the Merger Agreement (as defined below).</w:t>
      </w:r>
    </w:p>
    <w:p>
      <w:pPr>
        <w:spacing w:after="0" w:line="160"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IRREVOCABLE GUARANTEE.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 To induce the Guaranteed Party to enter into the Agreement and Plan of Merger among the Guaranteed Party, Paramount Skydance Corporation,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and Prince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Paramount will, directly or indirectly, acquire the Guaranteed Party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Guarantors (jointly and severally), intending to be legally bound, as primary obligor and not merely as a surety, hereby absolutely, irrevocably and unconditionally guarantee to the Guaranteed Party the due and punctual payment, performance and discharge by Paramount and Merger Sub, if and when due pursuant to or in connection with the Merger Agreement of:</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1.1.1. $40,400,000,000 funding of the Merger Consideration immediately prior to the Closing through the subscription of the Subscribed Shares (as defined in the Subscription Agreement) pursuant to that certain Subscription Agreement, dated [ ● ], by and among Paramount, the Trust, and L. Ellison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(it being understood that the failure of the Closing to occur as a result of any breach by Paramount or Merger Sub of the Merger Agreement shall not limit the ability of the Guaranteed Party to seek to enforce these obligations against the Guarantors hereunder so long as the Guaranteed Party is also concurrently seeking to cause the Closing to occur in accordance with the terms of the Merger Agreement); and</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1.1.2. (x) any monetary damages payable by Paramount or Merger Sub under the Merger Agreement or (y) the Regulatory Termination Fee and any other costs and expenses that become payable under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of the Merger Agreement (such obligations, together with the obligations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1.2. This Ellison Guarantee may be enforced only for performance of the Guarantors’ obligations hereunder, including for the payment of money. All payments hereunder shall be made in lawful money of the United States, in immediately available funds.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1.3. If Paramount or Merger Sub fails to pay all or any portion of the Guaranteed Obligations when due under and in accordance with the Merger Agreement, the Guarantors’ liability to the Guaranteed Party hereunder in respect of such Guaranteed Obligations shall, on the Guaranteed Party’s demand, become immediately due and payable, and the Guaranteed Party may at any time and from time to time, at the Guaranteed Party’s option, take any and all actions available hereunder to collect the unsatisfied Guaranteed Obligations from the Guarantors. Each Guarantor acknowledges and agrees that this Ellison Guarantee is being delivered as a condition and inducement to the Guaranteed Party’s willingness to enter into the Merger Agreement, and that the Guaranteed Party is entering into the Merger Agreement in reliance upon the execution of this Ellison Guarantee.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The Guaranteed Party hereby agrees that the Guarantors shall not have any obligation or liability to any Person under this Ellison Guarantee or the Merger Agreement other than as and to the extent expressly set forth in this Ellison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5" w:name="page156"/>
    <w:bookmarkEnd w:id="15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1.5. In furtherance of the foregoing, the Guarantors acknowledge that the Guaranteed Party may, in its sole discretion, bring and prosecute a separate action or actions against each Guarantor for all or a portion of the unsatisfied Guaranteed Obligations, regardless of whether any such action is brought against Paramount, Merger Sub, the other Guarantor or any other Person, or whether Paramount, Merger Sub, the other Guarantor or any other Person is joined in any such action or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Guaranteed Party may not recover more than once in respect of the same Guaranteed Obligation). The Guaranteed Party shall not be required to proceed against Paramount or Merger Sub first before proceeding against any Guarantor, and any failure by the Guaranteed Party to pursue such rights and remedies it may have against Paramount or Merger Sub or to collect any payments from Paramount or Merger Sub shall not relieve the Guarantors of any liability hereunder.</w:t>
      </w:r>
    </w:p>
    <w:p>
      <w:pPr>
        <w:spacing w:after="0" w:line="185" w:lineRule="exact"/>
        <w:rPr>
          <w:sz w:val="20"/>
          <w:szCs w:val="20"/>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GUARANTEE.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Each of the Guarantor’s liability hereunder is absolute, unconditional, irrevocable and continuing (except in the case where this Ellison Guarantee is terminated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Without limiting the foregoing, the Guaranteed Party shall not be obligated to file any claim relating to the Guaranteed Obligations in the event that Paramount or Merger Sub becomes subject to a bankruptcy, reorganization or similar proceeding, and the failure of the Guaranteed Party to so file shall not affect the Guarantors’ obligations hereunder. In the event that any payment hereunder is rescinded or must otherwise be, and is, returned to a Guarantor for any reason whatsoever (other than circumstances where a Guarantor is not liable to make such payment), this Ellison Guarantee shall continue to be effective or be reinstated, as the case may be, and the Guarantors shall remain liable hereunder for the Guaranteed Obligations as if such payment had not been made. This Ellison Guarantee is an absolute, unconditional and irrevocable guarantee of payment and not of collection. Notwithstanding any other provision of this Ellison Guarantee, the Guaranteed Party hereby agrees that each Guarantor may assert as a defense to or release or discharge of, any payment by such Guarantor under this Ellison Guarantee, any claim, set-off, deduction, defense or release that Paramount or Merger Sub could assert against the Guaranteed Party under the terms of, or with respect to, the Merger Agreement (other than (i) any defense, claims, set-off, deduction or release based on lack of authority of Paramount or Merger Sub or any other defense that would not exist if the representations or warranties of Paramount and Merger Sub under the Merger Agreement were true and correct, or (ii) any defense based on any insolvency, bankruptcy, reorganization or other similar case or proceeding involving Paramount, Merger Sub or either Guarantor or principles of fraudulent conveyance).</w:t>
      </w:r>
    </w:p>
    <w:p>
      <w:pPr>
        <w:spacing w:after="0" w:line="193" w:lineRule="exact"/>
        <w:rPr>
          <w:sz w:val="20"/>
          <w:szCs w:val="20"/>
          <w:color w:val="auto"/>
        </w:rPr>
      </w:pPr>
    </w:p>
    <w:p>
      <w:pPr>
        <w:ind w:left="640" w:hanging="632"/>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OBLIGATIONS, CERTAIN WAIVERS.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3.1. Each of the Guarantors agrees that the Guaranteed Party may, in its sole discretion, at any time and from time to time, without notice to or further consent of either Guarantor, extend the time of payment of any of the Guaranteed Obligations, and may also enter into any agreement with Paramount, Merger Sub or any other person interested in the transactions contemplated by the Merger Agreement for the extension, renewal, payment, compromise, discharge or release thereof, in whole or in part, or for any modification of the terms of the Merger Agreement, without in any way impairing or affecting the Guarantors’ respective obligations under this Ellison Guarantee or affecting the validity or enforceability of this Ellison Guarantee. The liability of each Guarantor under this Ellison Guarantee shall be irrevocable, absolute and unconditional irrespective of, and each Guarantor agrees that the obligations of such Guarantor hereunder shall not be released or discharged, in whole or in part, or otherwise affected by (except in the case where this Ellison Guarantee is terminated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(a) any amendment or modification of the Merger Agreement made in accordance with the terms thereof, or the failure or delay on the part of the Guaranteed Party to assert any claim or demand or to enforce any right or remedy under the Merger Agreement or in respect of the Guaranteed Obligations (with or without notice to such Guarantor); (b) any change in the time, place or manner of payment of any of the Guaranteed Obligations, or any extension, waiver, compromise, consolidation or other amendment or modification of any of the terms or provisions of the Merger Agreement (including with respect to the Guaranteed Obligations) made in accordance with the terms thereof; (c) any lack of validity, legality or enforceability of the Merger Agreement; (d) any change in the legal existence, structure or ownership of Paramount, Merger Sub, any Guarantor or any other person now or hereafter liable with respect to the Guaranteed Obligations or otherwise interested in the transactions contemplated by the Merger Agreement; (e) any insolvency, bankruptcy, reorganization or other similar proceeding affecting Paramount, Merger Sub or any other person now or hereafter liable with respect to the Guaranteed Obligations or otherwise interested in the transactions contemplated by the Merger Agreement; (f) the existence of any claim, set-off or other right that the Guarantors may have at any time against Paramount, Merger Sub, the Guaranteed Party or any other person, whether in connection with the Guaranteed Obligations or otherwise (other than as expressly provided herein); (g) any default by Paramount or Merger Sub under the Merger Agreement or any default by the other Guarantor hereunder; (h) any change in law; (i) the addition, substitution, discharge or release of any person in respect of the transactions contemplated by the Merger Agreement; or (j) the adequacy of any means the Guaranteed Party may have of obtaining payment related to the Guaranteed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each Guarantor shall be fully released and discharged hereunder if the applicable Guaranteed Obligations are paid in full as required by the Merger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3.2. Subject to the terms of this Ellison Guarantee and the Merger Agreement, to the fullest extent permitted by applicable law, each Guarantor hereby expressly waives any and all rights or defenses arising by reason of any applicable law which would otherwise require any election of remedies by the Guaranteed Party. Each Guarantor waives promptness, diligence, notice of the acceptance of this Ellison Guarantee and of the Guaranteed Obligations, presentment, demand for payment, notice of non-performance, default, dishonor and protest, notice of any Guaranteed Obligations incurred and all other notices of any kind (other than notices to Paramount or Merger Sub pursuant to the Merger Agreement and notices to the Guarantors pursuant to express provisions of this Ellison Guarantee), all defenses which may be available by virtue of any valuation, stay, moratorium or other similar applicable law now or hereafter in effect, any right to require the marshalling of assets of Paramount, Merger Sub, the other Guarantor or any other person now or hereafter liable with respect to the Guaranteed Obligations or otherwise interested in the transactions contemplated by the Merger Agreement and all suretyship defenses generally (other than (i) defenses to the payment of Guaranteed Obligations that are available to Paramount or Merger Sub under the Merger Agreement, (ii) payment in full of the Guaranteed Obligations as required by the Merger Agreement, or (iii) Fraud or Willful Breach by the Guaranteed Party). Each Guarantor acknowledges that it will receive substantial direct and indirect benefits from the transactions contemplated by the Merger Agreement and that the waivers set forth in this Ellison Guarantee are knowingly made in contemplation of such benefits.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3.3. Each Guarantor hereby absolutely, unconditionally and irrevocably waives, and agrees not to exercise, any rights that it may now have or hereafter acquire against Paramount, Merger Sub or any other person interested in the transactions contemplated by the Merger Agreement that arise from the existence, payment, performance, or enforcement of such Guarantor’s obligations under or in respect of this Ellison Guarantee or any other agreement in connection therewith (subject to the limitations set forth herein), including, without limitation, any right of subrogation, reimbursement, exoneration, contribution or indemnification and any right to participate in any claim or remedy of the Guaranteed Party against Paramount, Merger Sub or such other person, whether or not such claim, remedy or right arises in equity or under contract, statute or common law, including, without limitation, the right to take or receive from Paramount, Merger Sub or such other person, directly or indirectly, in cash or other property or by set-off or in any other manner, payment or security on account of such claim, remedy or right, and such Guarantor shall not exercise any such rights unless and until the Guaranteed Obligations (subject to the limitations set forth herein) shall have been paid in full. If any amount shall be paid to the Guarantors in violation of the immediately preceding sentence at any time prior to the payment in full in immediately available funds of all amounts payable by the Guarantors under this Ellison Guarantee (which shall be subject to the limitations set forth herein), such amount shall be received and held in trust for the benefit of the Guaranteed Party, shall be segregated from other property and funds of the applicable Guarantor and shall forthwith be promptly paid or delivered to the Guaranteed Party in the same form as so received (with any necessary endorsement or assignment) to be credited and applied to all amounts payable by the applicable Guarantor under this Ellison Guarantee, whether matured or unmatured, or to be held as collateral for the Guaranteed Obligations thereafter arising.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3.4. Notwithstanding anything to the contrary contained in this Ellison Guarantee or otherwise, the Guaranteed Party hereby agrees that each Guarantor may assert, as a defense to, or release or discharge of, any payment by such Guarantor under this Ellison Guarantee, any claim, set-off, deduction, defense or release that Paramount or Merger Sub could assert against the Guaranteed Party under the terms of, or with respect to, the Merger Agreement (other than (i) any defense, claims, set-off, deduction or release based on lack of authority of Paramount or Merger Sub or any other defense that would not exist if the representations or warranties of Paramount and Merger Sub under the Merger Agreement were true and correct, or (ii) any defense based on any insolvency, bankruptcy, reorganization or other similar case or proceeding involving Paramount, Merger Sub or either Guarantor or principles of fraudulent conveyance).</w:t>
      </w:r>
    </w:p>
    <w:p>
      <w:pPr>
        <w:spacing w:after="0" w:line="185" w:lineRule="exact"/>
        <w:rPr>
          <w:sz w:val="20"/>
          <w:szCs w:val="20"/>
          <w:color w:val="auto"/>
        </w:rPr>
      </w:pPr>
    </w:p>
    <w:p>
      <w:pPr>
        <w:ind w:left="640" w:hanging="632"/>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WAIVER; CUMULATIVE RIGHTS.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 No failure on the part of the Guaranteed Party to exercise, and no delay in exercising, any right, remedy or power hereunder shall operate as a waiver thereof, nor shall any single or partial exercise by the Guaranteed Party of any right, remedy or power hereunder preclude any other or future exercise of any right, remedy or power hereunder. Each and every right, remedy and power hereby granted to the Guaranteed Party or allowed it by applicable law or other agreement shall be cumulative and not exclusive of any other, and may be exercised by the Guaranteed Party at any time or from time to time. Nothing in this Ellison Guarantee shall limit in any way the right of the Guaranteed Party to seek (and, if applicable, obtain) any equitable relief under, and subject to the limitations in, the Merger Agreement.</w:t>
      </w:r>
    </w:p>
    <w:p>
      <w:pPr>
        <w:spacing w:after="0" w:line="183" w:lineRule="exact"/>
        <w:rPr>
          <w:sz w:val="20"/>
          <w:szCs w:val="20"/>
          <w:color w:val="auto"/>
        </w:rPr>
      </w:pPr>
    </w:p>
    <w:p>
      <w:pPr>
        <w:ind w:left="640" w:hanging="632"/>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COVENANT.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The Trust hereby represents and warrants to the Guaranteed Party that:</w:t>
      </w:r>
    </w:p>
    <w:p>
      <w:pPr>
        <w:spacing w:after="0" w:line="225" w:lineRule="exact"/>
        <w:rPr>
          <w:sz w:val="20"/>
          <w:szCs w:val="20"/>
          <w:color w:val="auto"/>
        </w:rPr>
      </w:pPr>
    </w:p>
    <w:p>
      <w:pPr>
        <w:ind w:left="1300"/>
        <w:spacing w:after="0"/>
        <w:tabs>
          <w:tab w:leader="none" w:pos="22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the Trust is duly established and validly existing under the laws of its jurisdiction of organization;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5.1.2. the Trust has all necessary organizational power and authority to execute and deliver this Ellison Guarantee and to perform its obligations hereunder;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5.1.3. the Trust has, and will continue to have for so long as this Ellison Guarantee is in effect, the financial capacity to pay and perform its obligations under this Ellison Guarantee, taking into account its obligations hereunder and all of its other obligations, and all funds necessary for the Trust to fulfill its obligations under this Ellison Guarantee (including the Guaranteed Obligations) shall be available to the Trust for so long as this Ellison Guarantee shall remain in effect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5.1.4. the execution, delivery and performance by the Trust of this Ellison Guarantee have been duly and validly authorized by all necessary action and do not contravene any provision of the Trust’s trust agreement or similar organizational documents or any applicable law or any material contractual restriction binding on the Trust or its assets;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5.1.5. all consents, approvals, authorizations, permits of, filings with and notifications to, any governmental entity necessary for the due execution, delivery and performance of this Ellison Guarantee by the Trust have been obtained or made and all conditions thereof have been duly complied with, and no other action by, and no notice to or filing with, any governmental entity is required in connection with the execution, delivery or performance of this Ellison Guarantee;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5.1.6. this Ellison Guarantee has been duly and validly executed and delivered by the Trust and, assuming due execution and delivery by the Guaranteed Party, constitutes a legal, valid and binding obligation of the Trust enforceable against the Trust in accordance with its terms, subject to (1) applicable bankruptcy, insolvency, reorganization, moratorium and similar applicable laws affecting creditors’ rights and remedies generally, and (2) as to enforceability, to general principles of equity (regardless of whether enforcement is sought in an action at law or in equity); and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5.1.7. the execution and delivery of this Ellison Guarantee by the Trust does not, and the performance of this Ellison Guarantee by the Trust will not, (i) conflict with or violate the organizational documents of the Trust, (ii) conflict with or violate any law applicable to the Trust or by which any of its properties or assets is bound or affected or (iii) result in any breach or violation of, or constitute a default (or an event which, with notice or lapse of time or both, would become a default) under, or give to others any right of termination, amendment, acceleration or cancellation of, any contract or other instrument or obligation to which the Trust is a party or by which the Trust or any of its properties or assets is bound or affected, except, with respect to each of the foregoing clauses (ii) and (iii), for any such conflicts, violations, breaches, defaults or other occurrences which would not reasonably be expected to, individually or in the aggregate, materially affect its ability to enter into or timely perform its obligations under this Ellison Guarantee.</w:t>
      </w:r>
    </w:p>
    <w:p>
      <w:pPr>
        <w:spacing w:after="0" w:line="19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L. Ellison hereby represents and warrants to the Guaranteed Party that: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5.2.1. he has all necessary power and authority and legal capacity to execute and deliver this Ellison Guarantee and to perform his obligations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5.2.2. he has, together with the Trust, and will continue to have, together with the Trust, for so long as this Ellison Guarantee is in effect, the financial capacity to pay and perform his obligations under this Ellison Guarantee, taking into account his and the Trusts’ obligations hereunder and all of his and the Trusts’ other obligations, and all funds necessary for him and the Trust to fulfill their obligations under this Ellison Guarantee (including the Guaranteed Obligations) shall be available to him or the Trust for so long as this Ellison Guarantee shall remain in effect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5.2.3. the execution, delivery and performance by L. Ellison of this Ellison Guarantee has been duly and validly authorized by all necessary action and do not contravene any applicable law or any material contractual restriction binding on him or his assets;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5.2.4. all consents, approvals, authorizations, permits of, filings with and notifications to, any governmental entity necessary for the due execution, delivery and performance of this Ellison Guarantee by L. Ellison have been obtained or made and all conditions thereof have been duly complied with, and no other action by, and no notice to or filing with, any governmental entity is required in connection with the execution, delivery or performance of this Ellison Guarantee;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5.2.5. this Ellison Guarantee has been duly and validly executed and delivered by L. Ellison and, assuming due execution and delivery by the Guaranteed Party, constitutes a legal, valid and binding obligation of L. Ellison enforceable against him in accordance with its terms, subject to (1) applicable bankruptcy, insolvency, reorganization, moratorium and similar applicable laws affecting creditors’ rights and remedies generally, and (2) as to enforceability, to general principles of equity (regardless of whether enforcement is sought in an action at law or in equity); and</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9" w:name="page160"/>
    <w:bookmarkEnd w:id="159"/>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5.2.6. the execution and delivery of this Ellison Guarantee by L. Ellison does not, and the performance of this Ellison Guarantee by L. Ellison will not, (i) conflict with or violate any law applicable to him or by which any of his properties or assets is bound or affected or</w:t>
      </w:r>
    </w:p>
    <w:p>
      <w:pPr>
        <w:jc w:val="both"/>
        <w:ind w:left="660" w:hanging="4"/>
        <w:spacing w:after="0" w:line="253" w:lineRule="auto"/>
        <w:tabs>
          <w:tab w:leader="none" w:pos="9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or violation of, or constitute a default (or an event which, with notice or lapse of time or both, would become a default) under, or give to others any right of termination, amendment, acceleration or cancellation of, any contract or other instrument or obligation to which L. Ellison is a party or by which L. Ellison or any of his properties or assets is bound or affected, except, with respect to each of the foregoing clauses (i) and (ii), for any such conflicts, violations, breaches, defaults or other occurrences which would not reasonably be expected to, individually or in the aggregate, materially affect his ability to enter into or timely perform its obligations under this Ellison Guarantee.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 Each of the Guarantors covenants and agrees that it will not sell, pledge, assign, transfer, dispose of or encumber its assets in any manner that would or would reasonably be expected to adversely impact its ability to perform its obligations hereunder, including payment of the Guaranteed Obligations. Without limiting the generality of the foregoing, L. Ellison covenants and agrees that he will not revoke the Trust or otherwise take any action with the intent of avoiding payment or performance of the Guaranteed Obligations in accordance with the terms of this Ellison Guarantee.</w:t>
      </w:r>
    </w:p>
    <w:p>
      <w:pPr>
        <w:spacing w:after="0" w:line="176" w:lineRule="exact"/>
        <w:rPr>
          <w:sz w:val="20"/>
          <w:szCs w:val="20"/>
          <w:color w:val="auto"/>
        </w:rPr>
      </w:pPr>
    </w:p>
    <w:p>
      <w:pPr>
        <w:ind w:left="640" w:hanging="632"/>
        <w:spacing w:after="0"/>
        <w:tabs>
          <w:tab w:leader="none" w:pos="6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ASSIGNMENT.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Neither of the Guarantors nor the Guaranteed Party may assign or delegate, as applicable, its respective rights, interests or obligations hereunder, in whole or in part, to any other person (whether by operation of law or otherwise) without the prior written consent of the Guaranteed Party (in the case of assignment by a Guarantor) or the Guarantors (in the case of assignment by the Guaranteed Party). Any assignment or delegation in breach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null and void and of no force and effect.</w:t>
      </w:r>
    </w:p>
    <w:p>
      <w:pPr>
        <w:spacing w:after="0" w:line="176" w:lineRule="exact"/>
        <w:rPr>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7.1. Any notice or other communication required or permitted to be delivered to any party under this Ellison Guarantee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6:00 p.m. recipient’s local time, upon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(d) if sent by email transmission after 6:00 p.m. recipient’s local time, on the business day following the date of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the notice or other communication is sent to the physical address or email address set forth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Guarantors: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Lawrence J. Ellison Revocable Trust u/a/d 1/22/88, as amended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Lawrence Investments,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 Ygnacio Valley Rd., Suite 320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Walnut Creek, CA 94596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Paul T. Marinelli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ptm@lawrenceinv.com and copy to notices@lawrenceinv.com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1271 Avenue of the Americans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Ian Nussbaum; Max Schleusener; Rick Offsay</w:t>
      </w:r>
    </w:p>
    <w:tbl>
      <w:tblPr>
        <w:tblLayout w:type="fixed"/>
        <w:tblInd w:w="0" w:type="dxa"/>
        <w:tblCellMar>
          <w:top w:w="0" w:type="dxa"/>
          <w:left w:w="0" w:type="dxa"/>
          <w:bottom w:w="0" w:type="dxa"/>
          <w:right w:w="0" w:type="dxa"/>
        </w:tblCellMar>
      </w:tblPr>
      <w:tr>
        <w:trPr>
          <w:trHeight w:val="207"/>
        </w:trPr>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Email:</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Ian.Nussbaum@lw.com; Max.Schleusener@lw.com;</w:t>
            </w:r>
          </w:p>
        </w:tc>
      </w:tr>
      <w:tr>
        <w:trPr>
          <w:trHeight w:val="234"/>
        </w:trPr>
        <w:tc>
          <w:tcPr>
            <w:tcW w:w="2200" w:type="dxa"/>
            <w:vAlign w:val="bottom"/>
          </w:tcPr>
          <w:p>
            <w:pPr>
              <w:spacing w:after="0"/>
              <w:rPr>
                <w:sz w:val="20"/>
                <w:szCs w:val="20"/>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Rick.Offsay@lw.com</w:t>
            </w:r>
          </w:p>
        </w:tc>
      </w:tr>
      <w:tr>
        <w:trPr>
          <w:trHeight w:val="648"/>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4"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and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600" w:right="3640" w:hanging="1295"/>
        <w:spacing w:after="0" w:line="250" w:lineRule="auto"/>
        <w:rPr>
          <w:sz w:val="20"/>
          <w:szCs w:val="20"/>
          <w:color w:val="auto"/>
        </w:rPr>
      </w:pPr>
      <w:r>
        <w:rPr>
          <w:rFonts w:ascii="Times New Roman" w:cs="Times New Roman" w:eastAsia="Times New Roman" w:hAnsi="Times New Roman"/>
          <w:sz w:val="18"/>
          <w:szCs w:val="18"/>
          <w:color w:val="auto"/>
        </w:rPr>
        <w:t>Attention:              Faiza Saeed; Daniel Cerqueira; Claudia Ricciardi; Alexander Greenberg; Minh Van Ngo</w:t>
      </w:r>
    </w:p>
    <w:p>
      <w:pPr>
        <w:spacing w:after="0" w:line="1" w:lineRule="exact"/>
        <w:rPr>
          <w:sz w:val="20"/>
          <w:szCs w:val="20"/>
          <w:color w:val="auto"/>
        </w:rPr>
      </w:pPr>
    </w:p>
    <w:p>
      <w:pPr>
        <w:ind w:left="2600" w:right="3680" w:hanging="1295"/>
        <w:spacing w:after="0" w:line="290" w:lineRule="auto"/>
        <w:rPr>
          <w:sz w:val="20"/>
          <w:szCs w:val="20"/>
          <w:color w:val="auto"/>
        </w:rPr>
      </w:pPr>
      <w:r>
        <w:rPr>
          <w:rFonts w:ascii="Times New Roman" w:cs="Times New Roman" w:eastAsia="Times New Roman" w:hAnsi="Times New Roman"/>
          <w:sz w:val="17"/>
          <w:szCs w:val="17"/>
          <w:color w:val="auto"/>
        </w:rPr>
        <w:t>Email:                      fsaeed@cravath.com; dcerqueira@cravath.com; cricciardi@cravath.com; agreenberg@cravath.com; mngo@cravath.com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Guaranteed Party:</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Warner Bros. Discovery, Inc.</w:t>
      </w:r>
    </w:p>
    <w:p>
      <w:pPr>
        <w:sectPr>
          <w:pgSz w:w="11900" w:h="16838" w:orient="portrait"/>
          <w:cols w:equalWidth="0" w:num="1">
            <w:col w:w="11240"/>
          </w:cols>
          <w:pgMar w:left="320" w:top="904" w:right="339" w:bottom="1440" w:gutter="0" w:footer="0" w:header="0"/>
        </w:sectPr>
      </w:pP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Address Line 1</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Address Line 2</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120" w:space="480"/>
            <w:col w:w="664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ectPr>
          <w:pgSz w:w="11900" w:h="16838" w:orient="portrait"/>
          <w:cols w:equalWidth="0" w:num="1">
            <w:col w:w="11240"/>
          </w:cols>
          <w:pgMar w:left="320" w:top="904" w:right="339" w:bottom="1440" w:gutter="0" w:footer="0" w:header="0"/>
          <w:type w:val="continuous"/>
        </w:sectPr>
      </w:pP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66 Hudson Boulevard</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New York, New York 10001</w:t>
      </w:r>
    </w:p>
    <w:tbl>
      <w:tblPr>
        <w:tblLayout w:type="fixed"/>
        <w:tblInd w:w="0" w:type="dxa"/>
        <w:tblCellMar>
          <w:top w:w="0" w:type="dxa"/>
          <w:left w:w="0" w:type="dxa"/>
          <w:bottom w:w="0" w:type="dxa"/>
          <w:right w:w="0" w:type="dxa"/>
        </w:tblCellMar>
      </w:tblPr>
      <w:tr>
        <w:trPr>
          <w:trHeight w:val="207"/>
        </w:trPr>
        <w:tc>
          <w:tcPr>
            <w:tcW w:w="4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Attention:</w:t>
            </w: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Jonathan E. Levitsky</w:t>
            </w:r>
          </w:p>
        </w:tc>
      </w:tr>
      <w:tr>
        <w:trPr>
          <w:trHeight w:val="216"/>
        </w:trPr>
        <w:tc>
          <w:tcPr>
            <w:tcW w:w="44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Gordon S. Moodie</w:t>
            </w:r>
          </w:p>
        </w:tc>
      </w:tr>
      <w:tr>
        <w:trPr>
          <w:trHeight w:val="216"/>
        </w:trPr>
        <w:tc>
          <w:tcPr>
            <w:tcW w:w="44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Katherine D. Taylor</w:t>
            </w:r>
          </w:p>
        </w:tc>
      </w:tr>
      <w:tr>
        <w:trPr>
          <w:trHeight w:val="216"/>
        </w:trPr>
        <w:tc>
          <w:tcPr>
            <w:tcW w:w="44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Erik J. Andren</w:t>
            </w:r>
          </w:p>
        </w:tc>
      </w:tr>
      <w:tr>
        <w:trPr>
          <w:trHeight w:val="216"/>
        </w:trPr>
        <w:tc>
          <w:tcPr>
            <w:tcW w:w="4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Email:</w:t>
            </w: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jelevitsky@debevoise.com</w:t>
            </w:r>
          </w:p>
        </w:tc>
      </w:tr>
      <w:tr>
        <w:trPr>
          <w:trHeight w:val="216"/>
        </w:trPr>
        <w:tc>
          <w:tcPr>
            <w:tcW w:w="44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gsmoodie@debevoise.com</w:t>
            </w:r>
          </w:p>
        </w:tc>
      </w:tr>
      <w:tr>
        <w:trPr>
          <w:trHeight w:val="216"/>
        </w:trPr>
        <w:tc>
          <w:tcPr>
            <w:tcW w:w="44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ketaylor@debevoise.com</w:t>
            </w:r>
          </w:p>
        </w:tc>
      </w:tr>
      <w:tr>
        <w:trPr>
          <w:trHeight w:val="234"/>
        </w:trPr>
        <w:tc>
          <w:tcPr>
            <w:tcW w:w="4480" w:type="dxa"/>
            <w:vAlign w:val="bottom"/>
          </w:tcPr>
          <w:p>
            <w:pPr>
              <w:spacing w:after="0"/>
              <w:rPr>
                <w:sz w:val="20"/>
                <w:szCs w:val="20"/>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ejandren@debevoise.com</w:t>
            </w:r>
          </w:p>
        </w:tc>
      </w:tr>
      <w:tr>
        <w:trPr>
          <w:trHeight w:val="432"/>
        </w:trPr>
        <w:tc>
          <w:tcPr>
            <w:tcW w:w="4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to:</w:t>
            </w:r>
          </w:p>
        </w:tc>
        <w:tc>
          <w:tcPr>
            <w:tcW w:w="6760" w:type="dxa"/>
            <w:vAlign w:val="bottom"/>
          </w:tcPr>
          <w:p>
            <w:pPr>
              <w:spacing w:after="0"/>
              <w:rPr>
                <w:sz w:val="24"/>
                <w:szCs w:val="24"/>
                <w:color w:val="auto"/>
              </w:rPr>
            </w:pPr>
          </w:p>
        </w:tc>
      </w:tr>
      <w:tr>
        <w:trPr>
          <w:trHeight w:val="414"/>
        </w:trPr>
        <w:tc>
          <w:tcPr>
            <w:tcW w:w="1124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Wachtell, Lipton, Rosen &amp; Katz</w:t>
            </w:r>
          </w:p>
        </w:tc>
      </w:tr>
      <w:tr>
        <w:trPr>
          <w:trHeight w:val="216"/>
        </w:trPr>
        <w:tc>
          <w:tcPr>
            <w:tcW w:w="4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51 West 52nd Street</w:t>
            </w:r>
          </w:p>
        </w:tc>
        <w:tc>
          <w:tcPr>
            <w:tcW w:w="6760" w:type="dxa"/>
            <w:vAlign w:val="bottom"/>
          </w:tcPr>
          <w:p>
            <w:pPr>
              <w:spacing w:after="0"/>
              <w:rPr>
                <w:sz w:val="18"/>
                <w:szCs w:val="18"/>
                <w:color w:val="auto"/>
              </w:rPr>
            </w:pPr>
          </w:p>
        </w:tc>
      </w:tr>
      <w:tr>
        <w:trPr>
          <w:trHeight w:val="216"/>
        </w:trPr>
        <w:tc>
          <w:tcPr>
            <w:tcW w:w="1124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16"/>
        </w:trPr>
        <w:tc>
          <w:tcPr>
            <w:tcW w:w="4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Attention:</w:t>
            </w: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Andrew J. Nussbaum</w:t>
            </w:r>
          </w:p>
        </w:tc>
      </w:tr>
      <w:tr>
        <w:trPr>
          <w:trHeight w:val="216"/>
        </w:trPr>
        <w:tc>
          <w:tcPr>
            <w:tcW w:w="448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Karessa L. Cain</w:t>
            </w:r>
          </w:p>
        </w:tc>
      </w:tr>
      <w:tr>
        <w:trPr>
          <w:trHeight w:val="216"/>
        </w:trPr>
        <w:tc>
          <w:tcPr>
            <w:tcW w:w="4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Email:</w:t>
            </w: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ajnussbaum@wlrk.com</w:t>
            </w:r>
          </w:p>
        </w:tc>
      </w:tr>
      <w:tr>
        <w:trPr>
          <w:trHeight w:val="234"/>
        </w:trPr>
        <w:tc>
          <w:tcPr>
            <w:tcW w:w="4480" w:type="dxa"/>
            <w:vAlign w:val="bottom"/>
          </w:tcPr>
          <w:p>
            <w:pPr>
              <w:spacing w:after="0"/>
              <w:rPr>
                <w:sz w:val="20"/>
                <w:szCs w:val="20"/>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klcain@wlrk.com</w:t>
            </w:r>
          </w:p>
        </w:tc>
      </w:tr>
      <w:tr>
        <w:trPr>
          <w:trHeight w:val="864"/>
        </w:trPr>
        <w:tc>
          <w:tcPr>
            <w:tcW w:w="44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4" w:right="339" w:bottom="1440" w:gutter="0" w:footer="0" w:header="0"/>
          <w:type w:val="continuous"/>
        </w:sectPr>
      </w:pPr>
    </w:p>
    <w:bookmarkStart w:id="161" w:name="page162"/>
    <w:bookmarkEnd w:id="161"/>
    <w:p>
      <w:pPr>
        <w:ind w:left="640" w:hanging="632"/>
        <w:spacing w:after="0"/>
        <w:tabs>
          <w:tab w:leader="none" w:pos="6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GUARANTEE.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8.1. Unless terminated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this Ellison Guarantee may not be revoked or terminated and shall remain in full force and effect and shall be binding on the Guarantor, its successors and permitted assigns until the Guaranteed Obligations have been indefeasibly paid and satisfied in full, at which time this Ellison Guarantee shall terminate and the Guarantors shall have no further obligations under this Ellison Guarantee. Notwithstanding the foregoing, or anything express or implied in this Ellison Guarantee or otherwise, this Ellison Guarantee shall terminate and the Guarantors shall have no further obligations under or in connection with this Ellison Guarantee as of the earliest of: (a) the consummation of the Closing in accordance with the Merger Agreement or the payment of the Guaranteed Obligations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and (b) ninety (90) days following the valid termination of the Merger Agreement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the Guaranteed Party or any of its respective affiliates, successors or assigns (or any agent or representative on their behalf) shall have commenced a Proceeding against a Guarantor in accordance with this Ellison Guarantee or against Paramount or Merger Sub in accordance with the Merger Agreement alleging that the Guarantors, Paramount or Merger Sub (as applicable) are liable for any portion of the Guaranteed Obligations, then this Ellison Guarantee shall not terminate pursuant to this clause (b) until the earlier to occur of (x) entry of a final, non-appealable order of a court of competent jurisdiction discharging the Guarantors, Paramount or Merger Sub (as applicable) of any such Guaranteed Obligations and the payment by the Guarantors, Paramount or Merger Sub (as applicable) to the Guaranteed Party of all amounts payable by the Guarantors pursuant to such order or agreement and (y) a mutual written agreement between the Guarantors and the Guaranteed Party terminating the obligations of the Guarantors under this Ellison Guarantee).</w:t>
      </w:r>
    </w:p>
    <w:p>
      <w:pPr>
        <w:spacing w:after="0" w:line="193"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RECOURSE.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9.1. The Guaranteed Party acknowledges the separate existence of Paramount and Merger Sub, and that no additional funds are expected to be contributed to Paramount or Merger Sub unless and until the Closing occurs or the Regulatory Termination Fee becomes due and payable. Notwithstanding anything that may be expressed or implied in this Ellison Guarantee to the contrary, by its acceptance of this Ellison Guarantee, the Guaranteed Party acknowledges, covenants and agrees this Ellison Guarantee may only be enforced against, and any Proceeding in connection with, arising out of or otherwise resulting from this Ellison Guarantee, or any instrument or other document delivered pursuant to this Ellison Guarantee or the Transactions, may only be brought against the persons expressly named as parties (or any of their respective successors, legal representatives and permitted assigns) and then only with respect to the specific obligations set forth herein or therein with respect to such party.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9.2. For the avoidance of doubt, nothing in this Ellison Guarantee shall prohibit the Guaranteed Party from pursuing both a grant of specific performance or other equitable relief pursuant to, and in accordance with the terms of, the Merger Agreement and the payment of the Guaranteed Obligations or other monetary damages that may be available thereunder (subject to the limitations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Guaranteed Party be entitled to both (x) a grant of specific performance of the obligation to consummate the Transactions contemplated by Merger Agreement that results in the Closing and (y) payment of the Regulatory Termination Fee, as appliable.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the termination of this Ellison Guarantee.</w:t>
      </w:r>
    </w:p>
    <w:p>
      <w:pPr>
        <w:spacing w:after="0" w:line="183"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COOPERATION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10.1. Each Guarantor shall (i) use its reasonable best efforts to make any necessary filings with or submissions to, or supply information or documentation to, Governmental Entities in connection with the filings, notices and reports as required by the Merger Agreement and (ii) furnish the Guaranteed Party any reasonable assistance, including making any necessary filings with or submissions to, or supplying information or documentation to, Governmental Entities, as the Guaranteed Party may request in connection with the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10.2. No Guarantor shall acquire, or propose, announce an intention, enter into any agreements, agree or otherwise make a commitment to acquire, any business, whether by merger, consolidation, purchase of property or assets, licenses or otherwise, that would reasonably be expected to prevent, materially delay or materially impair the consummation of the Transactions.</w:t>
      </w:r>
    </w:p>
    <w:p>
      <w:pPr>
        <w:spacing w:after="0" w:line="172"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JURISDICTION; VENUE; WAIVER OF JURY TRIAL.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11.1. This Ellison Guarantee and any disputes relating to or arising in connection with this Ellison Guarantee shall be governed by the laws of the State of Delaware, without giving effect to any choice of law or conflict of law provision or rule that would cause application of the laws of any jurisdiction other than the State of Delaware. In furtherance of the foregoing, the internal laws of the State of Delaware, including 10 Del. C. § 8106(c), will control the interpretation and construction of this Ellison Guarantee.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11.2. Each of the parties irrevocably consents to the exclusive jurisdiction and venue of the Court of Chancery in the State of Delaware and, if such court declines jurisdiction, any other state court of the State of Delaware or the United States District Court for the District of Delaware, and any appellate court from any thereof, in connection with any matter based upon or arising out of this Ellison Guarantee or the transactions contemplated hereby and agrees that process may be served upon it in any manner authorized by the applicable laws of the State of Delaware for such Persons and waives and covenants not to assert or plead any objection which it might otherwise have to such jurisdiction and such process.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11.3. TO THE EXTENT NOT PROHIBITED BY APPLICABLE LAW THAT CANNOT BE WAIVED, THE PARTIES HEREBY IRREVOCABLY AND UNCONDITIONALLY WAIVE, AND COVENANT THAT THEY WILL NOT ASSERT (WHETHER AS PLAINTIFF, DEFENDANT OR OTHERWISE), ANY RIGHT TO TRIAL BY JURY IN ANY PROCEEDING RELATING TO, ARISING IN WHOLE OR IN PART UNDER OR IN CONNECTION WITH THIS ELLISON GUARANTEE OR ANY OF THE TRANSACTIONS CONTEMPLATED HEREBY,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TRANSACTIONS CONTEMPLATED HEREBY, WHICH WILL INSTEAD BE TRIED IN A COURT OF COMPETENT JURISDICTION BY A JUDGE SITTING WITHOUT A JURY.</w:t>
      </w:r>
    </w:p>
    <w:p>
      <w:pPr>
        <w:spacing w:after="0" w:line="190"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Ellison Guarantee may be executed and delivered in one or more counterparts (including by facsimile or electronic mail or in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7" w:lineRule="exact"/>
        <w:rPr>
          <w:sz w:val="20"/>
          <w:szCs w:val="20"/>
          <w:color w:val="auto"/>
        </w:rPr>
      </w:pPr>
    </w:p>
    <w:p>
      <w:pPr>
        <w:ind w:left="640" w:hanging="632"/>
        <w:spacing w:after="0"/>
        <w:tabs>
          <w:tab w:leader="none" w:pos="6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BENEFICIARIES.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13.1. This Ellison Guarantee shall be binding upon, inure solely to the benefit of and be enforceable by the parties hereto and their respective successors and permitted assigns, and nothing express or implied in this Ellison Guarantee is intended to, or shall, confer upon any other person any benefits, rights or remedies under or by reason of, or any rights to enforce or cause the Guaranteed Party to enforce, the obligations set forth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640" w:hanging="632"/>
        <w:spacing w:after="0"/>
        <w:tabs>
          <w:tab w:leader="none" w:pos="6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14.1. This Ellison Guarantee, together with the Merger Agreement, (i) constitutes the entire agreement and supersedes all prior agreements and understandings, both written and oral, among the parties with respect to the subject matter of this Ellison Guarantee, and (ii) is not intended to confer upon any person other than the parties hereto any rights or remedies whatsoever. No amendment, modification or supplement of this Ellison Guarantee or any provision hereof shall be enforceable unless approved by the Guaranteed Party and the Guarantors in writing. The Guaranteed Party and its affiliates are not relying upon any prior or contemporaneous statement, undertaking, understanding, agreement, representation or warranty, whether written or oral, made by or on behalf of any of the Guarantors or any other person in connection with this Ellison Guarantee except as expressly set forth herein by the Guarantor. The Guarantors and their respective affiliates are not relying upon any prior or contemporaneous statement, undertaking, understanding, agreement, representation or warranty, whether written or oral, made by or on behalf of the Guaranteed Party in connection with this Ellison Guarantee except as expressly set forth herein by the Guaranteed Party.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14.2. If any provision of this Ellison Guarantee shall be invalid, illegal or unenforceable, the validity, legality or enforceability of the remaining provisions of this Ellison Guarantee shall not in any way be affected or impaired thereby and shall continue in full force and effect. Upon such determination that any term, provision, covenant or restriction is invalid, illegal, void, unenforceable or against regulatory policy, the parties hereto shall negotiate in good faith to modify this Ellison Guarantee so as to effect the original intent of the parties hereto as closely as possible in an acceptable manner in order that the transactions are consummated as originally contemplated to the greatest extent possible. Each party hereto covenants and agrees that it shall not assert, and shall cause its respective affiliates and representatives not to assert, that this Ellison Guarantee or any part hereof is invalid, illegal or unenforceable in accordance with its terms.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14.3. As used in this Ellison Guarantee, (a) the words “include” and “including,” and variations thereof, shall not be deemed to be terms of limitation, but rather shall be deemed to be followed by the words “without limitation”, (b) the use of the word “or” shall not be exclusive, (c) the words “herein,” “hereof,” “hereunder” and other words of similar import refer to this Ellison Guarantee as a whole and not to any particular section, subsection, paragraph, subparagraph or clause contained in this Ellison Guarantee and (d) when a reference is made in this Ellison Guarantee to a Section, such reference shall be to a Section of this Ellison Guarantee unless otherwise indicated. The section headings of this Ellison Guarantee are included for reference purposes only and shall not affect the construction or interpretation of any of the provisions of this Ellison Guarantee. In the event an ambiguity or question of intent arises, this Ellison Guarantee shall be construed as if drafted jointly by each of the parties hereto, and no presumption or burden of proof shall arise, or rule of strict construction applied, favoring or disfavoring any party hereto by virtue of the authorship of any of the provisions of this Ellison Guarantee.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14.4. All parties acknowledge that each party and its counsel have reviewed this Ellison Guarantee and that any rule of construction to the effect that any ambiguities are to be resolved against the drafting party shall not be employed in the interpretation of this Ellison Guarantee.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4" w:name="page165"/>
    <w:bookmarkEnd w:id="16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Guarantor has duly executed this Ellison Guarantee (or caused this Ellison Guarantee to be executed on its behalf by its officer or representative thereunto duly authorized) as of the date first above written.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LAWRENCE J. ELLISON REVOCABLE TRUST, U/A/D 1/22/88,</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 AMENDED</w:t>
      </w: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T. Marinelli, in his capacity as Co-Trustee of the Lawrence J.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Revocable Trust, u/a/d 1/22/88, as amended</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L. ELLISON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LAWRENCE J.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294005</wp:posOffset>
            </wp:positionV>
            <wp:extent cx="3566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Guarantee in favor of Warner Bros. Discovery, Inc.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Guaranteed Party has duly executed this Ellison Guarantee (or caused this Ellison Guarantee to be executed on its behalf by its officer or representative thereunto duly authorized) as of the date first above written.</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GUARANTEED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WARNER BROS. DISCOVERY,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Guarantee in favor of Warner Bros. Discovery, Inc.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color w:val="auto"/>
        </w:rPr>
        <w:t>Exhibit (a)(5)(O)</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ubscription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 by and between Paramount Skydance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subscriber, referred to herein as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has entered into an Agreement and Plan of Merger with Warner Bros Discovery, Inc., a Delaware corporation (“</w:t>
      </w:r>
      <w:r>
        <w:rPr>
          <w:rFonts w:ascii="Times New Roman" w:cs="Times New Roman" w:eastAsia="Times New Roman" w:hAnsi="Times New Roman"/>
          <w:sz w:val="18"/>
          <w:szCs w:val="18"/>
          <w:u w:val="single" w:color="auto"/>
          <w:color w:val="auto"/>
        </w:rPr>
        <w:t>Warner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Bros.</w:t>
      </w:r>
      <w:r>
        <w:rPr>
          <w:rFonts w:ascii="Times New Roman" w:cs="Times New Roman" w:eastAsia="Times New Roman" w:hAnsi="Times New Roman"/>
          <w:sz w:val="18"/>
          <w:szCs w:val="18"/>
          <w:color w:val="auto"/>
        </w:rPr>
        <w:t>”), and Prince Sub Inc., a Delaware corporation and a wholly owned direct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dated as of [●], providing for, among other transactions, an acquisition of Warner Bros. by the Company (as amended from time to time in accordance with its terms,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Merger Agreement, on the terms and subject to the conditions set forth therein and in accordance with the General Corporation Law of the State of Delaware, Merger Sub shall merge with and into Warner Bros., with Warner Bros. surviving the merger and becoming, directly or indirectly, a wholly owned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and immediately prior to the consummation of the Merger, Subscriber desires to subscribe for and purchase from the Company, and the Company desires to issue and sell to Subscriber in consideration of the payment of the Purchase Price (as defined below) by or on behalf of Subscriber to the Company, the number of newly issued shares of the Company’s Class B Common Stock, par value $0.001 per share (the “</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set forth on the signature page hereto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for a purchase price of $[●] per share of Company Class B Common Stock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and $250,000,000.00 in the aggregate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Subscription Agreement, the Company is entering into that certain subscription agreement (the “</w:t>
      </w:r>
      <w:r>
        <w:rPr>
          <w:rFonts w:ascii="Times New Roman" w:cs="Times New Roman" w:eastAsia="Times New Roman" w:hAnsi="Times New Roman"/>
          <w:sz w:val="18"/>
          <w:szCs w:val="18"/>
          <w:u w:val="single" w:color="auto"/>
          <w:color w:val="auto"/>
        </w:rPr>
        <w:t>Other Subscription Agreement</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that certain other investor (the “</w:t>
      </w:r>
      <w:r>
        <w:rPr>
          <w:rFonts w:ascii="Times New Roman" w:cs="Times New Roman" w:eastAsia="Times New Roman" w:hAnsi="Times New Roman"/>
          <w:sz w:val="18"/>
          <w:szCs w:val="18"/>
          <w:u w:val="single" w:color="auto"/>
          <w:color w:val="auto"/>
        </w:rPr>
        <w:t>Other Subscriber</w:t>
      </w:r>
      <w:r>
        <w:rPr>
          <w:rFonts w:ascii="Times New Roman" w:cs="Times New Roman" w:eastAsia="Times New Roman" w:hAnsi="Times New Roman"/>
          <w:sz w:val="18"/>
          <w:szCs w:val="18"/>
          <w:color w:val="auto"/>
        </w:rPr>
        <w:t>” and together with Subscriber, the “</w:t>
      </w:r>
      <w:r>
        <w:rPr>
          <w:rFonts w:ascii="Times New Roman" w:cs="Times New Roman" w:eastAsia="Times New Roman" w:hAnsi="Times New Roman"/>
          <w:sz w:val="18"/>
          <w:szCs w:val="18"/>
          <w:u w:val="single" w:color="auto"/>
          <w:color w:val="auto"/>
        </w:rPr>
        <w:t>Subscribers</w:t>
      </w:r>
      <w:r>
        <w:rPr>
          <w:rFonts w:ascii="Times New Roman" w:cs="Times New Roman" w:eastAsia="Times New Roman" w:hAnsi="Times New Roman"/>
          <w:sz w:val="18"/>
          <w:szCs w:val="18"/>
          <w:color w:val="auto"/>
        </w:rPr>
        <w:t>”), which is on substantially the same terms as the terms of this Subscription Agreement, pursuant to which such Subscriber has agreed to purchase, in connection with the Merger, an aggregate amount of up to [●] shares of Company Class B Common Stock, at the Per Share Price (such transactions, together with the Subscription (as defined below), collectively, the “</w:t>
      </w:r>
      <w:r>
        <w:rPr>
          <w:rFonts w:ascii="Times New Roman" w:cs="Times New Roman" w:eastAsia="Times New Roman" w:hAnsi="Times New Roman"/>
          <w:sz w:val="18"/>
          <w:szCs w:val="18"/>
          <w:u w:val="single" w:color="auto"/>
          <w:color w:val="auto"/>
        </w:rPr>
        <w:t>PIPE 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the Company established a special committee of the Board of Directors of the Company consisting of independent and disinterested directors (the “</w:t>
      </w:r>
      <w:r>
        <w:rPr>
          <w:rFonts w:ascii="Times New Roman" w:cs="Times New Roman" w:eastAsia="Times New Roman" w:hAnsi="Times New Roman"/>
          <w:sz w:val="18"/>
          <w:szCs w:val="18"/>
          <w:u w:val="single" w:color="auto"/>
          <w:color w:val="auto"/>
        </w:rPr>
        <w:t>Company Special Committee</w:t>
      </w:r>
      <w:r>
        <w:rPr>
          <w:rFonts w:ascii="Times New Roman" w:cs="Times New Roman" w:eastAsia="Times New Roman" w:hAnsi="Times New Roman"/>
          <w:sz w:val="18"/>
          <w:szCs w:val="18"/>
          <w:color w:val="auto"/>
        </w:rPr>
        <w:t>”) to, among other things, review, evaluate and negotiate the Subscription Agreements and the PIPE Transaction and, if the Company Special Committee deems appropriate, recommend that the Board of Directors of the Company approve the Subscription Agreements and the PIPE Transaction;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Special Committee has [unanimously] (a) determined that it is in the best interests of the Company and the stockholders of the Company, and declared it advisable, that the Company enter into the Subscription Agreements and consummate the PIPE Transaction and (b) recommended that the Board of Directors of the Company approve the Subscription Agreements and the PIPE Transaction (such recommendation, the “</w:t>
      </w:r>
      <w:r>
        <w:rPr>
          <w:rFonts w:ascii="Times New Roman" w:cs="Times New Roman" w:eastAsia="Times New Roman" w:hAnsi="Times New Roman"/>
          <w:sz w:val="18"/>
          <w:szCs w:val="18"/>
          <w:u w:val="single" w:color="auto"/>
          <w:color w:val="auto"/>
        </w:rPr>
        <w:t>Company Special Committee Recommendation</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of Directors of the Company, acting upon the Company Special Committee Recommendation, has [unanimously]</w:t>
      </w:r>
    </w:p>
    <w:p>
      <w:pPr>
        <w:spacing w:after="0" w:line="27" w:lineRule="exact"/>
        <w:rPr>
          <w:sz w:val="20"/>
          <w:szCs w:val="20"/>
          <w:color w:val="auto"/>
        </w:rPr>
      </w:pPr>
    </w:p>
    <w:p>
      <w:pPr>
        <w:ind w:firstLine="8"/>
        <w:spacing w:after="0" w:line="260" w:lineRule="auto"/>
        <w:tabs>
          <w:tab w:leader="none" w:pos="2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it is in the best interests of the Company and the stockholders of the Company, and declared it advisable, that the Company enter into the Subscription Agreements and consummate the PIPE Transaction and (b) approved the Subscription Agreements and the PIPE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7" w:name="page168"/>
    <w:bookmarkEnd w:id="167"/>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Subscription.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Subject to the terms and conditions hereof, at the Closing (as defined below), Subscriber hereby agrees to subscribe for and purchase, and the Company hereby agrees to issue and sell to Subscriber, upon the payment of the Purchase Price, the Subscribed Shares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The Purchase Price shall be used solely for the purpose of funding Subscriber’s pro rata share among Subscribers of (i) the Merger Consideration (as defined in the Merger Agreement), and (ii) all related fees and expenses (excluding, for the avoidance of doubt, the Regulatory Termination Fee (as defined in the Merger Agreement) and any prepayment thereof) required to be paid by Subscriber pursuant to and in accordance with this Subscription Agreement. For the avoidance of doubt, Subscriber will not be responsible for funding any portion of the payment of the Regulatory Termination Fee or any prepayment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The consummation of the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is contingent upon the prior or substantially concurrent consummation of the Merger and shall occur on the Closing Date (as defined below).</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At least five (5) Business Days (as defined in the Merger Agreement) before the anticipated date of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shall deliver written notice to Subscriber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specifying (i) the anticipated Closing Date and (ii) the wire instructions for delivery of the Purchase Price to the Company. No later than two (2) Business Days prior to the Closing Date, Subscriber shall deliver to the Company such information as is reasonably requested in the Closing Notice in order for the Company to issue the Subscribed Shares to Subscriber, including, without limitation, the legal name of the person in whose name the Subscribed Shares are to be issued. On the Closing Date, prior to the Effective Time (as defined in the Merger Agreement), Subscriber shall deliver the Purchase Price for the Subscribed Shares by wire transfer of United States dollars in immediately available funds to the account specified by the Company in the Closing Notice, and the Company shall deliver to Subscriber at the Closing, the Subscribed Shares in book entry form, free and clear of any liens or other restrictions (other than those arising under state or federal securities Laws (as defined in the Merger Agreement) or those created by Subscriber), in the name of Subscriber (or its nominee in accordance with its delivery instructions), and evidence from the Company’s transfer agent (or other evidence reasonably acceptable to Subscriber) of the issuance to Subscriber of the Subscribed Shares on and as of the Closing Date.</w:t>
      </w:r>
    </w:p>
    <w:p>
      <w:pPr>
        <w:spacing w:after="0" w:line="19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Closing shall be subject to the satisfaction (or waiver, to the extent permitted by applicable law, by the Company, on the one hand, and by Subscriber, on the other hand), on or prior to the Closing Date, of the following conditions: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the prior or substantially concurrent consummation of the Merger in accordance with the terms of the Merger Agreement;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left="644" w:firstLine="648"/>
        <w:spacing w:after="0" w:line="258" w:lineRule="auto"/>
        <w:rPr>
          <w:sz w:val="20"/>
          <w:szCs w:val="20"/>
          <w:color w:val="auto"/>
        </w:rPr>
      </w:pPr>
      <w:r>
        <w:rPr>
          <w:rFonts w:ascii="Times New Roman" w:cs="Times New Roman" w:eastAsia="Times New Roman" w:hAnsi="Times New Roman"/>
          <w:sz w:val="18"/>
          <w:szCs w:val="18"/>
          <w:color w:val="auto"/>
        </w:rPr>
        <w:t>(ii)            (A) no injunction or similar order by any Governmental Entity (as defined in the Merger Agreement) having jurisdiction over any party hereto or any of its subsidiaries (whether temporary, preliminary or permanent) shall have been issued that prohibits the consummation of the Subscription and shall continue to be in effect, and (B) no Law shall have been enacted, entered, promulgated, enforced or deemed applicable by any Governmental Entity having jurisdiction over any party hereto or any of its subsidiaries that has the effect of making the Subscription illegal or otherwise prohibiting consummation of the Subscription.</w:t>
      </w:r>
    </w:p>
    <w:p>
      <w:pPr>
        <w:spacing w:after="0" w:line="183"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(d)            Subscriber shall deliver to the Company all such other information as is reasonably requested by the Company in order for the Company to issue the Subscribed Shares to Subscriber, including a duly completed and executed Internal Revenue Service Form W-9 or appropriate Form W-8, as applicable.</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Company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represents and warrants to Subscriber that:</w:t>
      </w:r>
    </w:p>
    <w:p>
      <w:pPr>
        <w:spacing w:after="0" w:line="227"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7"/>
          <w:szCs w:val="17"/>
          <w:color w:val="auto"/>
        </w:rPr>
        <w:t>(a)            Each of the Company and its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in each jurisdiction where the ownership, leasing or operation of its assets or properties or conduct of its business requires such qualification, except where the failure to be so organized, qualified or in good standing, or to have such power or authority, would not, individually or in the aggregate, reasonably be expected to have a Company Material Adverse Effect, or reasonably be expected to prevent, materially delay or materially impair the ability of the Company to consummate the Transactions. For purposes of this Subscription Agreement, a “</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means any effect, event, development, change, state of facts, condition, circumstance or occurrence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that, individually or in the aggregate with any other Effect is, or would reasonably be likely to be, materially adverse to the financial condition, properties, assets, operations, liabilities, business or results of operations of the Company and its subsidiaries taken as a whole;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none of the following, alone or in combination, shall be deemed to constitute a Company Material Adverse Effect, or be taken into account in determining whether a Company Material Adverse Effect has occurred or would reasonably be likely to occur: (1) Effects generally affecting the economy, credit, capital, securities or financial markets or political, regulatory, economic or business conditions (including tariffs, trade policies and sanctions) in any jurisdiction in which the Company or its subsidiaries has material operations or in which products or services of the Company or its subsidiaries are sold,</w:t>
      </w:r>
    </w:p>
    <w:p>
      <w:pPr>
        <w:spacing w:after="0" w:line="9" w:lineRule="exact"/>
        <w:rPr>
          <w:sz w:val="20"/>
          <w:szCs w:val="20"/>
          <w:color w:val="auto"/>
        </w:rPr>
      </w:pPr>
    </w:p>
    <w:p>
      <w:pPr>
        <w:jc w:val="both"/>
        <w:ind w:left="4" w:hanging="4"/>
        <w:spacing w:after="0" w:line="250" w:lineRule="auto"/>
        <w:tabs>
          <w:tab w:leader="none" w:pos="26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Effects that are the result of factors generally affecting the industries, markets or geographical areas in which the Company or its subsidiaries have material operations, (3) changes in the relationship of the Company or its subsidiaries, contractual or otherwise, with customers, employees, unions, suppliers, distributors, financing sources, partners or similar relationship or any resulting Effect that was caused by the entry into, announcement, pendency or performance of the Transactions by, or resulting or arising from the identity of or any facts or circumstances relating to, Warner Bros. or its Affiliates (as defined in the Merger Agreement), (4) changes or modifications in accounting standards applicable to the Company or its subsidiaries, including GAAP (as defined in the Merger Agreement), or in any Law of general applicability, including the repeal thereof, or in the interpretation or enforcement thereof, after the date of this Subscription Agreement, (5) any failure by the Company or any of its subsidiaries to meet any internal or public projections or forecasts or estimates of revenues or earnings for any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(5)</w:t>
      </w:r>
      <w:r>
        <w:rPr>
          <w:rFonts w:ascii="Times New Roman" w:cs="Times New Roman" w:eastAsia="Times New Roman" w:hAnsi="Times New Roman"/>
          <w:sz w:val="18"/>
          <w:szCs w:val="18"/>
          <w:color w:val="auto"/>
        </w:rPr>
        <w:t xml:space="preserve"> shall not prevent or otherwise affect a determination that any Effect underlying such failure has resulted in, or contributed to, or would reasonably be expected to result in, or contribute to, a Company Material Adverse Effect, (6) 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 (7) any actions taken or failed to be taken by the Company or any of its subsidiaries that are expressly required to be taken by this Subscription Agreement, or (8) any Effect or announcement of an Effect affecting the credit rating or other rating of financial strength of the Company or any of its subsidiaries or any of their respective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(8)</w:t>
      </w:r>
      <w:r>
        <w:rPr>
          <w:rFonts w:ascii="Times New Roman" w:cs="Times New Roman" w:eastAsia="Times New Roman" w:hAnsi="Times New Roman"/>
          <w:sz w:val="18"/>
          <w:szCs w:val="18"/>
          <w:color w:val="auto"/>
        </w:rPr>
        <w:t xml:space="preserve"> shall not prevent or otherwise affect a determination that any Effect underlying such Effect or announcement of an Effect has resulted in, or contributed to, or would reasonably be expected to result in, or contribute to, a Company Material Adverse Effect;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the foregoing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such Effect shall be taken into account in determining whether a “Company Material Adverse Effect” has occurred or is occurring to the extent it materially and disproportionately adversely affects the Company and its subsidiaries (taken as a whole) compared to other companies operating in the industries and geographies in which the Company and its subsidiaries operate (in which case only the incremental disproportionate impact may be taken into account, and only to the extent otherwise permitted by this definition).</w:t>
      </w:r>
    </w:p>
    <w:p>
      <w:pPr>
        <w:spacing w:after="0" w:line="200" w:lineRule="exact"/>
        <w:rPr>
          <w:sz w:val="20"/>
          <w:szCs w:val="20"/>
          <w:color w:val="auto"/>
        </w:rPr>
      </w:pPr>
    </w:p>
    <w:p>
      <w:pPr>
        <w:spacing w:after="0" w:line="22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9" w:name="page170"/>
    <w:bookmarkEnd w:id="16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Subscribed Shares have been duly authorized and, when issued and delivered to Subscriber against full payment therefor in accordance with the terms of this Subscription Agreement, will be validly issued, fully paid and non-assessable and will not have been issued in violation of any preemptive or similar rights created under the Company’s organizational documents or the Laws of its jurisdiction of incorporation.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This Subscription Agreement (including the transactions contemplated herein) has been duly authorized and validly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or by the availability of specific performance, injunctive relief and other equitable remedies, whether considered at law or equity.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all consents, approvals, and other authorizations described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have been made or taken, the execution and delivery of this Subscription Agreement, the issuance and sale of the Subscribed Shares and the performance by the Company of its obligations under this Subscription Agreement (including compliance by the Company with all of the provisions of this Subscription Agreement), and the consummation of the transactions contemplated herein do not and will not (as applicable)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any of its subsidiaries, or (iii) any statute or any judgment, order, rule or regulation of any court or governmental agency or body, domestic or foreign, having jurisdiction over the Company or any of its respective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not, individually or in the aggregate, have a Company Material Adverse Effect or reasonably be expected to prevent, materially delay or materially impair the ability of the Company to consummate the Transactions.</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0" w:name="page171"/>
    <w:bookmarkEnd w:id="170"/>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other than the necessary filings, notices, reports, consents, registrations, approvals, permits, expirations of waiting periods or authorizations (i) required to comply with state securities or “blue-sky” Laws, (ii) required to register the Subscribed Shares, including the filing of any registration statement, (iii) required to be filed with or to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other regulatory authorities relating to the Transactions,</w:t>
      </w:r>
    </w:p>
    <w:p>
      <w:pPr>
        <w:spacing w:after="0" w:line="3" w:lineRule="exact"/>
        <w:rPr>
          <w:sz w:val="20"/>
          <w:szCs w:val="20"/>
          <w:color w:val="auto"/>
        </w:rPr>
      </w:pPr>
    </w:p>
    <w:p>
      <w:pPr>
        <w:jc w:val="both"/>
        <w:ind w:left="4" w:hanging="4"/>
        <w:spacing w:after="0" w:line="251" w:lineRule="auto"/>
        <w:tabs>
          <w:tab w:leader="none" w:pos="31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under the rules and regulations of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(v) required under the HSR Act (as defined in the Merger Agreement) or any other applicable Antitrust Laws (as defined in the Merger Agreement) relating to the Transactions, (vi) required under the Exchange Act (as defined below) or the Securities Act (as defined below) and (vii) as may be required with or to Regulators (as defined in the Merger Agreement) pursuant to applicable Regulatory Laws (as defined in the Merger Agreement), no filings, notices or reports are required to be made by any of the Company or its subsidiaries with, nor are any consents, registrations, approvals, permits, expirations of waiting periods or authorizations required to be obtained by the Company or any of its subsidiaries from, any Governmental Entity in connection with the execution, delivery and performance of this Subscription Agreement by the Company or the consummation by the Company of the PIPE Transaction, except, in each case, those that the failure to make or obtain would not, individually or in the aggregate, have a Company Material Adverse Effect or reasonably be expected to prevent, materially delay or materially impair the ability of the Company to consummate the Transactions.</w:t>
      </w:r>
    </w:p>
    <w:p>
      <w:pPr>
        <w:spacing w:after="0" w:line="19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(f)            As of the date hereof, there are no Proceedings (as defined in the Merger Agreement) pending or, to the Knowledge (as defined in the Merger Agreement) of the Company, threatened against the Company or any of its subsidiaries or any property or asset of the Company or its subsidiaries, except for those that would not, individually or in the aggregate, have a Company Material Adverse Effect or reasonably be expected to prevent, materially delay or materially impair the ability of the Company to consummate the Transactions.</w:t>
      </w:r>
    </w:p>
    <w:p>
      <w:pPr>
        <w:spacing w:after="0" w:line="180"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(g)            The Company (and, prior to August 7, 2025, Paramount Global) has filed or furnished or will file or furnish, as applicable, on a timely basis, all forms, statements, certifications, reports, and documents with the Commission pursuant to the Exchange Act or the Securities Act, including those filed with or furnished to the Commission subsequent to the date of this Subscription Agreement, in each case as amended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since the Applicable Date (as defined in the Merger Agreement). Each of the Company Reports, at the time of its filing or being furnished complied (or, if not yet filed or furnished, will comply)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Sarbanes-Oxley Act of 2002, and the rules and regulations of the Commission promulgated thereunder. As of their respective dates (or, if amended prior to the date of this Subscription Agreement, as of the date of such amendment), the Company Reports did not, and any Company Reports filed with or furnished to the SEC subsequent to the date of this Subscription Agreement will not, contain any untrue statement of a material fact or omit to state a material fact required to be stated therein or necessary in order to make the statements therein, in the light of the circumstances under which they were made, not misleading. Each of the consolidated balance sheets included in or incorporated by reference into the Company Reports (including the related notes and schedules) fairly presents or, in the case of Company Reports filed after the date of this Subscription Agreement, will fairly present, in each case, in all material respects, the consolidated financial position of the Company and its subsidiaries, as of the date of such balance sheet, and each of the consolidated statements of operations, cash flows and changes in stockholders’ equity (deficit) included in or incorporated by reference into the Company Reports (including any related notes and schedules) fairly presents, or, in the case of Company Reports filed after the date of this Subscription Agreement, will fairly present,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and complied or will comply, as of their respective dates of filing with the Commission, in all material respects with the published rules and regulations of the Commission with respect thereto. None of the Company Reports filed on or prior to the date hereof is, to the Knowledge of the Company, subject to ongoing review or investigation by the Commission, and there are no inquiries or investigations by the Commission or any internal investigations pending or threatened, in each case regarding any accounting practices of the Company.</w:t>
      </w:r>
    </w:p>
    <w:p>
      <w:pPr>
        <w:spacing w:after="0" w:line="200" w:lineRule="exact"/>
        <w:rPr>
          <w:sz w:val="20"/>
          <w:szCs w:val="20"/>
          <w:color w:val="auto"/>
        </w:rPr>
      </w:pPr>
    </w:p>
    <w:p>
      <w:pPr>
        <w:spacing w:after="0" w:line="22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1" w:name="page172"/>
    <w:bookmarkEnd w:id="171"/>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(h)            The authorized capital stock of the Company consists of (i) 5,500,000,000 shares of Company Class B Common Stock, of which [ ● ] shares of Company Class B Common Stock are issued and outstanding as of the close of business on [ ● ]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w:t>
      </w:r>
    </w:p>
    <w:p>
      <w:pPr>
        <w:jc w:val="both"/>
        <w:ind w:left="4" w:hanging="4"/>
        <w:spacing w:after="0" w:line="250" w:lineRule="auto"/>
        <w:tabs>
          <w:tab w:leader="none" w:pos="2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par value $0.001 per share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and, together with the Company Class B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of which [●] shares of Company Class A Common Stock are issued and outstanding as of the close of business on the Reference Date, and (iii) 100,000,000 shares of Preferred Stock, par value $0.001 per share, none of which have been issued or are outstanding as of the close of business on the Reference Date. As of the close of business on the Reference Date, [●] shares of Company Class A Common Stock and [●] shares of Company Class B Common Stock were held in treasury. There are 200,000,000 warrants of the Company issued and outstanding as of the close of business on the Reference Date, each exercisable for one share of Company Class B Common Stock at an initial exercise price of $30.50 per share. Since immediately prior to the close of business on [●], through the date hereof, no shares of Company Class A Common Stock or Company Class B Common Stock have been issued except to the extent any such shares have been issued pursuant to (i) the vesting of any awards or (ii) exercises of stock options, in each case referred to in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All of the outstanding Company Common Stock has been duly authorized and validly issued and are fully paid and nonassessable and were created in accordance with applicable Law, the Company’s certificate of incorporation and bylaws and any agreement to which it is a party. The Company Common Stock has been issued in compliance in all material respects with all applicable federal securities Laws and all applicable foreign and state securities or “blue sky” Laws. As of the Reference Date, there are no preemptive or other outstanding rights, options, warrants, conversion rights, stock appreciation rights, redemption rights, repurchase rights, agreements, arrangements, calls, commitments or rights of any kind that obligate the Company or any of its subsidiaries to issue or sell any capital stock or other equity or voting securities of the Company or any of its subsidiaries. As of the Reference Date, except as set forth in the organizational documents of the Company or in the Company Reports, the Company is not under any obligation, nor is it bound by any Contract (as defined in the Merger Agreement) pursuant to which it may become obligated, to repurchase, redeem, or otherwise acquire any outstanding Company Common Stock. [As of the Reference Date, [ ● ] shares of Company Class B Common Stock were reserved for, and [●] shares of Company Class B Common Stock were subject to, issuance pursuant to Company’s compensation and benefit plans, which included (i) [●] shares of Company Class B Common Stock in respect of options to purchase Company Class B Common Stock pursuant to Company compensation and benefit plans, (ii) [●] restricted stock units subject solely to service based vesting conditions granted under the Company compensation and benefit plans entitling the holders thereof to receive [ ● ] shares of Company Class B Common Stock and (iii) [●] restricted stock units subject to both service and performance-based conditions granted under the Company compensation and benefit plans entitling the holders thereof to receive [●] shares of Company Class B Common Stock (assuming the achievement of any performance criteria at target levels)]. Other than as set forth above, there is no issued, reserved for issuance, outstanding or authorized stock option, restricted stock unit award, restricted stock award, stock appreciation, phantom stock, profit participation, or similar right, or compensatory equity or equity-linked award with respect to the Company or any of its subsidiaries to which the Company or any of its subsidiaries is a party or by which the Company or any of its subsidiaries is bound. As of the close of business on the Reference Date, except as set forth above and pursuant to (A) the Other Subscription Agreement, and (B) the Merger Agreement, there is no: (i) outstanding share of capital stock or other equity interest in the Company,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the Company, in each case, issued by the Company or to which the Company is bound, except as set forth in the organizational documents of the Company,</w:t>
      </w:r>
    </w:p>
    <w:p>
      <w:pPr>
        <w:spacing w:after="0" w:line="1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security, instrument, bond, debenture, note, or obligation that is or may become convertible into or exchangeable for any share of the capital stock or other securities of the Company, or (iv) stockholder rights plan (or similar plan commonly referred to as a “poison pill”) or Contract under which the Company is or may become obligated to sell or otherwise issue any share of its capital stock or any other security.</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2" w:name="page173"/>
    <w:bookmarkEnd w:id="17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The issued and outstanding shares of Company Class B Common Stock are registered pursuant to Section 12(b) of the Exchange Act and are listed for trading on Nasdaq under the symbol “PSKY”. The Company is in compliance in all material respects with the applicable listing and corporate governance rules and regulations of the Nasdaq. There is no Proceeding pending or, to the Knowledge of the Company, threatened against the Company by Nasdaq or the Commission with respect to any intention by such entity to deregister the shares of Company Common Stock or prohibit or terminate the listing of the shares of Company Class B Common Stock on Nasdaq. As of the date hereof, the Company Class B Common Stock constitutes the only outstanding class of securities of Company registered under the Exchange Act.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(j)             Assuming the accuracy of Subscriber’s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no registration under the Securities Act is required for the offer and sale of Subscribed Shares by the Company to Subscriber in the manner contemplated by this Subscription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Neither the Company nor any person acting on its behalf has engaged in any form of general solicitation or general advertising (within the meaning of Regulation D) in connection with any offer or sale of the Subscribed Shares. The Subscribed Shares are not being offered in a manner involving a public offering under, or in a distribution in violation of, the Securities Act, or any state securities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the Company, except for a Disqualification Event as to which Rule 506(d)(2)(ii)-(iv) or (d)(3) is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Except for Centerview Partners LLC, RedBird BD LLC, Bank of America, N.A., Citigroup Global Markets Inc. and Barclays Capital Inc., no broker or finder is entitled to any brokerage or finder’s fee or commission solely in connection with the sale of the Subscribed Shares to Subscriber.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The Company is not, and immediately after receipt of payment for the Subscribed Shares, will not be, an “investment company” within the meaning of the Investment Company Act of 1940, as amended.</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3" w:name="page174"/>
    <w:bookmarkEnd w:id="17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The Company and its subsidiaries, since the Applicable Date, have not been and are not currently in violation of any applicable federal, state, local, foreign or transnational Law or any Governmental Order (as defined in the Merger Agreement),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as of the date of this Subscription Agreement, threatened, nor has any Governmental Entity indicated an intention to conduct the same, except for such investigations or reviews the outcome of which would not, individually or in the aggregate, reasonably be expected to have a Company Material Adverse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Since September 30, 2025, and through the date of this Subscription Agreement, there has not been any Effect that, individually or in the aggregate, has had a Company Material Adverse Effect.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the Company that: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This Subscription Agreement (including the transactions contemplated herein) has been duly authorized and validly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Assuming the accuracy of the representations and warranties of the Company in this Subscription Agreement, the execution and delivery of this Subscription Agreement, the purchase of the Subscribed Shares and performance by Subscriber of its obligations under this Subscription Agreement (including the compliance by Subscriber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individually or in the aggregate, a Subscriber Material Adverse Effect. For purposes of this Subscription Agreement, a “</w:t>
      </w:r>
      <w:r>
        <w:rPr>
          <w:rFonts w:ascii="Times New Roman" w:cs="Times New Roman" w:eastAsia="Times New Roman" w:hAnsi="Times New Roman"/>
          <w:sz w:val="18"/>
          <w:szCs w:val="18"/>
          <w:u w:val="single" w:color="auto"/>
          <w:color w:val="auto"/>
        </w:rPr>
        <w:t>Subscriber Material Adverse Effect</w:t>
      </w:r>
      <w:r>
        <w:rPr>
          <w:rFonts w:ascii="Times New Roman" w:cs="Times New Roman" w:eastAsia="Times New Roman" w:hAnsi="Times New Roman"/>
          <w:sz w:val="18"/>
          <w:szCs w:val="18"/>
          <w:color w:val="auto"/>
        </w:rPr>
        <w:t>” means any Effect that has had or would reasonably be expected to have, individually or in the aggregate, a material adverse effect on Subscriber’s ability to consummate the transactions contemplated hereby, including the purchase of the Subscribed Shares.</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4" w:name="page175"/>
    <w:bookmarkEnd w:id="17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Subscriber (i) is a “qualified institutional buyer” (as defined in Rule 144A under the Securities Act) or an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(ii) is acquiring the Subscribed Shares only for its own account and not for the account of others, or if Subscriber is subscribing for the Subscribed Shares as a fiduciary or agent for one or more investor accounts, each owner of such accounts is independently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 and such information provided is accurate and complete). Subscriber is not an entity formed for the specific purpose of acquiring the Subscribed Shares.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[Except for [●],] Subscriber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Subscriber understands that the Subscribed Shares are non-voting common stock of the Company. Accordingly, Subscriber may not have the ability to affect the outcome of corporate actions via its ownership of the Subscribed Shares.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Subscriber understands that the Subscribed Shares are being offered by the Company in a transaction not involving any public offering within the meaning of the Securities Act and that the Subscribed Shares have not been registered under the Securities Act. Subscriber understands that the Subscribed Shares issued by the Company may not be offered, sold or otherwise transferred by Subscriber absent an effective registration statement under the Securities Act, except (i) to the Company or a subsidiary thereof, (ii) pursuant to an applicable exemption from the registration requirements of the Securities Act (including, without limitation, Rule 144 or a private resale pursuant to the so-called “Section 4(a) (1½)”), or (iii) an ordinary course pledge such as a broker lien over account property generally and,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accordance with any applicable securities Laws of the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understands that it has been advised to consult legal counsel prior to making any offer, resale, pledge or transfer of any of the Subscribed Shares. Subscriber acknowledges and agrees that, at the time of issuance by the Company, the certificate or book entry position representing the Subscribed Shares will bear or reflect, as applicable, a legend substantially similar to the following:</w:t>
      </w:r>
    </w:p>
    <w:p>
      <w:pPr>
        <w:spacing w:after="0" w:line="19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“THIS SECURITY WAS ORIGINALLY ISSUED IN A TRANSACTION EXEMPT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MAY NOT BE OFFERED, SOLD OR OTHERWISE TRANSFERRED IN THE ABSENCE OF SUCH REGISTRATION OR AN APPLICABLE EXEMPTION THEREFROM. THE HOLDER OF THIS SECURITY AGREES THAT THIS SECURITY MAY BE OFFERED, SOLD OR OTHERWISE TRANSFERRED, ONLY (I) PURSUANT TO ANY EXEMPTION FROM THE REGISTRATION REQUIREMENTS OF THE SECURITIES ACT,</w:t>
      </w:r>
    </w:p>
    <w:p>
      <w:pPr>
        <w:spacing w:after="0" w:line="3" w:lineRule="exact"/>
        <w:rPr>
          <w:sz w:val="20"/>
          <w:szCs w:val="20"/>
          <w:color w:val="auto"/>
        </w:rPr>
      </w:pPr>
    </w:p>
    <w:p>
      <w:pPr>
        <w:jc w:val="both"/>
        <w:ind w:left="640" w:firstLine="4"/>
        <w:spacing w:after="0" w:line="255" w:lineRule="auto"/>
        <w:tabs>
          <w:tab w:leader="none" w:pos="9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OR (III) TO PARAMOUNT SKYDANCE CORPORATION, IN EACH OF CASES (I) THROUGH (III) IN ACCORDANCE WITH ANY APPLICABLE SECURITIES LAWS OF ANY STATE OF THE UNITED STATES.”</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5" w:name="page176"/>
    <w:bookmarkEnd w:id="17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or any of its Affiliates or any control persons, officers, directors, employees, partners, agents or representatives, any other party to the Transactions or any other person or entity, expressly or by implication, other than those representations, warranties, covenants and agreements of the Company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Subscriber’s acquisition and holding of the Subscribed Shares will not constitute or result in a non-exempt prohibited transaction under section 406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section 4975 of the Internal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applicable similar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Subscriber is not (i) a person or entity named on any sanctions list maintained by (A) the U.S. Department of the Treasury’s Office of Foreign Assets Control, including the List of Specially Designated Nationals and Blocked Persons, the Foreign Sanctions Evaders List, or the Sectoral Sanctions Identifications List, (B) the European Union, (C) the United Nations Security Council, (D) the government of the United Kingdom, including His Majesty’s Treasury, or (E) any individual European Union member state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Bodies</w:t>
      </w:r>
      <w:r>
        <w:rPr>
          <w:rFonts w:ascii="Times New Roman" w:cs="Times New Roman" w:eastAsia="Times New Roman" w:hAnsi="Times New Roman"/>
          <w:sz w:val="18"/>
          <w:szCs w:val="18"/>
          <w:color w:val="auto"/>
        </w:rPr>
        <w:t>”), (ii) fifty percent (50%) or more owned or controlled by, or acting on behalf of, a person, that is named on any sanctions list maintained by any Sanctions Bodies, (iii) operating, organized, resident in any jurisdiction subject to comprehensive territory-wide sanctions administered by any Sanctions Bodies, currently Cuba, Iran, North Korea, Syria, the so-called Donetsk People’s Republic, the so-called Luhansk People’s Republic, the non-government controlled areas of the Zaporizhzhia and Kherson Regions of Ukraine, the Crimea region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(iv) the government of a Sanctioned Country or the Government of Venezuela or (v) otherwise the target of sanctions administered by any Sanctions Bodies.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(k)            If Subscriber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xml:space="preserve">”), or (iv) an employee benefit plan that is a governmental plan (as defined in section 3(32) of ERISA), a church plan (as defined in section 3(33) of ERISA), a non-U.S. plan (as described in section 4(b)(4) of ERISA) or other plan that is not subject to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but may be subject to provisions under any other federal, state, local, non-U.S. or other laws or regulations that are similar to such provisions of ERISA or the Code (together with the ERISA Plans,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then Subscriber represents and warrants that none of the Company or any of its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has provided investment advice or has otherwise acted as the applicable Plan’s fiduciary with respect to its decision to acquire and hold the Subscribed Shares, and none of the Transaction Parties is or shall at any time be the Plan’s fiduciary with respect to any decision in connection with Subscriber’s investment in the Subscribed Shares.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In making its decision to purchase the Subscribed Shares, Subscriber has relied solely upon independent investigation made by Subscriber. Subscriber acknowledges and agrees that Subscriber has received such information as Subscriber deems necessary in order to make an investment decision with respect to the Subscribed Shares, including with respect to the Company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6" w:name="page177"/>
    <w:bookmarkEnd w:id="176"/>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(m)           Subscriber became aware of this offering of the Subscribed Shares solely by means of direct contact between Subscriber, on the one hand, and the Company or its representatives or Affiliates, on the other hand, and the Subscribed Shares were offered to Subscriber solely by direct contact between Subscriber and the Company or its representatives or Affiliates. Subscriber did not become aware of this offering of the Subscribed Shares, nor were the Subscribed Shares offered to Subscriber, by any other means. Subscriber acknowledges that the Subscribed Shares (i) were not offered to it in any form of general solicitation or general advertising, including methods described in Section 502(c) of Regulation D under the Securities Act, and (ii) are not being offered to it in a manner involving a public offering under, or, to its knowledge, in a distribution in violation of, the Securities Act or any other applicable securities Laws.</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(n)            Subscriber acknowledges that it is aware that there are substantial risks incident to the purchase and ownership of the Subscribed Shares. Subscriber is a sophisticated investor,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that none of the Company or any of its agents or Affiliates have provided any tax advice or any other representation or guarantee, whether written or oral, regarding the tax consequences of the transactions contemplated by this Subscription Agreement.</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(o)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(p)            Subscriber understands and agrees that no federal or state agency has passed upon or endorsed the merits of the offering of the Subscribed Shares or made any findings or determination as to the fairness of this investment.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(q)            At the Closing, Subscriber will have sufficient immediately available funds to pay the Purchase Price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(r)            Neither the due diligence investigation conducted by Subscriber in connection with making its decision to acquire the Subscribed Shares nor any representations and warranties made by Subscriber herein shall modify, amend or affect Subscriber’s right to rely on the truth, accuracy and completeness of the Company’s representations and warranties contained herein.</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(s)            No broker or finder is entitled to any brokerage or finder’s fee or commission solely in connection with the purchase of the Subscribed Shares by Subscriber.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(t)            Subscriber is not a foreign person, as defined in 31 C.F.R. § 800.224. The transaction contemplated by this Subscription Agreement will not result in foreign control (as defined in 31 C.F.R. § 800.208) of the Company and does not constitute a direct or indirect investment in the Company by any foreign person (as defined in 31 C.F.R. § 800.224) that affords such foreign person any of the access, rights or involvement described in 31 C.F.R. § 800.211(b).</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on such date and at such time as the Merger Agreement is terminated in accordance with its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such termination shall relieve any party for liability for such party’s actual fraud or willful breach of any covenant or obligation contained in this Subscription Agreement prior to its termination, in each case, subject to the terms and limitations set forth in </w:t>
      </w:r>
      <w:r>
        <w:rPr>
          <w:rFonts w:ascii="Times New Roman" w:cs="Times New Roman" w:eastAsia="Times New Roman" w:hAnsi="Times New Roman"/>
          <w:sz w:val="18"/>
          <w:szCs w:val="18"/>
          <w:u w:val="single" w:color="auto"/>
          <w:color w:val="auto"/>
        </w:rPr>
        <w:t>Section 6(q)</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Any notice or other communication required or permitted to be delivered to any party under this Subscription Agreement shall be in writing and shall be deemed properly delivered, given and received (i) upon receipt when delivered by hand, (ii) two (2) Business Days after being sent by certified or registered mail, postage prepaid, or by nationally recognized overnight courier or express delivery service, (iii) if sent by email transmission prior to 6:00 p.m. recipient’s local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(iv) if sent by email transmission after 6:00 p.m. recipient’s local time, on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 similar message of non-delivery is received with respect thereto), and, in each case, the notice or other communication is sent to the physical address or email address specified on the signature page hereof.</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Company acknowledges and agrees that, notwithstanding anything herein to the contrary, the Subscribed Shares may be pledged by Subscriber in connection with a bona fide margin agreement, which shall not be deemed to be a transfer, sale or assignment of the Subscribed Shares hereunder, and if Subscriber effects a pledge of any Subscribed Shares it shall be required to provide the Company with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transfer of the Subscribed Shares in connection with any exercise of remedies in respect of such pledge shall be deemed a transfer, sale or assignment, as the case may be, of the Subscribed Shares thereunder. The Company hereby agrees to use commercially reasonable efforts to execute and deliver such documentation as a pledgee of the Subscribed Shares may reasonably request in connection with a pledge of the Subscribed Shares to such pledgee by Subscriber (including, if requested by Subscriber and subject to Subscriber and the pledgee providing representations and undertakings in customary form reasonably acceptable to the Company, such documentation as may be reasonably necessary to have the Subscribed Shares (as may be specified by Subscriber) issued with an unrestricted CUSIP and transferable through the facilities of The Depositary Trust and Clearing Corporation to facilitate such pledge).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Each party shall pay all of its own expenses in connection with this Subscription Agreement and the transactions contemplated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Closing occurs, then the Company shall pay Subscriber’s reasonable and documented out-of-pocket fees and expenses incurred by Subscriber in connection with the Subscription Agreement up to an amount of $5,000,000.</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8" w:name="page179"/>
    <w:bookmarkEnd w:id="17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Neither this Subscription Agreement nor any rights that may accrue to Subscriber hereunder may be transferred or assigned, except as expressly permitted hereby. Neither this Subscription Agreement nor any rights that may accrue to the Company hereunder may be transferred or assigned without the prior written consent of each party hereto and Warner Bros. Notwithstanding the foregoing, Subscriber may assign this Subscription Agreement and its rights hereunder in whole or in part (i) to any other person as a “Subscriber” hereunder, or (ii) as collateral any and/or all of its rights hereunder by way of security to any banks or other financial institutions providing financing to Subscriber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 such assignment shall relieve Subscriber of any of its obligations hereunder;</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such assignment, delegation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of the Subscription commitment shall (A) materially delay, materially impair the ability of the Company to consummate the Transactions in a timely manner (and in any event prior to the End Date (as defined in the Merger Agreement)) or otherwise prevent the consummation of the Merger or (B) be to (1) an “alien” (within the meaning of 47 U.S.C. § 310(b)) who, following the consummation of the Transactions, would unlawfully own, directly or indirectly, with all other “aliens” (within the meaning of 47 U.S.C. § 310(b)), twenty five percent (25%) or more of the equity or voting interests of the Company or its subsidiaries (in each case, as calculated pursuant to the rules, regulations, published orders, policies and decisions promulgated by, and other applicable requirements of, the FCC (as defined in the Merger Agreement) and interpretations thereof by federal courts of competent jurisdiction), or (2) any “alien” (within the meaning of 47 U.S.C. § 310(b)) who is a citizen, or an entity (or other person) organized under the laws, of a “foreign adversary country” (within the meaning of 10 U.S.C. § 4872(d)(2)), in each case other than to an Affiliate of Subscriber (including funds and investment vehicles managed by or under common management with Subscriber or its Affiliates). Following any permitted assignment, delegation or transfer by Subscriber of its rights, interest and obligations hereunder pursuant to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Subscriber will provide the Company and Warner Bros. with written notice of such assignment, delegation or transfer and the amount thereof. Any purported assignment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Each of Subscriber and the Company hereby agrees Warner Bros. shall be an express and intended third-party beneficiary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None of the representations and warranties or covenants in this Subscription Agreement, or any certificate or schedule or other document delivered pursuant to this Subscription Agreement, shall survive the Closing, except those covenants that by their terms survive or contemplate performance after the Closing (which shall survive until fully performed).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This Subscription Agreement may not be amended or modified except by an instrument in writing, signed by each of the parties hereto (acting, in the case of the Company, with the approval of the Company Special Committee) and Warner Bros. Each of Subscriber and the Company hereby agrees Warner Bros. shall be an express and intended third-party beneficiary of this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This Subscription Agreement, together with the Merger Agreement, constitutes the entire agreement, and supersedes all other prior agreements, understandings, representations and warranties, both written and oral, among the parties hereto, with respect to the subject matter hereof. Except as expressly provided herein, this Subscription Agreement shall not confer any rights or remedies upon any person other than the parties hereto and their respective heirs, executors, administrators, successors, legal representatives and permitted assigns.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This Subscription Agreement shall be binding upon, and inure to the benefit of, the parties hereto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9" w:name="page180"/>
    <w:bookmarkEnd w:id="17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(k)            This Subscription Agreement may only be enforced against, and any legal proceeding, claim, obligation, liability or cause of action (whether in contract, in tort, at law, in equity or otherwise) based upon, arising out of, or related to this Subscription Agreement or the transactions contemplated hereby may only be brought against, the entities that are expressly named as parties hereto and then only with respect to the specific obligations set forth herein or therein with respect to such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Warner Bros. is hereby made an express and intended third-party beneficiary of (x) the rights expressly granted to the Company under this Subscription Agreement and (y) solely for the purpose of seeking (and, if applicable, obtaining) specific performance or injunction(s) or other equitable relief to cause Subscriber (or its successors or permitted assigns) or the Company (or its successors or permitted assigns) to comply with the terms of this Subscription Agreement, as applicable, including to satisfy Subscriber’s obligation, as and when due, to fund the Purchase Price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pursuant to, and subject to, and solely in accordance with, the terms and conditions of </w:t>
      </w:r>
      <w:r>
        <w:rPr>
          <w:rFonts w:ascii="Times New Roman" w:cs="Times New Roman" w:eastAsia="Times New Roman" w:hAnsi="Times New Roman"/>
          <w:sz w:val="18"/>
          <w:szCs w:val="18"/>
          <w:u w:val="single" w:color="auto"/>
          <w:color w:val="auto"/>
        </w:rPr>
        <w:t>Section 6(l)</w:t>
      </w:r>
      <w:r>
        <w:rPr>
          <w:rFonts w:ascii="Times New Roman" w:cs="Times New Roman" w:eastAsia="Times New Roman" w:hAnsi="Times New Roman"/>
          <w:sz w:val="18"/>
          <w:szCs w:val="18"/>
          <w:color w:val="auto"/>
        </w:rPr>
        <w:t xml:space="preserve"> of this Subscription Agreement. Except (i) for a named party to this Subscription Agreement (and then only to the extent of the specific obligations undertaken by such named party in this Subscription Agreement and not otherwise) or (ii) with respect to Retained Claims, no past, present or future direct or indirect director, officer, employee, incorporator, member, partner, manager, management company, equityholder, Affiliate, agent, attorney, advisor or representative or Affiliate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xml:space="preserve">”) shall have any liability (whether in contract, tort, equity or otherwise) for any one or more of the representations, warranties, covenants, agreements or other obligations or liabilities of any one or more parties under this Subscription Agreement or of or for any legal proceeding, claim, obligation, liability or cause of action (whether in contract, in tort, at law, in equity or otherwise) based on, arising out of, or related to this Subscription Agreement. In furtherance and not in limitation of the foregoing, each party covenants, agrees and acknowledges that no recourse under this Subscription Agreement or any other agreement referenced herein or in connection with any transactions contemplated hereby shall be sought or had against any Non-Recourse Party, except for claims that any party hereto or Warner Bros., as applicable, may assert (A) against another party hereto (or its heirs, executors, administrators, successors, legal representatives or permitted assigns) solely in accordance with, and pursuant to the terms and conditions of, this Subscription Agreement or (B) pursuant to the Merger Agreement, the Confidentiality Agreement (as defined in the Merger Agreement) or any other agreement, document or instrument entered into by the parties hereto or their respective Affiliates in connection with the transactions contemplated by this Subscription Agreement, in each case, solely in accordance with, and pursuant to the terms and conditions hereof or thereof (each of the claims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Retained Claim</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The parties hereto agree that irreparable damage would occur in the event that any of the provisions of this Subscription Agreement were not performed in accordance with their specific terms or were otherwise breached. It is accordingly agreed that the parties hereto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            This Subscription Agreement shall be governed by, and construed in accordance with, the laws of the State of Delaware, without giving effect to any law, rule, or provision that would cause the application of any law other than the laws of the State of Delaware. The parties hereto expressly acknowledge and agree that: (i) the requirements of 6 Del. C. § 2708 are satisfied by the provisions of this Subscription Agreement and that such statute mandates the application of the laws of the State of Delaware to this Subscription Agreement, the relationship of the parties hereto, the transactions contemplated hereby, and the interpretation and enforcement of the rights and duties of any party hereto, (ii) the parties hereto have a reasonable basis for the application of the laws of the State of Delaware to this Subscription Agreement, the relationship of the parties hereto, the transactions contemplated hereby, and the interpretation and enforcement of the rights and duties of any party hereto, (iii) no other jurisdiction has a materially greater interest in the foregoing, and (iv) the application of the laws of the State of Delaware would not be contrary to the fundamental policy of any other jurisdiction that, absent the choice of the laws of the State of Delaware hereunder of the parties hereto, would have an interest in the foregoing.</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0" w:name="page181"/>
    <w:bookmarkEnd w:id="180"/>
    <w:p>
      <w:pPr>
        <w:jc w:val="both"/>
        <w:ind w:left="4"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(n)            EACH PARTY HERETO IRREVOCABLY WAIVES ANY RIGHT TO A TRIAL BY JURY IN ANY PROCEEDING BETWEEN OR AMONG THE PARTIES HERETO ARISING OUT OF OR RELATING TO THE SUBJECT MATTER OF THIS SUBSCRIPTION AGREEMENT OR THE TRANSACTIONS CONTEMPLATED HEREBY. EACH PARTY HERETO HEREBY</w:t>
      </w:r>
    </w:p>
    <w:p>
      <w:pPr>
        <w:jc w:val="both"/>
        <w:ind w:left="4" w:hanging="4"/>
        <w:spacing w:after="0" w:line="253" w:lineRule="auto"/>
        <w:tabs>
          <w:tab w:leader="none" w:pos="243"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CERTIFIES THAT NO REPRESENTATIVE, AGENT OR ATTORNEY OF ANY OTHER PARTY HERETO HAS REPRESENTED, EXPRESSLY OR OTHERWISE, THAT SUCH OTHER PARTY WOULD NOT, IN THE EVENT OF LITIGATION, SEEK TO ENFORCE THE FOREGOING WAIVER AND (II) ACKNOWLEDGES THAT IT HAS BEEN INDUCED TO ENTER INTO THIS SUBSCRIPTION AGREEMENT AND THE TRANSACTIONS CONTEMPLATED HEREBY, AS APPLICABLE, BY, AMONG OTHER THINGS, THE MUTUAL WAIVERS AND CERTIFICATIONS IN THIS SECTION 6(n).</w:t>
      </w:r>
    </w:p>
    <w:p>
      <w:pPr>
        <w:spacing w:after="0" w:line="187"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(o)            The parties hereto agree that in any Proceeding arising out of or relating to this Subscription Agreement or the transactions contemplated hereby (including any amount due or payable in connection therewith or any matter arising out of or relating to the termination of either of them), each of the parties hereto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(ii) agrees that it will not attempt to deny or defeat such personal jurisdiction of such Chosen Court by motion, other request for leave, or other Proceeding, (iii) agrees that any Proceeding arising out of or relating to this Subscription Agreement or the transactions contemplated hereby shall be brought, tried, and determined only in the Chosen Courts, (iv) waives any claim of improper venue or any claim that the appropriate Chosen Court is an inconvenient forum, and (v) agrees that it will not bring any Proceeding arising out of or relating to this Subscription Agreement or the transactions contemplated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any other manner permitted by applicable Law. A final judgment in any Proceeding commenced in accordance with this </w:t>
      </w:r>
      <w:r>
        <w:rPr>
          <w:rFonts w:ascii="Times New Roman" w:cs="Times New Roman" w:eastAsia="Times New Roman" w:hAnsi="Times New Roman"/>
          <w:sz w:val="18"/>
          <w:szCs w:val="18"/>
          <w:u w:val="single" w:color="auto"/>
          <w:color w:val="auto"/>
        </w:rPr>
        <w:t>Section 6(o)</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in the foregoing shall restrict any party’s right to seek any post-judgment relief regarding, or any appeal from, such final trial court judgment.</w:t>
      </w:r>
    </w:p>
    <w:p>
      <w:pPr>
        <w:spacing w:after="0" w:line="197"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(p)            The decision of Subscriber to purchase the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81" w:name="page182"/>
    <w:bookmarkEnd w:id="181"/>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(q)            Notwithstanding anything to the contrary contained in this Subscription Agreement, if Subscriber breaches this Subscription Agreement (whether such breach is knowing, deliberate, willful, unintentional, or otherwise) or fails to perform hereunder (whether such failure is knowing, deliberate, willful, unintentional, or otherwise), then, except for specific performance as and to the extent permitted under </w:t>
      </w:r>
      <w:r>
        <w:rPr>
          <w:rFonts w:ascii="Times New Roman" w:cs="Times New Roman" w:eastAsia="Times New Roman" w:hAnsi="Times New Roman"/>
          <w:sz w:val="18"/>
          <w:szCs w:val="18"/>
          <w:u w:val="single" w:color="auto"/>
          <w:color w:val="auto"/>
        </w:rPr>
        <w:t>Section 6(l)</w:t>
      </w:r>
      <w:r>
        <w:rPr>
          <w:rFonts w:ascii="Times New Roman" w:cs="Times New Roman" w:eastAsia="Times New Roman" w:hAnsi="Times New Roman"/>
          <w:sz w:val="18"/>
          <w:szCs w:val="18"/>
          <w:color w:val="auto"/>
        </w:rPr>
        <w:t>, the sole and exclusive remedy (whether at law, in equity, in contract, in tort or otherwise) against Subscriber or any of its Affiliates or any former, current or future directors, officers, employees, general or limited partners, managers, members, direct or indirect equityholders, controlling persons, agents, representatives, successors or assigns of any of the foregoing, or any person which provides or is committed to provide financing in connection with the transactions contemplated by this Subscription Agreement or any of their respective Affiliates (collectively,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for any breach, loss or failure to perform, which recourse shall be sought solely against Subscriber, subject to the limitations set forth herein, will be for the Company to seek to recover monetary damages from Subscriber for actual fraud or willful breach;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w:t>
      </w:r>
    </w:p>
    <w:p>
      <w:pPr>
        <w:spacing w:after="0" w:line="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8"/>
          <w:szCs w:val="18"/>
          <w:color w:val="auto"/>
        </w:rPr>
        <w:t>event shall Subscriber be subject to monetary damages in the aggregate in the excess of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Maximum Aggregate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to avoid any duplication of recovery, the Company agrees that it may not enforce any of Subscriber’s obligations, or recovery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monetary damages from Subscriber, in each case, to the extent that the Company or Warner Bros. has enforced the Other Subscription Agreement or the Ellison Guarantee (as defined in the Other Subscription Agreement) against the Other Subscriber or the Guarantor (as defined in the Other Subscription Agreement) in respect of such matter. Notwithstanding anything to the contrary herein, in no event will any person: (i) be entitled to or permitted to receive both (x) the payment of any monetary damages (other than any monetary damages in respect of any fees and expenses (including fees and expenses of counsel) incurred by the Company or any of its Affiliates in connection with the enforcement of this Subscription Agreement) and (y) a grant of specific performance requiring consummation of the transactions contemplated hereby, or (ii) seek, directly or indirectly, to recover (or recover) against any of Subscriber or the Subscriber Related Parties, or compel any payment by Subscriber or the Subscriber Related Parties of, any damages or other payments whatsoever that are, in the aggregate, in excess of the Maximum Aggregate Liability. For avoidance of doubt, while Warner Bros. or the Company may seek to pursue either or both (i) an award of specific performance to enforce Subscriber’s obligation to consummate the transactions contemplated hereby solely in accordance with, and subject to the limitations in, this Subscription Agreement (including </w:t>
      </w:r>
      <w:r>
        <w:rPr>
          <w:rFonts w:ascii="Times New Roman" w:cs="Times New Roman" w:eastAsia="Times New Roman" w:hAnsi="Times New Roman"/>
          <w:sz w:val="18"/>
          <w:szCs w:val="18"/>
          <w:u w:val="single" w:color="auto"/>
          <w:color w:val="auto"/>
        </w:rPr>
        <w:t>Section 6(l)</w:t>
      </w:r>
      <w:r>
        <w:rPr>
          <w:rFonts w:ascii="Times New Roman" w:cs="Times New Roman" w:eastAsia="Times New Roman" w:hAnsi="Times New Roman"/>
          <w:sz w:val="18"/>
          <w:szCs w:val="18"/>
          <w:color w:val="auto"/>
        </w:rPr>
        <w:t xml:space="preserve">), or (ii) a monetary damages award solely in accordance with, and subject to the limitations in, this Subscription Agreement, in no event will (A) Warner Bros., the Company or any other person be entitled to receive such monetary damages award (other than any monetary damages in respect of any fees and expenses (including fees and expenses of counsel) incurred by the Company or any of its Affiliates in connection with the enforcement of this Subscription Agreement if Warner Bros., the Company has received a grant of specific performance or any other equitable remedy pursuant to </w:t>
      </w:r>
      <w:r>
        <w:rPr>
          <w:rFonts w:ascii="Times New Roman" w:cs="Times New Roman" w:eastAsia="Times New Roman" w:hAnsi="Times New Roman"/>
          <w:sz w:val="18"/>
          <w:szCs w:val="18"/>
          <w:u w:val="single" w:color="auto"/>
          <w:color w:val="auto"/>
        </w:rPr>
        <w:t>Section 6(l)</w:t>
      </w:r>
      <w:r>
        <w:rPr>
          <w:rFonts w:ascii="Times New Roman" w:cs="Times New Roman" w:eastAsia="Times New Roman" w:hAnsi="Times New Roman"/>
          <w:sz w:val="18"/>
          <w:szCs w:val="18"/>
          <w:color w:val="auto"/>
        </w:rPr>
        <w:t xml:space="preserve"> that specifically enforces the Company’s or Subscriber’s obligation hereunder or (B) Warner Bros., the Company or any other person be entitled a grant (or enforcement) of specific performance or any other equitable remedy, whether pursuant to </w:t>
      </w:r>
      <w:r>
        <w:rPr>
          <w:rFonts w:ascii="Times New Roman" w:cs="Times New Roman" w:eastAsia="Times New Roman" w:hAnsi="Times New Roman"/>
          <w:sz w:val="18"/>
          <w:szCs w:val="18"/>
          <w:u w:val="single" w:color="auto"/>
          <w:color w:val="auto"/>
        </w:rPr>
        <w:t>Section 6(l)</w:t>
      </w:r>
      <w:r>
        <w:rPr>
          <w:rFonts w:ascii="Times New Roman" w:cs="Times New Roman" w:eastAsia="Times New Roman" w:hAnsi="Times New Roman"/>
          <w:sz w:val="18"/>
          <w:szCs w:val="18"/>
          <w:color w:val="auto"/>
        </w:rPr>
        <w:t xml:space="preserve"> or otherwise, following any award of monetary damages (other than any monetary damages in respect of any fees and expenses (including fees and expenses of counsel) incurred by Subscriber, the Company or any of its Affiliates in connection with the enforcement of this Subscription Agreement) in accordance with this Subscription Agreement. For purposes of this Subscription Agreement, a “willful breach” means any willful material breach of any covenant or agreement set forth in this Subscription Agreement prior to the date of its termination that is a consequence of any act, or failure to act, undertaken by Subscriber with the knowledge that the taking of such act, or failure to act, would result in such breach. Each of the Company and Subscriber acknowledges and agrees that the agreements contained in this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are integral parts of the transactions contemplated hereby and that, without these agreements, the Company, on the one hand, and Subscriber, on the other hand, would not enter into this Subscription Agreement.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left="5540" w:right="5520" w:hanging="5532"/>
        <w:spacing w:after="0" w:line="372" w:lineRule="auto"/>
        <w:tabs>
          <w:tab w:leader="none" w:pos="134"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Aggregate Liability to be 7% of the Subscriber’s Purchase Price.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Company and Subscriber has executed or caused this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first set forth above.</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1515 Broadway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Chief Legal Officer and General Counsel Email: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paramountgloballegalnotices@paramount.com</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ind w:left="5640"/>
        <w:spacing w:after="0"/>
        <w:rPr>
          <w:sz w:val="20"/>
          <w:szCs w:val="20"/>
          <w:color w:val="auto"/>
        </w:rPr>
      </w:pPr>
      <w:r>
        <w:rPr>
          <w:rFonts w:ascii="Times New Roman" w:cs="Times New Roman" w:eastAsia="Times New Roman" w:hAnsi="Times New Roman"/>
          <w:sz w:val="18"/>
          <w:szCs w:val="18"/>
          <w:color w:val="auto"/>
        </w:rPr>
        <w:t>SUBSCRIBER: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  RedBird Capital Partners Fund IV (Master),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RedBird Capital Partners Fund IV GenPar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Gerald J. Cardinale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RedBird Capital Partners Fund IV (Master),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 RedBird Capital Partners Management,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667 Madison Avenue, 8th Floor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Michael Chiaravalloti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Legal@redbirdcap.com</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Randi Lally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randi.lally@friedfrank.com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Number of Subscribed Shares subscribed for:</w:t>
            </w:r>
          </w:p>
        </w:tc>
        <w:tc>
          <w:tcPr>
            <w:tcW w:w="2820" w:type="dxa"/>
            <w:vAlign w:val="bottom"/>
            <w:tcBorders>
              <w:bottom w:val="single" w:sz="8" w:color="auto"/>
            </w:tcBorders>
          </w:tcPr>
          <w:p>
            <w:pPr>
              <w:spacing w:after="0"/>
              <w:rPr>
                <w:sz w:val="20"/>
                <w:szCs w:val="20"/>
                <w:color w:val="auto"/>
              </w:rPr>
            </w:pPr>
          </w:p>
        </w:tc>
      </w:tr>
      <w:tr>
        <w:trPr>
          <w:trHeight w:val="42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Price Per Share: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$250,000,000.00</w:t>
            </w: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must pay the Purchase Price by wire transfer of United States dollars in immediately available funds to the account of the Company specified by the Company in the Closing Notice.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Annex A should be completed by Subscriber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constitutes a part of the Subscription Agreement.</w:t>
      </w:r>
    </w:p>
    <w:p>
      <w:pPr>
        <w:spacing w:after="0" w:line="207"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box, if applicable)</w:t>
      </w:r>
    </w:p>
    <w:p>
      <w:pPr>
        <w:spacing w:after="0" w:line="225" w:lineRule="exact"/>
        <w:rPr>
          <w:sz w:val="20"/>
          <w:szCs w:val="20"/>
          <w:color w:val="auto"/>
        </w:rPr>
      </w:pPr>
    </w:p>
    <w:p>
      <w:pPr>
        <w:ind w:left="1300" w:hanging="644"/>
        <w:spacing w:after="0"/>
        <w:tabs>
          <w:tab w:leader="none" w:pos="1300" w:val="left"/>
        </w:tabs>
        <w:numPr>
          <w:ilvl w:val="1"/>
          <w:numId w:val="8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 “qualified institutional buyer” (as defined in Rule 144A under the Securities Act).</w:t>
      </w:r>
    </w:p>
    <w:p>
      <w:pPr>
        <w:spacing w:after="0" w:line="221" w:lineRule="exact"/>
        <w:rPr>
          <w:rFonts w:ascii="MS PGothic" w:cs="MS PGothic" w:eastAsia="MS PGothic" w:hAnsi="MS PGothic"/>
          <w:sz w:val="18"/>
          <w:szCs w:val="18"/>
          <w:color w:val="auto"/>
        </w:rPr>
      </w:pPr>
    </w:p>
    <w:p>
      <w:pPr>
        <w:ind w:left="240" w:hanging="232"/>
        <w:spacing w:after="0"/>
        <w:tabs>
          <w:tab w:leader="none" w:pos="2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 **</w:t>
      </w:r>
    </w:p>
    <w:p>
      <w:pPr>
        <w:spacing w:after="0" w:line="229"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box)</w:t>
      </w:r>
    </w:p>
    <w:p>
      <w:pPr>
        <w:spacing w:after="0" w:line="225" w:lineRule="exact"/>
        <w:rPr>
          <w:sz w:val="20"/>
          <w:szCs w:val="20"/>
          <w:color w:val="auto"/>
        </w:rPr>
      </w:pPr>
    </w:p>
    <w:p>
      <w:pPr>
        <w:ind w:left="1300" w:hanging="644"/>
        <w:spacing w:after="0" w:line="282" w:lineRule="auto"/>
        <w:tabs>
          <w:tab w:leader="none" w:pos="1300" w:val="left"/>
        </w:tabs>
        <w:numPr>
          <w:ilvl w:val="1"/>
          <w:numId w:val="8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7" w:lineRule="exact"/>
        <w:rPr>
          <w:rFonts w:ascii="MS PGothic" w:cs="MS PGothic" w:eastAsia="MS PGothic" w:hAnsi="MS PGothic"/>
          <w:sz w:val="18"/>
          <w:szCs w:val="18"/>
          <w:color w:val="auto"/>
        </w:rPr>
      </w:pPr>
    </w:p>
    <w:p>
      <w:pPr>
        <w:ind w:left="240" w:hanging="232"/>
        <w:spacing w:after="0"/>
        <w:tabs>
          <w:tab w:leader="none" w:pos="2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AND **</w:t>
      </w:r>
    </w:p>
    <w:p>
      <w:pPr>
        <w:spacing w:after="0" w:line="229"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check the applicable box)</w:t>
      </w:r>
    </w:p>
    <w:p>
      <w:pPr>
        <w:spacing w:after="0" w:line="206" w:lineRule="exact"/>
        <w:rPr>
          <w:rFonts w:ascii="Times New Roman" w:cs="Times New Roman" w:eastAsia="Times New Roman" w:hAnsi="Times New Roman"/>
          <w:sz w:val="18"/>
          <w:szCs w:val="18"/>
          <w:color w:val="auto"/>
        </w:rPr>
      </w:pPr>
    </w:p>
    <w:p>
      <w:pPr>
        <w:ind w:left="660" w:right="9440"/>
        <w:spacing w:after="0" w:line="34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SUBSCRIBER: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is:</w:t>
      </w:r>
    </w:p>
    <w:p>
      <w:pPr>
        <w:spacing w:after="0" w:line="129" w:lineRule="exact"/>
        <w:rPr>
          <w:rFonts w:ascii="Times New Roman" w:cs="Times New Roman" w:eastAsia="Times New Roman" w:hAnsi="Times New Roman"/>
          <w:sz w:val="18"/>
          <w:szCs w:val="18"/>
          <w:color w:val="auto"/>
        </w:rPr>
      </w:pPr>
    </w:p>
    <w:p>
      <w:pPr>
        <w:ind w:left="66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is not:</w:t>
      </w:r>
    </w:p>
    <w:p>
      <w:pPr>
        <w:spacing w:after="0" w:line="26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institutional “accredited investor.”</w:t>
      </w:r>
    </w:p>
    <w:p>
      <w:pPr>
        <w:spacing w:after="0" w:line="180" w:lineRule="exact"/>
        <w:rPr>
          <w:sz w:val="20"/>
          <w:szCs w:val="20"/>
          <w:color w:val="auto"/>
        </w:rPr>
      </w:pPr>
    </w:p>
    <w:p>
      <w:pPr>
        <w:ind w:left="1300" w:hanging="644"/>
        <w:spacing w:after="0" w:line="282" w:lineRule="auto"/>
        <w:tabs>
          <w:tab w:leader="none" w:pos="1300"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small business investment company, private business development company, or rural business investment company;</w:t>
      </w:r>
    </w:p>
    <w:p>
      <w:pPr>
        <w:spacing w:after="0" w:line="161" w:lineRule="exact"/>
        <w:rPr>
          <w:rFonts w:ascii="MS PGothic" w:cs="MS PGothic" w:eastAsia="MS PGothic" w:hAnsi="MS PGothic"/>
          <w:sz w:val="18"/>
          <w:szCs w:val="18"/>
          <w:color w:val="auto"/>
        </w:rPr>
      </w:pPr>
    </w:p>
    <w:p>
      <w:pPr>
        <w:ind w:left="1300" w:hanging="644"/>
        <w:spacing w:after="0"/>
        <w:tabs>
          <w:tab w:leader="none" w:pos="1300"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registered pursuant to section 203 of the Investment Advisers Act or registered pursuant to the laws of a state;</w:t>
      </w:r>
    </w:p>
    <w:p>
      <w:pPr>
        <w:spacing w:after="0" w:line="225" w:lineRule="exact"/>
        <w:rPr>
          <w:rFonts w:ascii="MS PGothic" w:cs="MS PGothic" w:eastAsia="MS PGothic" w:hAnsi="MS PGothic"/>
          <w:sz w:val="18"/>
          <w:szCs w:val="18"/>
          <w:color w:val="auto"/>
        </w:rPr>
      </w:pPr>
    </w:p>
    <w:p>
      <w:pPr>
        <w:ind w:left="1300" w:hanging="644"/>
        <w:spacing w:after="0" w:line="282" w:lineRule="auto"/>
        <w:tabs>
          <w:tab w:leader="none" w:pos="1300"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relying on the exemption from registering with the Commission under section 203(l) or (m) of the Investment Advisers Act;</w:t>
      </w:r>
    </w:p>
    <w:p>
      <w:pPr>
        <w:spacing w:after="0" w:line="161" w:lineRule="exact"/>
        <w:rPr>
          <w:rFonts w:ascii="MS PGothic" w:cs="MS PGothic" w:eastAsia="MS PGothic" w:hAnsi="MS PGothic"/>
          <w:sz w:val="18"/>
          <w:szCs w:val="18"/>
          <w:color w:val="auto"/>
        </w:rPr>
      </w:pPr>
    </w:p>
    <w:p>
      <w:pPr>
        <w:ind w:left="1300" w:hanging="644"/>
        <w:spacing w:after="0" w:line="282" w:lineRule="auto"/>
        <w:tabs>
          <w:tab w:leader="none" w:pos="1300" w:val="left"/>
        </w:tabs>
        <w:numPr>
          <w:ilvl w:val="0"/>
          <w:numId w:val="9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jc w:val="both"/>
        <w:ind w:left="644" w:hanging="644"/>
        <w:spacing w:after="0" w:line="261" w:lineRule="auto"/>
        <w:tabs>
          <w:tab w:leader="none" w:pos="644"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Title I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179"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17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other than an entity described in the categories of “accredited investors” above, not formed for the specific purpose of acquiring the securities offered, owning investments in excess of $5,000,000;</w:t>
      </w:r>
    </w:p>
    <w:p>
      <w:pPr>
        <w:spacing w:after="0" w:line="161"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79"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client,” as defined under the Investment Advisers Act, of a family office meeting the requirements in the previous paragraph and whose prospective investment in the issuer is directed by such family office pursuant to the previous paragraph; or</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225" w:lineRule="exact"/>
        <w:rPr>
          <w:sz w:val="20"/>
          <w:szCs w:val="20"/>
          <w:color w:val="auto"/>
        </w:rPr>
      </w:pPr>
    </w:p>
    <w:p>
      <w:pPr>
        <w:ind w:left="644"/>
        <w:spacing w:after="0"/>
        <w:tabs>
          <w:tab w:leader="none" w:pos="3124" w:val="left"/>
        </w:tabs>
        <w:rPr>
          <w:sz w:val="20"/>
          <w:szCs w:val="20"/>
          <w:color w:val="auto"/>
        </w:rPr>
      </w:pPr>
      <w:r>
        <w:rPr>
          <w:rFonts w:ascii="Times New Roman" w:cs="Times New Roman" w:eastAsia="Times New Roman" w:hAnsi="Times New Roman"/>
          <w:sz w:val="18"/>
          <w:szCs w:val="18"/>
          <w:color w:val="auto"/>
        </w:rPr>
        <w:t>[Specify which tests:</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right="20" w:hanging="644"/>
        <w:spacing w:after="0" w:line="282" w:lineRule="auto"/>
        <w:tabs>
          <w:tab w:leader="none" w:pos="64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or spousal equivalent, exceeds $1,000,000. For purposes of calculating a natural person’s net worth: (a) the person’s primary residence shall not be included as an asset;</w:t>
      </w:r>
    </w:p>
    <w:p>
      <w:pPr>
        <w:jc w:val="both"/>
        <w:ind w:left="644"/>
        <w:spacing w:after="0" w:line="25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6" w:name="page187"/>
    <w:bookmarkEnd w:id="186"/>
    <w:p>
      <w:pPr>
        <w:jc w:val="both"/>
        <w:ind w:left="644" w:hanging="644"/>
        <w:spacing w:after="0" w:line="266" w:lineRule="auto"/>
        <w:tabs>
          <w:tab w:leader="none" w:pos="644" w:val="left"/>
        </w:tabs>
        <w:numPr>
          <w:ilvl w:val="0"/>
          <w:numId w:val="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7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holding in good standing one or more professional certifications or designations or credentials from an accredited educational institution that the Commission has designated as qualifying an individual for accredited investor status; or</w:t>
      </w:r>
    </w:p>
    <w:p>
      <w:pPr>
        <w:spacing w:after="0" w:line="161"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color w:val="auto"/>
        </w:rPr>
        <w:t>Exhibit (a)(5)(P)</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LAWRENCE J. ELLISON REVOCABLE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YGNACIO VALLEY ROAD, SUITE #320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WALNUT CREEK, CALIFORNIA 94596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(925) 977-9060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(925) 977-9099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letter serves to address questions recently raised regarding The Lawrence J. Ellison Revocable Trust u/a/d 1/22/1988, as amended (the “Trust”) in connection with the proposed merger of Warner Bros. Discovery, Inc. (“WBD”) and Paramount Skydance Corporation (“Paramount”).</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Trust was created in 1988, and there has been one and only one Lawrence J. Ellison Revocable Trust in existence since. Over the past 35+ years, the Trust has been amended on several occasions. Prior to 2020, the Ellison family office utilized nomenclature which referenced the Trust’s most recent amendment - for example, “The Lawrence J. Ellison Trust u/a 7/11/12 as amended.”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Consistent with the representations and warranties provided by the Trust and Mr. Larry Ellison in the Ellison Guarantee, we also write to confirm that the Trust owns Mr. Ellison’s shares of Oracle stock (see attached ownership records from Oracle’s transfer agent) and that the Trust has no material liabilities (other than liabilities resulting from the pledging arrangements disclosed in Oracle’s proxy statement). We note there are a total of 3 accounts with the transfer agent consisting of such Oracle shares, with former co-trustee Philip Simon listed on two accounts. These two accounts remain because they reference specific, physically certificated shares (with then-trustee Philip Simon listed on the certificates), long held in bank vaults.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534160" cy="4375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341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T. Marinelli,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8" w:name="page189"/>
    <w:bookmarkEnd w:id="188"/>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05460" cy="5060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 CENTER</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 BOX 500</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Statement Date: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NEWARK, NJ 07101</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vMerge w:val="continue"/>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17, 2025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ORACLE CORPORATION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0.001.001.00001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Number: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LAWRENCE J ELLISON &amp; PHILIP B SIMON</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Stock Exchange: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r>
        <w:trPr>
          <w:trHeight w:val="216"/>
        </w:trPr>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TRUSTEES LAWRENCE J ELLISON REVOCABLE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Ticker Symbol:</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ORCL</w:t>
            </w:r>
          </w:p>
        </w:tc>
        <w:tc>
          <w:tcPr>
            <w:tcW w:w="0" w:type="dxa"/>
            <w:vAlign w:val="bottom"/>
          </w:tcPr>
          <w:p>
            <w:pPr>
              <w:spacing w:after="0"/>
              <w:rPr>
                <w:sz w:val="1"/>
                <w:szCs w:val="1"/>
                <w:color w:val="auto"/>
              </w:rPr>
            </w:pPr>
          </w:p>
        </w:tc>
      </w:tr>
      <w:tr>
        <w:trPr>
          <w:trHeight w:val="22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U/A 07/11/12 AS AMENDED</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68389X105</w:t>
            </w:r>
          </w:p>
        </w:tc>
        <w:tc>
          <w:tcPr>
            <w:tcW w:w="0" w:type="dxa"/>
            <w:vAlign w:val="bottom"/>
          </w:tcPr>
          <w:p>
            <w:pPr>
              <w:spacing w:after="0"/>
              <w:rPr>
                <w:sz w:val="1"/>
                <w:szCs w:val="1"/>
                <w:color w:val="auto"/>
              </w:rPr>
            </w:pPr>
          </w:p>
        </w:tc>
      </w:tr>
      <w:tr>
        <w:trPr>
          <w:trHeight w:val="212"/>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 YGNACIO VALLEY ROAD SUITE 320</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240"/>
              <w:spacing w:after="0"/>
              <w:rPr>
                <w:sz w:val="20"/>
                <w:szCs w:val="20"/>
                <w:color w:val="auto"/>
              </w:rPr>
            </w:pPr>
            <w:r>
              <w:rPr>
                <w:rFonts w:ascii="Times New Roman" w:cs="Times New Roman" w:eastAsia="Times New Roman" w:hAnsi="Times New Roman"/>
                <w:sz w:val="18"/>
                <w:szCs w:val="18"/>
                <w:color w:val="auto"/>
              </w:rPr>
              <w:t>REDACTED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WALNUT CREEK CA 94596-7026</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W9/W8/W8BENE Certified: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REDACTED</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Summary as of 12/17/2025</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880" w:type="dxa"/>
            <w:vAlign w:val="bottom"/>
          </w:tcPr>
          <w:p>
            <w:pPr>
              <w:spacing w:after="0"/>
              <w:rPr>
                <w:sz w:val="24"/>
                <w:szCs w:val="24"/>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Closing Price Per Share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Estimated Value</w:t>
            </w: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123,600,000.000</w:t>
            </w: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23,317,140,000.00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Certificated</w:t>
            </w:r>
          </w:p>
        </w:tc>
        <w:tc>
          <w:tcPr>
            <w:tcW w:w="21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DRS/Book</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Entry Shares</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660" w:type="dxa"/>
            <w:vAlign w:val="bottom"/>
            <w:tcBorders>
              <w:top w:val="single" w:sz="8" w:color="auto"/>
            </w:tcBorders>
            <w:gridSpan w:val="2"/>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123,600,000.000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Unrestricted</w:t>
            </w:r>
          </w:p>
        </w:tc>
        <w:tc>
          <w:tcPr>
            <w:tcW w:w="8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w:t>
            </w:r>
          </w:p>
        </w:tc>
        <w:tc>
          <w:tcPr>
            <w:tcW w:w="520" w:type="dxa"/>
            <w:vAlign w:val="bottom"/>
          </w:tcPr>
          <w:p>
            <w:pPr>
              <w:spacing w:after="0"/>
              <w:rPr>
                <w:sz w:val="20"/>
                <w:szCs w:val="20"/>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 w:right="380"/>
        <w:spacing w:after="0" w:line="282" w:lineRule="auto"/>
        <w:rPr>
          <w:sz w:val="20"/>
          <w:szCs w:val="20"/>
          <w:color w:val="auto"/>
        </w:rPr>
      </w:pPr>
      <w:r>
        <w:rPr>
          <w:rFonts w:ascii="Times New Roman" w:cs="Times New Roman" w:eastAsia="Times New Roman" w:hAnsi="Times New Roman"/>
          <w:sz w:val="18"/>
          <w:szCs w:val="18"/>
          <w:color w:val="auto"/>
        </w:rPr>
        <w:t>If you have questions, please call our office at 800-937-5449. Our representatives are available to assist you Monday through Friday from 8:00 a.m. to 8:00 p.m. Eastern Time. You may also email us by selecting “Contact Us” on www.astfinancial.com</w:t>
      </w:r>
    </w:p>
    <w:p>
      <w:pPr>
        <w:spacing w:after="0" w:line="151"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0</w:t>
      </w:r>
    </w:p>
    <w:p>
      <w:pPr>
        <w:ind w:left="540"/>
        <w:spacing w:after="0" w:line="181" w:lineRule="auto"/>
        <w:tabs>
          <w:tab w:leader="none" w:pos="10640" w:val="left"/>
        </w:tabs>
        <w:rPr>
          <w:sz w:val="20"/>
          <w:szCs w:val="20"/>
          <w:color w:val="auto"/>
        </w:rPr>
      </w:pPr>
      <w:r>
        <w:rPr>
          <w:rFonts w:ascii="Times New Roman" w:cs="Times New Roman" w:eastAsia="Times New Roman" w:hAnsi="Times New Roman"/>
          <w:sz w:val="27"/>
          <w:szCs w:val="27"/>
          <w:color w:val="auto"/>
        </w:rPr>
        <w:t>REDACTED</w:t>
      </w:r>
      <w:r>
        <w:rPr>
          <w:sz w:val="20"/>
          <w:szCs w:val="20"/>
          <w:color w:val="auto"/>
        </w:rPr>
        <w:tab/>
      </w:r>
      <w:r>
        <w:rPr>
          <w:rFonts w:ascii="Times New Roman" w:cs="Times New Roman" w:eastAsia="Times New Roman" w:hAnsi="Times New Roman"/>
          <w:sz w:val="14"/>
          <w:szCs w:val="14"/>
          <w:color w:val="auto"/>
        </w:rPr>
        <w:t>001.001</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00001</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ind w:left="12" w:right="460"/>
        <w:spacing w:after="0" w:line="282" w:lineRule="auto"/>
        <w:rPr>
          <w:sz w:val="20"/>
          <w:szCs w:val="20"/>
          <w:color w:val="auto"/>
        </w:rPr>
      </w:pPr>
      <w:r>
        <w:rPr>
          <w:rFonts w:ascii="Times New Roman" w:cs="Times New Roman" w:eastAsia="Times New Roman" w:hAnsi="Times New Roman"/>
          <w:sz w:val="18"/>
          <w:szCs w:val="18"/>
          <w:color w:val="auto"/>
        </w:rPr>
        <w:t>A full copy of any rights, privileges, restrictions, and conditions which may be attached to the securities covered by this statement can be obtained by writing to the Secretary of the Company</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Access your stock accounts online</w:t>
      </w:r>
    </w:p>
    <w:p>
      <w:pPr>
        <w:spacing w:after="0" w:line="2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Visit astfinancial.com today to conveniently manage your stock accounts anytime, anywhere.</w:t>
      </w:r>
    </w:p>
    <w:p>
      <w:pPr>
        <w:spacing w:after="0" w:line="225" w:lineRule="exact"/>
        <w:rPr>
          <w:sz w:val="20"/>
          <w:szCs w:val="20"/>
          <w:color w:val="auto"/>
        </w:rPr>
      </w:pPr>
    </w:p>
    <w:p>
      <w:pPr>
        <w:ind w:left="652" w:hanging="328"/>
        <w:spacing w:after="0"/>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your account details including balances and transaction history</w:t>
      </w:r>
    </w:p>
    <w:p>
      <w:pPr>
        <w:spacing w:after="0" w:line="27"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your payment method for dividends and sales proceeds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check replacements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or sell shares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your contact information</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Download statements and tax forms</w:t>
      </w:r>
    </w:p>
    <w:p>
      <w:pPr>
        <w:spacing w:after="0" w:line="20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u w:val="single" w:color="auto"/>
          <w:color w:val="222222"/>
        </w:rPr>
        <w:t>ONLINE ACCOUNT ACCESS:</w:t>
      </w:r>
    </w:p>
    <w:p>
      <w:pPr>
        <w:spacing w:after="0" w:line="2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Accessing the AST website is designed to be simple and secure. In order to access your account online, please follow these steps:</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1: Go to </w:t>
      </w:r>
      <w:r>
        <w:rPr>
          <w:rFonts w:ascii="Times New Roman" w:cs="Times New Roman" w:eastAsia="Times New Roman" w:hAnsi="Times New Roman"/>
          <w:sz w:val="18"/>
          <w:szCs w:val="18"/>
          <w:color w:val="000000"/>
        </w:rPr>
        <w:t>www.astfinancial.com</w:t>
      </w:r>
    </w:p>
    <w:p>
      <w:pPr>
        <w:spacing w:after="0" w:line="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2: Click </w:t>
      </w:r>
      <w:r>
        <w:rPr>
          <w:rFonts w:ascii="Times New Roman" w:cs="Times New Roman" w:eastAsia="Times New Roman" w:hAnsi="Times New Roman"/>
          <w:sz w:val="18"/>
          <w:szCs w:val="18"/>
          <w:b w:val="1"/>
          <w:bCs w:val="1"/>
          <w:color w:val="222222"/>
        </w:rPr>
        <w:t>Login</w:t>
      </w:r>
      <w:r>
        <w:rPr>
          <w:rFonts w:ascii="Times New Roman" w:cs="Times New Roman" w:eastAsia="Times New Roman" w:hAnsi="Times New Roman"/>
          <w:sz w:val="18"/>
          <w:szCs w:val="18"/>
          <w:color w:val="222222"/>
        </w:rPr>
        <w:t xml:space="preserve"> located at the top right hand corner of the page.</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3: Click </w:t>
      </w:r>
      <w:r>
        <w:rPr>
          <w:rFonts w:ascii="Times New Roman" w:cs="Times New Roman" w:eastAsia="Times New Roman" w:hAnsi="Times New Roman"/>
          <w:sz w:val="18"/>
          <w:szCs w:val="18"/>
          <w:b w:val="1"/>
          <w:bCs w:val="1"/>
          <w:color w:val="222222"/>
        </w:rPr>
        <w:t>First Time Here? Register</w:t>
      </w:r>
      <w:r>
        <w:rPr>
          <w:rFonts w:ascii="Times New Roman" w:cs="Times New Roman" w:eastAsia="Times New Roman" w:hAnsi="Times New Roman"/>
          <w:sz w:val="18"/>
          <w:szCs w:val="18"/>
          <w:color w:val="222222"/>
        </w:rPr>
        <w:t xml:space="preserve"> under </w:t>
      </w:r>
      <w:r>
        <w:rPr>
          <w:rFonts w:ascii="Times New Roman" w:cs="Times New Roman" w:eastAsia="Times New Roman" w:hAnsi="Times New Roman"/>
          <w:sz w:val="18"/>
          <w:szCs w:val="18"/>
          <w:b w:val="1"/>
          <w:bCs w:val="1"/>
          <w:color w:val="222222"/>
        </w:rPr>
        <w:t>Shareholder Central,</w:t>
      </w:r>
      <w:r>
        <w:rPr>
          <w:rFonts w:ascii="Times New Roman" w:cs="Times New Roman" w:eastAsia="Times New Roman" w:hAnsi="Times New Roman"/>
          <w:sz w:val="18"/>
          <w:szCs w:val="18"/>
          <w:color w:val="222222"/>
        </w:rPr>
        <w:t xml:space="preserve"> complete the short registration process to create your user name.</w:t>
      </w:r>
    </w:p>
    <w:p>
      <w:pPr>
        <w:spacing w:after="0" w:line="200" w:lineRule="exact"/>
        <w:rPr>
          <w:sz w:val="20"/>
          <w:szCs w:val="20"/>
          <w:color w:val="auto"/>
        </w:rPr>
      </w:pPr>
    </w:p>
    <w:p>
      <w:pPr>
        <w:spacing w:after="0" w:line="21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ind w:left="332" w:hanging="332"/>
        <w:spacing w:after="0"/>
        <w:tabs>
          <w:tab w:leader="none" w:pos="33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only fractional shares, they cannot be transferred.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at least one share:</w:t>
      </w:r>
    </w:p>
    <w:p>
      <w:pPr>
        <w:spacing w:after="0" w:line="22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4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broker is a participant in the Direct Registration System (DRS), your broker may request your shares from AST via the DRS. You must provide your broker with the Company’s CUSIP, your shareholder account number, your taxpayer identification number, the name in which the shares are registered, and the number of shares you wish to transfer. Please note, your broker may request a copy of this Direct Registration Statement.</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4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broker is not a participant in the Direct Registration System (DRS), please write to AST at the address listed above, instructing AST to credit your brokerage account. You must include your AST account number, the name of your brokerage institution, your brokerage account number, and the number of shares that you wish to transfer. Your letter of instruction must be signed by all owners listed in the account registration and the signatures must be medallion guaranteed by a bank, broker or other financial institution that is a member of a Securities Transfer Association-approved medallion program such as STAMP, SEMP, or MSP. Please include a copy of this Direct Registration Statement. Please coordinate with your broker to ensure that they will accept share delivery via the DRS.</w:t>
      </w:r>
    </w:p>
    <w:p>
      <w:pPr>
        <w:spacing w:after="0" w:line="18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How To Replace Lost Certificates</w:t>
      </w:r>
    </w:p>
    <w:p>
      <w:pPr>
        <w:spacing w:after="0" w:line="229" w:lineRule="exact"/>
        <w:rPr>
          <w:sz w:val="20"/>
          <w:szCs w:val="20"/>
          <w:color w:val="auto"/>
        </w:rPr>
      </w:pPr>
    </w:p>
    <w:p>
      <w:pPr>
        <w:ind w:left="12" w:right="380"/>
        <w:spacing w:after="0" w:line="266" w:lineRule="auto"/>
        <w:rPr>
          <w:sz w:val="20"/>
          <w:szCs w:val="20"/>
          <w:color w:val="auto"/>
        </w:rPr>
      </w:pPr>
      <w:r>
        <w:rPr>
          <w:rFonts w:ascii="Times New Roman" w:cs="Times New Roman" w:eastAsia="Times New Roman" w:hAnsi="Times New Roman"/>
          <w:sz w:val="18"/>
          <w:szCs w:val="18"/>
          <w:color w:val="auto"/>
        </w:rPr>
        <w:t>To replace any lost certificate(s), please access your account via our website at www.astfinancial.com, contact our Shareholder Services Department at the number listed above or notify our Correspondence Department in writing at the letterhead address. Upon receipt of your request, the appropriate documents will be sent to replace the certificate(s).</w:t>
      </w:r>
    </w:p>
    <w:p>
      <w:pPr>
        <w:spacing w:after="0" w:line="38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W9/W8 Certified Instructions</w:t>
      </w:r>
    </w:p>
    <w:p>
      <w:pPr>
        <w:spacing w:after="0" w:line="229" w:lineRule="exact"/>
        <w:rPr>
          <w:sz w:val="20"/>
          <w:szCs w:val="20"/>
          <w:color w:val="auto"/>
        </w:rPr>
      </w:pPr>
    </w:p>
    <w:p>
      <w:pPr>
        <w:ind w:left="12" w:right="280"/>
        <w:spacing w:after="0" w:line="266" w:lineRule="auto"/>
        <w:rPr>
          <w:sz w:val="20"/>
          <w:szCs w:val="20"/>
          <w:color w:val="auto"/>
        </w:rPr>
      </w:pPr>
      <w:r>
        <w:rPr>
          <w:rFonts w:ascii="Times New Roman" w:cs="Times New Roman" w:eastAsia="Times New Roman" w:hAnsi="Times New Roman"/>
          <w:sz w:val="18"/>
          <w:szCs w:val="18"/>
          <w:color w:val="212121"/>
        </w:rPr>
        <w:t xml:space="preserve">You will need to complete and return the tax form, W9 form (domestic shareholders), W8 BEN (foreign individual), or W8 BEN-E (foreign entity). The forms are available </w:t>
      </w:r>
      <w:r>
        <w:rPr>
          <w:rFonts w:ascii="Times New Roman" w:cs="Times New Roman" w:eastAsia="Times New Roman" w:hAnsi="Times New Roman"/>
          <w:sz w:val="18"/>
          <w:szCs w:val="18"/>
          <w:i w:val="1"/>
          <w:iCs w:val="1"/>
          <w:color w:val="212121"/>
        </w:rPr>
        <w:t>at www.astfinancial.com/knowledge-center/forms.</w:t>
      </w:r>
      <w:r>
        <w:rPr>
          <w:rFonts w:ascii="Times New Roman" w:cs="Times New Roman" w:eastAsia="Times New Roman" w:hAnsi="Times New Roman"/>
          <w:sz w:val="18"/>
          <w:szCs w:val="18"/>
          <w:color w:val="212121"/>
        </w:rPr>
        <w:t xml:space="preserve"> Once AST receives your tax form your Social Security Number/TIN will be updated and your account will become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90" w:name="page191"/>
    <w:bookmarkEnd w:id="190"/>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05460" cy="5060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 CENTER</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 BOX 500</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Statement Date: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NEWARK, NJ 07101</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vMerge w:val="continue"/>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17, 2025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ORACLE CORPORATION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0.001.001.00001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Number: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0" w:type="dxa"/>
            <w:vAlign w:val="bottom"/>
          </w:tcPr>
          <w:p>
            <w:pPr>
              <w:spacing w:after="0"/>
              <w:rPr>
                <w:sz w:val="1"/>
                <w:szCs w:val="1"/>
                <w:color w:val="auto"/>
              </w:rPr>
            </w:pPr>
          </w:p>
        </w:tc>
      </w:tr>
      <w:tr>
        <w:trPr>
          <w:trHeight w:val="216"/>
        </w:trPr>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LAWRENCE J ELLISON OR PAUL T MARINELLI</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Stock Exchange: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TRUSTEES OF THE LAWRENCE J ELLISON</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Ticker Symbol:</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ORCL</w:t>
            </w:r>
          </w:p>
        </w:tc>
        <w:tc>
          <w:tcPr>
            <w:tcW w:w="0" w:type="dxa"/>
            <w:vAlign w:val="bottom"/>
          </w:tcPr>
          <w:p>
            <w:pPr>
              <w:spacing w:after="0"/>
              <w:rPr>
                <w:sz w:val="1"/>
                <w:szCs w:val="1"/>
                <w:color w:val="auto"/>
              </w:rPr>
            </w:pPr>
          </w:p>
        </w:tc>
      </w:tr>
      <w:tr>
        <w:trPr>
          <w:trHeight w:val="220"/>
        </w:trPr>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REVOCABLE TRUST U/A 1/22/88 AS AMENDED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68389X105</w:t>
            </w:r>
          </w:p>
        </w:tc>
        <w:tc>
          <w:tcPr>
            <w:tcW w:w="0" w:type="dxa"/>
            <w:vAlign w:val="bottom"/>
          </w:tcPr>
          <w:p>
            <w:pPr>
              <w:spacing w:after="0"/>
              <w:rPr>
                <w:sz w:val="1"/>
                <w:szCs w:val="1"/>
                <w:color w:val="auto"/>
              </w:rPr>
            </w:pPr>
          </w:p>
        </w:tc>
      </w:tr>
      <w:tr>
        <w:trPr>
          <w:trHeight w:val="212"/>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 LAWRENCE INVES / P MARINELLI</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240"/>
              <w:spacing w:after="0"/>
              <w:rPr>
                <w:sz w:val="20"/>
                <w:szCs w:val="20"/>
                <w:color w:val="auto"/>
              </w:rPr>
            </w:pPr>
            <w:r>
              <w:rPr>
                <w:rFonts w:ascii="Times New Roman" w:cs="Times New Roman" w:eastAsia="Times New Roman" w:hAnsi="Times New Roman"/>
                <w:sz w:val="18"/>
                <w:szCs w:val="18"/>
                <w:color w:val="auto"/>
              </w:rPr>
              <w:t>REDACTED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 YGNACIO VALLEY ROAD SUITE 320</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W9/W8/W8BENE Certified: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WALNUT CREEK, CA 94596-7026</w:t>
            </w: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REDACTED</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Summary as of 12/17/2025</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880" w:type="dxa"/>
            <w:vAlign w:val="bottom"/>
          </w:tcPr>
          <w:p>
            <w:pPr>
              <w:spacing w:after="0"/>
              <w:rPr>
                <w:sz w:val="24"/>
                <w:szCs w:val="24"/>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Closing Price Per Share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Estimated Value</w:t>
            </w: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936,232,353.000</w:t>
            </w: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176,620,233,393.45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Certificated</w:t>
            </w:r>
          </w:p>
        </w:tc>
        <w:tc>
          <w:tcPr>
            <w:tcW w:w="21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DRS/Book</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Entry Shares</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660" w:type="dxa"/>
            <w:vAlign w:val="bottom"/>
            <w:tcBorders>
              <w:top w:val="single" w:sz="8" w:color="auto"/>
            </w:tcBorders>
            <w:gridSpan w:val="2"/>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502,437,353.000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433,795,000.000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Unrestricted</w:t>
            </w:r>
          </w:p>
        </w:tc>
        <w:tc>
          <w:tcPr>
            <w:tcW w:w="8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w:t>
            </w:r>
          </w:p>
        </w:tc>
        <w:tc>
          <w:tcPr>
            <w:tcW w:w="520" w:type="dxa"/>
            <w:vAlign w:val="bottom"/>
          </w:tcPr>
          <w:p>
            <w:pPr>
              <w:spacing w:after="0"/>
              <w:rPr>
                <w:sz w:val="20"/>
                <w:szCs w:val="20"/>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 w:right="380"/>
        <w:spacing w:after="0" w:line="282" w:lineRule="auto"/>
        <w:rPr>
          <w:sz w:val="20"/>
          <w:szCs w:val="20"/>
          <w:color w:val="auto"/>
        </w:rPr>
      </w:pPr>
      <w:r>
        <w:rPr>
          <w:rFonts w:ascii="Times New Roman" w:cs="Times New Roman" w:eastAsia="Times New Roman" w:hAnsi="Times New Roman"/>
          <w:sz w:val="18"/>
          <w:szCs w:val="18"/>
          <w:color w:val="auto"/>
        </w:rPr>
        <w:t>If you have questions, please call our office at 800-937-5449. Our representatives are available to assist you Monday through Friday from 8:00 a.m. to 8:00 p.m. Eastern Time. You may also email us by selecting “Contact Us” on www.astfinancial.com</w:t>
      </w:r>
    </w:p>
    <w:p>
      <w:pPr>
        <w:sectPr>
          <w:pgSz w:w="11900" w:h="16838" w:orient="portrait"/>
          <w:cols w:equalWidth="0" w:num="1">
            <w:col w:w="11240"/>
          </w:cols>
          <w:pgMar w:left="320" w:top="1440" w:right="339" w:bottom="1440" w:gutter="0" w:footer="0" w:header="0"/>
        </w:sect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43"/>
          <w:szCs w:val="43"/>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001.001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00001</w:t>
      </w:r>
    </w:p>
    <w:p>
      <w:pPr>
        <w:sectPr>
          <w:pgSz w:w="11900" w:h="16838" w:orient="portrait"/>
          <w:cols w:equalWidth="0" w:num="2">
            <w:col w:w="9940" w:space="720"/>
            <w:col w:w="580"/>
          </w:cols>
          <w:pgMar w:left="320" w:top="1440" w:right="339" w:bottom="1440" w:gutter="0" w:footer="0" w:header="0"/>
          <w:type w:val="continuous"/>
        </w:sectPr>
      </w:pPr>
    </w:p>
    <w:bookmarkStart w:id="191" w:name="page192"/>
    <w:bookmarkEnd w:id="191"/>
    <w:p>
      <w:pPr>
        <w:ind w:left="12" w:right="460"/>
        <w:spacing w:after="0" w:line="282" w:lineRule="auto"/>
        <w:rPr>
          <w:sz w:val="20"/>
          <w:szCs w:val="20"/>
          <w:color w:val="auto"/>
        </w:rPr>
      </w:pPr>
      <w:r>
        <w:rPr>
          <w:rFonts w:ascii="Times New Roman" w:cs="Times New Roman" w:eastAsia="Times New Roman" w:hAnsi="Times New Roman"/>
          <w:sz w:val="18"/>
          <w:szCs w:val="18"/>
          <w:color w:val="auto"/>
        </w:rPr>
        <w:t>A full copy of any rights, privileges, restrictions, and conditions which may be attached to the securities covered by this statement can be obtained by writing to the Secretary of the Company</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Access your stock accounts online</w:t>
      </w:r>
    </w:p>
    <w:p>
      <w:pPr>
        <w:spacing w:after="0" w:line="2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Visit astfinancial.com today to conveniently manage your stock accounts anytime, anywhere.</w:t>
      </w:r>
    </w:p>
    <w:p>
      <w:pPr>
        <w:spacing w:after="0" w:line="225" w:lineRule="exact"/>
        <w:rPr>
          <w:sz w:val="20"/>
          <w:szCs w:val="20"/>
          <w:color w:val="auto"/>
        </w:rPr>
      </w:pPr>
    </w:p>
    <w:p>
      <w:pPr>
        <w:ind w:left="652" w:hanging="328"/>
        <w:spacing w:after="0"/>
        <w:tabs>
          <w:tab w:leader="none" w:pos="6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your account details including balances and transaction history</w:t>
      </w:r>
    </w:p>
    <w:p>
      <w:pPr>
        <w:spacing w:after="0" w:line="27"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your payment method for dividends and sales proceeds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check replacements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or sell shares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your contact information</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Download statements and tax forms</w:t>
      </w:r>
    </w:p>
    <w:p>
      <w:pPr>
        <w:spacing w:after="0" w:line="20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u w:val="single" w:color="auto"/>
          <w:color w:val="222222"/>
        </w:rPr>
        <w:t>ONLINE ACCOUNT ACCESS:</w:t>
      </w:r>
    </w:p>
    <w:p>
      <w:pPr>
        <w:spacing w:after="0" w:line="2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Accessing the AST website is designed to be simple and secure. In order to access your account online, please follow these steps:</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1: Go to </w:t>
      </w:r>
      <w:r>
        <w:rPr>
          <w:rFonts w:ascii="Times New Roman" w:cs="Times New Roman" w:eastAsia="Times New Roman" w:hAnsi="Times New Roman"/>
          <w:sz w:val="18"/>
          <w:szCs w:val="18"/>
          <w:color w:val="000000"/>
        </w:rPr>
        <w:t>www.astfinancial.com</w:t>
      </w:r>
    </w:p>
    <w:p>
      <w:pPr>
        <w:spacing w:after="0" w:line="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2: Click </w:t>
      </w:r>
      <w:r>
        <w:rPr>
          <w:rFonts w:ascii="Times New Roman" w:cs="Times New Roman" w:eastAsia="Times New Roman" w:hAnsi="Times New Roman"/>
          <w:sz w:val="18"/>
          <w:szCs w:val="18"/>
          <w:b w:val="1"/>
          <w:bCs w:val="1"/>
          <w:color w:val="222222"/>
        </w:rPr>
        <w:t>Login</w:t>
      </w:r>
      <w:r>
        <w:rPr>
          <w:rFonts w:ascii="Times New Roman" w:cs="Times New Roman" w:eastAsia="Times New Roman" w:hAnsi="Times New Roman"/>
          <w:sz w:val="18"/>
          <w:szCs w:val="18"/>
          <w:color w:val="222222"/>
        </w:rPr>
        <w:t xml:space="preserve"> located at the top right hand corner of the page.</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3: Click </w:t>
      </w:r>
      <w:r>
        <w:rPr>
          <w:rFonts w:ascii="Times New Roman" w:cs="Times New Roman" w:eastAsia="Times New Roman" w:hAnsi="Times New Roman"/>
          <w:sz w:val="18"/>
          <w:szCs w:val="18"/>
          <w:b w:val="1"/>
          <w:bCs w:val="1"/>
          <w:color w:val="222222"/>
        </w:rPr>
        <w:t>First Time Here? Register</w:t>
      </w:r>
      <w:r>
        <w:rPr>
          <w:rFonts w:ascii="Times New Roman" w:cs="Times New Roman" w:eastAsia="Times New Roman" w:hAnsi="Times New Roman"/>
          <w:sz w:val="18"/>
          <w:szCs w:val="18"/>
          <w:color w:val="222222"/>
        </w:rPr>
        <w:t xml:space="preserve"> under </w:t>
      </w:r>
      <w:r>
        <w:rPr>
          <w:rFonts w:ascii="Times New Roman" w:cs="Times New Roman" w:eastAsia="Times New Roman" w:hAnsi="Times New Roman"/>
          <w:sz w:val="18"/>
          <w:szCs w:val="18"/>
          <w:b w:val="1"/>
          <w:bCs w:val="1"/>
          <w:color w:val="222222"/>
        </w:rPr>
        <w:t>Shareholder Central,</w:t>
      </w:r>
      <w:r>
        <w:rPr>
          <w:rFonts w:ascii="Times New Roman" w:cs="Times New Roman" w:eastAsia="Times New Roman" w:hAnsi="Times New Roman"/>
          <w:sz w:val="18"/>
          <w:szCs w:val="18"/>
          <w:color w:val="222222"/>
        </w:rPr>
        <w:t xml:space="preserve"> complete the short registration process to create your user name.</w:t>
      </w:r>
    </w:p>
    <w:p>
      <w:pPr>
        <w:spacing w:after="0" w:line="200" w:lineRule="exact"/>
        <w:rPr>
          <w:sz w:val="20"/>
          <w:szCs w:val="20"/>
          <w:color w:val="auto"/>
        </w:rPr>
      </w:pPr>
    </w:p>
    <w:p>
      <w:pPr>
        <w:spacing w:after="0" w:line="21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ind w:left="332" w:hanging="332"/>
        <w:spacing w:after="0"/>
        <w:tabs>
          <w:tab w:leader="none" w:pos="3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only fractional shares, they cannot be transferred.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at least one share:</w:t>
      </w:r>
    </w:p>
    <w:p>
      <w:pPr>
        <w:spacing w:after="0" w:line="22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4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broker is a participant in the Direct Registration System (DRS), your broker may request your shares from AST via the DRS. You must provide your broker with the Company’s CUSIP, your shareholder account number, your taxpayer identification number, the name in which the shares are registered, and the number of shares you wish to transfer. Please note, your broker may request a copy of this Direct Registration Statement.</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4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broker is not a participant in the Direct Registration System (DRS), please write to AST at the address listed above, instructing AST to credit your brokerage account. You must include your AST account number, the name of your brokerage institution, your brokerage account number, and the number of shares that you wish to transfer. Your letter of instruction must be signed by all owners listed in the account registration and the signatures must be medallion guaranteed by a bank, broker or other financial institution that is a member of a Securities Transfer Association-approved medallion program such as STAMP, SEMP, or MSP. Please include a copy of this Direct Registration Statement. Please coordinate with your broker to ensure that they will accept share delivery via the DRS.</w:t>
      </w:r>
    </w:p>
    <w:p>
      <w:pPr>
        <w:spacing w:after="0" w:line="18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How To Replace Lost Certificates</w:t>
      </w:r>
    </w:p>
    <w:p>
      <w:pPr>
        <w:spacing w:after="0" w:line="229" w:lineRule="exact"/>
        <w:rPr>
          <w:sz w:val="20"/>
          <w:szCs w:val="20"/>
          <w:color w:val="auto"/>
        </w:rPr>
      </w:pPr>
    </w:p>
    <w:p>
      <w:pPr>
        <w:ind w:left="12" w:right="380"/>
        <w:spacing w:after="0" w:line="266" w:lineRule="auto"/>
        <w:rPr>
          <w:sz w:val="20"/>
          <w:szCs w:val="20"/>
          <w:color w:val="auto"/>
        </w:rPr>
      </w:pPr>
      <w:r>
        <w:rPr>
          <w:rFonts w:ascii="Times New Roman" w:cs="Times New Roman" w:eastAsia="Times New Roman" w:hAnsi="Times New Roman"/>
          <w:sz w:val="18"/>
          <w:szCs w:val="18"/>
          <w:color w:val="auto"/>
        </w:rPr>
        <w:t>To replace any lost certificate(s), please access your account via our website at www.astfinancial.com, contact our Shareholder Services Department at the number listed above or notify our Correspondence Department in writing at the letterhead address. Upon receipt of your request, the appropriate documents will be sent to replace the certificate(s).</w:t>
      </w:r>
    </w:p>
    <w:p>
      <w:pPr>
        <w:spacing w:after="0" w:line="38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W9/W8 Certified Instructions</w:t>
      </w:r>
    </w:p>
    <w:p>
      <w:pPr>
        <w:spacing w:after="0" w:line="229" w:lineRule="exact"/>
        <w:rPr>
          <w:sz w:val="20"/>
          <w:szCs w:val="20"/>
          <w:color w:val="auto"/>
        </w:rPr>
      </w:pPr>
    </w:p>
    <w:p>
      <w:pPr>
        <w:ind w:left="12" w:right="280"/>
        <w:spacing w:after="0" w:line="266" w:lineRule="auto"/>
        <w:rPr>
          <w:sz w:val="20"/>
          <w:szCs w:val="20"/>
          <w:color w:val="auto"/>
        </w:rPr>
      </w:pPr>
      <w:r>
        <w:rPr>
          <w:rFonts w:ascii="Times New Roman" w:cs="Times New Roman" w:eastAsia="Times New Roman" w:hAnsi="Times New Roman"/>
          <w:sz w:val="18"/>
          <w:szCs w:val="18"/>
          <w:color w:val="212121"/>
        </w:rPr>
        <w:t xml:space="preserve">You will need to complete and return the tax form, W9 form (domestic shareholders), W8 BEN (foreign individual), or W8 BEN-E (foreign entity). The forms are available </w:t>
      </w:r>
      <w:r>
        <w:rPr>
          <w:rFonts w:ascii="Times New Roman" w:cs="Times New Roman" w:eastAsia="Times New Roman" w:hAnsi="Times New Roman"/>
          <w:sz w:val="18"/>
          <w:szCs w:val="18"/>
          <w:i w:val="1"/>
          <w:iCs w:val="1"/>
          <w:color w:val="212121"/>
        </w:rPr>
        <w:t>at www.astfinancial.com/knowledge-center/forms.</w:t>
      </w:r>
      <w:r>
        <w:rPr>
          <w:rFonts w:ascii="Times New Roman" w:cs="Times New Roman" w:eastAsia="Times New Roman" w:hAnsi="Times New Roman"/>
          <w:sz w:val="18"/>
          <w:szCs w:val="18"/>
          <w:color w:val="212121"/>
        </w:rPr>
        <w:t xml:space="preserve"> Once AST receives your tax form your Social Security Number/TIN will be updated and your account will become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92" w:name="page193"/>
    <w:bookmarkEnd w:id="192"/>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05460" cy="5060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EQUINITI TRUST COMPANY, LLC</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 CENTER</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 BOX 500</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Statement Date: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NEWARK, NJ 07101</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vMerge w:val="continue"/>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17, 2025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ORACLE CORPORATION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0.001.001.00001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Number: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LAWRENCE J ELLISON &amp; PHILIP B</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Stock Exchange: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SIMON TR LAWRENCE J ELLISON</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 Ticker Symbol:</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ORCL</w:t>
            </w:r>
          </w:p>
        </w:tc>
        <w:tc>
          <w:tcPr>
            <w:tcW w:w="0" w:type="dxa"/>
            <w:vAlign w:val="bottom"/>
          </w:tcPr>
          <w:p>
            <w:pPr>
              <w:spacing w:after="0"/>
              <w:rPr>
                <w:sz w:val="1"/>
                <w:szCs w:val="1"/>
                <w:color w:val="auto"/>
              </w:rPr>
            </w:pPr>
          </w:p>
        </w:tc>
      </w:tr>
      <w:tr>
        <w:trPr>
          <w:trHeight w:val="22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REVOC TRUST UA 12/08/95 AMENDED</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68389X105</w:t>
            </w:r>
          </w:p>
        </w:tc>
        <w:tc>
          <w:tcPr>
            <w:tcW w:w="0" w:type="dxa"/>
            <w:vAlign w:val="bottom"/>
          </w:tcPr>
          <w:p>
            <w:pPr>
              <w:spacing w:after="0"/>
              <w:rPr>
                <w:sz w:val="1"/>
                <w:szCs w:val="1"/>
                <w:color w:val="auto"/>
              </w:rPr>
            </w:pPr>
          </w:p>
        </w:tc>
      </w:tr>
      <w:tr>
        <w:trPr>
          <w:trHeight w:val="212"/>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 LAWRENCE INVES / P MARINELLI</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240"/>
              <w:spacing w:after="0"/>
              <w:rPr>
                <w:sz w:val="20"/>
                <w:szCs w:val="20"/>
                <w:color w:val="auto"/>
              </w:rPr>
            </w:pPr>
            <w:r>
              <w:rPr>
                <w:rFonts w:ascii="Times New Roman" w:cs="Times New Roman" w:eastAsia="Times New Roman" w:hAnsi="Times New Roman"/>
                <w:sz w:val="18"/>
                <w:szCs w:val="18"/>
                <w:color w:val="auto"/>
              </w:rPr>
              <w:t>REDACTED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 YGNACIO VALLEY RD STE 320</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W9/W8/W8BENE Certified: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WALNUT CREEK, CA 94596-7026</w:t>
            </w: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REDACTED</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Summary as of 12/17/2025</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880" w:type="dxa"/>
            <w:vAlign w:val="bottom"/>
          </w:tcPr>
          <w:p>
            <w:pPr>
              <w:spacing w:after="0"/>
              <w:rPr>
                <w:sz w:val="24"/>
                <w:szCs w:val="24"/>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Closing Price Per Share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Estimated Value</w:t>
            </w: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98,400,000.000</w:t>
            </w: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18,563,160,000.00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Certificated</w:t>
            </w:r>
          </w:p>
        </w:tc>
        <w:tc>
          <w:tcPr>
            <w:tcW w:w="21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DRS/Book</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Entry Shares</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660" w:type="dxa"/>
            <w:vAlign w:val="bottom"/>
            <w:tcBorders>
              <w:top w:val="single" w:sz="8" w:color="auto"/>
            </w:tcBorders>
            <w:gridSpan w:val="2"/>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98,400,000.000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Unrestricted</w:t>
            </w:r>
          </w:p>
        </w:tc>
        <w:tc>
          <w:tcPr>
            <w:tcW w:w="8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w:t>
            </w:r>
          </w:p>
        </w:tc>
        <w:tc>
          <w:tcPr>
            <w:tcW w:w="520" w:type="dxa"/>
            <w:vAlign w:val="bottom"/>
          </w:tcPr>
          <w:p>
            <w:pPr>
              <w:spacing w:after="0"/>
              <w:rPr>
                <w:sz w:val="20"/>
                <w:szCs w:val="20"/>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 w:right="380"/>
        <w:spacing w:after="0" w:line="282" w:lineRule="auto"/>
        <w:rPr>
          <w:sz w:val="20"/>
          <w:szCs w:val="20"/>
          <w:color w:val="auto"/>
        </w:rPr>
      </w:pPr>
      <w:r>
        <w:rPr>
          <w:rFonts w:ascii="Times New Roman" w:cs="Times New Roman" w:eastAsia="Times New Roman" w:hAnsi="Times New Roman"/>
          <w:sz w:val="18"/>
          <w:szCs w:val="18"/>
          <w:color w:val="auto"/>
        </w:rPr>
        <w:t>If you have questions, please call our office at 800-937-5449. Our representatives are available to assist you Monday through Friday from 8:00 a.m. to 8:00 p.m. Eastern Time. You may also email us by selecting “Contact Us” on www.astfinancial.com</w:t>
      </w:r>
    </w:p>
    <w:p>
      <w:pPr>
        <w:sectPr>
          <w:pgSz w:w="11900" w:h="16838" w:orient="portrait"/>
          <w:cols w:equalWidth="0" w:num="1">
            <w:col w:w="11240"/>
          </w:cols>
          <w:pgMar w:left="320" w:top="1440" w:right="339" w:bottom="1440" w:gutter="0" w:footer="0" w:header="0"/>
        </w:sect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43"/>
          <w:szCs w:val="43"/>
          <w:color w:val="auto"/>
        </w:rPr>
        <w:t>REDACTED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001.001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00001</w:t>
      </w:r>
    </w:p>
    <w:p>
      <w:pPr>
        <w:spacing w:after="0" w:line="54" w:lineRule="exact"/>
        <w:rPr>
          <w:sz w:val="20"/>
          <w:szCs w:val="20"/>
          <w:color w:val="auto"/>
        </w:rPr>
      </w:pPr>
    </w:p>
    <w:p>
      <w:pPr>
        <w:sectPr>
          <w:pgSz w:w="11900" w:h="16838" w:orient="portrait"/>
          <w:cols w:equalWidth="0" w:num="2">
            <w:col w:w="9940" w:space="720"/>
            <w:col w:w="580"/>
          </w:cols>
          <w:pgMar w:left="320" w:top="1440"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3" w:name="page194"/>
    <w:bookmarkEnd w:id="193"/>
    <w:p>
      <w:pPr>
        <w:ind w:left="12" w:right="460"/>
        <w:spacing w:after="0" w:line="282" w:lineRule="auto"/>
        <w:rPr>
          <w:sz w:val="20"/>
          <w:szCs w:val="20"/>
          <w:color w:val="auto"/>
        </w:rPr>
      </w:pPr>
      <w:r>
        <w:rPr>
          <w:rFonts w:ascii="Times New Roman" w:cs="Times New Roman" w:eastAsia="Times New Roman" w:hAnsi="Times New Roman"/>
          <w:sz w:val="18"/>
          <w:szCs w:val="18"/>
          <w:color w:val="auto"/>
        </w:rPr>
        <w:t>A full copy of any rights, privileges, restrictions, and conditions which may be attached to the securities covered by this statement can be obtained by writing to the Secretary of the Company</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Access your stock accounts online</w:t>
      </w:r>
    </w:p>
    <w:p>
      <w:pPr>
        <w:spacing w:after="0" w:line="2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Visit astfinancial.com today to conveniently manage your stock accounts anytime, anywhere.</w:t>
      </w:r>
    </w:p>
    <w:p>
      <w:pPr>
        <w:spacing w:after="0" w:line="225" w:lineRule="exact"/>
        <w:rPr>
          <w:sz w:val="20"/>
          <w:szCs w:val="20"/>
          <w:color w:val="auto"/>
        </w:rPr>
      </w:pPr>
    </w:p>
    <w:p>
      <w:pPr>
        <w:ind w:left="652" w:hanging="328"/>
        <w:spacing w:after="0"/>
        <w:tabs>
          <w:tab w:leader="none" w:pos="6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your account details including balances and transaction history</w:t>
      </w:r>
    </w:p>
    <w:p>
      <w:pPr>
        <w:spacing w:after="0" w:line="27"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your payment method for dividends and sales proceeds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check replacements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or sell shares</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your contact information</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Download statements and tax forms</w:t>
      </w:r>
    </w:p>
    <w:p>
      <w:pPr>
        <w:spacing w:after="0" w:line="20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u w:val="single" w:color="auto"/>
          <w:color w:val="222222"/>
        </w:rPr>
        <w:t>ONLINE ACCOUNT ACCESS:</w:t>
      </w:r>
    </w:p>
    <w:p>
      <w:pPr>
        <w:spacing w:after="0" w:line="2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Accessing the AST website is designed to be simple and secure. In order to access your account online, please follow these steps:</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1: Go to </w:t>
      </w:r>
      <w:r>
        <w:rPr>
          <w:rFonts w:ascii="Times New Roman" w:cs="Times New Roman" w:eastAsia="Times New Roman" w:hAnsi="Times New Roman"/>
          <w:sz w:val="18"/>
          <w:szCs w:val="18"/>
          <w:color w:val="000000"/>
        </w:rPr>
        <w:t>www.astfinancial.com</w:t>
      </w:r>
    </w:p>
    <w:p>
      <w:pPr>
        <w:spacing w:after="0" w:line="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2: Click </w:t>
      </w:r>
      <w:r>
        <w:rPr>
          <w:rFonts w:ascii="Times New Roman" w:cs="Times New Roman" w:eastAsia="Times New Roman" w:hAnsi="Times New Roman"/>
          <w:sz w:val="18"/>
          <w:szCs w:val="18"/>
          <w:b w:val="1"/>
          <w:bCs w:val="1"/>
          <w:color w:val="222222"/>
        </w:rPr>
        <w:t>Login</w:t>
      </w:r>
      <w:r>
        <w:rPr>
          <w:rFonts w:ascii="Times New Roman" w:cs="Times New Roman" w:eastAsia="Times New Roman" w:hAnsi="Times New Roman"/>
          <w:sz w:val="18"/>
          <w:szCs w:val="18"/>
          <w:color w:val="222222"/>
        </w:rPr>
        <w:t xml:space="preserve"> located at the top right hand corner of the page.</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222222"/>
        </w:rPr>
        <w:t xml:space="preserve">Step 3: Click </w:t>
      </w:r>
      <w:r>
        <w:rPr>
          <w:rFonts w:ascii="Times New Roman" w:cs="Times New Roman" w:eastAsia="Times New Roman" w:hAnsi="Times New Roman"/>
          <w:sz w:val="18"/>
          <w:szCs w:val="18"/>
          <w:b w:val="1"/>
          <w:bCs w:val="1"/>
          <w:color w:val="222222"/>
        </w:rPr>
        <w:t>First Time Here? Register</w:t>
      </w:r>
      <w:r>
        <w:rPr>
          <w:rFonts w:ascii="Times New Roman" w:cs="Times New Roman" w:eastAsia="Times New Roman" w:hAnsi="Times New Roman"/>
          <w:sz w:val="18"/>
          <w:szCs w:val="18"/>
          <w:color w:val="222222"/>
        </w:rPr>
        <w:t xml:space="preserve"> under </w:t>
      </w:r>
      <w:r>
        <w:rPr>
          <w:rFonts w:ascii="Times New Roman" w:cs="Times New Roman" w:eastAsia="Times New Roman" w:hAnsi="Times New Roman"/>
          <w:sz w:val="18"/>
          <w:szCs w:val="18"/>
          <w:b w:val="1"/>
          <w:bCs w:val="1"/>
          <w:color w:val="222222"/>
        </w:rPr>
        <w:t>Shareholder Central,</w:t>
      </w:r>
      <w:r>
        <w:rPr>
          <w:rFonts w:ascii="Times New Roman" w:cs="Times New Roman" w:eastAsia="Times New Roman" w:hAnsi="Times New Roman"/>
          <w:sz w:val="18"/>
          <w:szCs w:val="18"/>
          <w:color w:val="222222"/>
        </w:rPr>
        <w:t xml:space="preserve"> complete the short registration process to create your user name.</w:t>
      </w:r>
    </w:p>
    <w:p>
      <w:pPr>
        <w:spacing w:after="0" w:line="200" w:lineRule="exact"/>
        <w:rPr>
          <w:sz w:val="20"/>
          <w:szCs w:val="20"/>
          <w:color w:val="auto"/>
        </w:rPr>
      </w:pPr>
    </w:p>
    <w:p>
      <w:pPr>
        <w:spacing w:after="0" w:line="21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ind w:left="332" w:hanging="332"/>
        <w:spacing w:after="0"/>
        <w:tabs>
          <w:tab w:leader="none" w:pos="3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only fractional shares, they cannot be transferred.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at least one share:</w:t>
      </w:r>
    </w:p>
    <w:p>
      <w:pPr>
        <w:spacing w:after="0" w:line="22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46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broker is a participant in the Direct Registration System (DRS), your broker may request your shares from AST via the DRS. You must provide your broker with the Company’s CUSIP, your shareholder account number, your taxpayer identification number, the name in which the shares are registered, and the number of shares you wish to transfer. Please note, your broker may request a copy of this Direct Registration Statement.</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44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broker is not a participant in the Direct Registration System (DRS), please write to AST at the address listed above, instructing AST to credit your brokerage account. You must include your AST account number, the name of your brokerage institution, your brokerage account number, and the number of shares that you wish to transfer. Your letter of instruction must be signed by all owners listed in the account registration and the signatures must be medallion guaranteed by a bank, broker or other financial institution that is a member of a Securities Transfer Association-approved medallion program such as STAMP, SEMP, or MSP. Please include a copy of this Direct Registration Statement. Please coordinate with your broker to ensure that they will accept share delivery via the DRS.</w:t>
      </w:r>
    </w:p>
    <w:p>
      <w:pPr>
        <w:spacing w:after="0" w:line="18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How To Replace Lost Certificates</w:t>
      </w:r>
    </w:p>
    <w:p>
      <w:pPr>
        <w:spacing w:after="0" w:line="229" w:lineRule="exact"/>
        <w:rPr>
          <w:sz w:val="20"/>
          <w:szCs w:val="20"/>
          <w:color w:val="auto"/>
        </w:rPr>
      </w:pPr>
    </w:p>
    <w:p>
      <w:pPr>
        <w:ind w:left="12" w:right="380"/>
        <w:spacing w:after="0" w:line="266" w:lineRule="auto"/>
        <w:rPr>
          <w:sz w:val="20"/>
          <w:szCs w:val="20"/>
          <w:color w:val="auto"/>
        </w:rPr>
      </w:pPr>
      <w:r>
        <w:rPr>
          <w:rFonts w:ascii="Times New Roman" w:cs="Times New Roman" w:eastAsia="Times New Roman" w:hAnsi="Times New Roman"/>
          <w:sz w:val="18"/>
          <w:szCs w:val="18"/>
          <w:color w:val="auto"/>
        </w:rPr>
        <w:t>To replace any lost certificate(s), please access your account via our website at www.astfinancial.com, contact our Shareholder Services Department at the number listed above or notify our Correspondence Department in writing at the letterhead address. Upon receipt of your request, the appropriate documents will be sent to replace the certificate(s).</w:t>
      </w:r>
    </w:p>
    <w:p>
      <w:pPr>
        <w:spacing w:after="0" w:line="38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b w:val="1"/>
          <w:bCs w:val="1"/>
          <w:color w:val="auto"/>
        </w:rPr>
        <w:t>W9/W8 Certified Instructions</w:t>
      </w:r>
    </w:p>
    <w:p>
      <w:pPr>
        <w:spacing w:after="0" w:line="229" w:lineRule="exact"/>
        <w:rPr>
          <w:sz w:val="20"/>
          <w:szCs w:val="20"/>
          <w:color w:val="auto"/>
        </w:rPr>
      </w:pPr>
    </w:p>
    <w:p>
      <w:pPr>
        <w:ind w:left="12" w:right="280"/>
        <w:spacing w:after="0" w:line="266" w:lineRule="auto"/>
        <w:rPr>
          <w:sz w:val="20"/>
          <w:szCs w:val="20"/>
          <w:color w:val="auto"/>
        </w:rPr>
      </w:pPr>
      <w:r>
        <w:rPr>
          <w:rFonts w:ascii="Times New Roman" w:cs="Times New Roman" w:eastAsia="Times New Roman" w:hAnsi="Times New Roman"/>
          <w:sz w:val="18"/>
          <w:szCs w:val="18"/>
          <w:color w:val="212121"/>
        </w:rPr>
        <w:t xml:space="preserve">You will need to complete and return the tax form, W9 form (domestic shareholders), W8 BEN (foreign individual), or W8 BEN-E (foreign entity). The forms are available </w:t>
      </w:r>
      <w:r>
        <w:rPr>
          <w:rFonts w:ascii="Times New Roman" w:cs="Times New Roman" w:eastAsia="Times New Roman" w:hAnsi="Times New Roman"/>
          <w:sz w:val="18"/>
          <w:szCs w:val="18"/>
          <w:i w:val="1"/>
          <w:iCs w:val="1"/>
          <w:color w:val="212121"/>
        </w:rPr>
        <w:t>at www.astfinancial.com/knowledge-center/forms.</w:t>
      </w:r>
      <w:r>
        <w:rPr>
          <w:rFonts w:ascii="Times New Roman" w:cs="Times New Roman" w:eastAsia="Times New Roman" w:hAnsi="Times New Roman"/>
          <w:sz w:val="18"/>
          <w:szCs w:val="18"/>
          <w:color w:val="212121"/>
        </w:rPr>
        <w:t xml:space="preserve"> Once AST receives your tax form your Social Security Number/TIN will be updated and your account will become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94" w:name="page195"/>
    <w:bookmarkEnd w:id="194"/>
    <w:tbl>
      <w:tblPr>
        <w:tblLayout w:type="fixed"/>
        <w:tblInd w:w="820" w:type="dxa"/>
        <w:tblCellMar>
          <w:top w:w="0" w:type="dxa"/>
          <w:left w:w="0" w:type="dxa"/>
          <w:bottom w:w="0" w:type="dxa"/>
          <w:right w:w="0" w:type="dxa"/>
        </w:tblCellMar>
      </w:tblPr>
      <w:tr>
        <w:trPr>
          <w:trHeight w:val="287"/>
        </w:trPr>
        <w:tc>
          <w:tcPr>
            <w:tcW w:w="27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(b)(1)</w:t>
            </w:r>
          </w:p>
        </w:tc>
      </w:tr>
      <w:tr>
        <w:trPr>
          <w:trHeight w:val="447"/>
        </w:trPr>
        <w:tc>
          <w:tcPr>
            <w:tcW w:w="27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tc>
      </w:tr>
      <w:tr>
        <w:trPr>
          <w:trHeight w:val="410"/>
        </w:trPr>
        <w:tc>
          <w:tcPr>
            <w:tcW w:w="27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BANK OF AMERICA, N.A.</w:t>
            </w:r>
          </w:p>
        </w:tc>
        <w:tc>
          <w:tcPr>
            <w:tcW w:w="39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CITIGROUP GLOBAL MARKETS INC.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APOLLO GLOBAL FUNDING, LLC</w:t>
            </w:r>
          </w:p>
        </w:tc>
      </w:tr>
      <w:tr>
        <w:trPr>
          <w:trHeight w:val="220"/>
        </w:trPr>
        <w:tc>
          <w:tcPr>
            <w:tcW w:w="2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BOFA SECURITIES, INC.</w:t>
            </w:r>
          </w:p>
        </w:tc>
        <w:tc>
          <w:tcPr>
            <w:tcW w:w="39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388 Greenwich Street</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APOLLO CAPITAL MANAGEMENT, L.P.</w:t>
            </w:r>
          </w:p>
        </w:tc>
      </w:tr>
      <w:tr>
        <w:trPr>
          <w:trHeight w:val="221"/>
        </w:trPr>
        <w:tc>
          <w:tcPr>
            <w:tcW w:w="27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One Bryant Park</w:t>
            </w:r>
          </w:p>
        </w:tc>
        <w:tc>
          <w:tcPr>
            <w:tcW w:w="39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New York, NY 10013</w:t>
            </w:r>
          </w:p>
        </w:tc>
        <w:tc>
          <w:tcPr>
            <w:tcW w:w="3740" w:type="dxa"/>
            <w:vAlign w:val="bottom"/>
          </w:tcPr>
          <w:p>
            <w:pPr>
              <w:jc w:val="center"/>
              <w:spacing w:after="0" w:line="221" w:lineRule="exact"/>
              <w:rPr>
                <w:sz w:val="20"/>
                <w:szCs w:val="20"/>
                <w:color w:val="auto"/>
              </w:rPr>
            </w:pPr>
            <w:r>
              <w:rPr>
                <w:rFonts w:ascii="Times New Roman" w:cs="Times New Roman" w:eastAsia="Times New Roman" w:hAnsi="Times New Roman"/>
                <w:sz w:val="16"/>
                <w:szCs w:val="16"/>
                <w:color w:val="auto"/>
              </w:rPr>
              <w:t>9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Street, 41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6"/>
                <w:szCs w:val="16"/>
                <w:color w:val="auto"/>
              </w:rPr>
              <w:t xml:space="preserve"> Floor</w:t>
            </w:r>
          </w:p>
        </w:tc>
      </w:tr>
      <w:tr>
        <w:trPr>
          <w:trHeight w:val="270"/>
        </w:trPr>
        <w:tc>
          <w:tcPr>
            <w:tcW w:w="27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New York, NY 10036</w:t>
            </w:r>
          </w:p>
        </w:tc>
        <w:tc>
          <w:tcPr>
            <w:tcW w:w="396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NY 10019</w:t>
            </w:r>
          </w:p>
        </w:tc>
      </w:tr>
    </w:tbl>
    <w:p>
      <w:pPr>
        <w:spacing w:after="0" w:line="194"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7"/>
          <w:szCs w:val="17"/>
          <w:b w:val="1"/>
          <w:bCs w:val="1"/>
          <w:u w:val="single" w:color="auto"/>
          <w:color w:val="C00000"/>
        </w:rPr>
        <w:t>Highly Confidential</w:t>
      </w:r>
    </w:p>
    <w:p>
      <w:pPr>
        <w:spacing w:after="0" w:line="241"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PROJECT WARRIOR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$54,000 Million Senior Secured 364-Day Bridge Facility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Commitment Letter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Reference is hereby made to the Commitment Letter, dated as of December 8, 2025 (together with the exhibits thereto, the “</w:t>
      </w:r>
      <w:r>
        <w:rPr>
          <w:rFonts w:ascii="Times New Roman" w:cs="Times New Roman" w:eastAsia="Times New Roman" w:hAnsi="Times New Roman"/>
          <w:sz w:val="18"/>
          <w:szCs w:val="18"/>
          <w:b w:val="1"/>
          <w:bCs w:val="1"/>
          <w:color w:val="C00000"/>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C00000"/>
        </w:rPr>
        <w:t>Letter</w:t>
      </w:r>
      <w:r>
        <w:rPr>
          <w:rFonts w:ascii="Times New Roman" w:cs="Times New Roman" w:eastAsia="Times New Roman" w:hAnsi="Times New Roman"/>
          <w:sz w:val="18"/>
          <w:szCs w:val="18"/>
          <w:color w:val="000000"/>
        </w:rPr>
        <w:t>”), by and among BofA Securities, Inc. (or any of its designated affiliates, “</w:t>
      </w:r>
      <w:r>
        <w:rPr>
          <w:rFonts w:ascii="Times New Roman" w:cs="Times New Roman" w:eastAsia="Times New Roman" w:hAnsi="Times New Roman"/>
          <w:sz w:val="18"/>
          <w:szCs w:val="18"/>
          <w:b w:val="1"/>
          <w:bCs w:val="1"/>
          <w:color w:val="C00000"/>
        </w:rPr>
        <w:t>BofA Securities</w:t>
      </w:r>
      <w:r>
        <w:rPr>
          <w:rFonts w:ascii="Times New Roman" w:cs="Times New Roman" w:eastAsia="Times New Roman" w:hAnsi="Times New Roman"/>
          <w:sz w:val="18"/>
          <w:szCs w:val="18"/>
          <w:color w:val="000000"/>
        </w:rPr>
        <w:t>”), Bank of America, N.A. (“</w:t>
      </w:r>
      <w:r>
        <w:rPr>
          <w:rFonts w:ascii="Times New Roman" w:cs="Times New Roman" w:eastAsia="Times New Roman" w:hAnsi="Times New Roman"/>
          <w:sz w:val="18"/>
          <w:szCs w:val="18"/>
          <w:b w:val="1"/>
          <w:bCs w:val="1"/>
          <w:color w:val="C00000"/>
        </w:rPr>
        <w:t>Bank of America</w:t>
      </w:r>
      <w:r>
        <w:rPr>
          <w:rFonts w:ascii="Times New Roman" w:cs="Times New Roman" w:eastAsia="Times New Roman" w:hAnsi="Times New Roman"/>
          <w:sz w:val="18"/>
          <w:szCs w:val="18"/>
          <w:color w:val="000000"/>
        </w:rPr>
        <w:t>”), Citi</w:t>
      </w:r>
      <w:r>
        <w:rPr>
          <w:rFonts w:ascii="Times New Roman" w:cs="Times New Roman" w:eastAsia="Times New Roman" w:hAnsi="Times New Roman"/>
          <w:sz w:val="18"/>
          <w:szCs w:val="18"/>
          <w:b w:val="1"/>
          <w:bCs w:val="1"/>
          <w:color w:val="C00000"/>
        </w:rPr>
        <w:t xml:space="preserve"> </w:t>
      </w:r>
      <w:r>
        <w:rPr>
          <w:rFonts w:ascii="Times New Roman" w:cs="Times New Roman" w:eastAsia="Times New Roman" w:hAnsi="Times New Roman"/>
          <w:sz w:val="18"/>
          <w:szCs w:val="18"/>
          <w:color w:val="000000"/>
        </w:rPr>
        <w:t>(as defined below), Apollo Global Funding, LLC (“</w:t>
      </w:r>
      <w:r>
        <w:rPr>
          <w:rFonts w:ascii="Times New Roman" w:cs="Times New Roman" w:eastAsia="Times New Roman" w:hAnsi="Times New Roman"/>
          <w:sz w:val="18"/>
          <w:szCs w:val="18"/>
          <w:b w:val="1"/>
          <w:bCs w:val="1"/>
          <w:color w:val="C00000"/>
        </w:rPr>
        <w:t>AGF</w:t>
      </w:r>
      <w:r>
        <w:rPr>
          <w:rFonts w:ascii="Times New Roman" w:cs="Times New Roman" w:eastAsia="Times New Roman" w:hAnsi="Times New Roman"/>
          <w:sz w:val="18"/>
          <w:szCs w:val="18"/>
          <w:color w:val="000000"/>
        </w:rPr>
        <w:t>”), Apollo Capital Management, L.P., on behalf of one or more investment funds, separate accounts and other entities owned (in whole or in part), controlled, managed and/or advised by it or its affiliates (in such capacity, “</w:t>
      </w:r>
      <w:r>
        <w:rPr>
          <w:rFonts w:ascii="Times New Roman" w:cs="Times New Roman" w:eastAsia="Times New Roman" w:hAnsi="Times New Roman"/>
          <w:sz w:val="18"/>
          <w:szCs w:val="18"/>
          <w:b w:val="1"/>
          <w:bCs w:val="1"/>
          <w:color w:val="C00000"/>
        </w:rPr>
        <w:t>ACM</w:t>
      </w:r>
      <w:r>
        <w:rPr>
          <w:rFonts w:ascii="Times New Roman" w:cs="Times New Roman" w:eastAsia="Times New Roman" w:hAnsi="Times New Roman"/>
          <w:sz w:val="18"/>
          <w:szCs w:val="18"/>
          <w:color w:val="000000"/>
        </w:rPr>
        <w:t>”, and together with AGF, “</w:t>
      </w:r>
      <w:r>
        <w:rPr>
          <w:rFonts w:ascii="Times New Roman" w:cs="Times New Roman" w:eastAsia="Times New Roman" w:hAnsi="Times New Roman"/>
          <w:sz w:val="18"/>
          <w:szCs w:val="18"/>
          <w:b w:val="1"/>
          <w:bCs w:val="1"/>
          <w:color w:val="C00000"/>
        </w:rPr>
        <w:t>Apollo</w:t>
      </w:r>
      <w:r>
        <w:rPr>
          <w:rFonts w:ascii="Times New Roman" w:cs="Times New Roman" w:eastAsia="Times New Roman" w:hAnsi="Times New Roman"/>
          <w:sz w:val="18"/>
          <w:szCs w:val="18"/>
          <w:color w:val="000000"/>
        </w:rPr>
        <w:t>”, and together with Bank of America, BofA Securities and Citi and with each other person, if any, added as a “Commitment Party” after the date of the Commitment Letter, “</w:t>
      </w:r>
      <w:r>
        <w:rPr>
          <w:rFonts w:ascii="Times New Roman" w:cs="Times New Roman" w:eastAsia="Times New Roman" w:hAnsi="Times New Roman"/>
          <w:sz w:val="18"/>
          <w:szCs w:val="18"/>
          <w:b w:val="1"/>
          <w:bCs w:val="1"/>
          <w:color w:val="C00000"/>
        </w:rPr>
        <w:t>we</w:t>
      </w:r>
      <w:r>
        <w:rPr>
          <w:rFonts w:ascii="Times New Roman" w:cs="Times New Roman" w:eastAsia="Times New Roman" w:hAnsi="Times New Roman"/>
          <w:sz w:val="18"/>
          <w:szCs w:val="18"/>
          <w:color w:val="000000"/>
        </w:rPr>
        <w:t>” or “</w:t>
      </w:r>
      <w:r>
        <w:rPr>
          <w:rFonts w:ascii="Times New Roman" w:cs="Times New Roman" w:eastAsia="Times New Roman" w:hAnsi="Times New Roman"/>
          <w:sz w:val="18"/>
          <w:szCs w:val="18"/>
          <w:b w:val="1"/>
          <w:bCs w:val="1"/>
          <w:color w:val="C00000"/>
        </w:rPr>
        <w:t>us</w:t>
      </w:r>
      <w:r>
        <w:rPr>
          <w:rFonts w:ascii="Times New Roman" w:cs="Times New Roman" w:eastAsia="Times New Roman" w:hAnsi="Times New Roman"/>
          <w:sz w:val="18"/>
          <w:szCs w:val="18"/>
          <w:color w:val="000000"/>
        </w:rPr>
        <w:t>” and each, a “</w:t>
      </w:r>
      <w:r>
        <w:rPr>
          <w:rFonts w:ascii="Times New Roman" w:cs="Times New Roman" w:eastAsia="Times New Roman" w:hAnsi="Times New Roman"/>
          <w:sz w:val="18"/>
          <w:szCs w:val="18"/>
          <w:b w:val="1"/>
          <w:bCs w:val="1"/>
          <w:color w:val="C00000"/>
        </w:rPr>
        <w:t>Commitment Party</w:t>
      </w:r>
      <w:r>
        <w:rPr>
          <w:rFonts w:ascii="Times New Roman" w:cs="Times New Roman" w:eastAsia="Times New Roman" w:hAnsi="Times New Roman"/>
          <w:sz w:val="18"/>
          <w:szCs w:val="18"/>
          <w:color w:val="000000"/>
        </w:rPr>
        <w:t>”) and Paramount Skydance Corporation, a Delaware corporation (“</w:t>
      </w:r>
      <w:r>
        <w:rPr>
          <w:rFonts w:ascii="Times New Roman" w:cs="Times New Roman" w:eastAsia="Times New Roman" w:hAnsi="Times New Roman"/>
          <w:sz w:val="18"/>
          <w:szCs w:val="18"/>
          <w:b w:val="1"/>
          <w:bCs w:val="1"/>
          <w:color w:val="C00000"/>
        </w:rPr>
        <w:t>you</w:t>
      </w:r>
      <w:r>
        <w:rPr>
          <w:rFonts w:ascii="Times New Roman" w:cs="Times New Roman" w:eastAsia="Times New Roman" w:hAnsi="Times New Roman"/>
          <w:sz w:val="18"/>
          <w:szCs w:val="18"/>
          <w:color w:val="000000"/>
        </w:rPr>
        <w:t>” or the “</w:t>
      </w:r>
      <w:r>
        <w:rPr>
          <w:rFonts w:ascii="Times New Roman" w:cs="Times New Roman" w:eastAsia="Times New Roman" w:hAnsi="Times New Roman"/>
          <w:sz w:val="18"/>
          <w:szCs w:val="18"/>
          <w:b w:val="1"/>
          <w:bCs w:val="1"/>
          <w:color w:val="C00000"/>
        </w:rPr>
        <w:t>Borrower</w:t>
      </w:r>
      <w:r>
        <w:rPr>
          <w:rFonts w:ascii="Times New Roman" w:cs="Times New Roman" w:eastAsia="Times New Roman" w:hAnsi="Times New Roman"/>
          <w:sz w:val="18"/>
          <w:szCs w:val="18"/>
          <w:color w:val="000000"/>
        </w:rPr>
        <w:t>”). Capitalized terms used but not defined herein have the meanings assigned to them in the Commitment Letter. “</w:t>
      </w:r>
      <w:r>
        <w:rPr>
          <w:rFonts w:ascii="Times New Roman" w:cs="Times New Roman" w:eastAsia="Times New Roman" w:hAnsi="Times New Roman"/>
          <w:sz w:val="18"/>
          <w:szCs w:val="18"/>
          <w:b w:val="1"/>
          <w:bCs w:val="1"/>
          <w:color w:val="C00000"/>
        </w:rPr>
        <w:t>Citi</w:t>
      </w:r>
      <w:r>
        <w:rPr>
          <w:rFonts w:ascii="Times New Roman" w:cs="Times New Roman" w:eastAsia="Times New Roman" w:hAnsi="Times New Roman"/>
          <w:sz w:val="18"/>
          <w:szCs w:val="18"/>
          <w:color w:val="000000"/>
        </w:rPr>
        <w:t>” shall mean Citigroup Global Markets Inc., Citibank, N.A., Citicorp USA, Inc., Citicorp North America, Inc. and/or any of their affiliates as Citi shall determine to be appropriate to provide the services contemplated herein. “</w:t>
      </w:r>
      <w:r>
        <w:rPr>
          <w:rFonts w:ascii="Times New Roman" w:cs="Times New Roman" w:eastAsia="Times New Roman" w:hAnsi="Times New Roman"/>
          <w:sz w:val="18"/>
          <w:szCs w:val="18"/>
          <w:b w:val="1"/>
          <w:bCs w:val="1"/>
          <w:color w:val="C00000"/>
        </w:rPr>
        <w:t>AGF</w:t>
      </w:r>
      <w:r>
        <w:rPr>
          <w:rFonts w:ascii="Times New Roman" w:cs="Times New Roman" w:eastAsia="Times New Roman" w:hAnsi="Times New Roman"/>
          <w:sz w:val="18"/>
          <w:szCs w:val="18"/>
          <w:color w:val="000000"/>
        </w:rPr>
        <w:t>” shall mean Apollo Global Funding, LLC and/or any of its affiliates as AGF shall determine to be appropriate to provide the services contemplated herein.</w:t>
      </w:r>
    </w:p>
    <w:p>
      <w:pPr>
        <w:spacing w:after="0" w:line="189" w:lineRule="exact"/>
        <w:rPr>
          <w:sz w:val="20"/>
          <w:szCs w:val="20"/>
          <w:color w:val="auto"/>
        </w:rPr>
      </w:pPr>
    </w:p>
    <w:p>
      <w:pPr>
        <w:ind w:left="1300" w:hanging="320"/>
        <w:spacing w:after="0"/>
        <w:tabs>
          <w:tab w:leader="none" w:pos="13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as of the date hereof, you and the Commitment Parties hereby agree that paragraph (d) of Exhibit A to the Commitment Letter shall be deleted and replaced with the following:</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In connection with the foregoing, on or prior to the Closing Date, either (i) the Borrower will obtain gross proceeds from the sale of equity in the Borrower or New Pilot in an aggregate amount that is not less than $35,000,000,000;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equity not in the form of common stock of the Borrower or New Pilot shall be on terms reasonably acceptable to the Initial Lenders parties to this Commitment Letter (it being understood that any equity that does not constitute Disqualified Equity Interests (as defined in the Target Term Loan Agreement) or that is not assigned any non-equity credit in connection with the determination of the Facilities Rating shall, in each case, be deemed reasonably satisfactory); or (ii) the Company will receive payment in an amount not less than $35,000,000,000 pursuant to that certain guarantee from The Lawrence J. Ellison Revocable Trust, u/a/d 1/22/88, as amended, and Mr. Lawrence Ellison in favor of the Company (either (i) or (ii), the “</w:t>
      </w:r>
      <w:r>
        <w:rPr>
          <w:rFonts w:ascii="Times New Roman" w:cs="Times New Roman" w:eastAsia="Times New Roman" w:hAnsi="Times New Roman"/>
          <w:sz w:val="18"/>
          <w:szCs w:val="18"/>
          <w:b w:val="1"/>
          <w:bCs w:val="1"/>
          <w:color w:val="C00000"/>
        </w:rPr>
        <w:t>Equity Contribution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C00000"/>
        </w:rPr>
        <w:t>Project Warrior – Amendment No. 1 to Commitment Letter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5" w:name="page196"/>
    <w:bookmarkEnd w:id="195"/>
    <w:p>
      <w:pPr>
        <w:ind w:left="660"/>
        <w:spacing w:after="0"/>
        <w:rPr>
          <w:sz w:val="20"/>
          <w:szCs w:val="20"/>
          <w:color w:val="auto"/>
        </w:rPr>
      </w:pPr>
      <w:r>
        <w:rPr>
          <w:rFonts w:ascii="Times New Roman" w:cs="Times New Roman" w:eastAsia="Times New Roman" w:hAnsi="Times New Roman"/>
          <w:sz w:val="18"/>
          <w:szCs w:val="18"/>
          <w:color w:val="auto"/>
        </w:rPr>
        <w:t>Except as expressly amended by this amendment letter, the provisions of the Commitment Letter are and shall remain in full force and effect.</w:t>
      </w:r>
    </w:p>
    <w:p>
      <w:pPr>
        <w:spacing w:after="0" w:line="225" w:lineRule="exact"/>
        <w:rPr>
          <w:sz w:val="20"/>
          <w:szCs w:val="20"/>
          <w:color w:val="auto"/>
        </w:rPr>
      </w:pPr>
    </w:p>
    <w:p>
      <w:pPr>
        <w:ind w:left="1300" w:hanging="320"/>
        <w:spacing w:after="0"/>
        <w:tabs>
          <w:tab w:leader="none" w:pos="13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 Governing Law,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amendment letter may not be amended or any provision hereof waived or modified except in a writing signed by each Commitment Party and you. This amendment letter may be executed in any number of counterparts, each of which will be an original and all of which, when taken together, will constitute one agreement. Delivery of an executed counterpart of a signature page of this amendment letter by facsimile or other electronic transmission (including in “.pdf” format) will be effective as delivery of a manually executed counterpart hereof. Section headings used herein are for convenience of reference only, are not part of this amendment letter and will not affect the construction of, or to be taken into consideration in interpreting, this amendment letter. The words “execution,” “signed,” “signature,” and words of like import this amendment letter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LETTER, AND ANY CLAIM, CONTROVERSY OR DISPUTE ARISING UNDER OR RELATING TO THIS AMENDMENT LETTER, WILL BE GOVERNED BY, AND CONSTRUED AND INTERPRETED IN ACCORDANCE WITH, THE LAWS OF THE STATE OF NEW YORK.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waiver of jury trial, jurisdiction, service of process and venue provisions set forth in the Commitment Letter are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C00000"/>
        </w:rPr>
        <w:t>Project Warrior – Amendment No. 1 to Commitment Letter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We are pleased to have this opportunity and we look forward to working with you on this transaction.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200" w:lineRule="exact"/>
        <w:rPr>
          <w:sz w:val="20"/>
          <w:szCs w:val="20"/>
          <w:color w:val="auto"/>
        </w:rPr>
      </w:pPr>
    </w:p>
    <w:p>
      <w:pPr>
        <w:spacing w:after="0" w:line="24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Jonathan Tristan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Tristan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00" w:lineRule="exact"/>
        <w:rPr>
          <w:sz w:val="20"/>
          <w:szCs w:val="20"/>
          <w:color w:val="auto"/>
        </w:rPr>
      </w:pPr>
    </w:p>
    <w:p>
      <w:pPr>
        <w:spacing w:after="0" w:line="24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Jeffrey Standish</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Standish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FF0000"/>
        </w:rPr>
        <w:t>[SIGNATURE PAGE TO AMENDMENT NO. 1 TO PROJECT WARRIOR BRIDGE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7" w:name="page198"/>
    <w:bookmarkEnd w:id="197"/>
    <w:p>
      <w:pPr>
        <w:ind w:left="4520"/>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FF0000"/>
        </w:rPr>
        <w:t>[SIGNATURE PAGE TO AMENDMENT NO. 1 TO PROJECT WARRIOR BRIDGE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161925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8" w:name="page199"/>
    <w:bookmarkEnd w:id="198"/>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MANAGEMENT, L.P.,</w:t>
      </w:r>
    </w:p>
    <w:p>
      <w:pPr>
        <w:spacing w:after="0" w:line="31" w:lineRule="exact"/>
        <w:rPr>
          <w:sz w:val="20"/>
          <w:szCs w:val="20"/>
          <w:color w:val="auto"/>
        </w:rPr>
      </w:pPr>
    </w:p>
    <w:p>
      <w:pPr>
        <w:ind w:left="4520" w:right="180"/>
        <w:spacing w:after="0" w:line="255" w:lineRule="auto"/>
        <w:rPr>
          <w:sz w:val="20"/>
          <w:szCs w:val="20"/>
          <w:color w:val="auto"/>
        </w:rPr>
      </w:pPr>
      <w:r>
        <w:rPr>
          <w:rFonts w:ascii="Times New Roman" w:cs="Times New Roman" w:eastAsia="Times New Roman" w:hAnsi="Times New Roman"/>
          <w:sz w:val="18"/>
          <w:szCs w:val="18"/>
          <w:color w:val="auto"/>
        </w:rPr>
        <w:t>on behalf of one or more investment funds, separate accounts and other entities owned (in whole or in part), controlled, managed and/or advised by its or its affiliates</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GP, LLC, its general partner</w:t>
      </w:r>
    </w:p>
    <w:p>
      <w:pPr>
        <w:spacing w:after="0" w:line="200" w:lineRule="exact"/>
        <w:rPr>
          <w:sz w:val="20"/>
          <w:szCs w:val="20"/>
          <w:color w:val="auto"/>
        </w:rPr>
      </w:pPr>
    </w:p>
    <w:p>
      <w:pPr>
        <w:spacing w:after="0" w:line="26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 Kuesel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B. Kuesel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GLOBAL FUNDING, LLC</w:t>
      </w:r>
    </w:p>
    <w:p>
      <w:pPr>
        <w:spacing w:after="0" w:line="200" w:lineRule="exact"/>
        <w:rPr>
          <w:sz w:val="20"/>
          <w:szCs w:val="20"/>
          <w:color w:val="auto"/>
        </w:rPr>
      </w:pPr>
    </w:p>
    <w:p>
      <w:pPr>
        <w:spacing w:after="0" w:line="27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 Duval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M. Duval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FF0000"/>
        </w:rPr>
        <w:t>[SIGNATURE PAGE TO AMENDMENT NO. 1 TO PROJECT WARRIOR BRIDGE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Brandon-Gordon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Andrew Brandon-Gordon</w:t>
      </w:r>
    </w:p>
    <w:p>
      <w:pPr>
        <w:spacing w:after="0" w:line="23"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Strategy Officer and Chief Operating Officer</w:t>
      </w:r>
    </w:p>
    <w:p>
      <w:pPr>
        <w:spacing w:after="0" w:line="207"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color w:val="FF0000"/>
        </w:rPr>
        <w:t>[SIGNATURE PAGE TO AMENDMENT NO. 1 TO PROJECT WARRIOR BRIDGE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lvl w:ilvl="1">
      <w:lvlJc w:val="left"/>
      <w:lvlText w:val="(%2)"/>
      <w:numFmt w:val="decimal"/>
      <w:start w:val="212"/>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3"/>
    </w:lvl>
  </w:abstractNum>
  <w:abstractNum w:abstractNumId="6">
    <w:nsid w:val="374A3FE6"/>
    <w:multiLevelType w:val="hybridMultilevel"/>
    <w:lvl w:ilvl="0">
      <w:lvlJc w:val="left"/>
      <w:lvlText w:val="%1."/>
      <w:numFmt w:val="decimal"/>
      <w:start w:val="4"/>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5"/>
    </w:lvl>
  </w:abstractNum>
  <w:abstractNum w:abstractNumId="10">
    <w:nsid w:val="275AC794"/>
    <w:multiLevelType w:val="hybridMultilevel"/>
    <w:lvl w:ilvl="0">
      <w:lvlJc w:val="left"/>
      <w:lvlText w:val="%1."/>
      <w:numFmt w:val="decimal"/>
      <w:start w:val="6"/>
    </w:lvl>
  </w:abstractNum>
  <w:abstractNum w:abstractNumId="11">
    <w:nsid w:val="39386575"/>
    <w:multiLevelType w:val="hybridMultilevel"/>
    <w:lvl w:ilvl="0">
      <w:lvlJc w:val="left"/>
      <w:lvlText w:val="%1."/>
      <w:numFmt w:val="decimal"/>
      <w:start w:val="7"/>
    </w:lvl>
  </w:abstractNum>
  <w:abstractNum w:abstractNumId="12">
    <w:nsid w:val="1CF10FD8"/>
    <w:multiLevelType w:val="hybridMultilevel"/>
    <w:lvl w:ilvl="0">
      <w:lvlJc w:val="left"/>
      <w:lvlText w:val="%1."/>
      <w:numFmt w:val="decimal"/>
      <w:start w:val="9"/>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lvl w:ilvl="1">
      <w:lvlJc w:val="left"/>
      <w:lvlText w:val="o"/>
      <w:numFmt w:val="bullet"/>
      <w:start w:val="1"/>
    </w:lvl>
  </w:abstractNum>
  <w:abstractNum w:abstractNumId="16">
    <w:nsid w:val="354FE9F9"/>
    <w:multiLevelType w:val="hybridMultilevel"/>
    <w:lvl w:ilvl="0">
      <w:lvlJc w:val="left"/>
      <w:lvlText w:val="·"/>
      <w:numFmt w:val="bullet"/>
      <w:start w:val="1"/>
    </w:lvl>
    <w:lvl w:ilvl="1">
      <w:lvlJc w:val="left"/>
      <w:lvlText w:val="o"/>
      <w:numFmt w:val="bullet"/>
      <w:start w:val="1"/>
    </w:lvl>
  </w:abstractNum>
  <w:abstractNum w:abstractNumId="17">
    <w:nsid w:val="15B5AF5C"/>
    <w:multiLevelType w:val="hybridMultilevel"/>
    <w:lvl w:ilvl="0">
      <w:lvlJc w:val="left"/>
      <w:lvlText w:val="·"/>
      <w:numFmt w:val="bullet"/>
      <w:start w:val="1"/>
    </w:lvl>
    <w:lvl w:ilvl="1">
      <w:lvlJc w:val="left"/>
      <w:lvlText w:val="o"/>
      <w:numFmt w:val="bullet"/>
      <w:start w:val="1"/>
    </w:lvl>
  </w:abstractNum>
  <w:abstractNum w:abstractNumId="18">
    <w:nsid w:val="741226B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9">
    <w:nsid w:val="D34B6A8"/>
    <w:multiLevelType w:val="hybridMultilevel"/>
    <w:lvl w:ilvl="0">
      <w:lvlJc w:val="left"/>
      <w:lvlText w:val="·"/>
      <w:numFmt w:val="bullet"/>
      <w:start w:val="1"/>
    </w:lvl>
    <w:lvl w:ilvl="1">
      <w:lvlJc w:val="left"/>
      <w:lvlText w:val="o"/>
      <w:numFmt w:val="bullet"/>
      <w:start w:val="1"/>
    </w:lvl>
  </w:abstractNum>
  <w:abstractNum w:abstractNumId="20">
    <w:nsid w:val="10233C99"/>
    <w:multiLevelType w:val="hybridMultilevel"/>
    <w:lvl w:ilvl="0">
      <w:lvlJc w:val="left"/>
      <w:lvlText w:val="%1."/>
      <w:numFmt w:val="decimal"/>
      <w:start w:val="11"/>
    </w:lvl>
  </w:abstractNum>
  <w:abstractNum w:abstractNumId="21">
    <w:nsid w:val="3F6AB60F"/>
    <w:multiLevelType w:val="hybridMultilevel"/>
    <w:lvl w:ilvl="0">
      <w:lvlJc w:val="left"/>
      <w:lvlText w:val="%1."/>
      <w:numFmt w:val="decimal"/>
      <w:start w:val="13"/>
    </w:lvl>
  </w:abstractNum>
  <w:abstractNum w:abstractNumId="22">
    <w:nsid w:val="61574095"/>
    <w:multiLevelType w:val="hybridMultilevel"/>
    <w:lvl w:ilvl="0">
      <w:lvlJc w:val="left"/>
      <w:lvlText w:val="(%1)"/>
      <w:numFmt w:val="lowerLetter"/>
      <w:start w:val="6"/>
    </w:lvl>
  </w:abstractNum>
  <w:abstractNum w:abstractNumId="23">
    <w:nsid w:val="7E0C57B1"/>
    <w:multiLevelType w:val="hybridMultilevel"/>
    <w:lvl w:ilvl="0">
      <w:lvlJc w:val="left"/>
      <w:lvlText w:val="%1."/>
      <w:numFmt w:val="decimal"/>
      <w:start w:val="14"/>
    </w:lvl>
  </w:abstractNum>
  <w:abstractNum w:abstractNumId="24">
    <w:nsid w:val="77AE35EB"/>
    <w:multiLevelType w:val="hybridMultilevel"/>
    <w:lvl w:ilvl="0">
      <w:lvlJc w:val="left"/>
      <w:lvlText w:val="%1."/>
      <w:numFmt w:val="decimal"/>
      <w:start w:val="16"/>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upperLetter"/>
      <w:start w:val="2"/>
    </w:lvl>
  </w:abstractNum>
  <w:abstractNum w:abstractNumId="27">
    <w:nsid w:val="5FF87E05"/>
    <w:multiLevelType w:val="hybridMultilevel"/>
    <w:lvl w:ilvl="0">
      <w:lvlJc w:val="left"/>
      <w:lvlText w:val="(%1)"/>
      <w:numFmt w:val="lowerLetter"/>
      <w:start w:val="25"/>
    </w:lvl>
  </w:abstractNum>
  <w:abstractNum w:abstractNumId="28">
    <w:nsid w:val="2F305DEF"/>
    <w:multiLevelType w:val="hybridMultilevel"/>
    <w:lvl w:ilvl="0">
      <w:lvlJc w:val="left"/>
      <w:lvlText w:val="(%1)"/>
      <w:numFmt w:val="lowerRoman"/>
      <w:start w:val="21"/>
    </w:lvl>
  </w:abstractNum>
  <w:abstractNum w:abstractNumId="29">
    <w:nsid w:val="25A70BF7"/>
    <w:multiLevelType w:val="hybridMultilevel"/>
    <w:lvl w:ilvl="0">
      <w:lvlJc w:val="left"/>
      <w:lvlText w:val="(%1)"/>
      <w:numFmt w:val="lowerRoman"/>
      <w:start w:val="10"/>
    </w:lvl>
  </w:abstractNum>
  <w:abstractNum w:abstractNumId="30">
    <w:nsid w:val="1DBABF00"/>
    <w:multiLevelType w:val="hybridMultilevel"/>
    <w:lvl w:ilvl="0">
      <w:lvlJc w:val="left"/>
      <w:lvlText w:val="(%1)"/>
      <w:numFmt w:val="upperLetter"/>
      <w:start w:val="1"/>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upperLetter"/>
      <w:start w:val="1"/>
    </w:lvl>
  </w:abstractNum>
  <w:abstractNum w:abstractNumId="33">
    <w:nsid w:val="1381823A"/>
    <w:multiLevelType w:val="hybridMultilevel"/>
    <w:lvl w:ilvl="0">
      <w:lvlJc w:val="left"/>
      <w:lvlText w:val="(%1)"/>
      <w:numFmt w:val="upperLetter"/>
      <w:start w:val="1"/>
    </w:lvl>
  </w:abstractNum>
  <w:abstractNum w:abstractNumId="34">
    <w:nsid w:val="5DB70AE5"/>
    <w:multiLevelType w:val="hybridMultilevel"/>
    <w:lvl w:ilvl="0">
      <w:lvlJc w:val="left"/>
      <w:lvlText w:val="(%1)"/>
      <w:numFmt w:val="upperLetter"/>
      <w:start w:val="2"/>
    </w:lvl>
  </w:abstractNum>
  <w:abstractNum w:abstractNumId="35">
    <w:nsid w:val="100F8FCA"/>
    <w:multiLevelType w:val="hybridMultilevel"/>
    <w:lvl w:ilvl="0">
      <w:lvlJc w:val="left"/>
      <w:lvlText w:val="(%1)"/>
      <w:numFmt w:val="lowerLetter"/>
      <w:start w:val="25"/>
    </w:lvl>
  </w:abstractNum>
  <w:abstractNum w:abstractNumId="36">
    <w:nsid w:val="6590700B"/>
    <w:multiLevelType w:val="hybridMultilevel"/>
    <w:lvl w:ilvl="0">
      <w:lvlJc w:val="left"/>
      <w:lvlText w:val="(%1)"/>
      <w:numFmt w:val="lowerLetter"/>
      <w:start w:val="5"/>
    </w:lvl>
  </w:abstractNum>
  <w:abstractNum w:abstractNumId="37">
    <w:nsid w:val="15014ACB"/>
    <w:multiLevelType w:val="hybridMultilevel"/>
    <w:lvl w:ilvl="0">
      <w:lvlJc w:val="left"/>
      <w:lvlText w:val="(%1)"/>
      <w:numFmt w:val="upperLetter"/>
      <w:start w:val="2"/>
    </w:lvl>
  </w:abstractNum>
  <w:abstractNum w:abstractNumId="38">
    <w:nsid w:val="5F5E7FD0"/>
    <w:multiLevelType w:val="hybridMultilevel"/>
    <w:lvl w:ilvl="0">
      <w:lvlJc w:val="left"/>
      <w:lvlText w:val="1"/>
      <w:numFmt w:val="bullet"/>
      <w:start w:val="1"/>
    </w:lvl>
  </w:abstractNum>
  <w:abstractNum w:abstractNumId="39">
    <w:nsid w:val="98A3148"/>
    <w:multiLevelType w:val="hybridMultilevel"/>
    <w:lvl w:ilvl="0">
      <w:lvlJc w:val="left"/>
      <w:lvlText w:val="(%1)"/>
      <w:numFmt w:val="lowerRoman"/>
      <w:start w:val="4"/>
    </w:lvl>
  </w:abstractNum>
  <w:abstractNum w:abstractNumId="40">
    <w:nsid w:val="799D0247"/>
    <w:multiLevelType w:val="hybridMultilevel"/>
    <w:lvl w:ilvl="0">
      <w:lvlJc w:val="left"/>
      <w:lvlText w:val="(%1)"/>
      <w:numFmt w:val="lowerRoman"/>
      <w:start w:val="1"/>
    </w:lvl>
  </w:abstractNum>
  <w:abstractNum w:abstractNumId="41">
    <w:nsid w:val="6B94764"/>
    <w:multiLevelType w:val="hybridMultilevel"/>
    <w:lvl w:ilvl="0">
      <w:lvlJc w:val="left"/>
      <w:lvlText w:val="(%1)"/>
      <w:numFmt w:val="decimal"/>
      <w:start w:val="2"/>
    </w:lvl>
  </w:abstractNum>
  <w:abstractNum w:abstractNumId="42">
    <w:nsid w:val="42C296BD"/>
    <w:multiLevelType w:val="hybridMultilevel"/>
    <w:lvl w:ilvl="0">
      <w:lvlJc w:val="left"/>
      <w:lvlText w:val="(%1)"/>
      <w:numFmt w:val="lowerRoman"/>
      <w:start w:val="2"/>
    </w:lvl>
  </w:abstractNum>
  <w:abstractNum w:abstractNumId="43">
    <w:nsid w:val="168E121F"/>
    <w:multiLevelType w:val="hybridMultilevel"/>
    <w:lvl w:ilvl="0">
      <w:lvlJc w:val="left"/>
      <w:lvlText w:val="(%1)"/>
      <w:numFmt w:val="lowerLetter"/>
      <w:start w:val="4"/>
    </w:lvl>
  </w:abstractNum>
  <w:abstractNum w:abstractNumId="44">
    <w:nsid w:val="1EBA5D23"/>
    <w:multiLevelType w:val="hybridMultilevel"/>
    <w:lvl w:ilvl="0">
      <w:lvlJc w:val="left"/>
      <w:lvlText w:val="(%1)"/>
      <w:numFmt w:val="lowerLetter"/>
      <w:start w:val="3"/>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upperLetter"/>
      <w:start w:val="2"/>
    </w:lvl>
  </w:abstractNum>
  <w:abstractNum w:abstractNumId="48">
    <w:nsid w:val="7BD3EE7B"/>
    <w:multiLevelType w:val="hybridMultilevel"/>
    <w:lvl w:ilvl="0">
      <w:lvlJc w:val="left"/>
      <w:lvlText w:val="(%1)"/>
      <w:numFmt w:val="decimal"/>
      <w:start w:val="2"/>
    </w:lvl>
  </w:abstractNum>
  <w:abstractNum w:abstractNumId="49">
    <w:nsid w:val="51D9C564"/>
    <w:multiLevelType w:val="hybridMultilevel"/>
    <w:lvl w:ilvl="0">
      <w:lvlJc w:val="left"/>
      <w:lvlText w:val="(%1)"/>
      <w:numFmt w:val="lowerRoman"/>
      <w:start w:val="2"/>
    </w:lvl>
  </w:abstractNum>
  <w:abstractNum w:abstractNumId="50">
    <w:nsid w:val="613EFDC5"/>
    <w:multiLevelType w:val="hybridMultilevel"/>
    <w:lvl w:ilvl="0">
      <w:lvlJc w:val="left"/>
      <w:lvlText w:val="(%1)"/>
      <w:numFmt w:val="lowerRoman"/>
      <w:start w:val="1"/>
    </w:lvl>
  </w:abstractNum>
  <w:abstractNum w:abstractNumId="51">
    <w:nsid w:val="BF72B14"/>
    <w:multiLevelType w:val="hybridMultilevel"/>
    <w:lvl w:ilvl="0">
      <w:lvlJc w:val="left"/>
      <w:lvlText w:val="(%1)"/>
      <w:numFmt w:val="lowerRoman"/>
      <w:start w:val="1"/>
    </w:lvl>
  </w:abstractNum>
  <w:abstractNum w:abstractNumId="52">
    <w:nsid w:val="11447B73"/>
    <w:multiLevelType w:val="hybridMultilevel"/>
    <w:lvl w:ilvl="0">
      <w:lvlJc w:val="left"/>
      <w:lvlText w:val="(%1)"/>
      <w:numFmt w:val="upperLetter"/>
      <w:start w:val="35"/>
    </w:lvl>
  </w:abstractNum>
  <w:abstractNum w:abstractNumId="53">
    <w:nsid w:val="42963E5A"/>
    <w:multiLevelType w:val="hybridMultilevel"/>
    <w:lvl w:ilvl="0">
      <w:lvlJc w:val="left"/>
      <w:lvlText w:val="(%1)"/>
      <w:numFmt w:val="upperLetter"/>
      <w:start w:val="9"/>
    </w:lvl>
  </w:abstractNum>
  <w:abstractNum w:abstractNumId="54">
    <w:nsid w:val="A0382C5"/>
    <w:multiLevelType w:val="hybridMultilevel"/>
    <w:lvl w:ilvl="0">
      <w:lvlJc w:val="left"/>
      <w:lvlText w:val="(%1)"/>
      <w:numFmt w:val="lowerRoman"/>
      <w:start w:val="1"/>
    </w:lvl>
  </w:abstractNum>
  <w:abstractNum w:abstractNumId="55">
    <w:nsid w:val="8F2B15E"/>
    <w:multiLevelType w:val="hybridMultilevel"/>
    <w:lvl w:ilvl="0">
      <w:lvlJc w:val="left"/>
      <w:lvlText w:val="%1."/>
      <w:numFmt w:val="upperLetter"/>
      <w:start w:val="1"/>
    </w:lvl>
  </w:abstractNum>
  <w:abstractNum w:abstractNumId="56">
    <w:nsid w:val="1A32234B"/>
    <w:multiLevelType w:val="hybridMultilevel"/>
    <w:lvl w:ilvl="0">
      <w:lvlJc w:val="left"/>
      <w:lvlText w:val="%1."/>
      <w:numFmt w:val="upperLetter"/>
      <w:start w:val="2"/>
    </w:lvl>
  </w:abstractNum>
  <w:abstractNum w:abstractNumId="57">
    <w:nsid w:val="3B0FD379"/>
    <w:multiLevelType w:val="hybridMultilevel"/>
    <w:lvl w:ilvl="0">
      <w:lvlJc w:val="left"/>
      <w:lvlText w:val="**"/>
      <w:numFmt w:val="bullet"/>
      <w:start w:val="1"/>
    </w:lvl>
    <w:lvl w:ilvl="1">
      <w:lvlJc w:val="left"/>
      <w:lvlText w:val="☐"/>
      <w:numFmt w:val="bullet"/>
      <w:start w:val="1"/>
    </w:lvl>
  </w:abstractNum>
  <w:abstractNum w:abstractNumId="58">
    <w:nsid w:val="68EB2F63"/>
    <w:multiLevelType w:val="hybridMultilevel"/>
    <w:lvl w:ilvl="0">
      <w:lvlJc w:val="left"/>
      <w:lvlText w:val="%1."/>
      <w:numFmt w:val="upperLetter"/>
      <w:start w:val="3"/>
    </w:lvl>
    <w:lvl w:ilvl="1">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2"/>
    </w:lvl>
  </w:abstractNum>
  <w:abstractNum w:abstractNumId="64">
    <w:nsid w:val="1A27709E"/>
    <w:multiLevelType w:val="hybridMultilevel"/>
    <w:lvl w:ilvl="0">
      <w:lvlJc w:val="left"/>
      <w:lvlText w:val="%1."/>
      <w:numFmt w:val="decimal"/>
      <w:start w:val="3"/>
    </w:lvl>
  </w:abstractNum>
  <w:abstractNum w:abstractNumId="65">
    <w:nsid w:val="71EA1109"/>
    <w:multiLevelType w:val="hybridMultilevel"/>
    <w:lvl w:ilvl="0">
      <w:lvlJc w:val="left"/>
      <w:lvlText w:val="%1."/>
      <w:numFmt w:val="decimal"/>
      <w:start w:val="4"/>
    </w:lvl>
  </w:abstractNum>
  <w:abstractNum w:abstractNumId="66">
    <w:nsid w:val="100F59DC"/>
    <w:multiLevelType w:val="hybridMultilevel"/>
    <w:lvl w:ilvl="0">
      <w:lvlJc w:val="left"/>
      <w:lvlText w:val="%1."/>
      <w:numFmt w:val="decimal"/>
      <w:start w:val="5"/>
    </w:lvl>
  </w:abstractNum>
  <w:abstractNum w:abstractNumId="67">
    <w:nsid w:val="7FB7E0AA"/>
    <w:multiLevelType w:val="hybridMultilevel"/>
    <w:lvl w:ilvl="0">
      <w:lvlJc w:val="left"/>
      <w:lvlText w:val="(%1)"/>
      <w:numFmt w:val="lowerRoman"/>
      <w:start w:val="2"/>
    </w:lvl>
  </w:abstractNum>
  <w:abstractNum w:abstractNumId="68">
    <w:nsid w:val="6EB5BD4"/>
    <w:multiLevelType w:val="hybridMultilevel"/>
    <w:lvl w:ilvl="0">
      <w:lvlJc w:val="left"/>
      <w:lvlText w:val="%1."/>
      <w:numFmt w:val="decimal"/>
      <w:start w:val="6"/>
    </w:lvl>
  </w:abstractNum>
  <w:abstractNum w:abstractNumId="69">
    <w:nsid w:val="6F6DD9AC"/>
    <w:multiLevelType w:val="hybridMultilevel"/>
    <w:lvl w:ilvl="0">
      <w:lvlJc w:val="left"/>
      <w:lvlText w:val="%1."/>
      <w:numFmt w:val="decimal"/>
      <w:start w:val="7"/>
    </w:lvl>
  </w:abstractNum>
  <w:abstractNum w:abstractNumId="70">
    <w:nsid w:val="94211F2"/>
    <w:multiLevelType w:val="hybridMultilevel"/>
    <w:lvl w:ilvl="0">
      <w:lvlJc w:val="left"/>
      <w:lvlText w:val="%1."/>
      <w:numFmt w:val="decimal"/>
      <w:start w:val="8"/>
    </w:lvl>
  </w:abstractNum>
  <w:abstractNum w:abstractNumId="71">
    <w:nsid w:val="885E1B"/>
    <w:multiLevelType w:val="hybridMultilevel"/>
    <w:lvl w:ilvl="0">
      <w:lvlJc w:val="left"/>
      <w:lvlText w:val="%1."/>
      <w:numFmt w:val="decimal"/>
      <w:start w:val="9"/>
    </w:lvl>
  </w:abstractNum>
  <w:abstractNum w:abstractNumId="72">
    <w:nsid w:val="76272110"/>
    <w:multiLevelType w:val="hybridMultilevel"/>
    <w:lvl w:ilvl="0">
      <w:lvlJc w:val="left"/>
      <w:lvlText w:val="%1."/>
      <w:numFmt w:val="decimal"/>
      <w:start w:val="10"/>
    </w:lvl>
  </w:abstractNum>
  <w:abstractNum w:abstractNumId="73">
    <w:nsid w:val="4C04A8AF"/>
    <w:multiLevelType w:val="hybridMultilevel"/>
    <w:lvl w:ilvl="0">
      <w:lvlJc w:val="left"/>
      <w:lvlText w:val="%1."/>
      <w:numFmt w:val="decimal"/>
      <w:start w:val="11"/>
    </w:lvl>
  </w:abstractNum>
  <w:abstractNum w:abstractNumId="74">
    <w:nsid w:val="1716703B"/>
    <w:multiLevelType w:val="hybridMultilevel"/>
    <w:lvl w:ilvl="0">
      <w:lvlJc w:val="left"/>
      <w:lvlText w:val="%1."/>
      <w:numFmt w:val="decimal"/>
      <w:start w:val="12"/>
    </w:lvl>
  </w:abstractNum>
  <w:abstractNum w:abstractNumId="75">
    <w:nsid w:val="14E17E33"/>
    <w:multiLevelType w:val="hybridMultilevel"/>
    <w:lvl w:ilvl="0">
      <w:lvlJc w:val="left"/>
      <w:lvlText w:val="%1."/>
      <w:numFmt w:val="decimal"/>
      <w:start w:val="13"/>
    </w:lvl>
  </w:abstractNum>
  <w:abstractNum w:abstractNumId="76">
    <w:nsid w:val="3222E7CD"/>
    <w:multiLevelType w:val="hybridMultilevel"/>
    <w:lvl w:ilvl="0">
      <w:lvlJc w:val="left"/>
      <w:lvlText w:val="%1."/>
      <w:numFmt w:val="decimal"/>
      <w:start w:val="14"/>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decimal"/>
      <w:start w:val="2"/>
    </w:lvl>
  </w:abstractNum>
  <w:abstractNum w:abstractNumId="79">
    <w:nsid w:val="2DF6D648"/>
    <w:multiLevelType w:val="hybridMultilevel"/>
    <w:lvl w:ilvl="0">
      <w:lvlJc w:val="left"/>
      <w:lvlText w:val="(%1)"/>
      <w:numFmt w:val="lowerRoman"/>
      <w:start w:val="4"/>
    </w:lvl>
  </w:abstractNum>
  <w:abstractNum w:abstractNumId="80">
    <w:nsid w:val="46B7D447"/>
    <w:multiLevelType w:val="hybridMultilevel"/>
    <w:lvl w:ilvl="0">
      <w:lvlJc w:val="left"/>
      <w:lvlText w:val="(%1)"/>
      <w:numFmt w:val="lowerRoman"/>
      <w:start w:val="2"/>
    </w:lvl>
  </w:abstractNum>
  <w:abstractNum w:abstractNumId="81">
    <w:nsid w:val="4A2AC315"/>
    <w:multiLevelType w:val="hybridMultilevel"/>
    <w:lvl w:ilvl="0">
      <w:lvlJc w:val="left"/>
      <w:lvlText w:val="(%1)"/>
      <w:numFmt w:val="upperLetter"/>
      <w:start w:val="35"/>
    </w:lvl>
  </w:abstractNum>
  <w:abstractNum w:abstractNumId="82">
    <w:nsid w:val="39EE015C"/>
    <w:multiLevelType w:val="hybridMultilevel"/>
    <w:lvl w:ilvl="0">
      <w:lvlJc w:val="left"/>
      <w:lvlText w:val="(%1)"/>
      <w:numFmt w:val="upperLetter"/>
      <w:start w:val="9"/>
    </w:lvl>
  </w:abstractNum>
  <w:abstractNum w:abstractNumId="83">
    <w:nsid w:val="57FC4FBB"/>
    <w:multiLevelType w:val="hybridMultilevel"/>
    <w:lvl w:ilvl="0">
      <w:lvlJc w:val="left"/>
      <w:lvlText w:val="1"/>
      <w:numFmt w:val="bullet"/>
      <w:start w:val="1"/>
    </w:lvl>
  </w:abstractNum>
  <w:abstractNum w:abstractNumId="84">
    <w:nsid w:val="CC1016F"/>
    <w:multiLevelType w:val="hybridMultilevel"/>
    <w:lvl w:ilvl="0">
      <w:lvlJc w:val="left"/>
      <w:lvlText w:val="%1."/>
      <w:numFmt w:val="upperLetter"/>
      <w:start w:val="1"/>
    </w:lvl>
  </w:abstractNum>
  <w:abstractNum w:abstractNumId="85">
    <w:nsid w:val="43F18422"/>
    <w:multiLevelType w:val="hybridMultilevel"/>
    <w:lvl w:ilvl="0">
      <w:lvlJc w:val="left"/>
      <w:lvlText w:val="**"/>
      <w:numFmt w:val="bullet"/>
      <w:start w:val="1"/>
    </w:lvl>
    <w:lvl w:ilvl="1">
      <w:lvlJc w:val="left"/>
      <w:lvlText w:val="☐"/>
      <w:numFmt w:val="bullet"/>
      <w:start w:val="1"/>
    </w:lvl>
  </w:abstractNum>
  <w:abstractNum w:abstractNumId="86">
    <w:nsid w:val="60EF0119"/>
    <w:multiLevelType w:val="hybridMultilevel"/>
    <w:lvl w:ilvl="0">
      <w:lvlJc w:val="left"/>
      <w:lvlText w:val="%1."/>
      <w:numFmt w:val="upperLetter"/>
      <w:start w:val="2"/>
    </w:lvl>
  </w:abstractNum>
  <w:abstractNum w:abstractNumId="87">
    <w:nsid w:val="26F324BA"/>
    <w:multiLevelType w:val="hybridMultilevel"/>
    <w:lvl w:ilvl="0">
      <w:lvlJc w:val="left"/>
      <w:lvlText w:val="**"/>
      <w:numFmt w:val="bullet"/>
      <w:start w:val="1"/>
    </w:lvl>
    <w:lvl w:ilvl="1">
      <w:lvlJc w:val="left"/>
      <w:lvlText w:val="☐"/>
      <w:numFmt w:val="bullet"/>
      <w:start w:val="1"/>
    </w:lvl>
  </w:abstractNum>
  <w:abstractNum w:abstractNumId="88">
    <w:nsid w:val="7F01579B"/>
    <w:multiLevelType w:val="hybridMultilevel"/>
    <w:lvl w:ilvl="0">
      <w:lvlJc w:val="left"/>
      <w:lvlText w:val="%1."/>
      <w:numFmt w:val="upperLetter"/>
      <w:start w:val="3"/>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lvl w:ilvl="1">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lvl w:ilvl="1">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lvl w:ilvl="1">
      <w:lvlJc w:val="left"/>
      <w:lvlText w:val="•"/>
      <w:numFmt w:val="bullet"/>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2025-12-22T07:14:58Z</dcterms:created>
  <dcterms:modified xsi:type="dcterms:W3CDTF">2025-12-22T07:14:58Z</dcterms:modified>
</cp:coreProperties>
</file>