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Brandon-Gordon Andrew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3"/>
        <w:gridCol w:w="905"/>
        <w:gridCol w:w="774"/>
        <w:gridCol w:w="601"/>
        <w:gridCol w:w="348"/>
        <w:gridCol w:w="1059"/>
        <w:gridCol w:w="453"/>
        <w:gridCol w:w="669"/>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519,057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101,760</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417,297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46"/>
        <w:gridCol w:w="921"/>
        <w:gridCol w:w="801"/>
        <w:gridCol w:w="96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August 7, 2026, upon vesting of an installment of Restricted Stock Units ("RSUs") identified in Table II, which were initially granted on August 7, 2025 and generally vest in equal quarterly installments over a five-year period. On August 7, 2026, the closing price of the Class B common stock on The NASDAQ Global Select Market was $9.19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by the Issuer to satisfy tax liability incident to the vesting of, and delivery of shares underlying, the RSUs, and were not actually sold or otherwise disposed of in an open-market transaction.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8632"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3762</Characters>
  <CharactersWithSpaces>4375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