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306070</wp:posOffset>
            </wp:positionH>
            <wp:positionV relativeFrom="page">
              <wp:posOffset>497205</wp:posOffset>
            </wp:positionV>
            <wp:extent cx="69361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page">
              <wp:posOffset>306070</wp:posOffset>
            </wp:positionH>
            <wp:positionV relativeFrom="page">
              <wp:posOffset>422275</wp:posOffset>
            </wp:positionV>
            <wp:extent cx="6936105"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6105" cy="33020"/>
                    </a:xfrm>
                    <a:prstGeom prst="rect">
                      <a:avLst/>
                    </a:prstGeom>
                    <a:noFill/>
                  </pic:spPr>
                </pic:pic>
              </a:graphicData>
            </a:graphic>
          </wp:anchor>
        </w:drawing>
        <w:t>UNITED STATES</w:t>
      </w:r>
    </w:p>
    <w:p>
      <w:pPr>
        <w:spacing w:after="0" w:line="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116205</wp:posOffset>
            </wp:positionV>
            <wp:extent cx="2032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2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7" w:lineRule="exact"/>
        <w:rPr>
          <w:sz w:val="24"/>
          <w:szCs w:val="24"/>
          <w:color w:val="auto"/>
        </w:rPr>
      </w:pPr>
    </w:p>
    <w:p>
      <w:pPr>
        <w:ind w:left="860" w:right="640" w:hanging="838"/>
        <w:spacing w:after="0" w:line="245" w:lineRule="auto"/>
        <w:tabs>
          <w:tab w:leader="none" w:pos="8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4" w:lineRule="exact"/>
        <w:rPr>
          <w:sz w:val="24"/>
          <w:szCs w:val="24"/>
          <w:color w:val="auto"/>
        </w:rPr>
      </w:pPr>
    </w:p>
    <w:p>
      <w:pPr>
        <w:ind w:left="860" w:right="620" w:hanging="838"/>
        <w:spacing w:after="0" w:line="180" w:lineRule="auto"/>
        <w:tabs>
          <w:tab w:leader="none" w:pos="860" w:val="left"/>
        </w:tabs>
        <w:numPr>
          <w:ilvl w:val="0"/>
          <w:numId w:val="2"/>
        </w:numPr>
        <w:rPr>
          <w:rFonts w:ascii="MS PGothic" w:cs="MS PGothic" w:eastAsia="MS PGothic" w:hAnsi="MS PGothic"/>
          <w:sz w:val="41"/>
          <w:szCs w:val="41"/>
          <w:color w:val="auto"/>
          <w:highlight w:val="black"/>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001-09553</w:t>
      </w:r>
    </w:p>
    <w:p>
      <w:pPr>
        <w:spacing w:after="0" w:line="4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000A3C"/>
        </w:rPr>
        <w:t>Paramount Global</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1" w:lineRule="exact"/>
        <w:rPr>
          <w:sz w:val="24"/>
          <w:szCs w:val="24"/>
          <w:color w:val="auto"/>
        </w:rPr>
      </w:pPr>
    </w:p>
    <w:tbl>
      <w:tblPr>
        <w:tblLayout w:type="fixed"/>
        <w:tblInd w:w="440" w:type="dxa"/>
        <w:tblCellMar>
          <w:top w:w="0" w:type="dxa"/>
          <w:left w:w="0" w:type="dxa"/>
          <w:bottom w:w="0" w:type="dxa"/>
          <w:right w:w="0" w:type="dxa"/>
        </w:tblCellMar>
      </w:tblPr>
      <w:tr>
        <w:trPr>
          <w:trHeight w:val="208"/>
        </w:trPr>
        <w:tc>
          <w:tcPr>
            <w:tcW w:w="5800" w:type="dxa"/>
            <w:vAlign w:val="bottom"/>
            <w:gridSpan w:val="3"/>
          </w:tcPr>
          <w:p>
            <w:pPr>
              <w:jc w:val="center"/>
              <w:ind w:left="6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2920" w:type="dxa"/>
            <w:vAlign w:val="bottom"/>
          </w:tcPr>
          <w:p>
            <w:pPr>
              <w:spacing w:after="0"/>
              <w:rPr>
                <w:sz w:val="18"/>
                <w:szCs w:val="18"/>
                <w:color w:val="auto"/>
              </w:rPr>
            </w:pPr>
          </w:p>
        </w:tc>
      </w:tr>
      <w:tr>
        <w:trPr>
          <w:trHeight w:val="162"/>
        </w:trPr>
        <w:tc>
          <w:tcPr>
            <w:tcW w:w="5800" w:type="dxa"/>
            <w:vAlign w:val="bottom"/>
            <w:gridSpan w:val="3"/>
          </w:tcPr>
          <w:p>
            <w:pPr>
              <w:jc w:val="center"/>
              <w:ind w:left="604"/>
              <w:spacing w:after="0" w:line="162"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5100" w:type="dxa"/>
            <w:vAlign w:val="bottom"/>
            <w:gridSpan w:val="4"/>
          </w:tcPr>
          <w:p>
            <w:pPr>
              <w:jc w:val="center"/>
              <w:ind w:right="1630"/>
              <w:spacing w:after="0" w:line="162" w:lineRule="exact"/>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6"/>
        </w:trPr>
        <w:tc>
          <w:tcPr>
            <w:tcW w:w="5800" w:type="dxa"/>
            <w:vAlign w:val="bottom"/>
            <w:gridSpan w:val="3"/>
          </w:tcPr>
          <w:p>
            <w:pPr>
              <w:jc w:val="center"/>
              <w:ind w:left="584"/>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01"/>
        </w:trPr>
        <w:tc>
          <w:tcPr>
            <w:tcW w:w="5800" w:type="dxa"/>
            <w:vAlign w:val="bottom"/>
            <w:gridSpan w:val="3"/>
          </w:tcPr>
          <w:p>
            <w:pPr>
              <w:ind w:left="1860"/>
              <w:spacing w:after="0"/>
              <w:rPr>
                <w:sz w:val="20"/>
                <w:szCs w:val="20"/>
                <w:color w:val="auto"/>
              </w:rPr>
            </w:pPr>
            <w:r>
              <w:rPr>
                <w:rFonts w:ascii="Times New Roman" w:cs="Times New Roman" w:eastAsia="Times New Roman" w:hAnsi="Times New Roman"/>
                <w:sz w:val="16"/>
                <w:szCs w:val="16"/>
                <w:b w:val="1"/>
                <w:bCs w:val="1"/>
                <w:color w:val="auto"/>
              </w:rPr>
              <w:t>1515 Broadway   New York,  New York</w:t>
            </w:r>
          </w:p>
        </w:tc>
        <w:tc>
          <w:tcPr>
            <w:tcW w:w="21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10036</w:t>
            </w:r>
          </w:p>
        </w:tc>
        <w:tc>
          <w:tcPr>
            <w:tcW w:w="2920" w:type="dxa"/>
            <w:vAlign w:val="bottom"/>
          </w:tcPr>
          <w:p>
            <w:pPr>
              <w:spacing w:after="0"/>
              <w:rPr>
                <w:sz w:val="24"/>
                <w:szCs w:val="24"/>
                <w:color w:val="auto"/>
              </w:rPr>
            </w:pPr>
          </w:p>
        </w:tc>
      </w:tr>
      <w:tr>
        <w:trPr>
          <w:trHeight w:val="210"/>
        </w:trPr>
        <w:tc>
          <w:tcPr>
            <w:tcW w:w="5800" w:type="dxa"/>
            <w:vAlign w:val="bottom"/>
            <w:gridSpan w:val="3"/>
          </w:tcPr>
          <w:p>
            <w:pPr>
              <w:jc w:val="center"/>
              <w:ind w:left="584"/>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2180" w:type="dxa"/>
            <w:vAlign w:val="bottom"/>
            <w:gridSpan w:val="3"/>
          </w:tcPr>
          <w:p>
            <w:pPr>
              <w:jc w:val="center"/>
              <w:ind w:left="1146"/>
              <w:spacing w:after="0"/>
              <w:rPr>
                <w:sz w:val="20"/>
                <w:szCs w:val="20"/>
                <w:color w:val="auto"/>
              </w:rPr>
            </w:pPr>
            <w:r>
              <w:rPr>
                <w:rFonts w:ascii="Times New Roman" w:cs="Times New Roman" w:eastAsia="Times New Roman" w:hAnsi="Times New Roman"/>
                <w:sz w:val="16"/>
                <w:szCs w:val="16"/>
                <w:color w:val="auto"/>
                <w:w w:val="96"/>
              </w:rPr>
              <w:t>(Zip Code)</w:t>
            </w:r>
          </w:p>
        </w:tc>
        <w:tc>
          <w:tcPr>
            <w:tcW w:w="2920" w:type="dxa"/>
            <w:vAlign w:val="bottom"/>
          </w:tcPr>
          <w:p>
            <w:pPr>
              <w:spacing w:after="0"/>
              <w:rPr>
                <w:sz w:val="18"/>
                <w:szCs w:val="18"/>
                <w:color w:val="auto"/>
              </w:rPr>
            </w:pPr>
          </w:p>
        </w:tc>
      </w:tr>
      <w:tr>
        <w:trPr>
          <w:trHeight w:val="279"/>
        </w:trPr>
        <w:tc>
          <w:tcPr>
            <w:tcW w:w="5800" w:type="dxa"/>
            <w:vAlign w:val="bottom"/>
            <w:gridSpan w:val="3"/>
          </w:tcPr>
          <w:p>
            <w:pPr>
              <w:jc w:val="center"/>
              <w:ind w:left="4504"/>
              <w:spacing w:after="0"/>
              <w:rPr>
                <w:sz w:val="20"/>
                <w:szCs w:val="20"/>
                <w:color w:val="auto"/>
              </w:rPr>
            </w:pPr>
            <w:r>
              <w:rPr>
                <w:rFonts w:ascii="Times New Roman" w:cs="Times New Roman" w:eastAsia="Times New Roman" w:hAnsi="Times New Roman"/>
                <w:sz w:val="16"/>
                <w:szCs w:val="16"/>
                <w:b w:val="1"/>
                <w:bCs w:val="1"/>
                <w:color w:val="auto"/>
                <w:w w:val="97"/>
              </w:rPr>
              <w:t>(212) 258-6000</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7980" w:type="dxa"/>
            <w:vAlign w:val="bottom"/>
            <w:gridSpan w:val="6"/>
          </w:tcPr>
          <w:p>
            <w:pPr>
              <w:jc w:val="center"/>
              <w:ind w:left="2324"/>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2920" w:type="dxa"/>
            <w:vAlign w:val="bottom"/>
          </w:tcPr>
          <w:p>
            <w:pPr>
              <w:spacing w:after="0"/>
              <w:rPr>
                <w:sz w:val="17"/>
                <w:szCs w:val="17"/>
                <w:color w:val="auto"/>
              </w:rPr>
            </w:pPr>
          </w:p>
        </w:tc>
      </w:tr>
      <w:tr>
        <w:trPr>
          <w:trHeight w:val="318"/>
        </w:trPr>
        <w:tc>
          <w:tcPr>
            <w:tcW w:w="5800" w:type="dxa"/>
            <w:vAlign w:val="bottom"/>
            <w:gridSpan w:val="3"/>
          </w:tcPr>
          <w:p>
            <w:pPr>
              <w:jc w:val="center"/>
              <w:ind w:left="4484"/>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7980" w:type="dxa"/>
            <w:vAlign w:val="bottom"/>
            <w:gridSpan w:val="6"/>
          </w:tcPr>
          <w:p>
            <w:pPr>
              <w:jc w:val="center"/>
              <w:ind w:left="2304"/>
              <w:spacing w:after="0"/>
              <w:rPr>
                <w:sz w:val="20"/>
                <w:szCs w:val="20"/>
                <w:color w:val="auto"/>
              </w:rPr>
            </w:pPr>
            <w:r>
              <w:rPr>
                <w:rFonts w:ascii="Times New Roman" w:cs="Times New Roman" w:eastAsia="Times New Roman" w:hAnsi="Times New Roman"/>
                <w:sz w:val="16"/>
                <w:szCs w:val="16"/>
                <w:color w:val="auto"/>
                <w:w w:val="98"/>
              </w:rPr>
              <w:t>(Former name, former address and former fiscal year, if changed since last report)</w:t>
            </w:r>
          </w:p>
        </w:tc>
        <w:tc>
          <w:tcPr>
            <w:tcW w:w="2920" w:type="dxa"/>
            <w:vAlign w:val="bottom"/>
          </w:tcPr>
          <w:p>
            <w:pPr>
              <w:spacing w:after="0"/>
              <w:rPr>
                <w:sz w:val="17"/>
                <w:szCs w:val="17"/>
                <w:color w:val="auto"/>
              </w:rPr>
            </w:pPr>
          </w:p>
        </w:tc>
      </w:tr>
      <w:tr>
        <w:trPr>
          <w:trHeight w:val="328"/>
        </w:trPr>
        <w:tc>
          <w:tcPr>
            <w:tcW w:w="7980" w:type="dxa"/>
            <w:vAlign w:val="bottom"/>
            <w:gridSpan w:val="6"/>
          </w:tcPr>
          <w:p>
            <w:pPr>
              <w:ind w:left="34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20" w:type="dxa"/>
            <w:vAlign w:val="bottom"/>
          </w:tcPr>
          <w:p>
            <w:pPr>
              <w:spacing w:after="0"/>
              <w:rPr>
                <w:sz w:val="24"/>
                <w:szCs w:val="24"/>
                <w:color w:val="auto"/>
              </w:rPr>
            </w:pPr>
          </w:p>
        </w:tc>
      </w:tr>
      <w:tr>
        <w:trPr>
          <w:trHeight w:val="335"/>
        </w:trPr>
        <w:tc>
          <w:tcPr>
            <w:tcW w:w="58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r>
      <w:tr>
        <w:trPr>
          <w:trHeight w:val="176"/>
        </w:trPr>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Class A Common Stock, $0.001 par value</w:t>
            </w: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color w:val="auto"/>
                <w:w w:val="96"/>
              </w:rPr>
              <w:t>PARAA</w:t>
            </w:r>
          </w:p>
        </w:tc>
        <w:tc>
          <w:tcPr>
            <w:tcW w:w="3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87"/>
        </w:trPr>
        <w:tc>
          <w:tcPr>
            <w:tcW w:w="58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w w:val="99"/>
              </w:rPr>
              <w:t>Class B Common Stock, $0.001 par value</w:t>
            </w:r>
          </w:p>
        </w:tc>
        <w:tc>
          <w:tcPr>
            <w:tcW w:w="218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color w:val="auto"/>
                <w:w w:val="96"/>
              </w:rPr>
              <w:t>PARA</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7"/>
        </w:trPr>
        <w:tc>
          <w:tcPr>
            <w:tcW w:w="58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5.75% Series A Mandatory Convertible Preferred Stock, $0.001 par value</w:t>
            </w:r>
          </w:p>
        </w:tc>
        <w:tc>
          <w:tcPr>
            <w:tcW w:w="21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w w:val="92"/>
              </w:rPr>
              <w:t>PARAP</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193" w:lineRule="exact"/>
        <w:rPr>
          <w:sz w:val="24"/>
          <w:szCs w:val="24"/>
          <w:color w:val="auto"/>
        </w:rPr>
      </w:pPr>
    </w:p>
    <w:p>
      <w:pPr>
        <w:ind w:right="660" w:firstLine="433"/>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1140" w:val="left"/>
        </w:tabs>
        <w:rPr>
          <w:sz w:val="20"/>
          <w:szCs w:val="20"/>
          <w:color w:val="auto"/>
        </w:rPr>
      </w:pPr>
      <w:r>
        <w:rPr>
          <w:rFonts w:ascii="Times New Roman" w:cs="Times New Roman" w:eastAsia="Times New Roman" w:hAnsi="Times New Roman"/>
          <w:sz w:val="16"/>
          <w:szCs w:val="16"/>
          <w:color w:val="auto"/>
        </w:rPr>
        <w:t xml:space="preserve">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3" w:lineRule="exact"/>
        <w:rPr>
          <w:sz w:val="24"/>
          <w:szCs w:val="24"/>
          <w:color w:val="auto"/>
        </w:rPr>
      </w:pPr>
    </w:p>
    <w:p>
      <w:pPr>
        <w:ind w:right="380" w:firstLine="433"/>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40" w:firstLine="433"/>
        <w:spacing w:after="0" w:line="31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97"/>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7"/>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8"/>
        </w:trPr>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4" w:lineRule="exact"/>
        <w:rPr>
          <w:sz w:val="24"/>
          <w:szCs w:val="24"/>
          <w:color w:val="auto"/>
        </w:rPr>
      </w:pPr>
    </w:p>
    <w:p>
      <w:pPr>
        <w:ind w:right="560" w:firstLine="433"/>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left="44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outstanding at October 28, 2022:</w:t>
      </w:r>
    </w:p>
    <w:p>
      <w:pPr>
        <w:spacing w:after="0" w:line="10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Class A Common Stock, par value $.001 per share— 40,704,664</w:t>
      </w:r>
    </w:p>
    <w:p>
      <w:pPr>
        <w:spacing w:after="0" w:line="5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Class B Common Stock, par value $.001 per share— 608,469,747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520700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125095</wp:posOffset>
            </wp:positionV>
            <wp:extent cx="693610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6105" cy="3302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83820</wp:posOffset>
            </wp:positionV>
            <wp:extent cx="693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1" w:name="page2"/>
    <w:bookmarkEnd w:id="1"/>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PARAMOUNT GLOBAL</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FORM 10-Q</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60" w:type="dxa"/>
            <w:vAlign w:val="bottom"/>
          </w:tcPr>
          <w:p>
            <w:pPr>
              <w:spacing w:after="0"/>
              <w:rPr>
                <w:sz w:val="22"/>
                <w:szCs w:val="22"/>
                <w:color w:val="auto"/>
              </w:rPr>
            </w:pPr>
          </w:p>
        </w:tc>
        <w:tc>
          <w:tcPr>
            <w:tcW w:w="7920" w:type="dxa"/>
            <w:vAlign w:val="bottom"/>
            <w:gridSpan w:val="17"/>
            <w:vMerge w:val="restart"/>
          </w:tcPr>
          <w:p>
            <w:pPr>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19"/>
                <w:szCs w:val="19"/>
                <w:color w:val="auto"/>
              </w:rPr>
            </w:pPr>
          </w:p>
        </w:tc>
        <w:tc>
          <w:tcPr>
            <w:tcW w:w="7920" w:type="dxa"/>
            <w:vAlign w:val="bottom"/>
            <w:gridSpan w:val="17"/>
            <w:vMerge w:val="continue"/>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Financial Statements.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Consolidated Statements of Operations (Unaudited) for the</w:t>
            </w: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4440" w:type="dxa"/>
            <w:vAlign w:val="bottom"/>
            <w:tcBorders>
              <w:top w:val="single" w:sz="8" w:color="0000FF"/>
              <w:bottom w:val="single" w:sz="8" w:color="0000FF"/>
            </w:tcBorders>
            <w:gridSpan w:val="8"/>
          </w:tcPr>
          <w:p>
            <w:pPr>
              <w:spacing w:after="0" w:line="177" w:lineRule="exact"/>
              <w:rPr>
                <w:sz w:val="20"/>
                <w:szCs w:val="20"/>
                <w:color w:val="auto"/>
              </w:rPr>
            </w:pPr>
            <w:r>
              <w:rPr>
                <w:rFonts w:ascii="Times New Roman" w:cs="Times New Roman" w:eastAsia="Times New Roman" w:hAnsi="Times New Roman"/>
                <w:sz w:val="19"/>
                <w:szCs w:val="19"/>
                <w:color w:val="0000FF"/>
              </w:rPr>
              <w:t>Three and Nine Months Ended September 30, 2022 and</w:t>
            </w:r>
          </w:p>
        </w:tc>
        <w:tc>
          <w:tcPr>
            <w:tcW w:w="1400" w:type="dxa"/>
            <w:vAlign w:val="bottom"/>
            <w:tcBorders>
              <w:bottom w:val="single" w:sz="8" w:color="0000FF"/>
            </w:tcBorders>
            <w:gridSpan w:val="7"/>
          </w:tcPr>
          <w:p>
            <w:pPr>
              <w:jc w:val="right"/>
              <w:spacing w:after="0" w:line="177" w:lineRule="exact"/>
              <w:rPr>
                <w:sz w:val="20"/>
                <w:szCs w:val="20"/>
                <w:color w:val="auto"/>
              </w:rPr>
            </w:pPr>
            <w:r>
              <w:rPr>
                <w:rFonts w:ascii="Times New Roman" w:cs="Times New Roman" w:eastAsia="Times New Roman" w:hAnsi="Times New Roman"/>
                <w:sz w:val="19"/>
                <w:szCs w:val="19"/>
                <w:color w:val="0000FF"/>
                <w:w w:val="90"/>
              </w:rPr>
              <w:t>September 30, 2021</w:t>
            </w:r>
          </w:p>
        </w:tc>
        <w:tc>
          <w:tcPr>
            <w:tcW w:w="20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(Unaudited) for the</w:t>
            </w: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5440" w:type="dxa"/>
            <w:vAlign w:val="bottom"/>
            <w:tcBorders>
              <w:top w:val="single" w:sz="8" w:color="0000FF"/>
              <w:bottom w:val="single" w:sz="8" w:color="0000FF"/>
            </w:tcBorders>
            <w:gridSpan w:val="14"/>
          </w:tcPr>
          <w:p>
            <w:pPr>
              <w:spacing w:after="0" w:line="177" w:lineRule="exact"/>
              <w:rPr>
                <w:sz w:val="20"/>
                <w:szCs w:val="20"/>
                <w:color w:val="auto"/>
              </w:rPr>
            </w:pPr>
            <w:r>
              <w:rPr>
                <w:rFonts w:ascii="Times New Roman" w:cs="Times New Roman" w:eastAsia="Times New Roman" w:hAnsi="Times New Roman"/>
                <w:sz w:val="19"/>
                <w:szCs w:val="19"/>
                <w:color w:val="0000FF"/>
              </w:rPr>
              <w:t>Three and Nine Months Ended September 30, 2022 and September 30,</w:t>
            </w:r>
          </w:p>
        </w:tc>
        <w:tc>
          <w:tcPr>
            <w:tcW w:w="400" w:type="dxa"/>
            <w:vAlign w:val="bottom"/>
            <w:tcBorders>
              <w:bottom w:val="single" w:sz="8" w:color="0000FF"/>
            </w:tcBorders>
          </w:tcPr>
          <w:p>
            <w:pPr>
              <w:jc w:val="right"/>
              <w:spacing w:after="0" w:line="177" w:lineRule="exact"/>
              <w:rPr>
                <w:sz w:val="20"/>
                <w:szCs w:val="20"/>
                <w:color w:val="auto"/>
              </w:rPr>
            </w:pPr>
            <w:r>
              <w:rPr>
                <w:rFonts w:ascii="Times New Roman" w:cs="Times New Roman" w:eastAsia="Times New Roman" w:hAnsi="Times New Roman"/>
                <w:sz w:val="19"/>
                <w:szCs w:val="19"/>
                <w:color w:val="0000FF"/>
                <w:w w:val="99"/>
              </w:rPr>
              <w:t>2021</w:t>
            </w: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Consolidated Balance Sheets (Unaudited) at September 30, 2022 and</w:t>
            </w: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86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5"/>
          </w:tcPr>
          <w:p>
            <w:pPr>
              <w:spacing w:after="0" w:line="177" w:lineRule="exact"/>
              <w:rPr>
                <w:sz w:val="20"/>
                <w:szCs w:val="20"/>
                <w:color w:val="auto"/>
              </w:rPr>
            </w:pPr>
            <w:r>
              <w:rPr>
                <w:rFonts w:ascii="Times New Roman" w:cs="Times New Roman" w:eastAsia="Times New Roman" w:hAnsi="Times New Roman"/>
                <w:sz w:val="19"/>
                <w:szCs w:val="19"/>
                <w:color w:val="0000FF"/>
              </w:rPr>
              <w:t>December 31, 2021</w:t>
            </w:r>
          </w:p>
        </w:tc>
        <w:tc>
          <w:tcPr>
            <w:tcW w:w="3680" w:type="dxa"/>
            <w:vAlign w:val="bottom"/>
            <w:tcBorders>
              <w:top w:val="single" w:sz="8" w:color="0000FF"/>
            </w:tcBorders>
            <w:gridSpan w:val="8"/>
          </w:tcPr>
          <w:p>
            <w:pPr>
              <w:spacing w:after="0"/>
              <w:rPr>
                <w:sz w:val="15"/>
                <w:szCs w:val="15"/>
                <w:color w:val="auto"/>
              </w:rPr>
            </w:pPr>
          </w:p>
        </w:tc>
        <w:tc>
          <w:tcPr>
            <w:tcW w:w="740" w:type="dxa"/>
            <w:vAlign w:val="bottom"/>
            <w:gridSpan w:val="3"/>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Consolidated Statements of Cash Flows (Unaudited) for the</w:t>
            </w: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60" w:type="dxa"/>
            <w:vAlign w:val="bottom"/>
          </w:tcPr>
          <w:p>
            <w:pPr>
              <w:spacing w:after="0"/>
              <w:rPr>
                <w:sz w:val="15"/>
                <w:szCs w:val="15"/>
                <w:color w:val="auto"/>
              </w:rPr>
            </w:pPr>
          </w:p>
        </w:tc>
        <w:tc>
          <w:tcPr>
            <w:tcW w:w="7920" w:type="dxa"/>
            <w:vAlign w:val="bottom"/>
            <w:gridSpan w:val="17"/>
          </w:tcPr>
          <w:p>
            <w:pPr>
              <w:spacing w:after="0" w:line="177" w:lineRule="exact"/>
              <w:rPr>
                <w:sz w:val="20"/>
                <w:szCs w:val="20"/>
                <w:color w:val="auto"/>
              </w:rPr>
            </w:pPr>
            <w:r>
              <w:rPr>
                <w:rFonts w:ascii="Times New Roman" w:cs="Times New Roman" w:eastAsia="Times New Roman" w:hAnsi="Times New Roman"/>
                <w:sz w:val="19"/>
                <w:szCs w:val="19"/>
                <w:color w:val="0000FF"/>
              </w:rPr>
              <w:t>Nine Months Ended September 30, 2022 and September 30, 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860" w:type="dxa"/>
            <w:vAlign w:val="bottom"/>
          </w:tcPr>
          <w:p>
            <w:pPr>
              <w:spacing w:after="0"/>
              <w:rPr>
                <w:sz w:val="24"/>
                <w:szCs w:val="24"/>
                <w:color w:val="auto"/>
              </w:rPr>
            </w:pPr>
          </w:p>
        </w:tc>
        <w:tc>
          <w:tcPr>
            <w:tcW w:w="5240" w:type="dxa"/>
            <w:vAlign w:val="bottom"/>
            <w:gridSpan w:val="13"/>
          </w:tcPr>
          <w:p>
            <w:pPr>
              <w:spacing w:after="0"/>
              <w:rPr>
                <w:sz w:val="20"/>
                <w:szCs w:val="20"/>
                <w:color w:val="auto"/>
              </w:rPr>
            </w:pPr>
            <w:r>
              <w:rPr>
                <w:rFonts w:ascii="Times New Roman" w:cs="Times New Roman" w:eastAsia="Times New Roman" w:hAnsi="Times New Roman"/>
                <w:sz w:val="19"/>
                <w:szCs w:val="19"/>
                <w:color w:val="0000FF"/>
                <w:w w:val="98"/>
              </w:rPr>
              <w:t>Consolidated Statements of Stockholders’ Equity (Unaudited) for the</w:t>
            </w:r>
          </w:p>
        </w:tc>
        <w:tc>
          <w:tcPr>
            <w:tcW w:w="2680" w:type="dxa"/>
            <w:vAlign w:val="bottom"/>
            <w:gridSpan w:val="4"/>
          </w:tcPr>
          <w:p>
            <w:pPr>
              <w:spacing w:after="0"/>
              <w:rPr>
                <w:sz w:val="24"/>
                <w:szCs w:val="24"/>
                <w:color w:val="auto"/>
              </w:rPr>
            </w:pP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60" w:type="dxa"/>
            <w:vAlign w:val="bottom"/>
          </w:tcPr>
          <w:p>
            <w:pPr>
              <w:spacing w:after="0"/>
              <w:rPr>
                <w:sz w:val="15"/>
                <w:szCs w:val="15"/>
                <w:color w:val="auto"/>
              </w:rPr>
            </w:pPr>
          </w:p>
        </w:tc>
        <w:tc>
          <w:tcPr>
            <w:tcW w:w="5840" w:type="dxa"/>
            <w:vAlign w:val="bottom"/>
            <w:tcBorders>
              <w:bottom w:val="single" w:sz="8" w:color="0000FF"/>
            </w:tcBorders>
            <w:gridSpan w:val="15"/>
          </w:tcPr>
          <w:p>
            <w:pPr>
              <w:spacing w:after="0" w:line="177" w:lineRule="exact"/>
              <w:rPr>
                <w:sz w:val="20"/>
                <w:szCs w:val="20"/>
                <w:color w:val="auto"/>
              </w:rPr>
            </w:pPr>
            <w:r>
              <w:rPr>
                <w:rFonts w:ascii="Times New Roman" w:cs="Times New Roman" w:eastAsia="Times New Roman" w:hAnsi="Times New Roman"/>
                <w:sz w:val="19"/>
                <w:szCs w:val="19"/>
                <w:color w:val="0000FF"/>
              </w:rPr>
              <w:t>Three and Nine Months Ended September 30, 2022 and September 30, 2021</w:t>
            </w:r>
          </w:p>
        </w:tc>
        <w:tc>
          <w:tcPr>
            <w:tcW w:w="20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 (Unaudited)</w:t>
            </w:r>
          </w:p>
        </w:tc>
        <w:tc>
          <w:tcPr>
            <w:tcW w:w="680" w:type="dxa"/>
            <w:vAlign w:val="bottom"/>
            <w:gridSpan w:val="2"/>
          </w:tcPr>
          <w:p>
            <w:pPr>
              <w:jc w:val="center"/>
              <w:ind w:left="484"/>
              <w:spacing w:after="0"/>
              <w:rPr>
                <w:sz w:val="20"/>
                <w:szCs w:val="20"/>
                <w:color w:val="auto"/>
              </w:rPr>
            </w:pPr>
            <w:r>
              <w:rPr>
                <w:rFonts w:ascii="Times New Roman" w:cs="Times New Roman" w:eastAsia="Times New Roman" w:hAnsi="Times New Roman"/>
                <w:sz w:val="19"/>
                <w:szCs w:val="19"/>
                <w:color w:val="0000FF"/>
              </w:rPr>
              <w:t>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w:t>
            </w: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0000FF"/>
              </w:rPr>
              <w:t>34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8"/>
                <w:szCs w:val="18"/>
                <w:color w:val="0000FF"/>
                <w:w w:val="99"/>
              </w:rPr>
              <w:t>Condition.</w:t>
            </w:r>
          </w:p>
        </w:tc>
        <w:tc>
          <w:tcPr>
            <w:tcW w:w="5200" w:type="dxa"/>
            <w:vAlign w:val="bottom"/>
            <w:tcBorders>
              <w:top w:val="single" w:sz="8" w:color="0000FF"/>
            </w:tcBorders>
            <w:gridSpan w:val="14"/>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3"/>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3.</w:t>
            </w: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9"/>
                <w:szCs w:val="19"/>
                <w:color w:val="0000FF"/>
                <w:w w:val="98"/>
              </w:rPr>
              <w:t>Quantitative and Qualitative Disclosures About Market Risk.</w:t>
            </w:r>
          </w:p>
        </w:tc>
        <w:tc>
          <w:tcPr>
            <w:tcW w:w="33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4.</w:t>
            </w: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Controls and Procedures.</w:t>
            </w: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0000FF"/>
              </w:rPr>
              <w:t>65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8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4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rPr>
              <w:t>Legal Proceedings.</w:t>
            </w:r>
          </w:p>
        </w:tc>
        <w:tc>
          <w:tcPr>
            <w:tcW w:w="33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1A.</w:t>
            </w: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Risk Factors.</w:t>
            </w: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0000FF"/>
              </w:rPr>
              <w:t>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7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9"/>
                <w:szCs w:val="19"/>
                <w:color w:val="0000FF"/>
              </w:rPr>
              <w:t>Unregistered Sales of Equity Securities and Use of Proceeds.</w:t>
            </w:r>
          </w:p>
        </w:tc>
        <w:tc>
          <w:tcPr>
            <w:tcW w:w="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9"/>
                <w:szCs w:val="19"/>
                <w:color w:val="0000FF"/>
                <w:w w:val="73"/>
              </w:rPr>
              <w:t>66</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8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6.</w:t>
            </w:r>
          </w:p>
        </w:tc>
        <w:tc>
          <w:tcPr>
            <w:tcW w:w="7920" w:type="dxa"/>
            <w:vAlign w:val="bottom"/>
            <w:gridSpan w:val="17"/>
          </w:tcPr>
          <w:p>
            <w:pPr>
              <w:spacing w:after="0"/>
              <w:rPr>
                <w:sz w:val="20"/>
                <w:szCs w:val="20"/>
                <w:color w:val="auto"/>
              </w:rPr>
            </w:pPr>
            <w:r>
              <w:rPr>
                <w:rFonts w:ascii="Times New Roman" w:cs="Times New Roman" w:eastAsia="Times New Roman" w:hAnsi="Times New Roman"/>
                <w:sz w:val="19"/>
                <w:szCs w:val="19"/>
                <w:color w:val="0000FF"/>
              </w:rPr>
              <w:t>Exhibits.</w:t>
            </w: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9"/>
                <w:szCs w:val="19"/>
                <w:color w:val="0000FF"/>
              </w:rPr>
              <w:t>67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0"/>
        </w:trPr>
        <w:tc>
          <w:tcPr>
            <w:tcW w:w="18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p>
      <w:pPr>
        <w:spacing w:after="0" w:line="188"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(Unaudited; in millions, except per share amounts)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63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6"/>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6,916</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6,610</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22,023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20,586</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4,460</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4,064</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14,362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12,292</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1,670</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1,526</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4,999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4,407</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92</w:t>
            </w: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282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28"/>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169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276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1"/>
        </w:trPr>
        <w:tc>
          <w:tcPr>
            <w:tcW w:w="6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6,391</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5,731</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19,919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17,069</w:t>
            </w:r>
          </w:p>
        </w:tc>
      </w:tr>
      <w:tr>
        <w:trPr>
          <w:trHeight w:val="228"/>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gain on dispositions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56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566</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879</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2,160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(243)</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(701)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 from investments</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172"/>
        </w:trPr>
        <w:tc>
          <w:tcPr>
            <w:tcW w:w="63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Earnings from continuing operations before income taxes and equity in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of investee companies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323</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616</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1,312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(120)</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(124)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164</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478</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924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78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1"/>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(Paramount and noncontrolling interests)</w:t>
            </w: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242</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551</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1,105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28"/>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Paramount</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538</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1,083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2,485</w:t>
            </w:r>
          </w:p>
        </w:tc>
      </w:tr>
      <w:tr>
        <w:trPr>
          <w:trHeight w:val="30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Amounts attributable to Paramount: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465</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902</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r>
      <w:tr>
        <w:trPr>
          <w:trHeight w:val="228"/>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78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 attributable to Paramount</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538</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1,083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2,485</w:t>
            </w:r>
          </w:p>
        </w:tc>
      </w:tr>
      <w:tr>
        <w:trPr>
          <w:trHeight w:val="414"/>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earnings per common share attributable to Paramount: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1.32</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1.60</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3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earnings per common share attributable to Paramount: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.69</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1.32</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8"/>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.80</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1.60</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3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649</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646</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649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234"/>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650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651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650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w:t>
            </w:r>
          </w:p>
        </w:tc>
      </w:tr>
    </w:tbl>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00"/>
          </w:cols>
          <w:pgMar w:left="320" w:top="96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type w:val="continuous"/>
        </w:sectPr>
      </w:pPr>
    </w:p>
    <w:bookmarkStart w:id="3" w:name="page4"/>
    <w:bookmarkEnd w:id="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6"/>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(Paramount and noncontrolling interests)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242</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551</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1,105</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11"/>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Cumulative translation adjustments</w:t>
            </w:r>
          </w:p>
        </w:tc>
        <w:tc>
          <w:tcPr>
            <w:tcW w:w="2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(248)</w:t>
            </w:r>
          </w:p>
        </w:tc>
        <w:tc>
          <w:tcPr>
            <w:tcW w:w="36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(59)</w:t>
            </w:r>
          </w:p>
        </w:tc>
        <w:tc>
          <w:tcPr>
            <w:tcW w:w="3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(457)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8"/>
        </w:trPr>
        <w:tc>
          <w:tcPr>
            <w:tcW w:w="6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Decrease to net actuarial loss and prior service costs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49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172"/>
        </w:trPr>
        <w:tc>
          <w:tcPr>
            <w:tcW w:w="61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 comprehensive loss from continuing operations,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of tax (Paramount and noncontrolling interests)</w:t>
            </w:r>
          </w:p>
        </w:tc>
        <w:tc>
          <w:tcPr>
            <w:tcW w:w="2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(232)</w:t>
            </w:r>
          </w:p>
        </w:tc>
        <w:tc>
          <w:tcPr>
            <w:tcW w:w="36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(408)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from discontinued operations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4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520</w:t>
            </w:r>
          </w:p>
        </w:tc>
        <w:tc>
          <w:tcPr>
            <w:tcW w:w="38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683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w:t>
            </w:r>
          </w:p>
        </w:tc>
      </w:tr>
      <w:tr>
        <w:trPr>
          <w:trHeight w:val="22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Comprehensive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Paramount</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508</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666</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2,434</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At</w:t>
            </w:r>
          </w:p>
        </w:tc>
        <w:tc>
          <w:tcPr>
            <w:tcW w:w="9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At</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6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3,383</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6,267</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6,588</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6,984</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1,492</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1,263</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12"/>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798</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13,524</w:t>
            </w: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16,676</w:t>
            </w:r>
          </w:p>
        </w:tc>
        <w:tc>
          <w:tcPr>
            <w:tcW w:w="0" w:type="dxa"/>
            <w:vAlign w:val="bottom"/>
          </w:tcPr>
          <w:p>
            <w:pPr>
              <w:spacing w:after="0"/>
              <w:rPr>
                <w:sz w:val="1"/>
                <w:szCs w:val="1"/>
                <w:color w:val="auto"/>
              </w:rPr>
            </w:pPr>
          </w:p>
        </w:tc>
      </w:tr>
      <w:tr>
        <w:trPr>
          <w:trHeight w:val="20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20" w:type="dxa"/>
            <w:vAlign w:val="bottom"/>
          </w:tcPr>
          <w:p>
            <w:pPr>
              <w:spacing w:after="0"/>
              <w:rPr>
                <w:sz w:val="17"/>
                <w:szCs w:val="17"/>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1,700</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15,449</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13,358</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16,426</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16,584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2,716</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2,772</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1,482</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1,254</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3,929</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3,824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 of discontinued operations</w:t>
            </w:r>
          </w:p>
        </w:tc>
        <w:tc>
          <w:tcPr>
            <w:tcW w:w="1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807</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57,287</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58,620</w:t>
            </w:r>
          </w:p>
        </w:tc>
        <w:tc>
          <w:tcPr>
            <w:tcW w:w="0" w:type="dxa"/>
            <w:vAlign w:val="bottom"/>
          </w:tcPr>
          <w:p>
            <w:pPr>
              <w:spacing w:after="0"/>
              <w:rPr>
                <w:sz w:val="1"/>
                <w:szCs w:val="1"/>
                <w:color w:val="auto"/>
              </w:rPr>
            </w:pP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943</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2,071</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2,323</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2,618</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2,159</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1,837</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796</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196</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1,331</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212"/>
        </w:trPr>
        <w:tc>
          <w:tcPr>
            <w:tcW w:w="6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534</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10,326</w:t>
            </w: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9,479</w:t>
            </w:r>
          </w:p>
        </w:tc>
        <w:tc>
          <w:tcPr>
            <w:tcW w:w="0" w:type="dxa"/>
            <w:vAlign w:val="bottom"/>
          </w:tcPr>
          <w:p>
            <w:pPr>
              <w:spacing w:after="0"/>
              <w:rPr>
                <w:sz w:val="1"/>
                <w:szCs w:val="1"/>
                <w:color w:val="auto"/>
              </w:rPr>
            </w:pPr>
          </w:p>
        </w:tc>
      </w:tr>
      <w:tr>
        <w:trPr>
          <w:trHeight w:val="20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320" w:type="dxa"/>
            <w:vAlign w:val="bottom"/>
          </w:tcPr>
          <w:p>
            <w:pPr>
              <w:spacing w:after="0"/>
              <w:rPr>
                <w:sz w:val="17"/>
                <w:szCs w:val="17"/>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15,638</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17,698</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1,436</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1,844</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1,037</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1,468</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375</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1,727</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of discontinued operations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203</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94</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6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Paramount stockholders’ equity:</w:t>
            </w: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5.75% Series A Mandatory Convertible Preferred Stock, par value $.001 per share;</w:t>
            </w:r>
          </w:p>
        </w:tc>
        <w:tc>
          <w:tcPr>
            <w:tcW w:w="1320" w:type="dxa"/>
            <w:vAlign w:val="bottom"/>
          </w:tcPr>
          <w:p>
            <w:pPr>
              <w:spacing w:after="0"/>
              <w:rPr>
                <w:sz w:val="14"/>
                <w:szCs w:val="14"/>
                <w:color w:val="auto"/>
              </w:rPr>
            </w:pPr>
          </w:p>
        </w:tc>
        <w:tc>
          <w:tcPr>
            <w:tcW w:w="15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4"/>
                <w:szCs w:val="14"/>
                <w:color w:val="auto"/>
              </w:rPr>
            </w:pPr>
          </w:p>
        </w:tc>
        <w:tc>
          <w:tcPr>
            <w:tcW w:w="11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25 shares authorized and 10 shares issued (2022 and 2021)</w:t>
            </w:r>
          </w:p>
        </w:tc>
        <w:tc>
          <w:tcPr>
            <w:tcW w:w="13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32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1320" w:type="dxa"/>
            <w:vAlign w:val="bottom"/>
          </w:tcPr>
          <w:p>
            <w:pPr>
              <w:spacing w:after="0"/>
              <w:rPr>
                <w:sz w:val="13"/>
                <w:szCs w:val="13"/>
                <w:color w:val="auto"/>
              </w:rPr>
            </w:pPr>
          </w:p>
        </w:tc>
        <w:tc>
          <w:tcPr>
            <w:tcW w:w="15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3"/>
                <w:szCs w:val="13"/>
                <w:color w:val="auto"/>
              </w:rPr>
            </w:pPr>
          </w:p>
        </w:tc>
        <w:tc>
          <w:tcPr>
            <w:tcW w:w="11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41 shares issued (2022 and 2021)</w:t>
            </w:r>
          </w:p>
        </w:tc>
        <w:tc>
          <w:tcPr>
            <w:tcW w:w="13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32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1320" w:type="dxa"/>
            <w:vAlign w:val="bottom"/>
          </w:tcPr>
          <w:p>
            <w:pPr>
              <w:spacing w:after="0"/>
              <w:rPr>
                <w:sz w:val="13"/>
                <w:szCs w:val="13"/>
                <w:color w:val="auto"/>
              </w:rPr>
            </w:pPr>
          </w:p>
        </w:tc>
        <w:tc>
          <w:tcPr>
            <w:tcW w:w="15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tcPr>
          <w:p>
            <w:pPr>
              <w:spacing w:after="0"/>
              <w:rPr>
                <w:sz w:val="13"/>
                <w:szCs w:val="13"/>
                <w:color w:val="auto"/>
              </w:rPr>
            </w:pPr>
          </w:p>
        </w:tc>
        <w:tc>
          <w:tcPr>
            <w:tcW w:w="11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1,111 (2022) and 1,110 (2021) shares issued</w:t>
            </w:r>
          </w:p>
        </w:tc>
        <w:tc>
          <w:tcPr>
            <w:tcW w:w="13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33,034</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32,918</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503 (2022 and 2021) Class B shares</w:t>
            </w:r>
          </w:p>
        </w:tc>
        <w:tc>
          <w:tcPr>
            <w:tcW w:w="1320" w:type="dxa"/>
            <w:vAlign w:val="bottom"/>
          </w:tcPr>
          <w:p>
            <w:pPr>
              <w:spacing w:after="0"/>
              <w:rPr>
                <w:sz w:val="18"/>
                <w:szCs w:val="18"/>
                <w:color w:val="auto"/>
              </w:rPr>
            </w:pPr>
          </w:p>
        </w:tc>
        <w:tc>
          <w:tcPr>
            <w:tcW w:w="15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(22,958)</w:t>
            </w:r>
          </w:p>
        </w:tc>
        <w:tc>
          <w:tcPr>
            <w:tcW w:w="900" w:type="dxa"/>
            <w:vAlign w:val="bottom"/>
          </w:tcPr>
          <w:p>
            <w:pPr>
              <w:spacing w:after="0"/>
              <w:rPr>
                <w:sz w:val="18"/>
                <w:szCs w:val="18"/>
                <w:color w:val="auto"/>
              </w:rPr>
            </w:pPr>
          </w:p>
        </w:tc>
        <w:tc>
          <w:tcPr>
            <w:tcW w:w="11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(22,958)</w:t>
            </w:r>
          </w:p>
        </w:tc>
        <w:tc>
          <w:tcPr>
            <w:tcW w:w="0" w:type="dxa"/>
            <w:vAlign w:val="bottom"/>
          </w:tcPr>
          <w:p>
            <w:pPr>
              <w:spacing w:after="0"/>
              <w:rPr>
                <w:sz w:val="1"/>
                <w:szCs w:val="1"/>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320" w:type="dxa"/>
            <w:vAlign w:val="bottom"/>
          </w:tcPr>
          <w:p>
            <w:pPr>
              <w:spacing w:after="0"/>
              <w:rPr>
                <w:sz w:val="18"/>
                <w:szCs w:val="18"/>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14,889</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14,343</w:t>
            </w:r>
          </w:p>
        </w:tc>
        <w:tc>
          <w:tcPr>
            <w:tcW w:w="0" w:type="dxa"/>
            <w:vAlign w:val="bottom"/>
          </w:tcPr>
          <w:p>
            <w:pPr>
              <w:spacing w:after="0"/>
              <w:rPr>
                <w:sz w:val="1"/>
                <w:szCs w:val="1"/>
                <w:color w:val="auto"/>
              </w:rPr>
            </w:pPr>
          </w:p>
        </w:tc>
      </w:tr>
      <w:tr>
        <w:trPr>
          <w:trHeight w:val="212"/>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(2,319)</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02"/>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Paramount stockholders’ equity</w:t>
            </w:r>
          </w:p>
        </w:tc>
        <w:tc>
          <w:tcPr>
            <w:tcW w:w="1320" w:type="dxa"/>
            <w:vAlign w:val="bottom"/>
          </w:tcPr>
          <w:p>
            <w:pPr>
              <w:spacing w:after="0"/>
              <w:rPr>
                <w:sz w:val="17"/>
                <w:szCs w:val="17"/>
                <w:color w:val="auto"/>
              </w:rPr>
            </w:pPr>
          </w:p>
        </w:tc>
        <w:tc>
          <w:tcPr>
            <w:tcW w:w="15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22,647</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22,402</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492</w:t>
            </w: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23,139</w:t>
            </w: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22,970</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57,287</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58,620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 w:name="page6"/>
    <w:bookmarkEnd w:id="5"/>
    <w:p>
      <w:pPr>
        <w:ind w:left="338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2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8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00" w:type="dxa"/>
            <w:vAlign w:val="bottom"/>
            <w:tcBorders>
              <w:bottom w:val="single" w:sz="8" w:color="auto"/>
            </w:tcBorders>
          </w:tcPr>
          <w:p>
            <w:pPr>
              <w:spacing w:after="0"/>
              <w:rPr>
                <w:sz w:val="19"/>
                <w:szCs w:val="19"/>
                <w:color w:val="auto"/>
              </w:rPr>
            </w:pPr>
          </w:p>
        </w:tc>
      </w:tr>
      <w:tr>
        <w:trPr>
          <w:trHeight w:val="216"/>
        </w:trPr>
        <w:tc>
          <w:tcPr>
            <w:tcW w:w="8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(Paramount and noncontrolling interests)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1,105</w:t>
            </w:r>
          </w:p>
        </w:tc>
        <w:tc>
          <w:tcPr>
            <w:tcW w:w="5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28"/>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Net earnings from discontinued operations,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181</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924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w:t>
            </w:r>
          </w:p>
        </w:tc>
      </w:tr>
      <w:tr>
        <w:trPr>
          <w:trHeight w:val="176"/>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Adjustments to reconcile net earnings from continuing operations to net cash flow provided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8"/>
        </w:trPr>
        <w:tc>
          <w:tcPr>
            <w:tcW w:w="8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by operating activities from continuing operations: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282</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(42)</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127</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gain on dispositions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(56)</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(Gains) losses from investments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9</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120</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8"/>
        </w:trPr>
        <w:tc>
          <w:tcPr>
            <w:tcW w:w="8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(1,269)</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219</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326</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(189)</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(228)</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dispositions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38</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28"/>
        </w:trPr>
        <w:tc>
          <w:tcPr>
            <w:tcW w:w="8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(380)</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(383)</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debt</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1,114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debt</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(3,123)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(471)</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payroll taxes in lieu of issuing shares for stock-based compensation</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(106)</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8"/>
        </w:trPr>
        <w:tc>
          <w:tcPr>
            <w:tcW w:w="8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(38)</w:t>
            </w: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(used for) provided by financing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(2,681)</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(146)</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24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(2,884)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r>
      <w:tr>
        <w:trPr>
          <w:trHeight w:val="176"/>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6"/>
        </w:trPr>
        <w:tc>
          <w:tcPr>
            <w:tcW w:w="8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(includes $135 (2021) of restricted cash)</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6,267</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3,119</w:t>
            </w:r>
          </w:p>
        </w:tc>
      </w:tr>
      <w:tr>
        <w:trPr>
          <w:trHeight w:val="164"/>
        </w:trPr>
        <w:tc>
          <w:tcPr>
            <w:tcW w:w="8280" w:type="dxa"/>
            <w:vAlign w:val="bottom"/>
          </w:tcPr>
          <w:p>
            <w:pPr>
              <w:ind w:left="20"/>
              <w:spacing w:after="0" w:line="164" w:lineRule="exact"/>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2"/>
        </w:trPr>
        <w:tc>
          <w:tcPr>
            <w:tcW w:w="8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(includes $3 (2021) of restricted cash)</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3,383</w:t>
            </w:r>
          </w:p>
        </w:tc>
        <w:tc>
          <w:tcPr>
            <w:tcW w:w="5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4,826</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0760"/>
          </w:cols>
          <w:pgMar w:left="560" w:top="823" w:right="5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823" w:right="579" w:bottom="1440" w:gutter="0" w:footer="0" w:header="0"/>
          <w:type w:val="continuous"/>
        </w:sectPr>
      </w:pPr>
    </w:p>
    <w:bookmarkStart w:id="6" w:name="page7"/>
    <w:bookmarkEnd w:id="6"/>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5"/>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2022</w:t>
            </w: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1"/>
                <w:szCs w:val="11"/>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tcPr>
          <w:p>
            <w:pPr>
              <w:jc w:val="center"/>
              <w:ind w:left="10"/>
              <w:spacing w:after="0" w:line="131"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80" w:type="dxa"/>
            <w:vAlign w:val="bottom"/>
            <w:gridSpan w:val="2"/>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32,984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14,829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(2,080)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22,776</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504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23,280</w:t>
            </w:r>
          </w:p>
        </w:tc>
        <w:tc>
          <w:tcPr>
            <w:tcW w:w="0" w:type="dxa"/>
            <w:vAlign w:val="bottom"/>
          </w:tcPr>
          <w:p>
            <w:pPr>
              <w:spacing w:after="0"/>
              <w:rPr>
                <w:sz w:val="1"/>
                <w:szCs w:val="1"/>
                <w:color w:val="auto"/>
              </w:rPr>
            </w:pPr>
          </w:p>
        </w:tc>
      </w:tr>
      <w:tr>
        <w:trPr>
          <w:trHeight w:val="143"/>
        </w:trPr>
        <w:tc>
          <w:tcPr>
            <w:tcW w:w="13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1"/>
                <w:szCs w:val="11"/>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1"/>
                <w:szCs w:val="11"/>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1"/>
                <w:szCs w:val="11"/>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1"/>
                <w:szCs w:val="11"/>
                <w:color w:val="auto"/>
              </w:rPr>
            </w:pP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Preferred stock</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spacing w:after="0"/>
              <w:rPr>
                <w:sz w:val="13"/>
                <w:szCs w:val="13"/>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3"/>
                <w:szCs w:val="13"/>
                <w:color w:val="auto"/>
              </w:rPr>
            </w:pP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(159)</w:t>
            </w:r>
          </w:p>
        </w:tc>
        <w:tc>
          <w:tcPr>
            <w:tcW w:w="480" w:type="dxa"/>
            <w:vAlign w:val="bottom"/>
          </w:tcPr>
          <w:p>
            <w:pPr>
              <w:spacing w:after="0"/>
              <w:rPr>
                <w:sz w:val="12"/>
                <w:szCs w:val="12"/>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(159)</w:t>
            </w:r>
          </w:p>
        </w:tc>
        <w:tc>
          <w:tcPr>
            <w:tcW w:w="320" w:type="dxa"/>
            <w:vAlign w:val="bottom"/>
          </w:tcPr>
          <w:p>
            <w:pPr>
              <w:spacing w:after="0"/>
              <w:rPr>
                <w:sz w:val="12"/>
                <w:szCs w:val="12"/>
                <w:color w:val="auto"/>
              </w:rPr>
            </w:pP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Pr>
          <w:p>
            <w:pPr>
              <w:spacing w:after="0"/>
              <w:rPr>
                <w:sz w:val="12"/>
                <w:szCs w:val="12"/>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2"/>
                <w:szCs w:val="12"/>
                <w:color w:val="auto"/>
              </w:rPr>
            </w:pP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231</w:t>
            </w:r>
          </w:p>
        </w:tc>
        <w:tc>
          <w:tcPr>
            <w:tcW w:w="480" w:type="dxa"/>
            <w:vAlign w:val="bottom"/>
          </w:tcPr>
          <w:p>
            <w:pPr>
              <w:spacing w:after="0"/>
              <w:rPr>
                <w:sz w:val="16"/>
                <w:szCs w:val="16"/>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6"/>
                <w:szCs w:val="16"/>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55"/>
        </w:trPr>
        <w:tc>
          <w:tcPr>
            <w:tcW w:w="1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(239)</w:t>
            </w:r>
          </w:p>
        </w:tc>
        <w:tc>
          <w:tcPr>
            <w:tcW w:w="360" w:type="dxa"/>
            <w:vAlign w:val="bottom"/>
          </w:tcPr>
          <w:p>
            <w:pPr>
              <w:spacing w:after="0"/>
              <w:rPr>
                <w:sz w:val="13"/>
                <w:szCs w:val="13"/>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(239)</w:t>
            </w:r>
          </w:p>
        </w:tc>
        <w:tc>
          <w:tcPr>
            <w:tcW w:w="320" w:type="dxa"/>
            <w:vAlign w:val="bottom"/>
          </w:tcPr>
          <w:p>
            <w:pPr>
              <w:spacing w:after="0"/>
              <w:rPr>
                <w:sz w:val="13"/>
                <w:szCs w:val="13"/>
                <w:color w:val="auto"/>
              </w:rPr>
            </w:pP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0"/>
        </w:trPr>
        <w:tc>
          <w:tcPr>
            <w:tcW w:w="13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33,034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14,889</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(2,319)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22,647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0" w:type="dxa"/>
            <w:vAlign w:val="bottom"/>
          </w:tcPr>
          <w:p>
            <w:pPr>
              <w:spacing w:after="0"/>
              <w:rPr>
                <w:sz w:val="1"/>
                <w:szCs w:val="1"/>
                <w:color w:val="auto"/>
              </w:rPr>
            </w:pPr>
          </w:p>
        </w:tc>
      </w:tr>
      <w:tr>
        <w:trPr>
          <w:trHeight w:val="347"/>
        </w:trPr>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2022</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200" w:type="dxa"/>
            <w:vAlign w:val="bottom"/>
          </w:tcPr>
          <w:p>
            <w:pPr>
              <w:spacing w:after="0"/>
              <w:rPr>
                <w:sz w:val="11"/>
                <w:szCs w:val="11"/>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gridSpan w:val="2"/>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w w:val="96"/>
              </w:rPr>
              <w:t>Total Paramount</w:t>
            </w:r>
          </w:p>
        </w:tc>
        <w:tc>
          <w:tcPr>
            <w:tcW w:w="11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40" w:type="dxa"/>
            <w:vAlign w:val="bottom"/>
            <w:gridSpan w:val="2"/>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32,918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14,343</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(1,902)</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22,402</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568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22,970</w:t>
            </w:r>
          </w:p>
        </w:tc>
        <w:tc>
          <w:tcPr>
            <w:tcW w:w="0" w:type="dxa"/>
            <w:vAlign w:val="bottom"/>
          </w:tcPr>
          <w:p>
            <w:pPr>
              <w:spacing w:after="0"/>
              <w:rPr>
                <w:sz w:val="1"/>
                <w:szCs w:val="1"/>
                <w:color w:val="auto"/>
              </w:rPr>
            </w:pPr>
          </w:p>
        </w:tc>
      </w:tr>
      <w:tr>
        <w:trPr>
          <w:trHeight w:val="143"/>
        </w:trPr>
        <w:tc>
          <w:tcPr>
            <w:tcW w:w="13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1"/>
                <w:szCs w:val="11"/>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1"/>
                <w:szCs w:val="11"/>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1"/>
                <w:szCs w:val="11"/>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color w:val="auto"/>
              </w:rPr>
              <w:t>116</w:t>
            </w:r>
          </w:p>
        </w:tc>
        <w:tc>
          <w:tcPr>
            <w:tcW w:w="320" w:type="dxa"/>
            <w:vAlign w:val="bottom"/>
          </w:tcPr>
          <w:p>
            <w:pPr>
              <w:spacing w:after="0"/>
              <w:rPr>
                <w:sz w:val="11"/>
                <w:szCs w:val="11"/>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3"/>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Preferred stock</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(43)</w:t>
            </w:r>
          </w:p>
        </w:tc>
        <w:tc>
          <w:tcPr>
            <w:tcW w:w="480" w:type="dxa"/>
            <w:vAlign w:val="bottom"/>
          </w:tcPr>
          <w:p>
            <w:pPr>
              <w:spacing w:after="0"/>
              <w:rPr>
                <w:sz w:val="13"/>
                <w:szCs w:val="13"/>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3"/>
                <w:szCs w:val="13"/>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(477)</w:t>
            </w:r>
          </w:p>
        </w:tc>
        <w:tc>
          <w:tcPr>
            <w:tcW w:w="480" w:type="dxa"/>
            <w:vAlign w:val="bottom"/>
          </w:tcPr>
          <w:p>
            <w:pPr>
              <w:spacing w:after="0"/>
              <w:rPr>
                <w:sz w:val="12"/>
                <w:szCs w:val="12"/>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(477)</w:t>
            </w:r>
          </w:p>
        </w:tc>
        <w:tc>
          <w:tcPr>
            <w:tcW w:w="320" w:type="dxa"/>
            <w:vAlign w:val="bottom"/>
          </w:tcPr>
          <w:p>
            <w:pPr>
              <w:spacing w:after="0"/>
              <w:rPr>
                <w:sz w:val="12"/>
                <w:szCs w:val="12"/>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480" w:type="dxa"/>
            <w:vAlign w:val="bottom"/>
          </w:tcPr>
          <w:p>
            <w:pPr>
              <w:spacing w:after="0"/>
              <w:rPr>
                <w:sz w:val="12"/>
                <w:szCs w:val="12"/>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2"/>
                <w:szCs w:val="12"/>
                <w:color w:val="auto"/>
              </w:rPr>
            </w:pP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1,083</w:t>
            </w:r>
          </w:p>
        </w:tc>
        <w:tc>
          <w:tcPr>
            <w:tcW w:w="480" w:type="dxa"/>
            <w:vAlign w:val="bottom"/>
          </w:tcPr>
          <w:p>
            <w:pPr>
              <w:spacing w:after="0"/>
              <w:rPr>
                <w:sz w:val="16"/>
                <w:szCs w:val="16"/>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1,083</w:t>
            </w:r>
          </w:p>
        </w:tc>
        <w:tc>
          <w:tcPr>
            <w:tcW w:w="320" w:type="dxa"/>
            <w:vAlign w:val="bottom"/>
          </w:tcPr>
          <w:p>
            <w:pPr>
              <w:spacing w:after="0"/>
              <w:rPr>
                <w:sz w:val="16"/>
                <w:szCs w:val="16"/>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55"/>
        </w:trPr>
        <w:tc>
          <w:tcPr>
            <w:tcW w:w="13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(417)</w:t>
            </w:r>
          </w:p>
        </w:tc>
        <w:tc>
          <w:tcPr>
            <w:tcW w:w="360" w:type="dxa"/>
            <w:vAlign w:val="bottom"/>
          </w:tcPr>
          <w:p>
            <w:pPr>
              <w:spacing w:after="0"/>
              <w:rPr>
                <w:sz w:val="13"/>
                <w:szCs w:val="13"/>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(417)</w:t>
            </w:r>
          </w:p>
        </w:tc>
        <w:tc>
          <w:tcPr>
            <w:tcW w:w="320" w:type="dxa"/>
            <w:vAlign w:val="bottom"/>
          </w:tcPr>
          <w:p>
            <w:pPr>
              <w:spacing w:after="0"/>
              <w:rPr>
                <w:sz w:val="13"/>
                <w:szCs w:val="13"/>
                <w:color w:val="auto"/>
              </w:rPr>
            </w:pP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90"/>
        </w:trPr>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649</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33,034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14,889</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(2,319)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rPr>
              <w:t>22,647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5"/>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2021</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2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Total Paramount</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1"/>
                <w:szCs w:val="11"/>
                <w:color w:val="auto"/>
              </w:rPr>
            </w:pPr>
          </w:p>
        </w:tc>
        <w:tc>
          <w:tcPr>
            <w:tcW w:w="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32,901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12,007</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(1,853)</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20,098</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558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20,656</w:t>
            </w:r>
          </w:p>
        </w:tc>
        <w:tc>
          <w:tcPr>
            <w:tcW w:w="0" w:type="dxa"/>
            <w:vAlign w:val="bottom"/>
          </w:tcPr>
          <w:p>
            <w:pPr>
              <w:spacing w:after="0"/>
              <w:rPr>
                <w:sz w:val="1"/>
                <w:szCs w:val="1"/>
                <w:color w:val="auto"/>
              </w:rPr>
            </w:pPr>
          </w:p>
        </w:tc>
      </w:tr>
      <w:tr>
        <w:trPr>
          <w:trHeight w:val="143"/>
        </w:trPr>
        <w:tc>
          <w:tcPr>
            <w:tcW w:w="13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1"/>
                <w:szCs w:val="11"/>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1"/>
                <w:szCs w:val="11"/>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1"/>
                <w:szCs w:val="11"/>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1"/>
                <w:szCs w:val="11"/>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3"/>
        </w:trPr>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spacing w:after="0"/>
              <w:rPr>
                <w:sz w:val="13"/>
                <w:szCs w:val="13"/>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3"/>
                <w:szCs w:val="13"/>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(159)</w:t>
            </w:r>
          </w:p>
        </w:tc>
        <w:tc>
          <w:tcPr>
            <w:tcW w:w="480" w:type="dxa"/>
            <w:vAlign w:val="bottom"/>
          </w:tcPr>
          <w:p>
            <w:pPr>
              <w:spacing w:after="0"/>
              <w:rPr>
                <w:sz w:val="12"/>
                <w:szCs w:val="12"/>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(159)</w:t>
            </w:r>
          </w:p>
        </w:tc>
        <w:tc>
          <w:tcPr>
            <w:tcW w:w="320" w:type="dxa"/>
            <w:vAlign w:val="bottom"/>
          </w:tcPr>
          <w:p>
            <w:pPr>
              <w:spacing w:after="0"/>
              <w:rPr>
                <w:sz w:val="12"/>
                <w:szCs w:val="12"/>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84</w:t>
            </w:r>
          </w:p>
        </w:tc>
        <w:tc>
          <w:tcPr>
            <w:tcW w:w="480" w:type="dxa"/>
            <w:vAlign w:val="bottom"/>
          </w:tcPr>
          <w:p>
            <w:pPr>
              <w:spacing w:after="0"/>
              <w:rPr>
                <w:sz w:val="12"/>
                <w:szCs w:val="12"/>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84</w:t>
            </w:r>
          </w:p>
        </w:tc>
        <w:tc>
          <w:tcPr>
            <w:tcW w:w="320" w:type="dxa"/>
            <w:vAlign w:val="bottom"/>
          </w:tcPr>
          <w:p>
            <w:pPr>
              <w:spacing w:after="0"/>
              <w:rPr>
                <w:sz w:val="12"/>
                <w:szCs w:val="12"/>
                <w:color w:val="auto"/>
              </w:rPr>
            </w:pPr>
          </w:p>
        </w:tc>
        <w:tc>
          <w:tcPr>
            <w:tcW w:w="8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6"/>
                <w:szCs w:val="16"/>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538</w:t>
            </w:r>
          </w:p>
        </w:tc>
        <w:tc>
          <w:tcPr>
            <w:tcW w:w="480" w:type="dxa"/>
            <w:vAlign w:val="bottom"/>
          </w:tcPr>
          <w:p>
            <w:pPr>
              <w:spacing w:after="0"/>
              <w:rPr>
                <w:sz w:val="16"/>
                <w:szCs w:val="16"/>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538</w:t>
            </w:r>
          </w:p>
        </w:tc>
        <w:tc>
          <w:tcPr>
            <w:tcW w:w="320" w:type="dxa"/>
            <w:vAlign w:val="bottom"/>
          </w:tcPr>
          <w:p>
            <w:pPr>
              <w:spacing w:after="0"/>
              <w:rPr>
                <w:sz w:val="16"/>
                <w:szCs w:val="16"/>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55"/>
        </w:trPr>
        <w:tc>
          <w:tcPr>
            <w:tcW w:w="13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Other comprehensive</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rPr>
                <w:sz w:val="13"/>
                <w:szCs w:val="13"/>
                <w:color w:val="auto"/>
              </w:rPr>
            </w:pPr>
          </w:p>
        </w:tc>
        <w:tc>
          <w:tcPr>
            <w:tcW w:w="8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32,943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12,456</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(1,883)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20,559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21,069</w:t>
            </w:r>
          </w:p>
        </w:tc>
        <w:tc>
          <w:tcPr>
            <w:tcW w:w="0" w:type="dxa"/>
            <w:vAlign w:val="bottom"/>
          </w:tcPr>
          <w:p>
            <w:pPr>
              <w:spacing w:after="0"/>
              <w:rPr>
                <w:sz w:val="1"/>
                <w:szCs w:val="1"/>
                <w:color w:val="auto"/>
              </w:rPr>
            </w:pPr>
          </w:p>
        </w:tc>
      </w:tr>
      <w:tr>
        <w:trPr>
          <w:trHeight w:val="268"/>
        </w:trPr>
        <w:tc>
          <w:tcPr>
            <w:tcW w:w="1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5"/>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2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6"/>
              </w:rPr>
              <w:t>Total Paramount</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1"/>
                <w:szCs w:val="11"/>
                <w:color w:val="auto"/>
              </w:rPr>
            </w:pPr>
          </w:p>
        </w:tc>
        <w:tc>
          <w:tcPr>
            <w:tcW w:w="5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12"/>
                <w:szCs w:val="12"/>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29,785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10,375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(1,832)</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15,371</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0" w:type="dxa"/>
            <w:vAlign w:val="bottom"/>
          </w:tcPr>
          <w:p>
            <w:pPr>
              <w:spacing w:after="0"/>
              <w:rPr>
                <w:sz w:val="1"/>
                <w:szCs w:val="1"/>
                <w:color w:val="auto"/>
              </w:rPr>
            </w:pPr>
          </w:p>
        </w:tc>
      </w:tr>
      <w:tr>
        <w:trPr>
          <w:trHeight w:val="147"/>
        </w:trPr>
        <w:tc>
          <w:tcPr>
            <w:tcW w:w="13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503</w:t>
            </w:r>
          </w:p>
        </w:tc>
        <w:tc>
          <w:tcPr>
            <w:tcW w:w="320" w:type="dxa"/>
            <w:vAlign w:val="bottom"/>
          </w:tcPr>
          <w:p>
            <w:pPr>
              <w:spacing w:after="0"/>
              <w:rPr>
                <w:sz w:val="12"/>
                <w:szCs w:val="12"/>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83"/>
        </w:trPr>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issuances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Pr>
          <w:p>
            <w:pPr>
              <w:spacing w:after="0"/>
              <w:rPr>
                <w:sz w:val="15"/>
                <w:szCs w:val="15"/>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2,655</w:t>
            </w:r>
          </w:p>
        </w:tc>
        <w:tc>
          <w:tcPr>
            <w:tcW w:w="32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158"/>
        </w:trPr>
        <w:tc>
          <w:tcPr>
            <w:tcW w:w="13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(30)</w:t>
            </w:r>
          </w:p>
        </w:tc>
        <w:tc>
          <w:tcPr>
            <w:tcW w:w="480" w:type="dxa"/>
            <w:vAlign w:val="bottom"/>
          </w:tcPr>
          <w:p>
            <w:pPr>
              <w:spacing w:after="0"/>
              <w:rPr>
                <w:sz w:val="13"/>
                <w:szCs w:val="13"/>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rPr>
                <w:sz w:val="13"/>
                <w:szCs w:val="13"/>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(468)</w:t>
            </w:r>
          </w:p>
        </w:tc>
        <w:tc>
          <w:tcPr>
            <w:tcW w:w="480" w:type="dxa"/>
            <w:vAlign w:val="bottom"/>
          </w:tcPr>
          <w:p>
            <w:pPr>
              <w:spacing w:after="0"/>
              <w:rPr>
                <w:sz w:val="12"/>
                <w:szCs w:val="12"/>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(468)</w:t>
            </w:r>
          </w:p>
        </w:tc>
        <w:tc>
          <w:tcPr>
            <w:tcW w:w="320" w:type="dxa"/>
            <w:vAlign w:val="bottom"/>
          </w:tcPr>
          <w:p>
            <w:pPr>
              <w:spacing w:after="0"/>
              <w:rPr>
                <w:sz w:val="12"/>
                <w:szCs w:val="12"/>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2"/>
                <w:szCs w:val="12"/>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94</w:t>
            </w:r>
          </w:p>
        </w:tc>
        <w:tc>
          <w:tcPr>
            <w:tcW w:w="480" w:type="dxa"/>
            <w:vAlign w:val="bottom"/>
          </w:tcPr>
          <w:p>
            <w:pPr>
              <w:spacing w:after="0"/>
              <w:rPr>
                <w:sz w:val="12"/>
                <w:szCs w:val="12"/>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94</w:t>
            </w:r>
          </w:p>
        </w:tc>
        <w:tc>
          <w:tcPr>
            <w:tcW w:w="320" w:type="dxa"/>
            <w:vAlign w:val="bottom"/>
          </w:tcPr>
          <w:p>
            <w:pPr>
              <w:spacing w:after="0"/>
              <w:rPr>
                <w:sz w:val="12"/>
                <w:szCs w:val="12"/>
                <w:color w:val="auto"/>
              </w:rPr>
            </w:pPr>
          </w:p>
        </w:tc>
        <w:tc>
          <w:tcPr>
            <w:tcW w:w="8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2,485</w:t>
            </w:r>
          </w:p>
        </w:tc>
        <w:tc>
          <w:tcPr>
            <w:tcW w:w="480" w:type="dxa"/>
            <w:vAlign w:val="bottom"/>
          </w:tcPr>
          <w:p>
            <w:pPr>
              <w:spacing w:after="0"/>
              <w:rPr>
                <w:sz w:val="15"/>
                <w:szCs w:val="15"/>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2,485</w:t>
            </w:r>
          </w:p>
        </w:tc>
        <w:tc>
          <w:tcPr>
            <w:tcW w:w="32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158"/>
        </w:trPr>
        <w:tc>
          <w:tcPr>
            <w:tcW w:w="13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 comprehensive</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Pr>
          <w:p>
            <w:pPr>
              <w:spacing w:after="0"/>
              <w:rPr>
                <w:sz w:val="13"/>
                <w:szCs w:val="13"/>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13"/>
                <w:szCs w:val="13"/>
                <w:color w:val="auto"/>
              </w:rPr>
            </w:pPr>
          </w:p>
        </w:tc>
        <w:tc>
          <w:tcPr>
            <w:tcW w:w="8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8"/>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646</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32,943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12,456</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(1,883)</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20,559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21,069</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BASIS OF PRESENTATION</w:t>
      </w:r>
    </w:p>
    <w:p>
      <w:pPr>
        <w:spacing w:after="0" w:line="1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Effective February 16, 2022, we changed our name from ViacomCBS Inc. to Paramount Global, and effective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open of market trading on February 17, 2022, our Class A Common Stock, Class B Common Stock and 5.75% Series A Mandatory Convertible Preferred Stock (“Mandatory Convertible Preferred Stock”) ceased trading under the ticker symbols “VIACA,” “VIAC” and “VIACP” and began trading under the ticker symbols “PARAA,” “PARA” and “PARAP,” respectively, on The Nasdaq Stock Market LLC. References to “Paramount,” the “Company,” “we,” “us” and “our” refer to Paramount Global and its consolidated subsidiaries, unless the context otherwise requires.</w:t>
      </w:r>
    </w:p>
    <w:p>
      <w:pPr>
        <w:spacing w:after="0" w:line="200" w:lineRule="exact"/>
        <w:rPr>
          <w:sz w:val="20"/>
          <w:szCs w:val="20"/>
          <w:color w:val="auto"/>
        </w:rPr>
      </w:pPr>
    </w:p>
    <w:p>
      <w:pPr>
        <w:spacing w:after="0" w:line="22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color w:val="auto"/>
        </w:rPr>
        <w:t>Beginning in 2022, primarily as a result of our increased strategic focus on our direct-to-consumer businesses, we made certain changes to how we manage our businesses and allocate resources that resulted in a change to our operating segments. Our management structure has been reorganized to focus on managing our business as the combination of three parts: a traditional media business, a portfolio of global direct-to-consumer streaming services, and a film studio. Accordingly, beginning in the first quarter of 2022 and for all periods presented we are reporting results based on the following segments:</w:t>
      </w:r>
    </w:p>
    <w:p>
      <w:pPr>
        <w:spacing w:after="0" w:line="95" w:lineRule="exact"/>
        <w:rPr>
          <w:sz w:val="20"/>
          <w:szCs w:val="20"/>
          <w:color w:val="auto"/>
        </w:rPr>
      </w:pPr>
    </w:p>
    <w:p>
      <w:pPr>
        <w:ind w:left="640" w:right="180" w:hanging="320"/>
        <w:spacing w:after="0" w:line="261" w:lineRule="auto"/>
        <w:tabs>
          <w:tab w:leader="none" w:pos="633" w:val="left"/>
        </w:tabs>
        <w:numPr>
          <w:ilvl w:val="0"/>
          <w:numId w:val="3"/>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domestic and international broadcast networks, including the CBS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Network, Network 10, Channel 5, Telefe, and Chilevisión; our premium and basic cable networks, including Showtime, BET, Nickelodeon, MTV, Comedy Central, Paramount Network, Smithsonian Channel, international extensions of these brands, and CBS Sports Network; our television production operations, including CBS Studios, Paramount Television Studios and CBS Media Ventures, which primarily produces or distributes first-run syndicated programming; and our owned broadcast television stations, CBS Stations</w:t>
      </w:r>
      <w:r>
        <w:rPr>
          <w:rFonts w:ascii="Times New Roman" w:cs="Times New Roman" w:eastAsia="Times New Roman" w:hAnsi="Times New Roman"/>
          <w:sz w:val="19"/>
          <w:szCs w:val="19"/>
          <w:color w:val="242424"/>
        </w:rPr>
        <w:t>.</w:t>
      </w:r>
    </w:p>
    <w:p>
      <w:pPr>
        <w:spacing w:after="0" w:line="200" w:lineRule="exact"/>
        <w:rPr>
          <w:rFonts w:ascii="Calibri" w:cs="Calibri" w:eastAsia="Calibri" w:hAnsi="Calibri"/>
          <w:sz w:val="19"/>
          <w:szCs w:val="19"/>
          <w:b w:val="1"/>
          <w:bCs w:val="1"/>
          <w:i w:val="1"/>
          <w:iCs w:val="1"/>
          <w:color w:val="auto"/>
        </w:rPr>
      </w:pPr>
    </w:p>
    <w:p>
      <w:pPr>
        <w:jc w:val="both"/>
        <w:ind w:left="640" w:right="300" w:hanging="320"/>
        <w:spacing w:after="0" w:line="270" w:lineRule="auto"/>
        <w:tabs>
          <w:tab w:leader="none" w:pos="633" w:val="left"/>
        </w:tabs>
        <w:numPr>
          <w:ilvl w:val="0"/>
          <w:numId w:val="3"/>
        </w:numPr>
        <w:rPr>
          <w:rFonts w:ascii="Calibri" w:cs="Calibri" w:eastAsia="Calibri" w:hAnsi="Calibri"/>
          <w:sz w:val="19"/>
          <w:szCs w:val="19"/>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pay, free and premium global direct-to-consumer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streaming services (“DTC services”), including Paramount+, Pluto TV, Showtime Networks’ premium subscription streaming service (Showtime OTT), BET+ and Noggin.</w:t>
      </w:r>
    </w:p>
    <w:p>
      <w:pPr>
        <w:spacing w:after="0" w:line="191" w:lineRule="exact"/>
        <w:rPr>
          <w:rFonts w:ascii="Calibri" w:cs="Calibri" w:eastAsia="Calibri" w:hAnsi="Calibri"/>
          <w:sz w:val="19"/>
          <w:szCs w:val="19"/>
          <w:i w:val="1"/>
          <w:iCs w:val="1"/>
          <w:color w:val="auto"/>
        </w:rPr>
      </w:pPr>
    </w:p>
    <w:p>
      <w:pPr>
        <w:ind w:left="640" w:right="200" w:hanging="320"/>
        <w:spacing w:after="0" w:line="282" w:lineRule="auto"/>
        <w:tabs>
          <w:tab w:leader="none" w:pos="633" w:val="left"/>
        </w:tabs>
        <w:numPr>
          <w:ilvl w:val="0"/>
          <w:numId w:val="3"/>
        </w:numPr>
        <w:rPr>
          <w:rFonts w:ascii="Calibri" w:cs="Calibri" w:eastAsia="Calibri" w:hAnsi="Calibri"/>
          <w:sz w:val="19"/>
          <w:szCs w:val="19"/>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and Miramax.</w:t>
      </w:r>
    </w:p>
    <w:p>
      <w:pPr>
        <w:spacing w:after="0" w:line="17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i w:val="1"/>
          <w:iCs w:val="1"/>
          <w:color w:val="auto"/>
        </w:rPr>
        <w:t>Basis of Presentation—</w:t>
      </w:r>
      <w:r>
        <w:rPr>
          <w:rFonts w:ascii="Times New Roman" w:cs="Times New Roman" w:eastAsia="Times New Roman" w:hAnsi="Times New Roman"/>
          <w:sz w:val="19"/>
          <w:szCs w:val="19"/>
          <w:color w:val="auto"/>
        </w:rPr>
        <w:t>The accompanying unaudited consolidated financial statements have been prepared on a basis consistent with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principles generally accepted in the United States (“GAAP”) for interim financial information and pursuant to the rules of the Securities and Exchange Commission (SEC). These financial statements should be read in conjunction with the more detailed financial statements and notes thereto included in our Annual Report on Form 10-K for the year ended December 31, 2021.</w:t>
      </w:r>
    </w:p>
    <w:p>
      <w:pPr>
        <w:spacing w:after="0" w:line="184"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9"/>
          <w:szCs w:val="19"/>
          <w:color w:val="auto"/>
        </w:rPr>
        <w:t>In the opinion of management, the accompanying unaudited consolidated financial statements reflect all adjustments, consisting only of normal and recurring adjustments, necessary for a fair statement of our financial position, results of operations and cash flows for the periods presented. Certain previously reported amounts have been reclassified to conform to the current presentation.</w:t>
      </w:r>
    </w:p>
    <w:p>
      <w:pPr>
        <w:spacing w:after="0" w:line="17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i w:val="1"/>
          <w:iCs w:val="1"/>
          <w:color w:val="auto"/>
        </w:rPr>
        <w:t>Discontinued Operations—</w:t>
      </w:r>
      <w:r>
        <w:rPr>
          <w:rFonts w:ascii="Times New Roman" w:cs="Times New Roman" w:eastAsia="Times New Roman" w:hAnsi="Times New Roman"/>
          <w:sz w:val="19"/>
          <w:szCs w:val="19"/>
          <w:color w:val="auto"/>
        </w:rPr>
        <w:t>On November 25, 2020, we entered into an agreement to sell our publishing business, Simon &amp; Schuster, which was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previously reported as the </w:t>
      </w:r>
      <w:r>
        <w:rPr>
          <w:rFonts w:ascii="Times New Roman" w:cs="Times New Roman" w:eastAsia="Times New Roman" w:hAnsi="Times New Roman"/>
          <w:sz w:val="19"/>
          <w:szCs w:val="19"/>
          <w:i w:val="1"/>
          <w:iCs w:val="1"/>
          <w:color w:val="auto"/>
        </w:rPr>
        <w:t>Publishing</w:t>
      </w:r>
      <w:r>
        <w:rPr>
          <w:rFonts w:ascii="Times New Roman" w:cs="Times New Roman" w:eastAsia="Times New Roman" w:hAnsi="Times New Roman"/>
          <w:sz w:val="19"/>
          <w:szCs w:val="19"/>
          <w:color w:val="auto"/>
        </w:rPr>
        <w:t xml:space="preserve"> segment, to Penguin Random House LLC (“Penguin Random House”), a wholly-owned subsidiary of Bertelsmann SE &amp; Co. KGaA (“Bertelsmann”), for $2.175 billion in cash. As a result, Simon &amp; Schuster has been presented as a discontinued operation in our consolidated financial statements for all periods presented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9" w:name="page10"/>
    <w:bookmarkEnd w:id="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consolidated financial statements in conformity with GAAP requires management to make estimates,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0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i w:val="1"/>
          <w:iCs w:val="1"/>
          <w:color w:val="auto"/>
        </w:rPr>
        <w:t>Net Earnings per Common Share—</w:t>
      </w:r>
      <w:r>
        <w:rPr>
          <w:rFonts w:ascii="Times New Roman" w:cs="Times New Roman" w:eastAsia="Times New Roman" w:hAnsi="Times New Roman"/>
          <w:sz w:val="19"/>
          <w:szCs w:val="19"/>
          <w:color w:val="auto"/>
        </w:rPr>
        <w:t>Basic net earnings per share (“EPS”) is based upon net earnings available to common stockholders divided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weighted average number of common shares outstanding during the period. Net earnings available to common stockholders is calculated as net earnings from continuing operations or net earnings, as applicable, adjusted to include dividends on our Mandatory Convertible Preferred Stock.</w:t>
      </w:r>
    </w:p>
    <w:p>
      <w:pPr>
        <w:spacing w:after="0" w:line="200" w:lineRule="exact"/>
        <w:rPr>
          <w:sz w:val="20"/>
          <w:szCs w:val="20"/>
          <w:color w:val="auto"/>
        </w:rPr>
      </w:pPr>
    </w:p>
    <w:p>
      <w:pPr>
        <w:spacing w:after="0" w:line="2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Weighted average shares for diluted EPS reflects the effect of the assumed exercise of stock options and vesting of restricted stock units (“RSUs”) or performance stock units (“PSUs”) only in the periods in which such effect would have been dilutive. Diluted EPS also reflects the effect of the assumed conversion of preferred stock, if dilutive, which includes the issuance of common shares in the weighted average number of shares and excludes the above-mentioned preferred stock dividend adjustment to net earnings available to common stockholders.</w:t>
      </w:r>
    </w:p>
    <w:p>
      <w:pPr>
        <w:spacing w:after="0" w:line="1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Excluded from the calculation of diluted EPS, because their inclusion would have been antidilutive, were stock options and RSUs of 14 million and 10 million for the three and nine months ended September 30, 2022, respectively, and stock options and RSUs of 6 million and 5 million for the three and nine months ended September 30, 2021, respectively. Also excluded from the calculation of diluted EPS for the three and nine months ended September 30, 2022 and 2021 was the effect of the assumed conversion of 10 million shares of Mandatory Convertible Preferred Stock into shares of common stock because the impact would have been antidilutive. The table below presents a reconciliation of weighted average shares used in the calculation of basic and diluted EPS.</w:t>
      </w:r>
    </w:p>
    <w:p>
      <w:pPr>
        <w:spacing w:after="0" w:line="143" w:lineRule="exact"/>
        <w:rPr>
          <w:sz w:val="20"/>
          <w:szCs w:val="20"/>
          <w:color w:val="auto"/>
        </w:rPr>
      </w:pPr>
    </w:p>
    <w:tbl>
      <w:tblPr>
        <w:tblLayout w:type="fixed"/>
        <w:tblInd w:w="360" w:type="dxa"/>
        <w:tblCellMar>
          <w:top w:w="0" w:type="dxa"/>
          <w:left w:w="0" w:type="dxa"/>
          <w:bottom w:w="0" w:type="dxa"/>
          <w:right w:w="0" w:type="dxa"/>
        </w:tblCellMar>
      </w:tblPr>
      <w:tr>
        <w:trPr>
          <w:trHeight w:val="242"/>
        </w:trPr>
        <w:tc>
          <w:tcPr>
            <w:tcW w:w="570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80" w:type="dxa"/>
            <w:vAlign w:val="bottom"/>
            <w:tcBorders>
              <w:top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700" w:type="dxa"/>
            <w:vAlign w:val="bottom"/>
          </w:tcPr>
          <w:p>
            <w:pPr>
              <w:spacing w:after="0"/>
              <w:rPr>
                <w:sz w:val="19"/>
                <w:szCs w:val="19"/>
                <w:color w:val="auto"/>
              </w:rPr>
            </w:pPr>
          </w:p>
        </w:tc>
        <w:tc>
          <w:tcPr>
            <w:tcW w:w="2540" w:type="dxa"/>
            <w:vAlign w:val="bottom"/>
            <w:tcBorders>
              <w:bottom w:val="single" w:sz="8" w:color="auto"/>
            </w:tcBorders>
            <w:gridSpan w:val="2"/>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80" w:type="dxa"/>
            <w:vAlign w:val="bottom"/>
            <w:tcBorders>
              <w:bottom w:val="single" w:sz="8" w:color="auto"/>
            </w:tcBorders>
            <w:gridSpan w:val="2"/>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for basic EPS</w:t>
            </w: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649</w:t>
            </w: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646</w:t>
            </w: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649</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176"/>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Dilutive effect of shares issuable under stock-based</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6"/>
        </w:trPr>
        <w:tc>
          <w:tcPr>
            <w:tcW w:w="5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compensation plans</w:t>
            </w: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w:t>
            </w: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2"/>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 average shares for diluted EPS</w:t>
            </w: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650</w:t>
            </w: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651</w:t>
            </w:r>
          </w:p>
        </w:tc>
        <w:tc>
          <w:tcPr>
            <w:tcW w:w="12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650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0" w:name="page11"/>
    <w:bookmarkEnd w:id="1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Additionally, because the impact of the assumed conversion of the Mandatory Convertible Preferred Stock would have been antidilutive, net earnings from continuing operations and net earnings used in our calculation of diluted EPS for the three and nine months ended September 30, 2022 and 2021 were adjusted to include the preferred stock dividends recorded during the period. The table below presents a reconciliation of net earnings from continuing operations and net earnings to the amounts used in the calculations of basic and diluted EPS.</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242"/>
        </w:trPr>
        <w:tc>
          <w:tcPr>
            <w:tcW w:w="58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86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Paramount:</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153</w:t>
            </w:r>
          </w:p>
        </w:tc>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465</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902</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r>
      <w:tr>
        <w:trPr>
          <w:trHeight w:val="228"/>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64"/>
        </w:trPr>
        <w:tc>
          <w:tcPr>
            <w:tcW w:w="5860" w:type="dxa"/>
            <w:vAlign w:val="bottom"/>
          </w:tcPr>
          <w:p>
            <w:pPr>
              <w:ind w:left="20"/>
              <w:spacing w:after="0" w:line="164" w:lineRule="exact"/>
              <w:rPr>
                <w:sz w:val="20"/>
                <w:szCs w:val="20"/>
                <w:color w:val="auto"/>
              </w:rPr>
            </w:pPr>
            <w:r>
              <w:rPr>
                <w:rFonts w:ascii="Times New Roman" w:cs="Times New Roman" w:eastAsia="Times New Roman" w:hAnsi="Times New Roman"/>
                <w:sz w:val="17"/>
                <w:szCs w:val="17"/>
                <w:color w:val="auto"/>
              </w:rPr>
              <w:t>Net earnings from continuing operations for basic and diluted</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2"/>
        </w:trPr>
        <w:tc>
          <w:tcPr>
            <w:tcW w:w="5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EPS calculation</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139</w:t>
            </w:r>
          </w:p>
        </w:tc>
        <w:tc>
          <w:tcPr>
            <w:tcW w:w="8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451</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859</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2,329</w:t>
            </w:r>
          </w:p>
        </w:tc>
      </w:tr>
      <w:tr>
        <w:trPr>
          <w:trHeight w:val="467"/>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Paramount: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538</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1,083</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w:t>
            </w:r>
          </w:p>
        </w:tc>
      </w:tr>
      <w:tr>
        <w:trPr>
          <w:trHeight w:val="228"/>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2"/>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for basic and diluted EPS calculation</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217</w:t>
            </w:r>
          </w:p>
        </w:tc>
        <w:tc>
          <w:tcPr>
            <w:tcW w:w="8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524</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1,040</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for Convertible Instruments and Contracts in an Entity’s Own Equity</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On January 1, 2022, we adopted Financial Accounting Standards Board (“FASB”) amended guidance to reduce complexity associated with the accounting for convertible instruments with characteristics of liabilities and equity. Under this guidance, embedded conversion features associated with convertible instruments no longer need to be separated from the host contracts unless they are required to be accounted for as derivatives or have been issued at a substantial premium. For contracts in an entity’s own equity, this guidance removes certain settlement conditions that are required for equity contracts to qualify for the derivative scope exceptions. The adoption of this guidance did not have a material impact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DISPOSITIONS</w:t>
      </w:r>
    </w:p>
    <w:p>
      <w:pPr>
        <w:spacing w:after="0" w:line="1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In September 2022, in connection with our funding commitments under our streaming joint venture with Comcast, SkyShowtime, we made a noncash contribution of certain assets of Paramount+ in Denmark, Finland, Norway and Sweden (the “Nordics”) to the joint venture, which resulted in a gain of $41 million. This gain is included in “Net gain on dispositions” on the Consolidated Statements of Operations for the three and nine months ended September 30, 2022. Upon the transfer of these assets, the SkyShowtime service was launched in the Nordics, where it replaced Paramount+.</w:t>
      </w:r>
    </w:p>
    <w:p>
      <w:pPr>
        <w:spacing w:after="0" w:line="202"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9"/>
          <w:szCs w:val="19"/>
          <w:color w:val="auto"/>
        </w:rPr>
        <w:t>Net gain on dispositions for the nine months ended September 30, 2022 also includes gains on sales totaling $15 million, comprised of a gain from the sale of international intangible assets and a working capital adjustment to the gain from the fourth quarter 2021 sale of CBS Studio Center.</w:t>
      </w:r>
    </w:p>
    <w:p>
      <w:pPr>
        <w:spacing w:after="0" w:line="19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9"/>
          <w:szCs w:val="19"/>
          <w:color w:val="auto"/>
        </w:rPr>
        <w:t>During the nine months ended September 30, 2021, we recognized a net gain on dispositions of $116 million, principally relating to the sale of a noncore trademark licensing operation.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 w:name="page12"/>
    <w:bookmarkEnd w:id="1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During the fourth quarter of 2020, we entered into an agreement to sell our publishing business, Simon &amp; Schuster, to Penguin Random House for $2.175 billion in cash. Simon &amp; Schuster is presented as a discontinued operation in our consolidated financial statements for all periods presented. On November 2, 2021, the U.S. Department of Justice filed suit to block the sale. The trial was conducted in August 2022, and in October 2022, the Court issued a decision to block the consummation of the transaction. We are discussing next steps with Bertelsmann and Penguin Random House, including seeking an expedited appeal (see Note 14). The purchase agreement contains commitments on the part of the purchaser to take all necessary steps to obtain any required regulatory approvals and to defend any litigation that would delay or prevent consummation, and also provides for a $200 million termination fee payable to us in certain circumstances in the event the transaction does not close for regulatory reasons.</w:t>
      </w:r>
    </w:p>
    <w:p>
      <w:pPr>
        <w:spacing w:after="0" w:line="18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The following table sets forth details of net earnings from discontinued operations for the three and nine months ended September 30, 2022 and 2021, which primarily reflects the results of Simon &amp; Schuster.</w:t>
      </w:r>
    </w:p>
    <w:p>
      <w:pPr>
        <w:spacing w:after="0" w:line="83" w:lineRule="exact"/>
        <w:rPr>
          <w:sz w:val="20"/>
          <w:szCs w:val="20"/>
          <w:color w:val="auto"/>
        </w:rPr>
      </w:pPr>
    </w:p>
    <w:tbl>
      <w:tblPr>
        <w:tblLayout w:type="fixed"/>
        <w:tblInd w:w="560" w:type="dxa"/>
        <w:tblCellMar>
          <w:top w:w="0" w:type="dxa"/>
          <w:left w:w="0" w:type="dxa"/>
          <w:bottom w:w="0" w:type="dxa"/>
          <w:right w:w="0" w:type="dxa"/>
        </w:tblCellMar>
      </w:tblPr>
      <w:tr>
        <w:trPr>
          <w:trHeight w:val="242"/>
        </w:trPr>
        <w:tc>
          <w:tcPr>
            <w:tcW w:w="576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760" w:type="dxa"/>
            <w:vAlign w:val="bottom"/>
          </w:tcPr>
          <w:p>
            <w:pPr>
              <w:spacing w:after="0"/>
              <w:rPr>
                <w:sz w:val="19"/>
                <w:szCs w:val="19"/>
                <w:color w:val="auto"/>
              </w:rPr>
            </w:pPr>
          </w:p>
        </w:tc>
        <w:tc>
          <w:tcPr>
            <w:tcW w:w="194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6"/>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353</w:t>
            </w:r>
          </w:p>
        </w:tc>
        <w:tc>
          <w:tcPr>
            <w:tcW w:w="8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321</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863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11"/>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680" w:type="dxa"/>
            <w:vAlign w:val="bottom"/>
          </w:tcPr>
          <w:p>
            <w:pPr>
              <w:spacing w:after="0"/>
              <w:rPr>
                <w:sz w:val="19"/>
                <w:szCs w:val="19"/>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198</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5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680" w:type="dxa"/>
            <w:vAlign w:val="bottom"/>
          </w:tcPr>
          <w:p>
            <w:pPr>
              <w:spacing w:after="0"/>
              <w:rPr>
                <w:sz w:val="19"/>
                <w:szCs w:val="19"/>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45</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8"/>
        </w:trPr>
        <w:tc>
          <w:tcPr>
            <w:tcW w:w="5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5760" w:type="dxa"/>
            <w:vAlign w:val="bottom"/>
          </w:tcPr>
          <w:p>
            <w:pPr>
              <w:ind w:left="340"/>
              <w:spacing w:after="0" w:line="211" w:lineRule="exact"/>
              <w:rPr>
                <w:sz w:val="20"/>
                <w:szCs w:val="20"/>
                <w:color w:val="auto"/>
              </w:rPr>
            </w:pPr>
            <w:r>
              <w:rPr>
                <w:rFonts w:ascii="Times New Roman" w:cs="Times New Roman" w:eastAsia="Times New Roman" w:hAnsi="Times New Roman"/>
                <w:sz w:val="17"/>
                <w:szCs w:val="17"/>
                <w:color w:val="auto"/>
              </w:rPr>
              <w:t xml:space="preserve">Total costs and expenses </w:t>
            </w:r>
            <w:r>
              <w:rPr>
                <w:rFonts w:ascii="Times New Roman" w:cs="Times New Roman" w:eastAsia="Times New Roman" w:hAnsi="Times New Roman"/>
                <w:sz w:val="22"/>
                <w:szCs w:val="22"/>
                <w:color w:val="auto"/>
                <w:vertAlign w:val="superscript"/>
              </w:rPr>
              <w:t>(a)</w:t>
            </w:r>
          </w:p>
        </w:tc>
        <w:tc>
          <w:tcPr>
            <w:tcW w:w="680" w:type="dxa"/>
            <w:vAlign w:val="bottom"/>
          </w:tcPr>
          <w:p>
            <w:pPr>
              <w:spacing w:after="0"/>
              <w:rPr>
                <w:sz w:val="18"/>
                <w:szCs w:val="18"/>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245</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615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680" w:type="dxa"/>
            <w:vAlign w:val="bottom"/>
          </w:tcPr>
          <w:p>
            <w:pPr>
              <w:spacing w:after="0"/>
              <w:rPr>
                <w:sz w:val="19"/>
                <w:szCs w:val="19"/>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108</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8"/>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8"/>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tc>
        <w:tc>
          <w:tcPr>
            <w:tcW w:w="680" w:type="dxa"/>
            <w:vAlign w:val="bottom"/>
          </w:tcPr>
          <w:p>
            <w:pPr>
              <w:spacing w:after="0"/>
              <w:rPr>
                <w:sz w:val="18"/>
                <w:szCs w:val="18"/>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105</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31"/>
        </w:trPr>
        <w:tc>
          <w:tcPr>
            <w:tcW w:w="576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 xml:space="preserve">Income tax provision </w:t>
            </w:r>
            <w:r>
              <w:rPr>
                <w:rFonts w:ascii="Times New Roman" w:cs="Times New Roman" w:eastAsia="Times New Roman" w:hAnsi="Times New Roman"/>
                <w:sz w:val="22"/>
                <w:szCs w:val="22"/>
                <w:color w:val="auto"/>
                <w:vertAlign w:val="superscript"/>
              </w:rPr>
              <w:t>(b)</w:t>
            </w: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(27)</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(21)</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78</w:t>
            </w:r>
          </w:p>
        </w:tc>
        <w:tc>
          <w:tcPr>
            <w:tcW w:w="8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bl>
    <w:p>
      <w:pPr>
        <w:spacing w:after="0" w:line="130" w:lineRule="exact"/>
        <w:rPr>
          <w:sz w:val="20"/>
          <w:szCs w:val="20"/>
          <w:color w:val="auto"/>
        </w:rPr>
      </w:pPr>
    </w:p>
    <w:p>
      <w:pPr>
        <w:ind w:left="640" w:right="440" w:hanging="242"/>
        <w:spacing w:after="0" w:line="262" w:lineRule="auto"/>
        <w:tabs>
          <w:tab w:leader="none" w:pos="61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total costs and expenses are amounts associated with the release of indemnification obligations for leases relating to a previously disposed business of $15 million and $25 million for the three and nine months ended September 30, 2022, respectively, and $7 million and $9 million for the three and nine months ended September 30, 2021, respectively.</w:t>
      </w:r>
    </w:p>
    <w:p>
      <w:pPr>
        <w:spacing w:after="0" w:line="26" w:lineRule="exact"/>
        <w:rPr>
          <w:rFonts w:ascii="Times New Roman" w:cs="Times New Roman" w:eastAsia="Times New Roman" w:hAnsi="Times New Roman"/>
          <w:sz w:val="16"/>
          <w:szCs w:val="16"/>
          <w:color w:val="auto"/>
        </w:rPr>
      </w:pPr>
    </w:p>
    <w:p>
      <w:pPr>
        <w:ind w:left="640" w:right="620" w:hanging="242"/>
        <w:spacing w:after="0" w:line="285" w:lineRule="auto"/>
        <w:tabs>
          <w:tab w:leader="none" w:pos="62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includes amounts relating to previously disposed businesses of $4 million and $6 million for the three and nine months ended September 30, 2022, respectively, and $2 million and $9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 w:name="page13"/>
    <w:bookmarkEnd w:id="12"/>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following table presents the major classes of assets and liabilities of our discontinued operations.</w:t>
      </w:r>
    </w:p>
    <w:p>
      <w:pPr>
        <w:spacing w:after="0" w:line="152" w:lineRule="exact"/>
        <w:rPr>
          <w:sz w:val="20"/>
          <w:szCs w:val="20"/>
          <w:color w:val="auto"/>
        </w:rPr>
      </w:pPr>
    </w:p>
    <w:tbl>
      <w:tblPr>
        <w:tblLayout w:type="fixed"/>
        <w:tblInd w:w="980" w:type="dxa"/>
        <w:tblCellMar>
          <w:top w:w="0" w:type="dxa"/>
          <w:left w:w="0" w:type="dxa"/>
          <w:bottom w:w="0" w:type="dxa"/>
          <w:right w:w="0" w:type="dxa"/>
        </w:tblCellMar>
      </w:tblPr>
      <w:tr>
        <w:trPr>
          <w:trHeight w:val="242"/>
        </w:trPr>
        <w:tc>
          <w:tcPr>
            <w:tcW w:w="36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rPr>
              <w:t>At</w:t>
            </w:r>
          </w:p>
        </w:tc>
        <w:tc>
          <w:tcPr>
            <w:tcW w:w="8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30"/>
        </w:trPr>
        <w:tc>
          <w:tcPr>
            <w:tcW w:w="36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200" w:type="dxa"/>
            <w:vAlign w:val="bottom"/>
            <w:tcBorders>
              <w:bottom w:val="single" w:sz="8" w:color="auto"/>
            </w:tcBorders>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542</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536</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256</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209</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434</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435</w:t>
            </w:r>
          </w:p>
        </w:tc>
      </w:tr>
      <w:tr>
        <w:trPr>
          <w:trHeight w:val="223"/>
        </w:trPr>
        <w:tc>
          <w:tcPr>
            <w:tcW w:w="3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48</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46</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205</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203</w:t>
            </w:r>
          </w:p>
        </w:tc>
      </w:tr>
      <w:tr>
        <w:trPr>
          <w:trHeight w:val="22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120</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131</w:t>
            </w:r>
          </w:p>
        </w:tc>
      </w:tr>
      <w:tr>
        <w:trPr>
          <w:trHeight w:val="222"/>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Total Assets</w:t>
            </w:r>
          </w:p>
        </w:tc>
        <w:tc>
          <w:tcPr>
            <w:tcW w:w="2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1,605</w:t>
            </w: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1,560</w:t>
            </w:r>
          </w:p>
        </w:tc>
      </w:tr>
      <w:tr>
        <w:trPr>
          <w:trHeight w:val="218"/>
        </w:trPr>
        <w:tc>
          <w:tcPr>
            <w:tcW w:w="3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Royalties payable</w:t>
            </w:r>
          </w:p>
        </w:tc>
        <w:tc>
          <w:tcPr>
            <w:tcW w:w="2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156</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155</w:t>
            </w:r>
          </w:p>
        </w:tc>
      </w:tr>
      <w:tr>
        <w:trPr>
          <w:trHeight w:val="223"/>
        </w:trPr>
        <w:tc>
          <w:tcPr>
            <w:tcW w:w="3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378</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416</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20" w:type="dxa"/>
            <w:vAlign w:val="bottom"/>
          </w:tcPr>
          <w:p>
            <w:pPr>
              <w:spacing w:after="0"/>
              <w:rPr>
                <w:sz w:val="19"/>
                <w:szCs w:val="19"/>
                <w:color w:val="auto"/>
              </w:rPr>
            </w:pPr>
          </w:p>
        </w:tc>
        <w:tc>
          <w:tcPr>
            <w:tcW w:w="14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185</w:t>
            </w:r>
          </w:p>
        </w:tc>
        <w:tc>
          <w:tcPr>
            <w:tcW w:w="82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194</w:t>
            </w:r>
          </w:p>
        </w:tc>
      </w:tr>
      <w:tr>
        <w:trPr>
          <w:trHeight w:val="22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18</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737</w:t>
            </w: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784</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PROGRAMMING AND OTHER INVENTORY</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September 30, 2022 and December 31, 2021, grouped by type and predominant monetization strategy. During the first quarter of 2022, in connection with our increased strategic focus on our direct-to-consumer businesses, we reassessed our predominant monetization strategy for certain of our internally-produced content, and determined that it had shifted from individual to film group as a result of expected increased monetization of the content on our DTC services.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242"/>
        </w:trPr>
        <w:tc>
          <w:tcPr>
            <w:tcW w:w="49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rPr>
              <w:t>At</w:t>
            </w:r>
          </w:p>
        </w:tc>
        <w:tc>
          <w:tcPr>
            <w:tcW w:w="8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30"/>
        </w:trPr>
        <w:tc>
          <w:tcPr>
            <w:tcW w:w="49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12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Film Group Monetization:</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Acquired program rights, including prepaid sports rights</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3,433</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3,432</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Internally-produced television and film programming:</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5,991</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3,808</w:t>
            </w:r>
          </w:p>
        </w:tc>
      </w:tr>
      <w:tr>
        <w:trPr>
          <w:trHeight w:val="228"/>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3,620</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2,609</w:t>
            </w:r>
          </w:p>
        </w:tc>
      </w:tr>
      <w:tr>
        <w:trPr>
          <w:trHeight w:val="271"/>
        </w:trPr>
        <w:tc>
          <w:tcPr>
            <w:tcW w:w="4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Individual Monetization:</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Acquired libraries</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407</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441</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Film inventory:</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689</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606</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Completed, not yet released</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132</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253</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1,282</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1,303</w:t>
            </w: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Internally-produced television programming:</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556</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1,604</w:t>
            </w: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400" w:type="dxa"/>
            <w:vAlign w:val="bottom"/>
          </w:tcPr>
          <w:p>
            <w:pPr>
              <w:spacing w:after="0"/>
              <w:rPr>
                <w:sz w:val="19"/>
                <w:szCs w:val="19"/>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787</w:t>
            </w:r>
          </w:p>
        </w:tc>
        <w:tc>
          <w:tcPr>
            <w:tcW w:w="8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769</w:t>
            </w:r>
          </w:p>
        </w:tc>
      </w:tr>
      <w:tr>
        <w:trPr>
          <w:trHeight w:val="22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Home entertainment</w:t>
            </w: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44</w:t>
            </w: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37</w:t>
            </w: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Total programming and other inventory</w:t>
            </w:r>
          </w:p>
        </w:tc>
        <w:tc>
          <w:tcPr>
            <w:tcW w:w="1400" w:type="dxa"/>
            <w:vAlign w:val="bottom"/>
          </w:tcPr>
          <w:p>
            <w:pPr>
              <w:spacing w:after="0"/>
              <w:rPr>
                <w:sz w:val="18"/>
                <w:szCs w:val="18"/>
                <w:color w:val="auto"/>
              </w:rPr>
            </w:pPr>
          </w:p>
        </w:tc>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16,941</w:t>
            </w:r>
          </w:p>
        </w:tc>
        <w:tc>
          <w:tcPr>
            <w:tcW w:w="840" w:type="dxa"/>
            <w:vAlign w:val="bottom"/>
          </w:tcPr>
          <w:p>
            <w:pPr>
              <w:spacing w:after="0"/>
              <w:rPr>
                <w:sz w:val="18"/>
                <w:szCs w:val="18"/>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14,862</w:t>
            </w:r>
          </w:p>
        </w:tc>
      </w:tr>
      <w:tr>
        <w:trPr>
          <w:trHeight w:val="228"/>
        </w:trPr>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Less current portion</w:t>
            </w: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1,492</w:t>
            </w: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1,504</w:t>
            </w:r>
          </w:p>
        </w:tc>
      </w:tr>
      <w:tr>
        <w:trPr>
          <w:trHeight w:val="222"/>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noncurrent programming and other inventory</w:t>
            </w: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15,449</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13,358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13" w:name="page14"/>
    <w:bookmarkEnd w:id="1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660"/>
        <w:spacing w:after="0" w:line="295" w:lineRule="auto"/>
        <w:rPr>
          <w:sz w:val="20"/>
          <w:szCs w:val="20"/>
          <w:color w:val="auto"/>
        </w:rPr>
      </w:pPr>
      <w:r>
        <w:rPr>
          <w:rFonts w:ascii="Times New Roman" w:cs="Times New Roman" w:eastAsia="Times New Roman" w:hAnsi="Times New Roman"/>
          <w:sz w:val="19"/>
          <w:szCs w:val="19"/>
          <w:color w:val="auto"/>
        </w:rPr>
        <w:t>The following table presents amortization of television and film programming and production costs, which is included within “Operating expenses” on the Consolidated Statements of Operations.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64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9"/>
                <w:szCs w:val="19"/>
                <w:color w:val="auto"/>
              </w:rPr>
            </w:pPr>
          </w:p>
        </w:tc>
        <w:tc>
          <w:tcPr>
            <w:tcW w:w="2040" w:type="dxa"/>
            <w:vAlign w:val="bottom"/>
            <w:gridSpan w:val="3"/>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4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1"/>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costs, acquired programming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987</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6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3,632</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w:t>
            </w:r>
          </w:p>
        </w:tc>
      </w:tr>
      <w:tr>
        <w:trPr>
          <w:trHeight w:val="265"/>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Production costs, internally-produced television and film programming:</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Individual monetization</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392</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6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1,554</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34"/>
        </w:trPr>
        <w:tc>
          <w:tcPr>
            <w:tcW w:w="6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Film group monetization</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1,202</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3,646</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2,148</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RELATED PARTIES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National Amusements, Inc.</w:t>
      </w:r>
    </w:p>
    <w:p>
      <w:pPr>
        <w:spacing w:after="0" w:line="15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National Amusements, Inc. (“NAI”) is the controlling stockholder of the Company. At September 30, 2022, NAI directly or indirectly owned approximately 77.4% of our voting Class A Common Stock and approximately 9.8% of our Class A Common Stock and non-voting Class B Common Stock on a combined basis. NAI is controlled by the Sumner M. Redstone National Amusements Part B General Trust (the “General Trust”), which owns 80% of the voting interest of NAI and acts by majority vote of seven voting trustees (subject to certain exceptions), including with respect to the NAI shares held by the General Trust. Shari E. Redstone, Chairperson, CEO and President of NAI and non-executive Chair of our Board of Directors, is one of the seven voting trustees for the General Trust and is one of two voting trustees who are beneficiaries of the General Trust. No member of our management or other member of our Board of Directors is a trustee of the General Trust.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42"/>
        </w:trPr>
        <w:tc>
          <w:tcPr>
            <w:tcW w:w="4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3"/>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2022 </w:t>
            </w:r>
            <w:r>
              <w:rPr>
                <w:rFonts w:ascii="Times New Roman" w:cs="Times New Roman" w:eastAsia="Times New Roman" w:hAnsi="Times New Roman"/>
                <w:sz w:val="22"/>
                <w:szCs w:val="22"/>
                <w:b w:val="1"/>
                <w:bCs w:val="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3"/>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2022 </w:t>
            </w:r>
            <w:r>
              <w:rPr>
                <w:rFonts w:ascii="Times New Roman" w:cs="Times New Roman" w:eastAsia="Times New Roman" w:hAnsi="Times New Roman"/>
                <w:sz w:val="22"/>
                <w:szCs w:val="22"/>
                <w:b w:val="1"/>
                <w:bCs w:val="1"/>
                <w:color w:val="auto"/>
                <w:vertAlign w:val="superscript"/>
              </w:rPr>
              <w:t>(a)</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211</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34"/>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17</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2"/>
        </w:trPr>
        <w:tc>
          <w:tcPr>
            <w:tcW w:w="4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w w:val="88"/>
              </w:rPr>
              <w:t>At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At</w:t>
            </w:r>
          </w:p>
        </w:tc>
        <w:tc>
          <w:tcPr>
            <w:tcW w:w="800" w:type="dxa"/>
            <w:vAlign w:val="bottom"/>
          </w:tcPr>
          <w:p>
            <w:pPr>
              <w:spacing w:after="0"/>
              <w:rPr>
                <w:sz w:val="18"/>
                <w:szCs w:val="18"/>
                <w:color w:val="auto"/>
              </w:rPr>
            </w:pPr>
          </w:p>
        </w:tc>
      </w:tr>
      <w:tr>
        <w:trPr>
          <w:trHeight w:val="230"/>
        </w:trPr>
        <w:tc>
          <w:tcPr>
            <w:tcW w:w="4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3"/>
              <w:spacing w:after="0" w:line="230" w:lineRule="exact"/>
              <w:rPr>
                <w:sz w:val="20"/>
                <w:szCs w:val="20"/>
                <w:color w:val="auto"/>
              </w:rPr>
            </w:pPr>
            <w:r>
              <w:rPr>
                <w:rFonts w:ascii="Times New Roman" w:cs="Times New Roman" w:eastAsia="Times New Roman" w:hAnsi="Times New Roman"/>
                <w:sz w:val="17"/>
                <w:szCs w:val="17"/>
                <w:b w:val="1"/>
                <w:bCs w:val="1"/>
                <w:color w:val="auto"/>
              </w:rPr>
              <w:t xml:space="preserve">September 30, 2022 </w:t>
            </w:r>
            <w:r>
              <w:rPr>
                <w:rFonts w:ascii="Times New Roman" w:cs="Times New Roman" w:eastAsia="Times New Roman" w:hAnsi="Times New Roman"/>
                <w:sz w:val="22"/>
                <w:szCs w:val="22"/>
                <w:b w:val="1"/>
                <w:bCs w:val="1"/>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22"/>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97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50</w:t>
            </w:r>
          </w:p>
        </w:tc>
      </w:tr>
    </w:tbl>
    <w:p>
      <w:pPr>
        <w:spacing w:after="0" w:line="117" w:lineRule="exact"/>
        <w:rPr>
          <w:sz w:val="20"/>
          <w:szCs w:val="20"/>
          <w:color w:val="auto"/>
        </w:rPr>
      </w:pPr>
    </w:p>
    <w:p>
      <w:pPr>
        <w:ind w:left="1180" w:right="1120" w:hanging="231"/>
        <w:spacing w:after="0" w:line="285" w:lineRule="auto"/>
        <w:tabs>
          <w:tab w:leader="none" w:pos="115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for the three and nine months ended September 30, 2022 and accounts receivable at September 30, 2022 include amounts related to SkyShowtime.</w:t>
      </w:r>
    </w:p>
    <w:p>
      <w:pPr>
        <w:spacing w:after="0" w:line="18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Through the normal course of business, we are involved in transactions with other related parties that have not been material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4" w:name="page15"/>
    <w:bookmarkEnd w:id="14"/>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REVENUES</w:t>
      </w:r>
    </w:p>
    <w:p>
      <w:pPr>
        <w:spacing w:after="0" w:line="15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13 for revenues by segment disaggregated into these categories.</w:t>
      </w:r>
    </w:p>
    <w:p>
      <w:pPr>
        <w:spacing w:after="0" w:line="95" w:lineRule="exact"/>
        <w:rPr>
          <w:sz w:val="20"/>
          <w:szCs w:val="20"/>
          <w:color w:val="auto"/>
        </w:rPr>
      </w:pPr>
    </w:p>
    <w:tbl>
      <w:tblPr>
        <w:tblLayout w:type="fixed"/>
        <w:tblInd w:w="760" w:type="dxa"/>
        <w:tblCellMar>
          <w:top w:w="0" w:type="dxa"/>
          <w:left w:w="0" w:type="dxa"/>
          <w:bottom w:w="0" w:type="dxa"/>
          <w:right w:w="0" w:type="dxa"/>
        </w:tblCellMar>
      </w:tblPr>
      <w:tr>
        <w:trPr>
          <w:trHeight w:val="242"/>
        </w:trPr>
        <w:tc>
          <w:tcPr>
            <w:tcW w:w="49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4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2,337</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2,386</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7,746</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8,094</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2,863</w:t>
            </w:r>
          </w:p>
        </w:tc>
        <w:tc>
          <w:tcPr>
            <w:tcW w:w="3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2,650</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8,591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7,701</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231</w:t>
            </w:r>
          </w:p>
        </w:tc>
        <w:tc>
          <w:tcPr>
            <w:tcW w:w="3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1,126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8"/>
        </w:trPr>
        <w:tc>
          <w:tcPr>
            <w:tcW w:w="4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1,485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1,507</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4,560</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4,589</w:t>
            </w:r>
          </w:p>
        </w:tc>
      </w:tr>
      <w:tr>
        <w:trPr>
          <w:trHeight w:val="222"/>
        </w:trPr>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6,916</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6,610</w:t>
            </w: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22,023</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20,586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5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color w:val="auto"/>
        </w:rPr>
        <w:t>Reserves for accounts receivable reflect our expected credit losses based on historical experience as well as current and expected economic conditions. During the nine months ended September 30, 2022, we recorded charges totaling $46 million following Russia’s invasion of Ukraine in the first quarter of 2022, principally to reserve against amounts due from counterparties in Russia, Belarus and Ukraine. The charges were recorded within “Restructuring and other corporate matters” on the Consolidated Statement of Operations. At September 30, 2022 and December 31, 2021, our allowance for credit losses was $111 million and $80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Included in “Other assets” on the Consolidated Balance Sheets are noncurrent receivables of $1.57 billion and $1.84 billion at September 30,</w:t>
      </w:r>
    </w:p>
    <w:p>
      <w:pPr>
        <w:spacing w:after="0" w:line="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2022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9"/>
          <w:szCs w:val="19"/>
          <w:color w:val="auto"/>
        </w:rPr>
        <w:t xml:space="preserve"> December 31, 2021,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totaled $866 million</w:t>
      </w:r>
    </w:p>
    <w:p>
      <w:pPr>
        <w:spacing w:after="0" w:line="3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9"/>
          <w:szCs w:val="19"/>
          <w:color w:val="auto"/>
        </w:rPr>
        <w:t xml:space="preserve">and $1.20 billion at September 30, 2022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9"/>
          <w:szCs w:val="19"/>
          <w:color w:val="auto"/>
        </w:rPr>
        <w:t xml:space="preserve"> December 31, 2021, respectively. For each of the nine months ended September 30, 2022 and 2021, we recognized revenues of $0.8 billion that were included in deferred revenues at December 31, 2021 and 2020,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At September 30, 2022, unrecognized revenues attributable to unsatisfied performance obligations under our long-term contracts were approximately $9 billion, of which $1 billion is expected to be recognized for the remainder of 2022, $3 billion in 2023, $2 billion in 2024, and $3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5" w:name="page16"/>
    <w:bookmarkEnd w:id="15"/>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Under certain licensing arrangements, the amount and timing of our revenue recognition is determined based on our licensees’ subsequent sale to its end customers. As a result, under such arrangements we often satisfy our performance obligation of delivery of our content in advance of revenue recognition. For the three months ended September 30, 2022 and 2021, we recognized revenues of $0.3 billion and $0.1 billion, respectively, and for each of the nine months ended September 30, 2022 and 2021, we recognized revenues of $0.3 billion from arrangements for the licensing of our content, including from distributors of transactional video-on-demand and electronic sell-through services and other licensing arrangements, as well as from the theatrical distribution of our films, for which our performance obligation was satisfied in a prior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DEBT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debt consists of the following:</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21"/>
              <w:spacing w:after="0"/>
              <w:rPr>
                <w:sz w:val="20"/>
                <w:szCs w:val="20"/>
                <w:color w:val="auto"/>
              </w:rPr>
            </w:pPr>
            <w:r>
              <w:rPr>
                <w:rFonts w:ascii="Times New Roman" w:cs="Times New Roman" w:eastAsia="Times New Roman" w:hAnsi="Times New Roman"/>
                <w:sz w:val="16"/>
                <w:szCs w:val="16"/>
                <w:b w:val="1"/>
                <w:bCs w:val="1"/>
                <w:color w:val="auto"/>
              </w:rPr>
              <w:t>At</w:t>
            </w:r>
          </w:p>
        </w:tc>
        <w:tc>
          <w:tcPr>
            <w:tcW w:w="9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10"/>
        </w:trPr>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2"/>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320" w:type="dxa"/>
            <w:vAlign w:val="bottom"/>
            <w:tcBorders>
              <w:bottom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7.875%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Debentures due 2023</w:t>
            </w:r>
          </w:p>
        </w:tc>
        <w:tc>
          <w:tcPr>
            <w:tcW w:w="16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139</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139</w:t>
            </w:r>
          </w:p>
        </w:tc>
      </w:tr>
      <w:tr>
        <w:trPr>
          <w:trHeight w:val="209"/>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7.125%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35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3.875%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2024</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490</w:t>
            </w:r>
          </w:p>
        </w:tc>
      </w:tr>
      <w:tr>
        <w:trPr>
          <w:trHeight w:val="21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3.70% Senior Notes due 2024</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599</w:t>
            </w:r>
          </w:p>
        </w:tc>
      </w:tr>
      <w:tr>
        <w:trPr>
          <w:trHeight w:val="21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3.50% Senior Notes due 2025</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597</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552</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1,242</w:t>
            </w:r>
          </w:p>
        </w:tc>
      </w:tr>
      <w:tr>
        <w:trPr>
          <w:trHeight w:val="21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794</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793</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124</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694</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692</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3.375%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496</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494</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493</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495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494</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7.875%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2030</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830</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830</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1,225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1,223</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974</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972</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5.50%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427</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427</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87</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87</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6.875%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2036</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1,071</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1,070</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75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298</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298</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45</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488</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488</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4.375%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1,128</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1,123</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4.875%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18</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5.85%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1,233</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1,233</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345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345</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541</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540</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4.60%</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590</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590</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945</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944</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5.875%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514</w:t>
            </w: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6.25%</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643</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643</w:t>
            </w:r>
          </w:p>
        </w:tc>
      </w:tr>
      <w:tr>
        <w:trPr>
          <w:trHeight w:val="21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6.375%</w:t>
            </w:r>
          </w:p>
        </w:tc>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2062</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989</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bank borrowings</w:t>
            </w:r>
          </w:p>
        </w:tc>
        <w:tc>
          <w:tcPr>
            <w:tcW w:w="1600" w:type="dxa"/>
            <w:vAlign w:val="bottom"/>
          </w:tcPr>
          <w:p>
            <w:pPr>
              <w:spacing w:after="0"/>
              <w:rPr>
                <w:sz w:val="18"/>
                <w:szCs w:val="18"/>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47</w:t>
            </w:r>
          </w:p>
        </w:tc>
        <w:tc>
          <w:tcPr>
            <w:tcW w:w="960" w:type="dxa"/>
            <w:vAlign w:val="bottom"/>
          </w:tcPr>
          <w:p>
            <w:pPr>
              <w:spacing w:after="0"/>
              <w:rPr>
                <w:sz w:val="18"/>
                <w:szCs w:val="18"/>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4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1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rPr>
              <w:t>12</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16</w:t>
            </w:r>
          </w:p>
        </w:tc>
      </w:tr>
      <w:tr>
        <w:trPr>
          <w:trHeight w:val="204"/>
        </w:trPr>
        <w:tc>
          <w:tcPr>
            <w:tcW w:w="44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(a)</w:t>
            </w:r>
          </w:p>
        </w:tc>
        <w:tc>
          <w:tcPr>
            <w:tcW w:w="1600" w:type="dxa"/>
            <w:vAlign w:val="bottom"/>
          </w:tcPr>
          <w:p>
            <w:pPr>
              <w:spacing w:after="0"/>
              <w:rPr>
                <w:sz w:val="17"/>
                <w:szCs w:val="17"/>
                <w:color w:val="auto"/>
              </w:rPr>
            </w:pPr>
          </w:p>
        </w:tc>
        <w:tc>
          <w:tcPr>
            <w:tcW w:w="160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15,834</w:t>
            </w:r>
          </w:p>
        </w:tc>
        <w:tc>
          <w:tcPr>
            <w:tcW w:w="960" w:type="dxa"/>
            <w:vAlign w:val="bottom"/>
          </w:tcPr>
          <w:p>
            <w:pPr>
              <w:spacing w:after="0"/>
              <w:rPr>
                <w:sz w:val="17"/>
                <w:szCs w:val="17"/>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17,709</w:t>
            </w:r>
          </w:p>
        </w:tc>
      </w:tr>
      <w:tr>
        <w:trPr>
          <w:trHeight w:val="208"/>
        </w:trPr>
        <w:tc>
          <w:tcPr>
            <w:tcW w:w="44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1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rPr>
              <w:t>196</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11</w:t>
            </w:r>
          </w:p>
        </w:tc>
      </w:tr>
      <w:tr>
        <w:trPr>
          <w:trHeight w:val="211"/>
        </w:trPr>
        <w:tc>
          <w:tcPr>
            <w:tcW w:w="4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1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rPr>
              <w:t>15,638</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17,698</w:t>
            </w:r>
          </w:p>
        </w:tc>
      </w:tr>
    </w:tbl>
    <w:p>
      <w:pPr>
        <w:spacing w:after="0" w:line="95" w:lineRule="exact"/>
        <w:rPr>
          <w:sz w:val="20"/>
          <w:szCs w:val="20"/>
          <w:color w:val="auto"/>
        </w:rPr>
      </w:pPr>
    </w:p>
    <w:p>
      <w:pPr>
        <w:ind w:left="800" w:right="580" w:hanging="244"/>
        <w:spacing w:after="0" w:line="270" w:lineRule="auto"/>
        <w:tabs>
          <w:tab w:leader="none" w:pos="75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and December 31, 2021, the senior and junior subordinated debt balances included (i) a net unamortized discount of $446 million and $466 million, respectively, and (ii) unamortized deferred financing costs of $91 million and $95 million, respectively. The face value of our total debt was $16.37 billion and $18.27 billion at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6" w:name="page17"/>
    <w:bookmarkEnd w:id="16"/>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During the nine months ended September 30, 2022, we redeemed senior notes totaling $2.39 billion, prior to maturity, for an aggregate redemption price of $2.49 billion. Additionally, in February 2022, we redeemed our $520 million of 5.875% junior subordinated debentures due February 2057 at par. These redemptions resulted in a total pre-tax loss on extinguishment of debt of $120 million for the nine months ended September 30, 2022.</w:t>
      </w:r>
    </w:p>
    <w:p>
      <w:pPr>
        <w:spacing w:after="0" w:line="1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During the nine months ended September 30,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at any interest payment date thereafter.</w:t>
      </w:r>
    </w:p>
    <w:p>
      <w:pPr>
        <w:spacing w:after="0" w:line="188"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9"/>
          <w:szCs w:val="19"/>
          <w:color w:val="auto"/>
        </w:rPr>
        <w:t>During the nine months ended September 30, 2021, we redeemed senior notes totaling $1.99 billion, prior to maturity, for an aggregate redemption price of $2.11 billion resulting in a pre-tax loss on extinguishment of debt of $128 million.</w:t>
      </w:r>
    </w:p>
    <w:p>
      <w:pPr>
        <w:spacing w:after="0" w:line="1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Our 6.25% junior subordinated debentures due February 2057 accrue interest at the stated fixed rates until February 28, 2027, on which date the rate will switch to a floating rate. Under the terms of the debentures the floating rate is based on three-month LIBOR plus 3.899%, reset quarterly. These debentures can be called by us at par at any time after the expiration of the fixed-rate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Commercial Paper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September 30, 2022 and December 31, 2021, we had no outstanding commercial paper borrowings.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At September 30, 2022,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The benchmark rate for loans denominated in euros, sterling and yen is based on EURIBOR, SONIA and TIBOR rates, respectively.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On February 14, 2022, we amended our Credit Facility to modify the definition of the Consolidated Total Leverage Ratio in the amended credit agreement to allow unrestricted cash and cash equivalents to be netted against Consolidated Indebtedness through June 2024</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 xml:space="preserve"> We met the covenant as of September 30, 2022.</w:t>
      </w:r>
    </w:p>
    <w:p>
      <w:pPr>
        <w:spacing w:after="0" w:line="200" w:lineRule="exact"/>
        <w:rPr>
          <w:sz w:val="20"/>
          <w:szCs w:val="20"/>
          <w:color w:val="auto"/>
        </w:rPr>
      </w:pPr>
    </w:p>
    <w:p>
      <w:pPr>
        <w:spacing w:after="0" w:line="248"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9"/>
          <w:szCs w:val="19"/>
          <w:color w:val="auto"/>
        </w:rPr>
        <w:t>At September 30, 2022, we had no borrowings outstanding under the Credit Facility and the remaining availability under the Credit Facility, net of outstanding letters of credit, was $3.50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7" w:name="page18"/>
    <w:bookmarkEnd w:id="1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Bank Borrowings</w:t>
      </w:r>
    </w:p>
    <w:p>
      <w:pPr>
        <w:spacing w:after="0" w:line="15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At September 30, 2022 and December 31, 2021, we had bank borrowings under Miramax’s $300 million credit facility, which matures in April 2023, of $47 million and $35 million, respectively, with weighted average interest rates of 5.80% and 3.50%,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FINANCIAL INSTRUMENTS AND FAIR VALUE MEASUREMENTS</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September 30, 2022 and December 31, 2021, the carrying value of our notes and debentures was $15.78 billion and $17.66 billion, respectively, and the fair value, which is determined based on quoted prices in active markets (Level 1 in the fair value hierarchy) was $13.7 billion and $21.5 billion,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6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9"/>
          <w:szCs w:val="19"/>
          <w:color w:val="auto"/>
        </w:rPr>
        <w:t>The carrying value of our investments without a readily determinable fair value for which we have no significant influence was $66 million and $59 million at September 30, 2022 and December 31, 2021, respectively. These investments are included in “Other assets” on the Consolidated Balance Sheets.</w:t>
      </w:r>
    </w:p>
    <w:p>
      <w:pPr>
        <w:spacing w:after="0" w:line="194"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9"/>
          <w:szCs w:val="19"/>
          <w:color w:val="auto"/>
        </w:rPr>
        <w:t>On September 30, 2022, we sold a 37.5% interest in The CW to Nexstar Media Inc. and received a noncash distribution of $139 million, comprised of certain licensing receivables earned by The CW prior to the sale. This transaction, which reduced our ownership in The CW to</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12.5%, resulted in a loss of $4 million, which principally consists of transaction costs. This loss, along with an impairment of an investment of $5 million, is recorded in “Net gains (losses) from investments” on the Consolidated Statements of Operations.</w:t>
      </w:r>
    </w:p>
    <w:p>
      <w:pPr>
        <w:spacing w:after="0" w:line="1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During the three months ended September 30, 2021, we recorded a net loss from investments of $5 million, reflecting changes in the fair value of a marketable security that was sold during the third quarter of 2021, and during the nine months ended September 30, 2021, we recorded a net gain from investments of $47 million, which included a gain of $37 million from the sale of an investment without a readily determinable fair value and a net gain from changes in the fair value of the marketable security discussed above. These amounts were recorded in “Net gains (losses) from investments” on the Consolidated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Foreign Exchange Contracts</w:t>
      </w:r>
    </w:p>
    <w:p>
      <w:pPr>
        <w:spacing w:after="0" w:line="15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We use derivative financial instruments primarily to modify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At September 30, 2022 and December 31, 2021, the notional amount of all foreign exchange contracts was $2.66 billion and $1.94 billion, respectively. At September 30, 2022, $2.04 billion related to future production costs and $621 million related to our foreign currency balances and other expected foreign currency cash flows. At December 31, 2021, $1.38 billion related to future production costs and $564 million related to our foreign currency balances and other expected foreign currency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8" w:name="page19"/>
    <w:bookmarkEnd w:id="18"/>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recognized on derivative financial instruments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6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tcPr>
          <w:p>
            <w:pPr>
              <w:spacing w:after="0"/>
              <w:rPr>
                <w:sz w:val="21"/>
                <w:szCs w:val="21"/>
                <w:color w:val="auto"/>
              </w:rPr>
            </w:pPr>
          </w:p>
        </w:tc>
      </w:tr>
      <w:tr>
        <w:trPr>
          <w:trHeight w:val="230"/>
        </w:trPr>
        <w:tc>
          <w:tcPr>
            <w:tcW w:w="392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3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 Account</w:t>
            </w:r>
          </w:p>
        </w:tc>
      </w:tr>
      <w:tr>
        <w:trPr>
          <w:trHeight w:val="222"/>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Non-designated foreign exchange contracts</w:t>
            </w: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35</w:t>
            </w:r>
          </w:p>
        </w:tc>
        <w:tc>
          <w:tcPr>
            <w:tcW w:w="8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13</w:t>
            </w:r>
          </w:p>
        </w:tc>
        <w:tc>
          <w:tcPr>
            <w:tcW w:w="7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75</w:t>
            </w:r>
          </w:p>
        </w:tc>
        <w:tc>
          <w:tcPr>
            <w:tcW w:w="8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12</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 items, net</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 of our derivative instruments was not material to the Consolidated Balance Sheets for any of the periods presented.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The table below presents our assets and liabilities that are measured at fair value on a recurring basis at September 30, 2022 and December 31, 2021.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31" w:lineRule="exact"/>
        <w:rPr>
          <w:sz w:val="20"/>
          <w:szCs w:val="20"/>
          <w:color w:val="auto"/>
        </w:rPr>
      </w:pPr>
    </w:p>
    <w:tbl>
      <w:tblPr>
        <w:tblLayout w:type="fixed"/>
        <w:tblInd w:w="1020" w:type="dxa"/>
        <w:tblCellMar>
          <w:top w:w="0" w:type="dxa"/>
          <w:left w:w="0" w:type="dxa"/>
          <w:bottom w:w="0" w:type="dxa"/>
          <w:right w:w="0" w:type="dxa"/>
        </w:tblCellMar>
      </w:tblPr>
      <w:tr>
        <w:trPr>
          <w:trHeight w:val="242"/>
        </w:trPr>
        <w:tc>
          <w:tcPr>
            <w:tcW w:w="33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1093"/>
              <w:spacing w:after="0"/>
              <w:rPr>
                <w:sz w:val="20"/>
                <w:szCs w:val="20"/>
                <w:color w:val="auto"/>
              </w:rPr>
            </w:pPr>
            <w:r>
              <w:rPr>
                <w:rFonts w:ascii="Times New Roman" w:cs="Times New Roman" w:eastAsia="Times New Roman" w:hAnsi="Times New Roman"/>
                <w:sz w:val="17"/>
                <w:szCs w:val="17"/>
                <w:b w:val="1"/>
                <w:bCs w:val="1"/>
                <w:color w:val="auto"/>
              </w:rPr>
              <w:t>At</w:t>
            </w:r>
          </w:p>
        </w:tc>
        <w:tc>
          <w:tcPr>
            <w:tcW w:w="9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30"/>
        </w:trPr>
        <w:tc>
          <w:tcPr>
            <w:tcW w:w="33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24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hedges</w:t>
            </w:r>
          </w:p>
        </w:tc>
        <w:tc>
          <w:tcPr>
            <w:tcW w:w="2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59</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23</w:t>
            </w: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59</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23</w:t>
            </w:r>
          </w:p>
        </w:tc>
      </w:tr>
      <w:tr>
        <w:trPr>
          <w:trHeight w:val="211"/>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2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313</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435</w:t>
            </w:r>
          </w:p>
        </w:tc>
      </w:tr>
      <w:tr>
        <w:trPr>
          <w:trHeight w:val="22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hedges</w:t>
            </w:r>
          </w:p>
        </w:tc>
        <w:tc>
          <w:tcPr>
            <w:tcW w:w="2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137</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450</w:t>
            </w: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464</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VARIABLE INTEREST ENTITIES</w:t>
      </w:r>
    </w:p>
    <w:p>
      <w:pPr>
        <w:spacing w:after="0" w:line="1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variable interest entity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9" w:name="page20"/>
    <w:bookmarkEnd w:id="1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178" w:lineRule="exact"/>
        <w:rPr>
          <w:sz w:val="20"/>
          <w:szCs w:val="20"/>
          <w:color w:val="auto"/>
        </w:rPr>
      </w:pPr>
    </w:p>
    <w:tbl>
      <w:tblPr>
        <w:tblLayout w:type="fixed"/>
        <w:tblInd w:w="2360" w:type="dxa"/>
        <w:tblCellMar>
          <w:top w:w="0" w:type="dxa"/>
          <w:left w:w="0" w:type="dxa"/>
          <w:bottom w:w="0" w:type="dxa"/>
          <w:right w:w="0" w:type="dxa"/>
        </w:tblCellMar>
      </w:tblPr>
      <w:tr>
        <w:trPr>
          <w:trHeight w:val="242"/>
        </w:trPr>
        <w:tc>
          <w:tcPr>
            <w:tcW w:w="9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At</w:t>
            </w:r>
          </w:p>
        </w:tc>
        <w:tc>
          <w:tcPr>
            <w:tcW w:w="3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30"/>
        </w:trPr>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21"/>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1,771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1,578</w:t>
            </w:r>
          </w:p>
        </w:tc>
      </w:tr>
      <w:tr>
        <w:trPr>
          <w:trHeight w:val="316"/>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8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184</w:t>
            </w:r>
          </w:p>
        </w:tc>
      </w:tr>
      <w:tr>
        <w:trPr>
          <w:trHeight w:val="268"/>
        </w:trPr>
        <w:tc>
          <w:tcPr>
            <w:tcW w:w="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4"/>
          </w:tcPr>
          <w:p>
            <w:pPr>
              <w:spacing w:after="0"/>
              <w:rPr>
                <w:sz w:val="23"/>
                <w:szCs w:val="23"/>
                <w:color w:val="auto"/>
              </w:rPr>
            </w:pPr>
          </w:p>
        </w:tc>
      </w:tr>
      <w:tr>
        <w:trPr>
          <w:trHeight w:val="170"/>
        </w:trPr>
        <w:tc>
          <w:tcPr>
            <w:tcW w:w="9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4"/>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Three Months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13"/>
              <w:spacing w:after="0" w:line="171" w:lineRule="exact"/>
              <w:rPr>
                <w:sz w:val="20"/>
                <w:szCs w:val="20"/>
                <w:color w:val="auto"/>
              </w:rPr>
            </w:pPr>
            <w:r>
              <w:rPr>
                <w:rFonts w:ascii="Times New Roman" w:cs="Times New Roman" w:eastAsia="Times New Roman" w:hAnsi="Times New Roman"/>
                <w:sz w:val="17"/>
                <w:szCs w:val="17"/>
                <w:b w:val="1"/>
                <w:bCs w:val="1"/>
                <w:color w:val="auto"/>
              </w:rPr>
              <w:t>Nine Months</w:t>
            </w:r>
          </w:p>
        </w:tc>
        <w:tc>
          <w:tcPr>
            <w:tcW w:w="940" w:type="dxa"/>
            <w:vAlign w:val="bottom"/>
          </w:tcPr>
          <w:p>
            <w:pPr>
              <w:spacing w:after="0"/>
              <w:rPr>
                <w:sz w:val="14"/>
                <w:szCs w:val="14"/>
                <w:color w:val="auto"/>
              </w:rPr>
            </w:pPr>
          </w:p>
        </w:tc>
      </w:tr>
      <w:tr>
        <w:trPr>
          <w:trHeight w:val="229"/>
        </w:trPr>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4"/>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30"/>
        </w:trPr>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9"/>
                <w:szCs w:val="19"/>
                <w:color w:val="auto"/>
              </w:rPr>
            </w:pPr>
          </w:p>
        </w:tc>
        <w:tc>
          <w:tcPr>
            <w:tcW w:w="2160" w:type="dxa"/>
            <w:vAlign w:val="bottom"/>
            <w:gridSpan w:val="4"/>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740" w:type="dxa"/>
            <w:vAlign w:val="bottom"/>
            <w:tcBorders>
              <w:top w:val="single" w:sz="8" w:color="auto"/>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940" w:type="dxa"/>
            <w:vAlign w:val="bottom"/>
          </w:tcPr>
          <w:p>
            <w:pPr>
              <w:spacing w:after="0"/>
              <w:rPr>
                <w:sz w:val="18"/>
                <w:szCs w:val="18"/>
                <w:color w:val="auto"/>
              </w:rPr>
            </w:pPr>
          </w:p>
        </w:tc>
      </w:tr>
      <w:tr>
        <w:trPr>
          <w:trHeight w:val="221"/>
        </w:trPr>
        <w:tc>
          <w:tcPr>
            <w:tcW w:w="9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940" w:type="dxa"/>
            <w:vAlign w:val="bottom"/>
          </w:tcPr>
          <w:p>
            <w:pPr>
              <w:spacing w:after="0"/>
              <w:rPr>
                <w:sz w:val="19"/>
                <w:szCs w:val="19"/>
                <w:color w:val="auto"/>
              </w:rPr>
            </w:pPr>
          </w:p>
        </w:tc>
      </w:tr>
      <w:tr>
        <w:trPr>
          <w:trHeight w:val="316"/>
        </w:trPr>
        <w:tc>
          <w:tcPr>
            <w:tcW w:w="920" w:type="dxa"/>
            <w:vAlign w:val="bottom"/>
          </w:tcPr>
          <w:p>
            <w:pPr>
              <w:spacing w:after="0"/>
              <w:rPr>
                <w:sz w:val="24"/>
                <w:szCs w:val="24"/>
                <w:color w:val="auto"/>
              </w:rPr>
            </w:pPr>
          </w:p>
        </w:tc>
        <w:tc>
          <w:tcPr>
            <w:tcW w:w="190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940" w:type="dxa"/>
            <w:vAlign w:val="bottom"/>
          </w:tcPr>
          <w:p>
            <w:pPr>
              <w:spacing w:after="0"/>
              <w:rPr>
                <w:sz w:val="24"/>
                <w:szCs w:val="24"/>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STOCKHOLDERS’ EQUITY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Offerings</w:t>
      </w:r>
    </w:p>
    <w:p>
      <w:pPr>
        <w:spacing w:after="0" w:line="16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Mandatory Convertible Preferred Stock</w:t>
      </w:r>
    </w:p>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Unless earlier converted, each share of Mandatory Convertible Preferred Stock will automatically and mandatorily convert on the mandatory conversion date, expected to be April 1, 2024, into between 1.0013 and 1.1765 shares of our Class B Common Stock, subject to customary antidilution adjustments. The number of shares of Class B Common Stock issuable upon conversion will be determined based on the average of the volume-weighted average price per share of our Class B Common Stock over the 20 consecutive trading day period commencing on, and including, the 21st scheduled trading day immediately preceding April 1, 2024. Holders of the Mandatory Convertible Preferred Stock (“Holders”) have the right to convert all or any portion of their shares of Mandatory Convertible Preferred Stock at any time prior to April 1, 2024 at the minimum conversion rate of 1.0013 shares of our Class B Common Stock. In addition, the conversion rate applicable to such an early conversion may, in certain circumstances, be increased to compensate Holders for certain unpaid accumulated dividends. However, if a fundamental change (as defined in the Certificate of Designations governing the Mandatory Convertible Preferred Stock) occurs on or prior to April 1, 2024, then Holders will, in certain circumstances, be entitled to convert all or a portion of their shares of Mandatory Convertible Preferred Stock at an increased conversion rate for a specified period of time and receive an amount to compensate them for unpaid accumulated dividends and any remaining future scheduled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20" w:name="page21"/>
    <w:bookmarkEnd w:id="2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 Mandatory Convertible Preferred Stock is not redeemable. However, at our option, we may purchase or otherwise acquire (including in an exchange transaction) the Mandatory Convertible Preferred Stock from time to time in the open market, by tender or exchange offer or otherwise, without the consent of, or notice to, Holders. Holders have no voting rights, with certain exceptions.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If declared, dividends on the Mandatory Convertible Preferred Stock are payable quarterly through April 1, 2024. Dividends on the Mandatory Convertible Preferred Stock accumulate from the most recent dividend payment date, and will be payable on a cumulative basis when, as and if declared by our Board of Directors, or an authorized committee thereof, at an annual rate of 5.75% of the liquidation preference of $100 per share, payable in cash or, subject to certain limitations, by delivery of shares of Class B Common Stock or through any combination of cash and shares of Class B Common Stock, at our election. If we have not declared any portion of the accumulated and unpaid dividends by April 1, 2024, the conversion rate will be adjusted so that Holders receive an additional number of shares of our Class B Common Stock, with certain limitations.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We declared cash dividends of $.24 per share on our Class A and Class B Common Stock during each of the three-month periods ended September 30, 2022 and 2021, resulting in total dividends of $159 million for each of the respective periods. We declared cash dividends of $.72 per share on our Class A and Class B Common Stock during each of the nine-month periods ended September 30, 2022 and 2021, resulting in total dividends of $477 million and $468 million, respectively.</w:t>
      </w:r>
    </w:p>
    <w:p>
      <w:pPr>
        <w:spacing w:after="0" w:line="19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During each of the three quarters of 2022, we declared a quarterly cash dividend of $1.4375 per share on our Mandatory Convertible Preferred Stock, resulting in total dividends of $14.4 million for the three months ended September 30, 2022, and $43.1 million for the nine months ended September 30, 2022. During the second and third quarters of 2021, we declared quarterly cash dividends on our Mandatory Convertible Preferred Stock of $1.5493 per share and $1.4375 per share, respectively. The dividend period for the dividend declared during the second quarter was from March 26, 2021 through July 1, 2021. Accordingly, we recorded dividends on the Mandatory Convertible Preferred Stock of $14.4 million and $29.9 million during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1" w:name="page22"/>
    <w:bookmarkEnd w:id="2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Accumulated Other Comprehensive Income (Loss)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changes in the components of accumulated other comprehensive loss.</w:t>
      </w:r>
    </w:p>
    <w:p>
      <w:pPr>
        <w:spacing w:after="0" w:line="191"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3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gridSpan w:val="3"/>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Continuing Operations</w:t>
            </w: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Discontinued</w:t>
            </w:r>
          </w:p>
        </w:tc>
        <w:tc>
          <w:tcPr>
            <w:tcW w:w="5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293"/>
              <w:spacing w:after="0" w:line="164" w:lineRule="exact"/>
              <w:rPr>
                <w:sz w:val="20"/>
                <w:szCs w:val="20"/>
                <w:color w:val="auto"/>
              </w:rPr>
            </w:pPr>
            <w:r>
              <w:rPr>
                <w:rFonts w:ascii="Times New Roman" w:cs="Times New Roman" w:eastAsia="Times New Roman" w:hAnsi="Times New Roman"/>
                <w:sz w:val="17"/>
                <w:szCs w:val="17"/>
                <w:b w:val="1"/>
                <w:bCs w:val="1"/>
                <w:color w:val="auto"/>
              </w:rPr>
              <w:t>Cumulative</w:t>
            </w:r>
          </w:p>
        </w:tc>
        <w:tc>
          <w:tcPr>
            <w:tcW w:w="170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b w:val="1"/>
                <w:bCs w:val="1"/>
                <w:color w:val="auto"/>
              </w:rPr>
              <w:t>Net Actuarial</w:t>
            </w:r>
          </w:p>
        </w:tc>
        <w:tc>
          <w:tcPr>
            <w:tcW w:w="100" w:type="dxa"/>
            <w:vAlign w:val="bottom"/>
          </w:tcPr>
          <w:p>
            <w:pPr>
              <w:spacing w:after="0"/>
              <w:rPr>
                <w:sz w:val="14"/>
                <w:szCs w:val="14"/>
                <w:color w:val="auto"/>
              </w:rPr>
            </w:pPr>
          </w:p>
        </w:tc>
        <w:tc>
          <w:tcPr>
            <w:tcW w:w="1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Other Comprehensive</w:t>
            </w:r>
          </w:p>
        </w:tc>
        <w:tc>
          <w:tcPr>
            <w:tcW w:w="1740" w:type="dxa"/>
            <w:vAlign w:val="bottom"/>
            <w:gridSpan w:val="2"/>
          </w:tcPr>
          <w:p>
            <w:pPr>
              <w:jc w:val="center"/>
              <w:ind w:left="13"/>
              <w:spacing w:after="0" w:line="164"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293"/>
              <w:spacing w:after="0" w:line="171" w:lineRule="exact"/>
              <w:rPr>
                <w:sz w:val="20"/>
                <w:szCs w:val="20"/>
                <w:color w:val="auto"/>
              </w:rPr>
            </w:pPr>
            <w:r>
              <w:rPr>
                <w:rFonts w:ascii="Times New Roman" w:cs="Times New Roman" w:eastAsia="Times New Roman" w:hAnsi="Times New Roman"/>
                <w:sz w:val="17"/>
                <w:szCs w:val="17"/>
                <w:b w:val="1"/>
                <w:bCs w:val="1"/>
                <w:color w:val="auto"/>
              </w:rPr>
              <w:t>Translation</w:t>
            </w:r>
          </w:p>
        </w:tc>
        <w:tc>
          <w:tcPr>
            <w:tcW w:w="1800" w:type="dxa"/>
            <w:vAlign w:val="bottom"/>
            <w:gridSpan w:val="4"/>
          </w:tcPr>
          <w:p>
            <w:pPr>
              <w:ind w:left="320"/>
              <w:spacing w:after="0" w:line="171" w:lineRule="exact"/>
              <w:rPr>
                <w:sz w:val="20"/>
                <w:szCs w:val="20"/>
                <w:color w:val="auto"/>
              </w:rPr>
            </w:pPr>
            <w:r>
              <w:rPr>
                <w:rFonts w:ascii="Times New Roman" w:cs="Times New Roman" w:eastAsia="Times New Roman" w:hAnsi="Times New Roman"/>
                <w:sz w:val="17"/>
                <w:szCs w:val="17"/>
                <w:b w:val="1"/>
                <w:bCs w:val="1"/>
                <w:color w:val="auto"/>
              </w:rPr>
              <w:t>Loss and Prior</w:t>
            </w:r>
          </w:p>
        </w:tc>
        <w:tc>
          <w:tcPr>
            <w:tcW w:w="1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center"/>
              <w:ind w:right="393"/>
              <w:spacing w:after="0" w:line="171" w:lineRule="exact"/>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1760" w:type="dxa"/>
            <w:vAlign w:val="bottom"/>
            <w:tcBorders>
              <w:bottom w:val="single" w:sz="8" w:color="auto"/>
            </w:tcBorders>
            <w:gridSpan w:val="2"/>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Income (Loss) </w:t>
            </w:r>
            <w:r>
              <w:rPr>
                <w:rFonts w:ascii="Times New Roman" w:cs="Times New Roman" w:eastAsia="Times New Roman" w:hAnsi="Times New Roman"/>
                <w:sz w:val="22"/>
                <w:szCs w:val="22"/>
                <w:b w:val="1"/>
                <w:bCs w:val="1"/>
                <w:color w:val="auto"/>
                <w:vertAlign w:val="superscript"/>
              </w:rPr>
              <w:t>(a)</w:t>
            </w:r>
          </w:p>
        </w:tc>
        <w:tc>
          <w:tcPr>
            <w:tcW w:w="1740" w:type="dxa"/>
            <w:vAlign w:val="bottom"/>
            <w:tcBorders>
              <w:bottom w:val="single" w:sz="8" w:color="auto"/>
            </w:tcBorders>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December 31, 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(445)</w:t>
            </w:r>
          </w:p>
        </w:tc>
        <w:tc>
          <w:tcPr>
            <w:tcW w:w="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(23)</w:t>
            </w: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(1,902)</w:t>
            </w:r>
          </w:p>
        </w:tc>
        <w:tc>
          <w:tcPr>
            <w:tcW w:w="0" w:type="dxa"/>
            <w:vAlign w:val="bottom"/>
          </w:tcPr>
          <w:p>
            <w:pPr>
              <w:spacing w:after="0"/>
              <w:rPr>
                <w:sz w:val="1"/>
                <w:szCs w:val="1"/>
                <w:color w:val="auto"/>
              </w:rPr>
            </w:pPr>
          </w:p>
        </w:tc>
      </w:tr>
      <w:tr>
        <w:trPr>
          <w:trHeight w:val="164"/>
        </w:trPr>
        <w:tc>
          <w:tcPr>
            <w:tcW w:w="3620" w:type="dxa"/>
            <w:vAlign w:val="bottom"/>
          </w:tcPr>
          <w:p>
            <w:pPr>
              <w:ind w:left="60"/>
              <w:spacing w:after="0" w:line="163" w:lineRule="exact"/>
              <w:rPr>
                <w:sz w:val="20"/>
                <w:szCs w:val="20"/>
                <w:color w:val="auto"/>
              </w:rPr>
            </w:pPr>
            <w:r>
              <w:rPr>
                <w:rFonts w:ascii="Times New Roman" w:cs="Times New Roman" w:eastAsia="Times New Roman" w:hAnsi="Times New Roman"/>
                <w:sz w:val="17"/>
                <w:szCs w:val="17"/>
                <w:color w:val="auto"/>
              </w:rPr>
              <w:t>Other comprehensive loss before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reclassifications</w:t>
            </w:r>
          </w:p>
        </w:tc>
        <w:tc>
          <w:tcPr>
            <w:tcW w:w="320" w:type="dxa"/>
            <w:vAlign w:val="bottom"/>
          </w:tcPr>
          <w:p>
            <w:pPr>
              <w:spacing w:after="0"/>
              <w:rPr>
                <w:sz w:val="20"/>
                <w:szCs w:val="20"/>
                <w:color w:val="auto"/>
              </w:rPr>
            </w:pPr>
          </w:p>
        </w:tc>
        <w:tc>
          <w:tcPr>
            <w:tcW w:w="12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(452)</w:t>
            </w:r>
          </w:p>
        </w:tc>
        <w:tc>
          <w:tcPr>
            <w:tcW w:w="400" w:type="dxa"/>
            <w:vAlign w:val="bottom"/>
          </w:tcPr>
          <w:p>
            <w:pPr>
              <w:spacing w:after="0"/>
              <w:rPr>
                <w:sz w:val="20"/>
                <w:szCs w:val="20"/>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460" w:type="dxa"/>
            <w:vAlign w:val="bottom"/>
          </w:tcPr>
          <w:p>
            <w:pPr>
              <w:spacing w:after="0"/>
              <w:rPr>
                <w:sz w:val="20"/>
                <w:szCs w:val="20"/>
                <w:color w:val="auto"/>
              </w:rPr>
            </w:pPr>
          </w:p>
        </w:tc>
        <w:tc>
          <w:tcPr>
            <w:tcW w:w="130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(14)</w:t>
            </w:r>
          </w:p>
        </w:tc>
        <w:tc>
          <w:tcPr>
            <w:tcW w:w="580" w:type="dxa"/>
            <w:vAlign w:val="bottom"/>
          </w:tcPr>
          <w:p>
            <w:pPr>
              <w:spacing w:after="0"/>
              <w:rPr>
                <w:sz w:val="20"/>
                <w:szCs w:val="20"/>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49</w:t>
            </w:r>
          </w:p>
        </w:tc>
        <w:tc>
          <w:tcPr>
            <w:tcW w:w="440" w:type="dxa"/>
            <w:vAlign w:val="bottom"/>
            <w:tcBorders>
              <w:bottom w:val="single" w:sz="8" w:color="auto"/>
            </w:tcBorders>
            <w:gridSpan w:val="2"/>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(452)</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49</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(14)</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2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September 30, 2022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(897)</w:t>
            </w:r>
          </w:p>
        </w:tc>
        <w:tc>
          <w:tcPr>
            <w:tcW w:w="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(37)</w:t>
            </w: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(2,319)</w:t>
            </w:r>
          </w:p>
        </w:tc>
        <w:tc>
          <w:tcPr>
            <w:tcW w:w="0" w:type="dxa"/>
            <w:vAlign w:val="bottom"/>
          </w:tcPr>
          <w:p>
            <w:pPr>
              <w:spacing w:after="0"/>
              <w:rPr>
                <w:sz w:val="1"/>
                <w:szCs w:val="1"/>
                <w:color w:val="auto"/>
              </w:rPr>
            </w:pPr>
          </w:p>
        </w:tc>
      </w:tr>
    </w:tbl>
    <w:p>
      <w:pPr>
        <w:spacing w:after="0" w:line="137"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5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Continuing Operations</w:t>
            </w: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Discontinued</w:t>
            </w: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154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7"/>
                <w:szCs w:val="17"/>
                <w:b w:val="1"/>
                <w:bCs w:val="1"/>
                <w:color w:val="auto"/>
              </w:rPr>
              <w:t>Cumulative</w:t>
            </w:r>
          </w:p>
        </w:tc>
        <w:tc>
          <w:tcPr>
            <w:tcW w:w="164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7"/>
                <w:szCs w:val="17"/>
                <w:b w:val="1"/>
                <w:bCs w:val="1"/>
                <w:color w:val="auto"/>
              </w:rPr>
              <w:t>Net Actuarial</w:t>
            </w:r>
          </w:p>
        </w:tc>
        <w:tc>
          <w:tcPr>
            <w:tcW w:w="100" w:type="dxa"/>
            <w:vAlign w:val="bottom"/>
          </w:tcPr>
          <w:p>
            <w:pPr>
              <w:spacing w:after="0"/>
              <w:rPr>
                <w:sz w:val="14"/>
                <w:szCs w:val="14"/>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Other Comprehensive</w:t>
            </w:r>
          </w:p>
        </w:tc>
        <w:tc>
          <w:tcPr>
            <w:tcW w:w="1720" w:type="dxa"/>
            <w:vAlign w:val="bottom"/>
            <w:gridSpan w:val="2"/>
          </w:tcPr>
          <w:p>
            <w:pPr>
              <w:jc w:val="center"/>
              <w:ind w:left="13"/>
              <w:spacing w:after="0" w:line="164"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5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Translation</w:t>
            </w:r>
          </w:p>
        </w:tc>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7"/>
                <w:szCs w:val="17"/>
                <w:b w:val="1"/>
                <w:bCs w:val="1"/>
                <w:color w:val="auto"/>
              </w:rPr>
              <w:t>Loss and Prior</w:t>
            </w:r>
          </w:p>
        </w:tc>
        <w:tc>
          <w:tcPr>
            <w:tcW w:w="1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center"/>
              <w:ind w:right="373"/>
              <w:spacing w:after="0" w:line="171" w:lineRule="exact"/>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7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1700" w:type="dxa"/>
            <w:vAlign w:val="bottom"/>
            <w:tcBorders>
              <w:bottom w:val="single" w:sz="8" w:color="auto"/>
            </w:tcBorders>
            <w:gridSpan w:val="2"/>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8"/>
              </w:rPr>
              <w:t xml:space="preserve">Income (Loss) </w:t>
            </w:r>
            <w:r>
              <w:rPr>
                <w:rFonts w:ascii="Times New Roman" w:cs="Times New Roman" w:eastAsia="Times New Roman" w:hAnsi="Times New Roman"/>
                <w:sz w:val="22"/>
                <w:szCs w:val="22"/>
                <w:b w:val="1"/>
                <w:bCs w:val="1"/>
                <w:color w:val="auto"/>
                <w:w w:val="98"/>
                <w:vertAlign w:val="superscript"/>
              </w:rPr>
              <w:t>(a)</w:t>
            </w:r>
          </w:p>
        </w:tc>
        <w:tc>
          <w:tcPr>
            <w:tcW w:w="172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December 31, 2020</w:t>
            </w:r>
          </w:p>
        </w:tc>
        <w:tc>
          <w:tcPr>
            <w:tcW w:w="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(303)</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w w:val="98"/>
              </w:rPr>
              <w:t>(20)</w:t>
            </w: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(1,832)</w:t>
            </w:r>
          </w:p>
        </w:tc>
        <w:tc>
          <w:tcPr>
            <w:tcW w:w="0" w:type="dxa"/>
            <w:vAlign w:val="bottom"/>
          </w:tcPr>
          <w:p>
            <w:pPr>
              <w:spacing w:after="0"/>
              <w:rPr>
                <w:sz w:val="1"/>
                <w:szCs w:val="1"/>
                <w:color w:val="auto"/>
              </w:rPr>
            </w:pPr>
          </w:p>
        </w:tc>
      </w:tr>
      <w:tr>
        <w:trPr>
          <w:trHeight w:val="164"/>
        </w:trPr>
        <w:tc>
          <w:tcPr>
            <w:tcW w:w="3520" w:type="dxa"/>
            <w:vAlign w:val="bottom"/>
          </w:tcPr>
          <w:p>
            <w:pPr>
              <w:ind w:left="80"/>
              <w:spacing w:after="0" w:line="163"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before reclassifications</w:t>
            </w:r>
          </w:p>
        </w:tc>
        <w:tc>
          <w:tcPr>
            <w:tcW w:w="520" w:type="dxa"/>
            <w:vAlign w:val="bottom"/>
          </w:tcPr>
          <w:p>
            <w:pPr>
              <w:spacing w:after="0"/>
              <w:rPr>
                <w:sz w:val="20"/>
                <w:szCs w:val="20"/>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(113)</w:t>
            </w:r>
          </w:p>
        </w:tc>
        <w:tc>
          <w:tcPr>
            <w:tcW w:w="5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(113)</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September 30, 2021</w:t>
            </w:r>
          </w:p>
        </w:tc>
        <w:tc>
          <w:tcPr>
            <w:tcW w:w="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(416)</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w w:val="98"/>
              </w:rPr>
              <w:t>(20)</w:t>
            </w: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(1,883)</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00" w:hanging="18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cumulative translation adjustments.</w:t>
      </w:r>
    </w:p>
    <w:p>
      <w:pPr>
        <w:spacing w:after="0" w:line="61" w:lineRule="exact"/>
        <w:rPr>
          <w:rFonts w:ascii="Times New Roman" w:cs="Times New Roman" w:eastAsia="Times New Roman" w:hAnsi="Times New Roman"/>
          <w:sz w:val="14"/>
          <w:szCs w:val="14"/>
          <w:color w:val="auto"/>
        </w:rPr>
      </w:pPr>
    </w:p>
    <w:p>
      <w:pPr>
        <w:ind w:left="560" w:right="840" w:hanging="240"/>
        <w:spacing w:after="0" w:line="266" w:lineRule="auto"/>
        <w:tabs>
          <w:tab w:leader="none" w:pos="52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amortization of net actuarial losses, which for 2021 includes the accelerated recognition of a portion of the unamortized actuarial losses due to the volume of lump sum benefit payments in one of our pension plans (see Note 11).</w:t>
      </w:r>
    </w:p>
    <w:p>
      <w:pPr>
        <w:spacing w:after="0" w:line="18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of $16 million and $20 million for the nine months ended September 30, 2022 and 2021,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INCOME TAXES</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provision for income taxes represents federal, state and local, and foreign taxes on earnings from continuing operations before income taxes and equity in loss of investee companies. For the three and nine months ended September 30, 2022, we recorded a provision for income taxes of $101 million and $264 million, reflecting effective income tax rates of 31.3% and 20.1%, respectively. Included in the provision for income taxes for the third quarter of 2022 is a net discrete tax provision of $9 million, which primarily reflects discrete tax provisions realized in connection with the filing of our tax returns in international jurisdictions and from the transfer of subsidiaries in connection with a reorganization of our international operations. These items, together with a net tax benefit of $29 million on other items identified as affecting the comparability of our results during the period (which include charges for restructuring and other corporate matters, and a gain on a disposition) increased our effective income tax rate by 5.0 percentage points. The tax provision for the nine months ended September 30, 2022 included a net discrete tax benefit of $72 million primarily resulting from the transfer of intangible assets between our subsidiaries in connection with a reorganization of our international operations. This item, together with a net tax benefit of $77 million on other items identified as affecting the comparability of our results during the nine-month period (which include charges for restructuring and other corporate matters, a loss 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2" w:name="page23"/>
    <w:bookmarkEnd w:id="22"/>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extinguishment of debt, and gains on dispositions) decreased our effective income tax rate by 4.8 percentage points.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For the three and nine months ended September 30, 2021, we recorded a provision for income taxes of $120 million and $312 million, reflecting effective income tax rates of 19.5% and 11.2%, respectively. Included in the provision for income taxes for the nine months ended September 30, 2021 are discrete tax benefits of $290 million primarily consisting of a benefit of $260 million to remeasure our UK net deferred income tax asset as a result of the enactment during the second quarter of 2021 of an increase in the UK corporate income tax rate from 19% to 25% beginning April 1, 2023, as well as a net tax benefit in connection with the settlement of income tax audits. For the nine months ended September 30, 2021, these discrete tax benefits, together with a net tax benefit of $14 million on other items identified as affecting the comparability of our results during the period (which include a loss on extinguishment of debt, restructuring and pension settlement charges and net gains from dispositions and investments) reduced our effective income tax rate by 10.5 percentage points.</w:t>
      </w:r>
    </w:p>
    <w:p>
      <w:pPr>
        <w:spacing w:after="0" w:line="19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9"/>
          <w:szCs w:val="19"/>
          <w:color w:val="auto"/>
        </w:rPr>
        <w:t>The Company and its subsidiaries file income tax returns with the Internal Revenue Service (“IRS”) and various state and local and foreign jurisdictions. For periods prior to the merger of Viacom Inc. (“Viacom”) with and into CBS Corporation (“CBS”) (the “Merger”), Viacom and CBS filed separate tax returns. For CBS, we are currently under examination by the IRS for the 2017 and 2018 tax years. For Viacom, we are currently under examination by the IRS for the 2016 through 2019 tax years. For tax returns filed as a merged company, we are currently under examination by the IRS for the 2019 tax year.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3" w:name="page24"/>
    <w:bookmarkEnd w:id="2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PENSION AND OTHER POSTRETIREMENT BENEFITS</w:t>
      </w:r>
    </w:p>
    <w:p>
      <w:pPr>
        <w:spacing w:after="0" w:line="1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 following table presents the components of net periodic cost for our pension and postretirement benefit plans. The service cost component of net periodic cost is presented on the Consolidated Statements of Operations within operating income and all other components of net periodic cost are included within “Other items, net”.</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249"/>
        </w:trPr>
        <w:tc>
          <w:tcPr>
            <w:tcW w:w="5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r>
      <w:tr>
        <w:trPr>
          <w:trHeight w:val="21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40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Components of net periodic 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tcPr>
          <w:p>
            <w:pPr>
              <w:spacing w:after="0"/>
              <w:rPr>
                <w:sz w:val="19"/>
                <w:szCs w:val="19"/>
                <w:color w:val="auto"/>
              </w:rPr>
            </w:pP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Pr>
          <w:p>
            <w:pPr>
              <w:spacing w:after="0"/>
              <w:rPr>
                <w:sz w:val="19"/>
                <w:szCs w:val="19"/>
                <w:color w:val="auto"/>
              </w:rPr>
            </w:pP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00" w:type="dxa"/>
            <w:vAlign w:val="bottom"/>
          </w:tcPr>
          <w:p>
            <w:pPr>
              <w:spacing w:after="0"/>
              <w:rPr>
                <w:sz w:val="19"/>
                <w:szCs w:val="19"/>
                <w:color w:val="auto"/>
              </w:rPr>
            </w:pPr>
          </w:p>
        </w:tc>
        <w:tc>
          <w:tcPr>
            <w:tcW w:w="8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8"/>
              </w:rPr>
              <w:t>(43)</w:t>
            </w:r>
          </w:p>
        </w:tc>
        <w:tc>
          <w:tcPr>
            <w:tcW w:w="320" w:type="dxa"/>
            <w:vAlign w:val="bottom"/>
          </w:tcPr>
          <w:p>
            <w:pPr>
              <w:spacing w:after="0"/>
              <w:rPr>
                <w:sz w:val="19"/>
                <w:szCs w:val="19"/>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(47)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400" w:type="dxa"/>
            <w:vAlign w:val="bottom"/>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Amortization of actuarial loss (gain) </w:t>
            </w:r>
            <w:r>
              <w:rPr>
                <w:rFonts w:ascii="Times New Roman" w:cs="Times New Roman" w:eastAsia="Times New Roman" w:hAnsi="Times New Roman"/>
                <w:sz w:val="22"/>
                <w:szCs w:val="22"/>
                <w:color w:val="auto"/>
                <w:vertAlign w:val="superscript"/>
              </w:rPr>
              <w:t>(b)</w:t>
            </w:r>
          </w:p>
        </w:tc>
        <w:tc>
          <w:tcPr>
            <w:tcW w:w="200" w:type="dxa"/>
            <w:vAlign w:val="bottom"/>
          </w:tcPr>
          <w:p>
            <w:pPr>
              <w:spacing w:after="0"/>
              <w:rPr>
                <w:sz w:val="19"/>
                <w:szCs w:val="19"/>
                <w:color w:val="auto"/>
              </w:rPr>
            </w:pP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19"/>
                <w:szCs w:val="19"/>
                <w:color w:val="auto"/>
              </w:rPr>
            </w:pP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1"/>
        </w:trPr>
        <w:tc>
          <w:tcPr>
            <w:tcW w:w="5400" w:type="dxa"/>
            <w:vAlign w:val="bottom"/>
            <w:tcBorders>
              <w:bottom w:val="single" w:sz="8" w:color="auto"/>
            </w:tcBorders>
          </w:tcPr>
          <w:p>
            <w:pPr>
              <w:ind w:left="100"/>
              <w:spacing w:after="0" w:line="231" w:lineRule="exact"/>
              <w:rPr>
                <w:sz w:val="20"/>
                <w:szCs w:val="20"/>
                <w:color w:val="auto"/>
              </w:rPr>
            </w:pPr>
            <w:r>
              <w:rPr>
                <w:rFonts w:ascii="Times New Roman" w:cs="Times New Roman" w:eastAsia="Times New Roman" w:hAnsi="Times New Roman"/>
                <w:sz w:val="17"/>
                <w:szCs w:val="17"/>
                <w:color w:val="auto"/>
              </w:rPr>
              <w:t xml:space="preserve">Settlements </w:t>
            </w:r>
            <w:r>
              <w:rPr>
                <w:rFonts w:ascii="Times New Roman" w:cs="Times New Roman" w:eastAsia="Times New Roman" w:hAnsi="Times New Roman"/>
                <w:sz w:val="22"/>
                <w:szCs w:val="22"/>
                <w:color w:val="auto"/>
                <w:vertAlign w:val="superscript"/>
              </w:rPr>
              <w:t>(c)</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periodic cost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249"/>
        </w:trPr>
        <w:tc>
          <w:tcPr>
            <w:tcW w:w="5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r>
      <w:tr>
        <w:trPr>
          <w:trHeight w:val="216"/>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40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Components of net periodic 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400" w:type="dxa"/>
            <w:vAlign w:val="bottom"/>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Amortization of actuarial loss (gain) </w:t>
            </w:r>
            <w:r>
              <w:rPr>
                <w:rFonts w:ascii="Times New Roman" w:cs="Times New Roman" w:eastAsia="Times New Roman" w:hAnsi="Times New Roman"/>
                <w:sz w:val="22"/>
                <w:szCs w:val="22"/>
                <w:color w:val="auto"/>
                <w:vertAlign w:val="superscript"/>
              </w:rPr>
              <w:t>(b)</w:t>
            </w:r>
          </w:p>
        </w:tc>
        <w:tc>
          <w:tcPr>
            <w:tcW w:w="20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1"/>
        </w:trPr>
        <w:tc>
          <w:tcPr>
            <w:tcW w:w="5400" w:type="dxa"/>
            <w:vAlign w:val="bottom"/>
            <w:tcBorders>
              <w:bottom w:val="single" w:sz="8" w:color="auto"/>
            </w:tcBorders>
          </w:tcPr>
          <w:p>
            <w:pPr>
              <w:ind w:left="100"/>
              <w:spacing w:after="0" w:line="231" w:lineRule="exact"/>
              <w:rPr>
                <w:sz w:val="20"/>
                <w:szCs w:val="20"/>
                <w:color w:val="auto"/>
              </w:rPr>
            </w:pPr>
            <w:r>
              <w:rPr>
                <w:rFonts w:ascii="Times New Roman" w:cs="Times New Roman" w:eastAsia="Times New Roman" w:hAnsi="Times New Roman"/>
                <w:sz w:val="17"/>
                <w:szCs w:val="17"/>
                <w:color w:val="auto"/>
              </w:rPr>
              <w:t xml:space="preserve">Settlements </w:t>
            </w:r>
            <w:r>
              <w:rPr>
                <w:rFonts w:ascii="Times New Roman" w:cs="Times New Roman" w:eastAsia="Times New Roman" w:hAnsi="Times New Roman"/>
                <w:sz w:val="22"/>
                <w:szCs w:val="22"/>
                <w:color w:val="auto"/>
                <w:vertAlign w:val="superscript"/>
              </w:rPr>
              <w:t>(c)</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periodic cost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57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117" w:lineRule="exact"/>
        <w:rPr>
          <w:sz w:val="20"/>
          <w:szCs w:val="20"/>
          <w:color w:val="auto"/>
        </w:rPr>
      </w:pPr>
    </w:p>
    <w:p>
      <w:pPr>
        <w:ind w:left="840" w:hanging="206"/>
        <w:spacing w:after="0"/>
        <w:tabs>
          <w:tab w:leader="none" w:pos="8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our domestic plans only.</w:t>
      </w:r>
    </w:p>
    <w:p>
      <w:pPr>
        <w:spacing w:after="0" w:line="38" w:lineRule="exact"/>
        <w:rPr>
          <w:rFonts w:ascii="Times New Roman" w:cs="Times New Roman" w:eastAsia="Times New Roman" w:hAnsi="Times New Roman"/>
          <w:sz w:val="16"/>
          <w:szCs w:val="16"/>
          <w:color w:val="auto"/>
        </w:rPr>
      </w:pPr>
    </w:p>
    <w:p>
      <w:pPr>
        <w:ind w:left="860" w:hanging="226"/>
        <w:spacing w:after="0"/>
        <w:tabs>
          <w:tab w:leader="none" w:pos="86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reclassified from accumulated other comprehensive loss to net earnings.</w:t>
      </w:r>
    </w:p>
    <w:p>
      <w:pPr>
        <w:spacing w:after="0" w:line="38" w:lineRule="exact"/>
        <w:rPr>
          <w:rFonts w:ascii="Times New Roman" w:cs="Times New Roman" w:eastAsia="Times New Roman" w:hAnsi="Times New Roman"/>
          <w:sz w:val="16"/>
          <w:szCs w:val="16"/>
          <w:color w:val="auto"/>
        </w:rPr>
      </w:pPr>
    </w:p>
    <w:p>
      <w:pPr>
        <w:ind w:left="880" w:right="600" w:hanging="246"/>
        <w:spacing w:after="0" w:line="285" w:lineRule="auto"/>
        <w:tabs>
          <w:tab w:leader="none" w:pos="85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142" w:lineRule="exact"/>
        <w:rPr>
          <w:rFonts w:ascii="Times New Roman" w:cs="Times New Roman" w:eastAsia="Times New Roman" w:hAnsi="Times New Roman"/>
          <w:sz w:val="16"/>
          <w:szCs w:val="16"/>
          <w:color w:val="auto"/>
        </w:rPr>
      </w:pPr>
    </w:p>
    <w:p>
      <w:pPr>
        <w:ind w:left="300" w:hanging="295"/>
        <w:spacing w:after="0"/>
        <w:tabs>
          <w:tab w:leader="none" w:pos="300"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REDEEMABLE NONCONTROLLING INTERESTS</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On October 31, 2022 we acquired the remaining 40% interest in Nickelodeon UK Limited (“Nick UK”) for £88 million, bringing our ownership to 100%. Prior to this transaction, we were subject to a redeemable put option with respect to Nick UK, which is classified as “Redeemable noncontrolling interest” on the Consolidated Balance Sheets. The activity reflected within redeemable noncontrolling interest for the nine months ended September 30, 2022 and 2021 is presented below.</w:t>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42"/>
        </w:trPr>
        <w:tc>
          <w:tcPr>
            <w:tcW w:w="63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40" w:type="dxa"/>
            <w:vAlign w:val="bottom"/>
            <w:tcBorders>
              <w:top w:val="single" w:sz="8" w:color="auto"/>
            </w:tcBorders>
          </w:tcPr>
          <w:p>
            <w:pPr>
              <w:spacing w:after="0"/>
              <w:rPr>
                <w:sz w:val="21"/>
                <w:szCs w:val="21"/>
                <w:color w:val="auto"/>
              </w:rPr>
            </w:pPr>
          </w:p>
        </w:tc>
      </w:tr>
      <w:tr>
        <w:trPr>
          <w:trHeight w:val="230"/>
        </w:trPr>
        <w:tc>
          <w:tcPr>
            <w:tcW w:w="632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Borders>
              <w:bottom w:val="single" w:sz="8" w:color="auto"/>
            </w:tcBorders>
          </w:tcPr>
          <w:p>
            <w:pPr>
              <w:spacing w:after="0"/>
              <w:rPr>
                <w:sz w:val="19"/>
                <w:szCs w:val="19"/>
                <w:color w:val="auto"/>
              </w:rPr>
            </w:pPr>
          </w:p>
        </w:tc>
      </w:tr>
      <w:tr>
        <w:trPr>
          <w:trHeight w:val="216"/>
        </w:trPr>
        <w:tc>
          <w:tcPr>
            <w:tcW w:w="6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11"/>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107</w:t>
            </w: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197</w:t>
            </w:r>
          </w:p>
        </w:tc>
      </w:tr>
      <w:tr>
        <w:trPr>
          <w:trHeight w:val="223"/>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earnings</w:t>
            </w:r>
          </w:p>
        </w:tc>
        <w:tc>
          <w:tcPr>
            <w:tcW w:w="680" w:type="dxa"/>
            <w:vAlign w:val="bottom"/>
          </w:tcPr>
          <w:p>
            <w:pPr>
              <w:spacing w:after="0"/>
              <w:rPr>
                <w:sz w:val="19"/>
                <w:szCs w:val="19"/>
                <w:color w:val="auto"/>
              </w:rPr>
            </w:pP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Distributions</w:t>
            </w:r>
          </w:p>
        </w:tc>
        <w:tc>
          <w:tcPr>
            <w:tcW w:w="68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Translation adjustment</w:t>
            </w:r>
          </w:p>
        </w:tc>
        <w:tc>
          <w:tcPr>
            <w:tcW w:w="68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(27)</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Redemption value adjustment</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(94)</w:t>
            </w:r>
          </w:p>
        </w:tc>
      </w:tr>
      <w:tr>
        <w:trPr>
          <w:trHeight w:val="22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94</w:t>
            </w: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4" w:name="page25"/>
    <w:bookmarkEnd w:id="24"/>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SEGMENT INFORMATION</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Our operating segments, which are the same as our reportable segments, have been determined in accordance with our internal management structure, which is organized based upon products and services. Beginning in 2022, primarily as a result of our increased strategic focus on our direct-to-consumer businesses, we made certain changes to how we manage our businesses and allocate resources that resulted in the changes described below. Prior period results have been recast to conform to these presentation changes.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Management Structure Change</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Our management structure has been reorganized to focus on managing our business as the combination of three parts: a traditional media business, a portfolio of global DTC services, and a film studio. As a result, we realigned our operating segments and accordingly, beginning in the first quarter of 2022, and for all periods presented we are reporting results based on the segments in the tables below (see Note 1 for a description of each operating segment). In connection with the management structure change, we also reassessed our reporting units and reallocated goodwill from the reporting units that existed prior to the change, to the new reporting units, using a relative fair value approach. We performed goodwill impairment tests as of January 1, 2022 on both the reporting units in place prior to the change and the new reporting units and concluded that the estimated fair values of each of the reporting units exceeded their respective carrying values and therefore no impairment charge was necessary.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Intercompany License Fees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Concurrent with the change to our operating segments, we changed the way we record intersegment content licensing. Under our previous segment structure, management evaluated the results of our segments including intersegment content licensing at market value as if the sales were to third parties. Therefore, the licensor segment recorded intercompany license fee revenues and profits and the licensee segment recorded production costs in the amount of the license fee charged by the licensor, which generally reflected the cost to the Company plus a margin. The intercompany revenues and the margin embedded in the cost to the licensee were eliminated in consolidation.</w:t>
      </w:r>
    </w:p>
    <w:p>
      <w:pPr>
        <w:spacing w:after="0" w:line="1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color w:val="auto"/>
        </w:rPr>
        <w:t>Under our new segment structure, management evaluates the results of the segments using an allocation of the total cost of content from the licensor segment to each licensee segment utilizing the content. As a result, content costs are allocated across segments based on the relative value of the distribution windows within each segment. The allocation is recorded by the licensor segment as a reduction of content cost and no intersegment licensing revenues or profits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5" w:name="page26"/>
    <w:bookmarkEnd w:id="25"/>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56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1,973</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2,039</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6,668</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7,230</w:t>
            </w:r>
          </w:p>
        </w:tc>
      </w:tr>
      <w:tr>
        <w:trPr>
          <w:trHeight w:val="223"/>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2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2,000</w:t>
            </w: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2,108</w:t>
            </w:r>
          </w:p>
        </w:tc>
        <w:tc>
          <w:tcPr>
            <w:tcW w:w="36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6,156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6,303</w:t>
            </w:r>
          </w:p>
        </w:tc>
      </w:tr>
      <w:tr>
        <w:trPr>
          <w:trHeight w:val="228"/>
        </w:trPr>
        <w:tc>
          <w:tcPr>
            <w:tcW w:w="5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975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1,073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3,025</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2,899</w:t>
            </w:r>
          </w:p>
        </w:tc>
      </w:tr>
      <w:tr>
        <w:trPr>
          <w:trHeight w:val="216"/>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4,948</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5,220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15,849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16,432</w:t>
            </w:r>
          </w:p>
        </w:tc>
      </w:tr>
      <w:tr>
        <w:trPr>
          <w:trHeight w:val="211"/>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363</w:t>
            </w:r>
          </w:p>
        </w:tc>
        <w:tc>
          <w:tcPr>
            <w:tcW w:w="3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348</w:t>
            </w:r>
          </w:p>
        </w:tc>
        <w:tc>
          <w:tcPr>
            <w:tcW w:w="36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1,073</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28"/>
        </w:trPr>
        <w:tc>
          <w:tcPr>
            <w:tcW w:w="5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Subscription</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863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2,435</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r>
      <w:tr>
        <w:trPr>
          <w:trHeight w:val="216"/>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1,226</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890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3,508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w:t>
            </w:r>
          </w:p>
        </w:tc>
      </w:tr>
      <w:tr>
        <w:trPr>
          <w:trHeight w:val="211"/>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Pr>
          <w:p>
            <w:pPr>
              <w:spacing w:after="0"/>
              <w:rPr>
                <w:sz w:val="18"/>
                <w:szCs w:val="18"/>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1,126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8"/>
        </w:trPr>
        <w:tc>
          <w:tcPr>
            <w:tcW w:w="5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549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461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1,627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1,777</w:t>
            </w:r>
          </w:p>
        </w:tc>
      </w:tr>
      <w:tr>
        <w:trPr>
          <w:trHeight w:val="216"/>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783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530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2,770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w:t>
            </w:r>
          </w:p>
        </w:tc>
      </w:tr>
      <w:tr>
        <w:trPr>
          <w:trHeight w:val="216"/>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Eliminations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2"/>
        </w:trPr>
        <w:tc>
          <w:tcPr>
            <w:tcW w:w="5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6,916</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6,610</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22,023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20,586</w:t>
            </w:r>
          </w:p>
        </w:tc>
      </w:tr>
    </w:tbl>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w:t>
      </w:r>
    </w:p>
    <w:p>
      <w:pPr>
        <w:spacing w:after="0" w:line="123" w:lineRule="exact"/>
        <w:rPr>
          <w:sz w:val="20"/>
          <w:szCs w:val="20"/>
          <w:color w:val="auto"/>
        </w:rPr>
      </w:pPr>
    </w:p>
    <w:tbl>
      <w:tblPr>
        <w:tblLayout w:type="fixed"/>
        <w:tblInd w:w="400" w:type="dxa"/>
        <w:tblCellMar>
          <w:top w:w="0" w:type="dxa"/>
          <w:left w:w="0" w:type="dxa"/>
          <w:bottom w:w="0" w:type="dxa"/>
          <w:right w:w="0" w:type="dxa"/>
        </w:tblCellMar>
      </w:tblPr>
      <w:tr>
        <w:trPr>
          <w:trHeight w:val="242"/>
        </w:trPr>
        <w:tc>
          <w:tcPr>
            <w:tcW w:w="564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64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Intercompany Revenues: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33</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3"/>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720" w:type="dxa"/>
            <w:vAlign w:val="bottom"/>
          </w:tcPr>
          <w:p>
            <w:pPr>
              <w:spacing w:after="0"/>
              <w:rPr>
                <w:sz w:val="19"/>
                <w:szCs w:val="19"/>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8"/>
        </w:trPr>
        <w:tc>
          <w:tcPr>
            <w:tcW w:w="5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32</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71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5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Total Intercompany Revenues</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41</w:t>
            </w:r>
          </w:p>
        </w:tc>
        <w:tc>
          <w:tcPr>
            <w:tcW w:w="8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bl>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We present operating income excluding depreciation and amortization, stock-based compensation, costs for restructuring and other corporate matters and net gain on dispositions, each where applicable (“Adjusted OIBDA”), as the primary measure of profit and loss for our operating segments in accordance with FASB guidance for segment reporting since it is the primary method used by our management. Stock-based compensation is excluded from our segment measure of profit and loss because it is set and approved by our Board of Directors in consultation with corporate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731" w:right="459" w:bottom="1440" w:gutter="0" w:footer="0" w:header="0"/>
        </w:sectPr>
      </w:pPr>
    </w:p>
    <w:bookmarkStart w:id="26" w:name="page27"/>
    <w:bookmarkEnd w:id="26"/>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6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1,231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1,385</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4,155</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4,654</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(343)</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(198)</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(1,244)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185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20"/>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Corporate/Eliminations</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(104)</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(111)</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(320)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6"/>
        </w:trPr>
        <w:tc>
          <w:tcPr>
            <w:tcW w:w="624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(114)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(92)</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(282)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(169)</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(276)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gain on dispositions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56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1"/>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0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566</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879</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2,160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(243)</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(701)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gains (losses) from investments</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8"/>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items, net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164"/>
        </w:trPr>
        <w:tc>
          <w:tcPr>
            <w:tcW w:w="6240" w:type="dxa"/>
            <w:vAlign w:val="bottom"/>
          </w:tcPr>
          <w:p>
            <w:pPr>
              <w:ind w:left="20"/>
              <w:spacing w:after="0" w:line="164" w:lineRule="exact"/>
              <w:rPr>
                <w:sz w:val="20"/>
                <w:szCs w:val="20"/>
                <w:color w:val="auto"/>
              </w:rPr>
            </w:pPr>
            <w:r>
              <w:rPr>
                <w:rFonts w:ascii="Times New Roman" w:cs="Times New Roman" w:eastAsia="Times New Roman" w:hAnsi="Times New Roman"/>
                <w:sz w:val="17"/>
                <w:szCs w:val="17"/>
                <w:color w:val="auto"/>
              </w:rPr>
              <w:t>Earnings from continuing operations before income taxes and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1"/>
        </w:trPr>
        <w:tc>
          <w:tcPr>
            <w:tcW w:w="6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200" w:type="dxa"/>
            <w:vAlign w:val="bottom"/>
          </w:tcPr>
          <w:p>
            <w:pPr>
              <w:spacing w:after="0"/>
              <w:rPr>
                <w:sz w:val="20"/>
                <w:szCs w:val="20"/>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323</w:t>
            </w:r>
          </w:p>
        </w:tc>
        <w:tc>
          <w:tcPr>
            <w:tcW w:w="340" w:type="dxa"/>
            <w:vAlign w:val="bottom"/>
          </w:tcPr>
          <w:p>
            <w:pPr>
              <w:spacing w:after="0"/>
              <w:rPr>
                <w:sz w:val="20"/>
                <w:szCs w:val="20"/>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616</w:t>
            </w:r>
          </w:p>
        </w:tc>
        <w:tc>
          <w:tcPr>
            <w:tcW w:w="360" w:type="dxa"/>
            <w:vAlign w:val="bottom"/>
          </w:tcPr>
          <w:p>
            <w:pPr>
              <w:spacing w:after="0"/>
              <w:rPr>
                <w:sz w:val="20"/>
                <w:szCs w:val="20"/>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1,312</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(120)</w:t>
            </w: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(124)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1"/>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continuing operations</w:t>
            </w:r>
          </w:p>
        </w:tc>
        <w:tc>
          <w:tcPr>
            <w:tcW w:w="20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164</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478</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924</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78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1"/>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(Paramount and noncontrolling interests)</w:t>
            </w:r>
          </w:p>
        </w:tc>
        <w:tc>
          <w:tcPr>
            <w:tcW w:w="20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242</w:t>
            </w:r>
          </w:p>
        </w:tc>
        <w:tc>
          <w:tcPr>
            <w:tcW w:w="34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551</w:t>
            </w:r>
          </w:p>
        </w:tc>
        <w:tc>
          <w:tcPr>
            <w:tcW w:w="36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1,105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2"/>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Paramount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538</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1,083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2,485</w:t>
            </w:r>
          </w:p>
        </w:tc>
      </w:tr>
    </w:tbl>
    <w:p>
      <w:pPr>
        <w:spacing w:after="0" w:line="143" w:lineRule="exact"/>
        <w:rPr>
          <w:sz w:val="20"/>
          <w:szCs w:val="20"/>
          <w:color w:val="auto"/>
        </w:rPr>
      </w:pPr>
    </w:p>
    <w:p>
      <w:pPr>
        <w:ind w:left="400" w:right="780" w:hanging="238"/>
        <w:spacing w:after="0" w:line="268" w:lineRule="auto"/>
        <w:tabs>
          <w:tab w:leader="none" w:pos="378"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restructuring and other corporate matters is stock-based compensation expense of $11 million and $13 million for the three and nine months ended September 30, 2022, respectively, and $21 million for each of the three- and nine-month periods of 2021.</w:t>
      </w:r>
    </w:p>
    <w:p>
      <w:pPr>
        <w:spacing w:after="0" w:line="168" w:lineRule="exact"/>
        <w:rPr>
          <w:rFonts w:ascii="Times New Roman" w:cs="Times New Roman" w:eastAsia="Times New Roman" w:hAnsi="Times New Roman"/>
          <w:sz w:val="16"/>
          <w:szCs w:val="16"/>
          <w:color w:val="auto"/>
        </w:rPr>
      </w:pPr>
    </w:p>
    <w:p>
      <w:pPr>
        <w:ind w:left="300" w:hanging="295"/>
        <w:spacing w:after="0"/>
        <w:tabs>
          <w:tab w:leader="none" w:pos="30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We have indemnification obligations with respect to letters of credit and surety bonds primarily used as security against non-performance in the normal course of business. At September 30, 2022, the outstanding letters of credit and surety bonds approximated $174 million and were not recorded on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CBS Television City</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In connection with the sale of the CBS Television City property and sound stage operation (“CBS Television City”) in 2019, we guaranteed a specified level of cash flows to be generated by the business during the first five years following the completion of the sale. Included in “Other current liabilities” and “Other liabilities” on the Consolidated Balance Sheet at September 30, 2022 is a liability totaling $51 million, reflecting the present value of the estimated amount remaining under the guarantee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731" w:right="439" w:bottom="1440" w:gutter="0" w:footer="0" w:header="0"/>
        </w:sectPr>
      </w:pPr>
    </w:p>
    <w:bookmarkStart w:id="27" w:name="page28"/>
    <w:bookmarkEnd w:id="2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Inc. These lease commitments totaled $25 million at September 30, 2022 and are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Matters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Litigation Relating to the Merger</w:t>
      </w:r>
    </w:p>
    <w:p>
      <w:pPr>
        <w:spacing w:after="0" w:line="1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 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8" w:name="page29"/>
    <w:bookmarkEnd w:id="28"/>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surviving claims is proceeding. We believe that the remaining claims are without merit and we intend to defend against them vigorously.</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is proceeding. We believe that the remaining claims are without merit and we intend to defend against them vigorously.</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Investigation-Related Matters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with respect to the termination of Mr. Moonves’ employment.</w:t>
      </w:r>
    </w:p>
    <w:p>
      <w:pPr>
        <w:spacing w:after="0" w:line="19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reached an agreement with the plaintiffs to settle the lawsuit for $14.75 million, which will be paid by the Company’s insurers. The settlement, which includes no admission of liability or wrongdoing by the Company, was granted preliminary approval by the Court on May 13, 2022 and is subject to final approval.</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color w:val="auto"/>
        </w:rPr>
        <w:t>We also received subpoenas or requests for information from the New York County District Attorney’s Office, the New York City Commission on Human Rights, the New York State Attorney General’s Office and the United States Securities and Exchange Commission regarding the subject matter of the CBS Board of Directors’ investigation and related matters, including with respect to CBS’ related public disclosures. We have reached 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9" w:name="page30"/>
    <w:bookmarkEnd w:id="2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agreement in principle to resolve the matter with the Investor Protection Bureau of the New York State Attorney General’s Office. After credits for the settlement amount to be paid in the consolidated federal securities class action discussed above, and certain financial commitments to human resources-related programs made by CBS in connection with an earlier resolution with the Civil Rights Bureau of the New York State Attorney General’s Office, the Company has agreed to make a payment of $7.25 million, which by agreement with the Investor Protection Bureau will be distributed in connection with the federal securities class action settlement discussed above, subject to the court’s approval of the class action settlement. The resolution includes no admission of liability or wrongdoing by the Company. We may continue to receive additional related regulatory and investigative inquiries from these and other entities in the future.</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Litigation Related to Stock Offerings</w:t>
      </w:r>
    </w:p>
    <w:p>
      <w:pPr>
        <w:spacing w:after="0" w:line="1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On August 13, 2021, Camelot Event Driven Fund filed a putative securities class action lawsuit in New York Supreme Court, County of New York, and on November 5, 2021, an amended complaint was filed that, among other changes, added an additional named plaintiff (the “Complaint”). The Complaint is purportedly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On December 22, 2021, the plaintiffs filed a stipulation seeking the voluntary dismissal without prejudice of the outside director defendants from the lawsuit, which the Court subsequently ordered. On the same date, the defendants filed motions to dismiss the lawsuit, which are pending. The complaint seeks unspecified compensatory damages, as well as other relief. We believe that the claims are without merit and intend to defend against them vigorously.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Television Station Owners</w:t>
      </w:r>
    </w:p>
    <w:p>
      <w:pPr>
        <w:spacing w:after="0" w:line="1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have reached an agreement in principle with the plaintiffs to settle the lawsuit. The settlement, which will include no admission of liability or wrongdoing by the Company, will be subject to Court approval.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the Proposed Sale of Simon &amp; Schuster</w:t>
      </w:r>
    </w:p>
    <w:p>
      <w:pPr>
        <w:spacing w:after="0" w:line="14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9"/>
          <w:szCs w:val="19"/>
          <w:color w:val="auto"/>
        </w:rPr>
        <w:t>On November 2, 2021, the U.S. Department of Justice (the “DOJ”) filed suit in the United States District Court for the District of Columbia to block our sale of the Simon &amp; Schuster business to Penguin Random House (the “Transaction”) pursuant to a Share Purchase Agreement (“Purchase Agreement”), dated November 24, 2020, between the Company, certain of its subsidiaries, Penguin Random House and Bertelsmann SE &amp; Co. KGaA. The DOJ asserted that the sale of Simon &amp; Schuster would reduce competition for the acquisition of titles. The trial was conducted in August 2022, and in October 2022, the Court issued a decision to block the consummation of the Transaction. We are discussing next steps with Bertelsmann and Penguin Random House, including seeking an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30" w:name="page31"/>
    <w:bookmarkEnd w:id="3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expedited appeal. The Purchase Agreement contains customary representations and warranties and covenants, including commitments on the part of Penguin Random House to take all necessary steps to obtain any required regulatory approvals and to defend any litigation that would delay or prevent consummation, and also provides for a $200 million termination fee payable to the Company in certain circumstances in the event the Transaction does not close for regulatory reasons.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3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September 30, 2022, we had pending approximately 25,880 asbestos claims, as compared with approximately 27,770 as of December 31, 2021. During the third quarter of 2022, we received approximately 660 new claims and closed or moved to an inactive docket approximately 1,570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2021 and 2020 for settlement and defense of asbestos claims after insurance recoveries and net of tax were approximately $63 million and $35 million, respectively. Our costs for settlement and defense of asbestos claims may vary year to year and insurance proceeds are not always recovered in the same period as the insured portion of the expenses.</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31" w:name="page32"/>
    <w:bookmarkEnd w:id="3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SUPPLEMENTAL FINANCIAL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42"/>
        </w:trPr>
        <w:tc>
          <w:tcPr>
            <w:tcW w:w="7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7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7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1"/>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755</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65"/>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Continuing operations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28"/>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82"/>
        </w:trPr>
        <w:tc>
          <w:tcPr>
            <w:tcW w:w="7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Noncash additions to operating lease assets</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127</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Income</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including both fixed and variable amounts, of $16 million and $50 million for the three and nine months ended September 30, 2022, respectively, and $42 million and $113 million for the three and nine months ended September 30, 2021, respectively. The lower lease income for the three and nine months ended September 30, 2022 compared with the same periods in 2021 is the result of the sales of a production facility and an office building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32" w:name="page33"/>
    <w:bookmarkEnd w:id="32"/>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Other Corporate Matters</w:t>
      </w:r>
    </w:p>
    <w:p>
      <w:pPr>
        <w:spacing w:after="0" w:line="15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During the three and nine months ended September 30, 2022 and 2021, we recorded the following costs associated with restructuring and other corporate matters.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64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64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TV Media</w:t>
            </w:r>
          </w:p>
        </w:tc>
        <w:tc>
          <w:tcPr>
            <w:tcW w:w="6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77</w:t>
            </w:r>
          </w:p>
        </w:tc>
        <w:tc>
          <w:tcPr>
            <w:tcW w:w="8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86</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Direct-to-Consumer</w:t>
            </w:r>
          </w:p>
        </w:tc>
        <w:tc>
          <w:tcPr>
            <w:tcW w:w="68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Filmed Entertainment</w:t>
            </w:r>
          </w:p>
        </w:tc>
        <w:tc>
          <w:tcPr>
            <w:tcW w:w="68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8"/>
        </w:trPr>
        <w:tc>
          <w:tcPr>
            <w:tcW w:w="5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Corporate</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1"/>
        </w:trPr>
        <w:tc>
          <w:tcPr>
            <w:tcW w:w="5640" w:type="dxa"/>
            <w:vAlign w:val="bottom"/>
          </w:tcPr>
          <w:p>
            <w:pPr>
              <w:spacing w:after="0" w:line="211" w:lineRule="exact"/>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680" w:type="dxa"/>
            <w:vAlign w:val="bottom"/>
          </w:tcPr>
          <w:p>
            <w:pPr>
              <w:spacing w:after="0"/>
              <w:rPr>
                <w:sz w:val="18"/>
                <w:szCs w:val="18"/>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77</w:t>
            </w:r>
          </w:p>
        </w:tc>
        <w:tc>
          <w:tcPr>
            <w:tcW w:w="880" w:type="dxa"/>
            <w:vAlign w:val="bottom"/>
          </w:tcPr>
          <w:p>
            <w:pPr>
              <w:spacing w:after="0"/>
              <w:rPr>
                <w:sz w:val="18"/>
                <w:szCs w:val="18"/>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Exit costs</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1"/>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680" w:type="dxa"/>
            <w:vAlign w:val="bottom"/>
          </w:tcPr>
          <w:p>
            <w:pPr>
              <w:spacing w:after="0"/>
              <w:rPr>
                <w:sz w:val="18"/>
                <w:szCs w:val="18"/>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85</w:t>
            </w:r>
          </w:p>
        </w:tc>
        <w:tc>
          <w:tcPr>
            <w:tcW w:w="880" w:type="dxa"/>
            <w:vAlign w:val="bottom"/>
          </w:tcPr>
          <w:p>
            <w:pPr>
              <w:spacing w:after="0"/>
              <w:rPr>
                <w:sz w:val="18"/>
                <w:szCs w:val="18"/>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corporate matters</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84</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163</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169</w:t>
            </w: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276</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bl>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0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During the three and nine months ended September 30, 2022, we recorded restructuring charges of $85 million and $113 million, respectively, which are comprised of severance costs and the impairment of lease assets in each period. The severance costs are primarily associated with changes in management following the realignment of our operating segments. The lease impairments relate to lease assets that we ceased use of with the intent to sublease in connection with initiatives to reduce our real estate footprint in New York City.</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During the three and nine months ended September 30, 2021, we recorded restructuring charges of $46 million and $81 million, respectively. The charges for the three-month period were for severance costs primarily associated with changes in management at certain of our businesses. The charges for the nine-month period also included $35 million for the impairment of lease assets that we determined we would not use and began actively marketing for sublease. This determination was made in connection with cost-transformation initiatives related to the Merger. The impairment was the result of a decline in market conditions since inception of these leases and reflects the difference between the estimated fair values, which were determined based on the expected discounted future cash flows of the lease assets, and the carrying values.</w:t>
      </w: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At September 30, 2022 and December 31, 2021, our restructuring liability was $173 million and $190 million, respectively, and was recorded in “Other current liabilities” and “Other liabilities” on the Consolidated Balance Sheets. During the nine months ended September 30, 2022, we made payments for restructuring of $94 million. The liability at September 30, 2022, which principally relates to severance payments, is expected to be substantially paid by the end of 2023.</w:t>
      </w:r>
    </w:p>
    <w:p>
      <w:pPr>
        <w:spacing w:after="0" w:line="1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 xml:space="preserve">In addition, for the three and nine months ended September 30, 2022, we recorded charges for other corporate matters of $84 million and $163 million, respectively, of which $77 million and $117 million, respectively, is associated with litigation described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Stockholder Matters </w:t>
      </w:r>
      <w:r>
        <w:rPr>
          <w:rFonts w:ascii="Times New Roman" w:cs="Times New Roman" w:eastAsia="Times New Roman" w:hAnsi="Times New Roman"/>
          <w:sz w:val="19"/>
          <w:szCs w:val="19"/>
          <w:color w:val="auto"/>
        </w:rPr>
        <w:t>in Note 14. Also included in other corporate matters are charges of $7 million and $46 million for the three and nine months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ended September 30, 2022, respectively, recorded following Russia’s invasion of Ukraine in the first quarter of 2022, principally to reserve against amounts due from counterparties in Russia, Belarus and Ukraine.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33" w:name="page34"/>
    <w:bookmarkEnd w:id="33"/>
    <w:p>
      <w:pPr>
        <w:ind w:left="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Results of Operations and Financial Condition.</w:t>
      </w:r>
    </w:p>
    <w:p>
      <w:pPr>
        <w:spacing w:after="0" w:line="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9"/>
          <w:szCs w:val="19"/>
          <w:color w:val="auto"/>
        </w:rPr>
        <w:t>Effective February 16, 2022, we changed our name from ViacomCBS Inc. to Paramount Global. Management’s discussion and analysis of the results of operations and financial condition of Paramount Global should be read in conjunction with the consolidated financial statements and related notes in our Annual Report on Form 10-K for the year ended December 31, 2021, which was filed prior to our name change. References in this document to “Paramount,” the “Company,” “we,” “us” and “our” refer to Paramount Global.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107" w:lineRule="exact"/>
        <w:rPr>
          <w:sz w:val="20"/>
          <w:szCs w:val="20"/>
          <w:color w:val="auto"/>
        </w:rPr>
      </w:pPr>
    </w:p>
    <w:p>
      <w:pPr>
        <w:ind w:left="620" w:hanging="143"/>
        <w:spacing w:after="0"/>
        <w:tabs>
          <w:tab w:leader="none" w:pos="6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122" w:lineRule="exact"/>
        <w:rPr>
          <w:rFonts w:ascii="Times New Roman" w:cs="Times New Roman" w:eastAsia="Times New Roman" w:hAnsi="Times New Roman"/>
          <w:sz w:val="19"/>
          <w:szCs w:val="19"/>
          <w:color w:val="auto"/>
        </w:rPr>
      </w:pPr>
    </w:p>
    <w:p>
      <w:pPr>
        <w:ind w:left="640" w:right="120" w:hanging="163"/>
        <w:spacing w:after="0" w:line="283" w:lineRule="auto"/>
        <w:tabs>
          <w:tab w:leader="none" w:pos="62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three and nine months ended September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2022 compared with the three and nine months ended September 30, 2021.</w:t>
      </w:r>
    </w:p>
    <w:p>
      <w:pPr>
        <w:spacing w:after="0" w:line="48" w:lineRule="exact"/>
        <w:rPr>
          <w:rFonts w:ascii="Times New Roman" w:cs="Times New Roman" w:eastAsia="Times New Roman" w:hAnsi="Times New Roman"/>
          <w:sz w:val="19"/>
          <w:szCs w:val="19"/>
          <w:color w:val="auto"/>
        </w:rPr>
      </w:pPr>
    </w:p>
    <w:p>
      <w:pPr>
        <w:ind w:left="640" w:hanging="163"/>
        <w:spacing w:after="0" w:line="297" w:lineRule="auto"/>
        <w:tabs>
          <w:tab w:leader="none" w:pos="62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three and nine months ended September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2022 compared with the three and nine months ended September 30, 2021.</w:t>
      </w:r>
    </w:p>
    <w:p>
      <w:pPr>
        <w:spacing w:after="0" w:line="23" w:lineRule="exact"/>
        <w:rPr>
          <w:rFonts w:ascii="Times New Roman" w:cs="Times New Roman" w:eastAsia="Times New Roman" w:hAnsi="Times New Roman"/>
          <w:sz w:val="19"/>
          <w:szCs w:val="19"/>
          <w:color w:val="auto"/>
        </w:rPr>
      </w:pPr>
    </w:p>
    <w:p>
      <w:pPr>
        <w:ind w:left="640" w:right="820" w:hanging="163"/>
        <w:spacing w:after="0" w:line="297" w:lineRule="auto"/>
        <w:tabs>
          <w:tab w:leader="none" w:pos="62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 of our cash flows, including sources and uses of cash, for the nine months 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September 30, 2022 and September 30, 2021; and our outstanding debt as of September 30, 2022.</w:t>
      </w:r>
    </w:p>
    <w:p>
      <w:pPr>
        <w:spacing w:after="0" w:line="23" w:lineRule="exact"/>
        <w:rPr>
          <w:rFonts w:ascii="Times New Roman" w:cs="Times New Roman" w:eastAsia="Times New Roman" w:hAnsi="Times New Roman"/>
          <w:sz w:val="19"/>
          <w:szCs w:val="19"/>
          <w:color w:val="auto"/>
        </w:rPr>
      </w:pPr>
    </w:p>
    <w:p>
      <w:pPr>
        <w:ind w:left="620" w:hanging="143"/>
        <w:spacing w:after="0"/>
        <w:tabs>
          <w:tab w:leader="none" w:pos="6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in which we are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06"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Operational Highlights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Three Months Ended September 30, 2022 versus Three Months Ended September 30, 2021</w:t>
      </w:r>
    </w:p>
    <w:p>
      <w:pPr>
        <w:spacing w:after="0" w:line="193" w:lineRule="exact"/>
        <w:rPr>
          <w:sz w:val="20"/>
          <w:szCs w:val="20"/>
          <w:color w:val="auto"/>
        </w:rPr>
      </w:pPr>
    </w:p>
    <w:tbl>
      <w:tblPr>
        <w:tblLayout w:type="fixed"/>
        <w:tblInd w:w="840" w:type="dxa"/>
        <w:tblCellMar>
          <w:top w:w="0" w:type="dxa"/>
          <w:left w:w="0" w:type="dxa"/>
          <w:bottom w:w="0" w:type="dxa"/>
          <w:right w:w="0" w:type="dxa"/>
        </w:tblCellMar>
      </w:tblPr>
      <w:tr>
        <w:trPr>
          <w:trHeight w:val="242"/>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7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6,916</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6,610</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306</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5 %</w:t>
            </w:r>
          </w:p>
        </w:tc>
      </w:tr>
      <w:tr>
        <w:trPr>
          <w:trHeight w:val="223"/>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566</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879</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(313)</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(36)%</w:t>
            </w:r>
          </w:p>
        </w:tc>
      </w:tr>
      <w:tr>
        <w:trPr>
          <w:trHeight w:val="176"/>
        </w:trPr>
        <w:tc>
          <w:tcPr>
            <w:tcW w:w="418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Net earnings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465</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(312)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(67)%</w:t>
            </w:r>
          </w:p>
        </w:tc>
      </w:tr>
      <w:tr>
        <w:trPr>
          <w:trHeight w:val="176"/>
        </w:trPr>
        <w:tc>
          <w:tcPr>
            <w:tcW w:w="418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Diluted EPS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6"/>
        </w:trPr>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.69</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(.48)</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(70)%</w:t>
            </w:r>
          </w:p>
        </w:tc>
      </w:tr>
      <w:tr>
        <w:trPr>
          <w:trHeight w:val="53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i w:val="1"/>
                <w:iCs w:val="1"/>
                <w:color w:val="auto"/>
                <w:vertAlign w:val="superscript"/>
              </w:rPr>
              <w:t>(a)</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OIBDA</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786</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1,020</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(234)</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r>
      <w:tr>
        <w:trPr>
          <w:trHeight w:val="176"/>
        </w:trPr>
        <w:tc>
          <w:tcPr>
            <w:tcW w:w="418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1"/>
        </w:trPr>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270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510</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(240)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(47)%</w:t>
            </w:r>
          </w:p>
        </w:tc>
      </w:tr>
      <w:tr>
        <w:trPr>
          <w:trHeight w:val="176"/>
        </w:trPr>
        <w:tc>
          <w:tcPr>
            <w:tcW w:w="418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2"/>
        </w:trPr>
        <w:tc>
          <w:tcPr>
            <w:tcW w:w="4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.39</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.76</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(.37)</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(49)%</w:t>
            </w:r>
          </w:p>
        </w:tc>
      </w:tr>
    </w:tbl>
    <w:p>
      <w:pPr>
        <w:spacing w:after="0" w:line="115" w:lineRule="exact"/>
        <w:rPr>
          <w:sz w:val="20"/>
          <w:szCs w:val="20"/>
          <w:color w:val="auto"/>
        </w:rPr>
      </w:pPr>
    </w:p>
    <w:p>
      <w:pPr>
        <w:ind w:left="1100" w:right="700" w:hanging="308"/>
        <w:spacing w:after="0" w:line="263" w:lineRule="auto"/>
        <w:tabs>
          <w:tab w:leader="none" w:pos="99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items identified as affecting comparability are excluded in non-GAAP results. 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details of these items and reconciliations of non-GAAP results to the most directly comparable financial measures in accordance with accounting principles generally accepted in the United States (“GAAP”).</w:t>
      </w:r>
    </w:p>
    <w:p>
      <w:pPr>
        <w:spacing w:after="0" w:line="9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9"/>
          <w:szCs w:val="19"/>
          <w:color w:val="auto"/>
        </w:rPr>
        <w:t xml:space="preserve">For the three months ended September 30, 2022, revenues increased 5% to $6.92 billion, driven by higher revenues from Paramount+, and the continued success of our second quarter theatrical release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including in the digital home entertainment market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These increases were partially offset by declines in revenues from our linear networks and the licensing of television content.</w:t>
      </w:r>
    </w:p>
    <w:p>
      <w:pPr>
        <w:spacing w:after="0" w:line="1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 xml:space="preserve">Operating income for the three months ended September 30, 2022 decreased 36% from the same prior-year period. The operating income comparison was impacted by higher charges in 2022 for restructuring and other corporate matters. Adjusted operating income before depreciation and amortization (“Adjusted OIBDA”), which excludes these charges in each period, as well as a gain on a disposition in 2022, decreased 23%, mainly the result of our investment in our direct-to-consumer streaming services (“DTC services”) and the decline in revenues from our linear networks, partially offset by higher profit from theatrical releases, primarily from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For the three months ended September 30, 2022, net earnings from continuing operations attributable to Paramount and diluted earnings per share (“EPS”) from continuing operations decreased 67% and 70%, respectively, from the same prior-year period as a result of the decline in operating income. Adjusted net earnings from continuing operations attributable to Paramount and adjusted diluted EPS, which exclude the items impacting the comparability of operating income noted above and the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the applicable period, decreased 47% and 49%, respectively, primarily reflecting the lower Adjusted OIBDA.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Operational Highlights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Nine Months Ended September 30, 2022 versus Nine Months Ended September 30, 2021</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42"/>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7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22,023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20,586</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1,437</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7 %</w:t>
            </w:r>
          </w:p>
        </w:tc>
      </w:tr>
      <w:tr>
        <w:trPr>
          <w:trHeight w:val="223"/>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2,160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3,633</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(1,473)</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(41)%</w:t>
            </w:r>
          </w:p>
        </w:tc>
      </w:tr>
      <w:tr>
        <w:trPr>
          <w:trHeight w:val="184"/>
        </w:trPr>
        <w:tc>
          <w:tcPr>
            <w:tcW w:w="4180" w:type="dxa"/>
            <w:vAlign w:val="bottom"/>
          </w:tcPr>
          <w:p>
            <w:pPr>
              <w:ind w:left="240"/>
              <w:spacing w:after="0" w:line="184" w:lineRule="exact"/>
              <w:rPr>
                <w:sz w:val="20"/>
                <w:szCs w:val="20"/>
                <w:color w:val="auto"/>
              </w:rPr>
            </w:pPr>
            <w:r>
              <w:rPr>
                <w:rFonts w:ascii="Times New Roman" w:cs="Times New Roman" w:eastAsia="Times New Roman" w:hAnsi="Times New Roman"/>
                <w:sz w:val="17"/>
                <w:szCs w:val="17"/>
                <w:color w:val="auto"/>
              </w:rPr>
              <w:t>Net earnings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3"/>
        </w:trPr>
        <w:tc>
          <w:tcPr>
            <w:tcW w:w="4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902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2,359</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(1,457)</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(62)%</w:t>
            </w:r>
          </w:p>
        </w:tc>
      </w:tr>
      <w:tr>
        <w:trPr>
          <w:trHeight w:val="184"/>
        </w:trPr>
        <w:tc>
          <w:tcPr>
            <w:tcW w:w="4180" w:type="dxa"/>
            <w:vAlign w:val="bottom"/>
          </w:tcPr>
          <w:p>
            <w:pPr>
              <w:ind w:left="240"/>
              <w:spacing w:after="0" w:line="184" w:lineRule="exact"/>
              <w:rPr>
                <w:sz w:val="20"/>
                <w:szCs w:val="20"/>
                <w:color w:val="auto"/>
              </w:rPr>
            </w:pPr>
            <w:r>
              <w:rPr>
                <w:rFonts w:ascii="Times New Roman" w:cs="Times New Roman" w:eastAsia="Times New Roman" w:hAnsi="Times New Roman"/>
                <w:sz w:val="17"/>
                <w:szCs w:val="17"/>
                <w:color w:val="auto"/>
              </w:rPr>
              <w:t>Diluted EPS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4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3.62</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(2.30)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(64)%</w:t>
            </w:r>
          </w:p>
        </w:tc>
      </w:tr>
      <w:tr>
        <w:trPr>
          <w:trHeight w:val="53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color w:val="auto"/>
                <w:vertAlign w:val="superscript"/>
              </w:rPr>
              <w:t>(a)</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Adjusted OIBDA</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2,662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3,887</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(1,225)</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(32)%</w:t>
            </w:r>
          </w:p>
        </w:tc>
      </w:tr>
      <w:tr>
        <w:trPr>
          <w:trHeight w:val="184"/>
        </w:trPr>
        <w:tc>
          <w:tcPr>
            <w:tcW w:w="4180" w:type="dxa"/>
            <w:vAlign w:val="bottom"/>
          </w:tcPr>
          <w:p>
            <w:pPr>
              <w:ind w:left="240"/>
              <w:spacing w:after="0" w:line="184" w:lineRule="exact"/>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3"/>
        </w:trPr>
        <w:tc>
          <w:tcPr>
            <w:tcW w:w="4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1,102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2,111</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(1,009)</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(48)%</w:t>
            </w:r>
          </w:p>
        </w:tc>
      </w:tr>
      <w:tr>
        <w:trPr>
          <w:trHeight w:val="184"/>
        </w:trPr>
        <w:tc>
          <w:tcPr>
            <w:tcW w:w="4180" w:type="dxa"/>
            <w:vAlign w:val="bottom"/>
          </w:tcPr>
          <w:p>
            <w:pPr>
              <w:ind w:left="240"/>
              <w:spacing w:after="0" w:line="184" w:lineRule="exact"/>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4"/>
        </w:trPr>
        <w:tc>
          <w:tcPr>
            <w:tcW w:w="4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1.63</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3.23</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(1.60)</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(50)%</w:t>
            </w:r>
          </w:p>
        </w:tc>
      </w:tr>
    </w:tbl>
    <w:p>
      <w:pPr>
        <w:spacing w:after="0" w:line="128" w:lineRule="exact"/>
        <w:rPr>
          <w:sz w:val="20"/>
          <w:szCs w:val="20"/>
          <w:color w:val="auto"/>
        </w:rPr>
      </w:pPr>
    </w:p>
    <w:p>
      <w:pPr>
        <w:ind w:left="1100" w:right="660" w:hanging="308"/>
        <w:spacing w:after="0" w:line="271" w:lineRule="auto"/>
        <w:tabs>
          <w:tab w:leader="none" w:pos="99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items identified as affecting comparability are excluded in non-GAAP results. 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details of these items and reconciliations of non-GAAP results to the most directly comparable financial measures in accordance with GAAP.</w:t>
      </w:r>
    </w:p>
    <w:p>
      <w:pPr>
        <w:spacing w:after="0" w:line="8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For the nine months ended September 30, 2022, revenues increased 7% to $22.02 billion, driven by significant growth in revenues from our DTC services, led by Paramount+, and higher theatrical revenues, reflecting the success of our current year releases. These increases were partially offset by lower revenues from our linear networks, including the impact from the rotational nature of the rights to air the Super Bowl, which was broadcast on CBS in 2021 and another network in 2022. The absence of the Super Bowl negatively impacted the total revenue comparison by 2 percentage points.</w:t>
      </w:r>
    </w:p>
    <w:p>
      <w:pPr>
        <w:spacing w:after="0" w:line="18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9"/>
          <w:szCs w:val="19"/>
          <w:color w:val="auto"/>
        </w:rPr>
        <w:t>Operating income for the nine months ended September 30, 2022 decreased 41% from the same prior-year period. The operating income comparison was impacted by higher charges in 2022 for restructuring and other corporate matters, as well as lower gains on dispositions. Adjusted OIBDA, which excludes these items, decreased 32%, driven by our investment in our DTC services, and revenue declines from our linear networks, including from the benefit to the 2021 period from the broadcast of the Super Bowl.</w:t>
      </w:r>
    </w:p>
    <w:p>
      <w:pPr>
        <w:spacing w:after="0" w:line="19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9"/>
          <w:szCs w:val="19"/>
          <w:color w:val="auto"/>
        </w:rPr>
        <w:t xml:space="preserve">For the nine months ended September 30, 2022, net earnings from continuing operations attributable to Paramount and diluted EPS from continuing operations decreased 62% and 64%, respectively, from the same prior-year period as a result of the decline in operating income, as well as a higher effective tax rate in 2022. The higher effective tax rate was the result of lower discrete tax benefits in the current year, which included a net benefit of $72 million compared with $290 million for the prior-year period. Adjusted net earnings from continuing operations attributable to Paramount and adjusted diluted EPS, which in each period exclude these discrete tax benefits, the items impacting the comparability of operating income noted above, and the other items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the applicable period, decreased 48% and 50%, respectively, primarily reflecting the lower Adjusted OIBDA.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Results for the three and nine months ended September 30, 2022 and 2021 included certain items identified as affecting comparability. Adjusted OIBDA, adjusted earnings from continuing operations before income taxes, adjusted provision for income taxes, adjusted net earnings from continuing operations attributable to Paramount, and adjusted diluted EPS from continuing operations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GAAP, they should not be considered in isolation of, or as a substitute for, operating income, earnings from continuing operations before income taxes, provision/benefit for income taxes, net earnings from continuing operations attributable to Paramount or diluted EPS from continuing operations, as applicable, as indicators of operating performance. These measures, as we calculate them, may not be comparable to similarly titled measures employed by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GAAP.</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42"/>
        </w:trPr>
        <w:tc>
          <w:tcPr>
            <w:tcW w:w="552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520" w:type="dxa"/>
            <w:vAlign w:val="bottom"/>
          </w:tcPr>
          <w:p>
            <w:pPr>
              <w:spacing w:after="0"/>
              <w:rPr>
                <w:sz w:val="19"/>
                <w:szCs w:val="19"/>
                <w:color w:val="auto"/>
              </w:rPr>
            </w:pPr>
          </w:p>
        </w:tc>
        <w:tc>
          <w:tcPr>
            <w:tcW w:w="236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(GAAP)</w:t>
            </w: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566</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879</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2,160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23"/>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60" w:type="dxa"/>
            <w:vAlign w:val="bottom"/>
          </w:tcPr>
          <w:p>
            <w:pPr>
              <w:spacing w:after="0"/>
              <w:rPr>
                <w:sz w:val="19"/>
                <w:szCs w:val="19"/>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92</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95</w:t>
            </w:r>
          </w:p>
        </w:tc>
        <w:tc>
          <w:tcPr>
            <w:tcW w:w="38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282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23"/>
        </w:trPr>
        <w:tc>
          <w:tcPr>
            <w:tcW w:w="552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Restructuring and other corporate matters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19"/>
                <w:szCs w:val="19"/>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169</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46</w:t>
            </w:r>
          </w:p>
        </w:tc>
        <w:tc>
          <w:tcPr>
            <w:tcW w:w="38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276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8"/>
        </w:trPr>
        <w:tc>
          <w:tcPr>
            <w:tcW w:w="5520" w:type="dxa"/>
            <w:vAlign w:val="bottom"/>
            <w:tcBorders>
              <w:bottom w:val="single" w:sz="8" w:color="auto"/>
            </w:tcBorders>
          </w:tcPr>
          <w:p>
            <w:pPr>
              <w:ind w:left="220"/>
              <w:spacing w:after="0" w:line="228" w:lineRule="exact"/>
              <w:rPr>
                <w:sz w:val="20"/>
                <w:szCs w:val="20"/>
                <w:color w:val="auto"/>
              </w:rPr>
            </w:pPr>
            <w:r>
              <w:rPr>
                <w:rFonts w:ascii="Times New Roman" w:cs="Times New Roman" w:eastAsia="Times New Roman" w:hAnsi="Times New Roman"/>
                <w:sz w:val="17"/>
                <w:szCs w:val="17"/>
                <w:color w:val="auto"/>
              </w:rPr>
              <w:t xml:space="preserve">Net gain on dispositions </w:t>
            </w:r>
            <w:r>
              <w:rPr>
                <w:rFonts w:ascii="Times New Roman" w:cs="Times New Roman" w:eastAsia="Times New Roman" w:hAnsi="Times New Roman"/>
                <w:sz w:val="22"/>
                <w:szCs w:val="22"/>
                <w:color w:val="auto"/>
                <w:vertAlign w:val="superscript"/>
              </w:rPr>
              <w:t>(a)</w:t>
            </w: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8"/>
              </w:rPr>
              <w:t>(41)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 (Non-GAAP)</w:t>
            </w:r>
          </w:p>
        </w:tc>
        <w:tc>
          <w:tcPr>
            <w:tcW w:w="6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786</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1,020</w:t>
            </w:r>
          </w:p>
        </w:tc>
        <w:tc>
          <w:tcPr>
            <w:tcW w:w="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2,662</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3,887</w:t>
            </w:r>
          </w:p>
        </w:tc>
      </w:tr>
    </w:tbl>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 See notes on the following tables for additional information on items affecting comparability.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80" w:type="dxa"/>
            <w:vAlign w:val="bottom"/>
            <w:tcBorders>
              <w:top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420" w:type="dxa"/>
            <w:vAlign w:val="bottom"/>
            <w:tcBorders>
              <w:top w:val="single" w:sz="8" w:color="auto"/>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 September 30, 2022</w:t>
            </w:r>
          </w:p>
        </w:tc>
        <w:tc>
          <w:tcPr>
            <w:tcW w:w="7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Net Earnings from</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16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0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Operations Before</w:t>
            </w:r>
          </w:p>
        </w:tc>
        <w:tc>
          <w:tcPr>
            <w:tcW w:w="1620" w:type="dxa"/>
            <w:vAlign w:val="bottom"/>
            <w:gridSpan w:val="2"/>
            <w:vMerge w:val="continue"/>
          </w:tcPr>
          <w:p>
            <w:pPr>
              <w:spacing w:after="0"/>
              <w:rPr>
                <w:sz w:val="15"/>
                <w:szCs w:val="15"/>
                <w:color w:val="auto"/>
              </w:rPr>
            </w:pPr>
          </w:p>
        </w:tc>
        <w:tc>
          <w:tcPr>
            <w:tcW w:w="18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Attributable to</w:t>
            </w:r>
          </w:p>
        </w:tc>
        <w:tc>
          <w:tcPr>
            <w:tcW w:w="15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323</w:t>
            </w:r>
          </w:p>
        </w:tc>
        <w:tc>
          <w:tcPr>
            <w:tcW w:w="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(101)</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153</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Restructuring and other corporate matters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169</w:t>
            </w:r>
          </w:p>
        </w:tc>
        <w:tc>
          <w:tcPr>
            <w:tcW w:w="74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(38)</w:t>
            </w:r>
          </w:p>
        </w:tc>
        <w:tc>
          <w:tcPr>
            <w:tcW w:w="820" w:type="dxa"/>
            <w:vAlign w:val="bottom"/>
          </w:tcPr>
          <w:p>
            <w:pPr>
              <w:spacing w:after="0"/>
              <w:rPr>
                <w:sz w:val="19"/>
                <w:szCs w:val="19"/>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131</w:t>
            </w:r>
          </w:p>
        </w:tc>
        <w:tc>
          <w:tcPr>
            <w:tcW w:w="7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(b)</w:t>
            </w:r>
          </w:p>
        </w:tc>
        <w:tc>
          <w:tcPr>
            <w:tcW w:w="720" w:type="dxa"/>
            <w:vAlign w:val="bottom"/>
          </w:tcPr>
          <w:p>
            <w:pPr>
              <w:spacing w:after="0"/>
              <w:rPr>
                <w:sz w:val="19"/>
                <w:szCs w:val="19"/>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(41)</w:t>
            </w:r>
          </w:p>
        </w:tc>
        <w:tc>
          <w:tcPr>
            <w:tcW w:w="740" w:type="dxa"/>
            <w:vAlign w:val="bottom"/>
          </w:tcPr>
          <w:p>
            <w:pPr>
              <w:spacing w:after="0"/>
              <w:rPr>
                <w:sz w:val="19"/>
                <w:szCs w:val="19"/>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w:t>
            </w:r>
          </w:p>
        </w:tc>
        <w:tc>
          <w:tcPr>
            <w:tcW w:w="82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(31)</w:t>
            </w:r>
          </w:p>
        </w:tc>
        <w:tc>
          <w:tcPr>
            <w:tcW w:w="7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Loss from investments </w:t>
            </w:r>
            <w:r>
              <w:rPr>
                <w:rFonts w:ascii="Times New Roman" w:cs="Times New Roman" w:eastAsia="Times New Roman" w:hAnsi="Times New Roman"/>
                <w:sz w:val="22"/>
                <w:szCs w:val="22"/>
                <w:color w:val="auto"/>
                <w:vertAlign w:val="superscript"/>
              </w:rPr>
              <w:t>(c)</w:t>
            </w:r>
          </w:p>
        </w:tc>
        <w:tc>
          <w:tcPr>
            <w:tcW w:w="720" w:type="dxa"/>
            <w:vAlign w:val="bottom"/>
          </w:tcPr>
          <w:p>
            <w:pPr>
              <w:spacing w:after="0"/>
              <w:rPr>
                <w:sz w:val="19"/>
                <w:szCs w:val="19"/>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9</w:t>
            </w:r>
          </w:p>
        </w:tc>
        <w:tc>
          <w:tcPr>
            <w:tcW w:w="74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spacing w:after="0"/>
              <w:rPr>
                <w:sz w:val="19"/>
                <w:szCs w:val="19"/>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8</w:t>
            </w:r>
          </w:p>
        </w:tc>
        <w:tc>
          <w:tcPr>
            <w:tcW w:w="7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31"/>
        </w:trPr>
        <w:tc>
          <w:tcPr>
            <w:tcW w:w="4280" w:type="dxa"/>
            <w:vAlign w:val="bottom"/>
            <w:tcBorders>
              <w:bottom w:val="single" w:sz="8" w:color="auto"/>
            </w:tcBorders>
          </w:tcPr>
          <w:p>
            <w:pPr>
              <w:ind w:left="220"/>
              <w:spacing w:after="0" w:line="231" w:lineRule="exact"/>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(d)</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9</w:t>
            </w:r>
          </w:p>
        </w:tc>
        <w:tc>
          <w:tcPr>
            <w:tcW w:w="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9</w:t>
            </w: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460</w:t>
            </w: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(121)</w:t>
            </w: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270</w:t>
            </w: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00" w:right="40" w:hanging="239"/>
        <w:spacing w:after="0" w:line="271" w:lineRule="auto"/>
        <w:tabs>
          <w:tab w:leader="none" w:pos="27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Comprised of charges of $85 million for restructuring, consisting of severance costs and lease impairments; $77 million associated with litigation described under </w:t>
      </w:r>
      <w:r>
        <w:rPr>
          <w:rFonts w:ascii="Times New Roman" w:cs="Times New Roman" w:eastAsia="Times New Roman" w:hAnsi="Times New Roman"/>
          <w:sz w:val="16"/>
          <w:szCs w:val="16"/>
          <w:i w:val="1"/>
          <w:iCs w:val="1"/>
          <w:color w:val="auto"/>
        </w:rPr>
        <w:t>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 Matters</w:t>
      </w:r>
      <w:r>
        <w:rPr>
          <w:rFonts w:ascii="Times New Roman" w:cs="Times New Roman" w:eastAsia="Times New Roman" w:hAnsi="Times New Roman"/>
          <w:sz w:val="16"/>
          <w:szCs w:val="16"/>
          <w:color w:val="auto"/>
        </w:rPr>
        <w:t>; and $7 million related to the suspension of operations in Russia.</w:t>
      </w:r>
    </w:p>
    <w:p>
      <w:pPr>
        <w:spacing w:after="0" w:line="19" w:lineRule="exact"/>
        <w:rPr>
          <w:rFonts w:ascii="Times New Roman" w:cs="Times New Roman" w:eastAsia="Times New Roman" w:hAnsi="Times New Roman"/>
          <w:sz w:val="16"/>
          <w:szCs w:val="16"/>
          <w:color w:val="auto"/>
        </w:rPr>
      </w:pPr>
    </w:p>
    <w:p>
      <w:pPr>
        <w:ind w:left="300" w:right="400" w:hanging="239"/>
        <w:spacing w:after="0" w:line="268" w:lineRule="auto"/>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recognized upon the contribution of certain assets of Paramount+ in Denmark, Finland, Norway and Sweden (the “Nordics”) to SkyShowtime, our streaming joint venture with Comcast (“SkyShowtime”).</w:t>
      </w:r>
    </w:p>
    <w:p>
      <w:pPr>
        <w:spacing w:after="0" w:line="21"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loss on the sale of a 37.5% interest in The CW to Nexstar Media Inc. and an impairment of an investment.</w:t>
      </w:r>
    </w:p>
    <w:p>
      <w:pPr>
        <w:spacing w:after="0" w:line="52" w:lineRule="exact"/>
        <w:rPr>
          <w:rFonts w:ascii="Times New Roman" w:cs="Times New Roman" w:eastAsia="Times New Roman" w:hAnsi="Times New Roman"/>
          <w:sz w:val="16"/>
          <w:szCs w:val="16"/>
          <w:color w:val="auto"/>
        </w:rPr>
      </w:pPr>
    </w:p>
    <w:p>
      <w:pPr>
        <w:ind w:left="300" w:right="280" w:hanging="239"/>
        <w:spacing w:after="0" w:line="268" w:lineRule="auto"/>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discrete tax provisions realized in connection with the filing of our tax returns in international jurisdictions and from the transfer of subsidiaries in connection with a reorganization of our international operations.</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49"/>
        </w:trPr>
        <w:tc>
          <w:tcPr>
            <w:tcW w:w="4000" w:type="dxa"/>
            <w:vAlign w:val="bottom"/>
            <w:tcBorders>
              <w:top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Three Months Ended September 30, 2021</w:t>
            </w:r>
          </w:p>
        </w:tc>
        <w:tc>
          <w:tcPr>
            <w:tcW w:w="6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Net Earnings from</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2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15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54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5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Operations Before</w:t>
            </w:r>
          </w:p>
        </w:tc>
        <w:tc>
          <w:tcPr>
            <w:tcW w:w="1540" w:type="dxa"/>
            <w:vAlign w:val="bottom"/>
            <w:gridSpan w:val="2"/>
            <w:vMerge w:val="continue"/>
          </w:tcPr>
          <w:p>
            <w:pPr>
              <w:spacing w:after="0"/>
              <w:rPr>
                <w:sz w:val="14"/>
                <w:szCs w:val="14"/>
                <w:color w:val="auto"/>
              </w:rPr>
            </w:pPr>
          </w:p>
        </w:tc>
        <w:tc>
          <w:tcPr>
            <w:tcW w:w="172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Attributable to</w:t>
            </w:r>
          </w:p>
        </w:tc>
        <w:tc>
          <w:tcPr>
            <w:tcW w:w="1460" w:type="dxa"/>
            <w:vAlign w:val="bottom"/>
            <w:gridSpan w:val="2"/>
          </w:tcPr>
          <w:p>
            <w:pPr>
              <w:jc w:val="right"/>
              <w:ind w:right="193"/>
              <w:spacing w:after="0" w:line="171"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54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146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616</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(120)</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465</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Restructuring and other corporate matters </w:t>
            </w:r>
            <w:r>
              <w:rPr>
                <w:rFonts w:ascii="Times New Roman" w:cs="Times New Roman" w:eastAsia="Times New Roman" w:hAnsi="Times New Roman"/>
                <w:sz w:val="22"/>
                <w:szCs w:val="22"/>
                <w:color w:val="auto"/>
                <w:vertAlign w:val="superscript"/>
              </w:rPr>
              <w:t>(a)</w:t>
            </w:r>
          </w:p>
        </w:tc>
        <w:tc>
          <w:tcPr>
            <w:tcW w:w="6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46</w:t>
            </w:r>
          </w:p>
        </w:tc>
        <w:tc>
          <w:tcPr>
            <w:tcW w:w="70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(12)</w:t>
            </w:r>
          </w:p>
        </w:tc>
        <w:tc>
          <w:tcPr>
            <w:tcW w:w="780" w:type="dxa"/>
            <w:vAlign w:val="bottom"/>
          </w:tcPr>
          <w:p>
            <w:pPr>
              <w:spacing w:after="0"/>
              <w:rPr>
                <w:sz w:val="19"/>
                <w:szCs w:val="19"/>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34</w:t>
            </w:r>
          </w:p>
        </w:tc>
        <w:tc>
          <w:tcPr>
            <w:tcW w:w="68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Loss from investments </w:t>
            </w:r>
            <w:r>
              <w:rPr>
                <w:rFonts w:ascii="Times New Roman" w:cs="Times New Roman" w:eastAsia="Times New Roman" w:hAnsi="Times New Roman"/>
                <w:sz w:val="22"/>
                <w:szCs w:val="22"/>
                <w:color w:val="auto"/>
                <w:vertAlign w:val="superscript"/>
              </w:rPr>
              <w:t>(b)</w:t>
            </w:r>
          </w:p>
        </w:tc>
        <w:tc>
          <w:tcPr>
            <w:tcW w:w="6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c>
          <w:tcPr>
            <w:tcW w:w="70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Pr>
          <w:p>
            <w:pPr>
              <w:spacing w:after="0"/>
              <w:rPr>
                <w:sz w:val="19"/>
                <w:szCs w:val="19"/>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w:t>
            </w:r>
          </w:p>
        </w:tc>
        <w:tc>
          <w:tcPr>
            <w:tcW w:w="68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Pension settlement charges </w:t>
            </w:r>
            <w:r>
              <w:rPr>
                <w:rFonts w:ascii="Times New Roman" w:cs="Times New Roman" w:eastAsia="Times New Roman" w:hAnsi="Times New Roman"/>
                <w:sz w:val="22"/>
                <w:szCs w:val="22"/>
                <w:color w:val="auto"/>
                <w:vertAlign w:val="superscript"/>
              </w:rPr>
              <w:t>(c)</w:t>
            </w:r>
          </w:p>
        </w:tc>
        <w:tc>
          <w:tcPr>
            <w:tcW w:w="680" w:type="dxa"/>
            <w:vAlign w:val="bottom"/>
          </w:tcPr>
          <w:p>
            <w:pPr>
              <w:spacing w:after="0"/>
              <w:rPr>
                <w:sz w:val="19"/>
                <w:szCs w:val="19"/>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c>
          <w:tcPr>
            <w:tcW w:w="70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tcPr>
          <w:p>
            <w:pPr>
              <w:spacing w:after="0"/>
              <w:rPr>
                <w:sz w:val="19"/>
                <w:szCs w:val="19"/>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Discrete tax items</w:t>
            </w: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677</w:t>
            </w:r>
          </w:p>
        </w:tc>
        <w:tc>
          <w:tcPr>
            <w:tcW w:w="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(136)</w:t>
            </w: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510</w:t>
            </w: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80" w:hanging="219"/>
        <w:spacing w:after="0"/>
        <w:tabs>
          <w:tab w:leader="none" w:pos="2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costs associated with changes in management at certain of our businesses.</w:t>
      </w:r>
    </w:p>
    <w:p>
      <w:pPr>
        <w:spacing w:after="0" w:line="65"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change in fair value of an investment that was sold during the third quarter of 2021.</w:t>
      </w:r>
    </w:p>
    <w:p>
      <w:pPr>
        <w:spacing w:after="0" w:line="52"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500" w:top="587" w:right="49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80" w:type="dxa"/>
            <w:vAlign w:val="bottom"/>
            <w:tcBorders>
              <w:top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Nine Months Ended September 30, 2022</w:t>
            </w:r>
          </w:p>
        </w:tc>
        <w:tc>
          <w:tcPr>
            <w:tcW w:w="6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Net Earnings from</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16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0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16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Operations Before</w:t>
            </w:r>
          </w:p>
        </w:tc>
        <w:tc>
          <w:tcPr>
            <w:tcW w:w="1600" w:type="dxa"/>
            <w:vAlign w:val="bottom"/>
            <w:gridSpan w:val="2"/>
            <w:vMerge w:val="continue"/>
          </w:tcPr>
          <w:p>
            <w:pPr>
              <w:spacing w:after="0"/>
              <w:rPr>
                <w:sz w:val="15"/>
                <w:szCs w:val="15"/>
                <w:color w:val="auto"/>
              </w:rPr>
            </w:pPr>
          </w:p>
        </w:tc>
        <w:tc>
          <w:tcPr>
            <w:tcW w:w="18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Attributable to</w:t>
            </w:r>
          </w:p>
        </w:tc>
        <w:tc>
          <w:tcPr>
            <w:tcW w:w="1560" w:type="dxa"/>
            <w:vAlign w:val="bottom"/>
            <w:gridSpan w:val="2"/>
          </w:tcPr>
          <w:p>
            <w:pPr>
              <w:jc w:val="right"/>
              <w:ind w:right="233"/>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156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1,312</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(264)</w:t>
            </w: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902</w:t>
            </w: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Restructuring and other corporate matters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276</w:t>
            </w:r>
          </w:p>
        </w:tc>
        <w:tc>
          <w:tcPr>
            <w:tcW w:w="72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(62)</w:t>
            </w:r>
          </w:p>
        </w:tc>
        <w:tc>
          <w:tcPr>
            <w:tcW w:w="76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214</w:t>
            </w:r>
          </w:p>
        </w:tc>
        <w:tc>
          <w:tcPr>
            <w:tcW w:w="680" w:type="dxa"/>
            <w:vAlign w:val="bottom"/>
          </w:tcPr>
          <w:p>
            <w:pPr>
              <w:spacing w:after="0"/>
              <w:rPr>
                <w:sz w:val="19"/>
                <w:szCs w:val="19"/>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(56)</w:t>
            </w:r>
          </w:p>
        </w:tc>
        <w:tc>
          <w:tcPr>
            <w:tcW w:w="720" w:type="dxa"/>
            <w:vAlign w:val="bottom"/>
          </w:tcPr>
          <w:p>
            <w:pPr>
              <w:spacing w:after="0"/>
              <w:rPr>
                <w:sz w:val="19"/>
                <w:szCs w:val="19"/>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14</w:t>
            </w:r>
          </w:p>
        </w:tc>
        <w:tc>
          <w:tcPr>
            <w:tcW w:w="760" w:type="dxa"/>
            <w:vAlign w:val="bottom"/>
          </w:tcPr>
          <w:p>
            <w:pPr>
              <w:spacing w:after="0"/>
              <w:rPr>
                <w:sz w:val="19"/>
                <w:szCs w:val="19"/>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(42)</w:t>
            </w:r>
          </w:p>
        </w:tc>
        <w:tc>
          <w:tcPr>
            <w:tcW w:w="680" w:type="dxa"/>
            <w:vAlign w:val="bottom"/>
          </w:tcPr>
          <w:p>
            <w:pPr>
              <w:spacing w:after="0"/>
              <w:rPr>
                <w:sz w:val="19"/>
                <w:szCs w:val="19"/>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6"/>
        </w:trPr>
        <w:tc>
          <w:tcPr>
            <w:tcW w:w="4280" w:type="dxa"/>
            <w:vAlign w:val="bottom"/>
          </w:tcPr>
          <w:p>
            <w:pPr>
              <w:ind w:left="220"/>
              <w:spacing w:after="0" w:line="226" w:lineRule="exact"/>
              <w:rPr>
                <w:sz w:val="20"/>
                <w:szCs w:val="20"/>
                <w:color w:val="auto"/>
              </w:rPr>
            </w:pPr>
            <w:r>
              <w:rPr>
                <w:rFonts w:ascii="Times New Roman" w:cs="Times New Roman" w:eastAsia="Times New Roman" w:hAnsi="Times New Roman"/>
                <w:sz w:val="17"/>
                <w:szCs w:val="17"/>
                <w:color w:val="auto"/>
              </w:rPr>
              <w:t xml:space="preserve">Loss from investments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9</w:t>
            </w:r>
          </w:p>
        </w:tc>
        <w:tc>
          <w:tcPr>
            <w:tcW w:w="72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tcPr>
          <w:p>
            <w:pPr>
              <w:spacing w:after="0"/>
              <w:rPr>
                <w:sz w:val="19"/>
                <w:szCs w:val="19"/>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0"/>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66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120</w:t>
            </w:r>
          </w:p>
        </w:tc>
        <w:tc>
          <w:tcPr>
            <w:tcW w:w="72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(28)</w:t>
            </w:r>
          </w:p>
        </w:tc>
        <w:tc>
          <w:tcPr>
            <w:tcW w:w="76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92</w:t>
            </w:r>
          </w:p>
        </w:tc>
        <w:tc>
          <w:tcPr>
            <w:tcW w:w="680" w:type="dxa"/>
            <w:vAlign w:val="bottom"/>
          </w:tcPr>
          <w:p>
            <w:pPr>
              <w:spacing w:after="0"/>
              <w:rPr>
                <w:sz w:val="19"/>
                <w:szCs w:val="19"/>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1"/>
        </w:trPr>
        <w:tc>
          <w:tcPr>
            <w:tcW w:w="4280" w:type="dxa"/>
            <w:vAlign w:val="bottom"/>
            <w:tcBorders>
              <w:bottom w:val="single" w:sz="8" w:color="auto"/>
            </w:tcBorders>
          </w:tcPr>
          <w:p>
            <w:pPr>
              <w:ind w:left="220"/>
              <w:spacing w:after="0" w:line="231" w:lineRule="exact"/>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(d)</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(72)</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(72)</w:t>
            </w: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1,661</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(413)</w:t>
            </w: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1,102</w:t>
            </w: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 w:right="280" w:hanging="239"/>
        <w:spacing w:after="0" w:line="262" w:lineRule="auto"/>
        <w:tabs>
          <w:tab w:leader="none" w:pos="27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Comprised of charges of $113 million for restructuring, consisting of severance costs and lease impairments; $117 million associated with litigation described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Stockholder Matters</w:t>
      </w:r>
      <w:r>
        <w:rPr>
          <w:rFonts w:ascii="Times New Roman" w:cs="Times New Roman" w:eastAsia="Times New Roman" w:hAnsi="Times New Roman"/>
          <w:sz w:val="16"/>
          <w:szCs w:val="16"/>
          <w:color w:val="auto"/>
        </w:rPr>
        <w:t>; and $46 million recorded following Russia’s invasion of Ukraine in the first quarter of 2022, principally to reserve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amounts due from counterparties in Russia, Belarus and Ukraine.</w:t>
      </w:r>
    </w:p>
    <w:p>
      <w:pPr>
        <w:spacing w:after="0" w:line="13" w:lineRule="exact"/>
        <w:rPr>
          <w:rFonts w:ascii="Times New Roman" w:cs="Times New Roman" w:eastAsia="Times New Roman" w:hAnsi="Times New Roman"/>
          <w:sz w:val="16"/>
          <w:szCs w:val="16"/>
          <w:color w:val="auto"/>
        </w:rPr>
      </w:pPr>
    </w:p>
    <w:p>
      <w:pPr>
        <w:ind w:left="300" w:right="80" w:hanging="239"/>
        <w:spacing w:after="0" w:line="282" w:lineRule="auto"/>
        <w:tabs>
          <w:tab w:leader="none" w:pos="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$41 million gain recognized upon the contribution of certain assets of Paramount+ in the Nordics to SkyShowtime as well as gains totaling $15 million from the sale of international intangible assets and a working capital adjustment to the gain from the fourth quarter 2021 sale of CBS Studio Center.</w:t>
      </w:r>
    </w:p>
    <w:p>
      <w:pPr>
        <w:ind w:left="280" w:hanging="219"/>
        <w:spacing w:after="0"/>
        <w:tabs>
          <w:tab w:leader="none" w:pos="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loss on the sale of a 37.5% interest in The CW and an impairment of an investment.</w:t>
      </w:r>
    </w:p>
    <w:p>
      <w:pPr>
        <w:spacing w:after="0" w:line="52" w:lineRule="exact"/>
        <w:rPr>
          <w:rFonts w:ascii="Times New Roman" w:cs="Times New Roman" w:eastAsia="Times New Roman" w:hAnsi="Times New Roman"/>
          <w:sz w:val="16"/>
          <w:szCs w:val="16"/>
          <w:color w:val="auto"/>
        </w:rPr>
      </w:pPr>
    </w:p>
    <w:p>
      <w:pPr>
        <w:ind w:left="300" w:right="100" w:hanging="239"/>
        <w:spacing w:after="0" w:line="285" w:lineRule="auto"/>
        <w:tabs>
          <w:tab w:leader="none" w:pos="2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deferred tax benefit resulting from the transfer of intangible assets between our subsidiaries in connection with a reorganization of our international operations.</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49"/>
        </w:trPr>
        <w:tc>
          <w:tcPr>
            <w:tcW w:w="400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Nine Months Ended September 30, 2021</w:t>
            </w:r>
          </w:p>
        </w:tc>
        <w:tc>
          <w:tcPr>
            <w:tcW w:w="6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Net Earnings from</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5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152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0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15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Operations Before</w:t>
            </w:r>
          </w:p>
        </w:tc>
        <w:tc>
          <w:tcPr>
            <w:tcW w:w="1520" w:type="dxa"/>
            <w:vAlign w:val="bottom"/>
            <w:gridSpan w:val="2"/>
            <w:vMerge w:val="continue"/>
          </w:tcPr>
          <w:p>
            <w:pPr>
              <w:spacing w:after="0"/>
              <w:rPr>
                <w:sz w:val="14"/>
                <w:szCs w:val="14"/>
                <w:color w:val="auto"/>
              </w:rPr>
            </w:pPr>
          </w:p>
        </w:tc>
        <w:tc>
          <w:tcPr>
            <w:tcW w:w="1700" w:type="dxa"/>
            <w:vAlign w:val="bottom"/>
            <w:gridSpan w:val="2"/>
          </w:tcPr>
          <w:p>
            <w:pPr>
              <w:jc w:val="center"/>
              <w:ind w:left="13"/>
              <w:spacing w:after="0" w:line="171" w:lineRule="exact"/>
              <w:rPr>
                <w:sz w:val="20"/>
                <w:szCs w:val="20"/>
                <w:color w:val="auto"/>
              </w:rPr>
            </w:pPr>
            <w:r>
              <w:rPr>
                <w:rFonts w:ascii="Times New Roman" w:cs="Times New Roman" w:eastAsia="Times New Roman" w:hAnsi="Times New Roman"/>
                <w:sz w:val="17"/>
                <w:szCs w:val="17"/>
                <w:b w:val="1"/>
                <w:bCs w:val="1"/>
                <w:color w:val="auto"/>
              </w:rPr>
              <w:t>Attributable to</w:t>
            </w:r>
          </w:p>
        </w:tc>
        <w:tc>
          <w:tcPr>
            <w:tcW w:w="1480" w:type="dxa"/>
            <w:vAlign w:val="bottom"/>
            <w:gridSpan w:val="2"/>
          </w:tcPr>
          <w:p>
            <w:pPr>
              <w:jc w:val="right"/>
              <w:ind w:right="193"/>
              <w:spacing w:after="0" w:line="171" w:lineRule="exact"/>
              <w:rPr>
                <w:sz w:val="20"/>
                <w:szCs w:val="20"/>
                <w:color w:val="auto"/>
              </w:rPr>
            </w:pPr>
            <w:r>
              <w:rPr>
                <w:rFonts w:ascii="Times New Roman" w:cs="Times New Roman" w:eastAsia="Times New Roman" w:hAnsi="Times New Roman"/>
                <w:sz w:val="17"/>
                <w:szCs w:val="17"/>
                <w:b w:val="1"/>
                <w:bCs w:val="1"/>
                <w:color w:val="auto"/>
              </w:rPr>
              <w:t>Continuing</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52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148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2,789</w:t>
            </w: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(312)</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2,359</w:t>
            </w: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Restructuring and other corporate matters </w:t>
            </w:r>
            <w:r>
              <w:rPr>
                <w:rFonts w:ascii="Times New Roman" w:cs="Times New Roman" w:eastAsia="Times New Roman" w:hAnsi="Times New Roman"/>
                <w:sz w:val="22"/>
                <w:szCs w:val="22"/>
                <w:color w:val="auto"/>
                <w:vertAlign w:val="superscript"/>
              </w:rPr>
              <w:t>(a)</w:t>
            </w:r>
          </w:p>
        </w:tc>
        <w:tc>
          <w:tcPr>
            <w:tcW w:w="620" w:type="dxa"/>
            <w:vAlign w:val="bottom"/>
          </w:tcPr>
          <w:p>
            <w:pPr>
              <w:spacing w:after="0"/>
              <w:rPr>
                <w:sz w:val="19"/>
                <w:szCs w:val="1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81</w:t>
            </w:r>
          </w:p>
        </w:tc>
        <w:tc>
          <w:tcPr>
            <w:tcW w:w="68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(20)</w:t>
            </w:r>
          </w:p>
        </w:tc>
        <w:tc>
          <w:tcPr>
            <w:tcW w:w="720" w:type="dxa"/>
            <w:vAlign w:val="bottom"/>
          </w:tcPr>
          <w:p>
            <w:pPr>
              <w:spacing w:after="0"/>
              <w:rPr>
                <w:sz w:val="19"/>
                <w:szCs w:val="19"/>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61</w:t>
            </w:r>
          </w:p>
        </w:tc>
        <w:tc>
          <w:tcPr>
            <w:tcW w:w="6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line="226" w:lineRule="exact"/>
              <w:rPr>
                <w:sz w:val="20"/>
                <w:szCs w:val="20"/>
                <w:color w:val="auto"/>
              </w:rPr>
            </w:pPr>
            <w:r>
              <w:rPr>
                <w:rFonts w:ascii="Times New Roman" w:cs="Times New Roman" w:eastAsia="Times New Roman" w:hAnsi="Times New Roman"/>
                <w:sz w:val="17"/>
                <w:szCs w:val="17"/>
                <w:color w:val="auto"/>
              </w:rPr>
              <w:t xml:space="preserve">Net gain on dispositions </w:t>
            </w:r>
            <w:r>
              <w:rPr>
                <w:rFonts w:ascii="Times New Roman" w:cs="Times New Roman" w:eastAsia="Times New Roman" w:hAnsi="Times New Roman"/>
                <w:sz w:val="22"/>
                <w:szCs w:val="22"/>
                <w:color w:val="auto"/>
                <w:vertAlign w:val="superscript"/>
              </w:rPr>
              <w:t>(b)</w:t>
            </w:r>
          </w:p>
        </w:tc>
        <w:tc>
          <w:tcPr>
            <w:tcW w:w="620" w:type="dxa"/>
            <w:vAlign w:val="bottom"/>
          </w:tcPr>
          <w:p>
            <w:pPr>
              <w:spacing w:after="0"/>
              <w:rPr>
                <w:sz w:val="19"/>
                <w:szCs w:val="19"/>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(116)</w:t>
            </w:r>
          </w:p>
        </w:tc>
        <w:tc>
          <w:tcPr>
            <w:tcW w:w="6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27</w:t>
            </w:r>
          </w:p>
        </w:tc>
        <w:tc>
          <w:tcPr>
            <w:tcW w:w="72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(89)</w:t>
            </w:r>
          </w:p>
        </w:tc>
        <w:tc>
          <w:tcPr>
            <w:tcW w:w="64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620" w:type="dxa"/>
            <w:vAlign w:val="bottom"/>
          </w:tcPr>
          <w:p>
            <w:pPr>
              <w:spacing w:after="0"/>
              <w:rPr>
                <w:sz w:val="19"/>
                <w:szCs w:val="1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128</w:t>
            </w:r>
          </w:p>
        </w:tc>
        <w:tc>
          <w:tcPr>
            <w:tcW w:w="68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(30)</w:t>
            </w:r>
          </w:p>
        </w:tc>
        <w:tc>
          <w:tcPr>
            <w:tcW w:w="720" w:type="dxa"/>
            <w:vAlign w:val="bottom"/>
          </w:tcPr>
          <w:p>
            <w:pPr>
              <w:spacing w:after="0"/>
              <w:rPr>
                <w:sz w:val="19"/>
                <w:szCs w:val="19"/>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98</w:t>
            </w:r>
          </w:p>
        </w:tc>
        <w:tc>
          <w:tcPr>
            <w:tcW w:w="6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Gains from investments </w:t>
            </w:r>
            <w:r>
              <w:rPr>
                <w:rFonts w:ascii="Times New Roman" w:cs="Times New Roman" w:eastAsia="Times New Roman" w:hAnsi="Times New Roman"/>
                <w:sz w:val="22"/>
                <w:szCs w:val="22"/>
                <w:color w:val="auto"/>
                <w:vertAlign w:val="superscript"/>
              </w:rPr>
              <w:t>(c)</w:t>
            </w:r>
          </w:p>
        </w:tc>
        <w:tc>
          <w:tcPr>
            <w:tcW w:w="620" w:type="dxa"/>
            <w:vAlign w:val="bottom"/>
          </w:tcPr>
          <w:p>
            <w:pPr>
              <w:spacing w:after="0"/>
              <w:rPr>
                <w:sz w:val="19"/>
                <w:szCs w:val="19"/>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(47)</w:t>
            </w:r>
          </w:p>
        </w:tc>
        <w:tc>
          <w:tcPr>
            <w:tcW w:w="6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11</w:t>
            </w:r>
          </w:p>
        </w:tc>
        <w:tc>
          <w:tcPr>
            <w:tcW w:w="72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(36)</w:t>
            </w:r>
          </w:p>
        </w:tc>
        <w:tc>
          <w:tcPr>
            <w:tcW w:w="64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line="223" w:lineRule="exact"/>
              <w:rPr>
                <w:sz w:val="20"/>
                <w:szCs w:val="20"/>
                <w:color w:val="auto"/>
              </w:rPr>
            </w:pPr>
            <w:r>
              <w:rPr>
                <w:rFonts w:ascii="Times New Roman" w:cs="Times New Roman" w:eastAsia="Times New Roman" w:hAnsi="Times New Roman"/>
                <w:sz w:val="17"/>
                <w:szCs w:val="17"/>
                <w:color w:val="auto"/>
              </w:rPr>
              <w:t xml:space="preserve">Pension settlement charges </w:t>
            </w:r>
            <w:r>
              <w:rPr>
                <w:rFonts w:ascii="Times New Roman" w:cs="Times New Roman" w:eastAsia="Times New Roman" w:hAnsi="Times New Roman"/>
                <w:sz w:val="22"/>
                <w:szCs w:val="22"/>
                <w:color w:val="auto"/>
                <w:vertAlign w:val="superscript"/>
              </w:rPr>
              <w:t>(d)</w:t>
            </w:r>
          </w:p>
        </w:tc>
        <w:tc>
          <w:tcPr>
            <w:tcW w:w="620" w:type="dxa"/>
            <w:vAlign w:val="bottom"/>
          </w:tcPr>
          <w:p>
            <w:pPr>
              <w:spacing w:after="0"/>
              <w:rPr>
                <w:sz w:val="19"/>
                <w:szCs w:val="1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c>
          <w:tcPr>
            <w:tcW w:w="68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tcPr>
          <w:p>
            <w:pPr>
              <w:spacing w:after="0"/>
              <w:rPr>
                <w:sz w:val="19"/>
                <w:szCs w:val="19"/>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8</w:t>
            </w:r>
          </w:p>
        </w:tc>
        <w:tc>
          <w:tcPr>
            <w:tcW w:w="6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31"/>
        </w:trPr>
        <w:tc>
          <w:tcPr>
            <w:tcW w:w="4000" w:type="dxa"/>
            <w:vAlign w:val="bottom"/>
            <w:tcBorders>
              <w:bottom w:val="single" w:sz="8" w:color="auto"/>
            </w:tcBorders>
          </w:tcPr>
          <w:p>
            <w:pPr>
              <w:ind w:left="200"/>
              <w:spacing w:after="0" w:line="231" w:lineRule="exact"/>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(e)</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(290)</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(290)</w:t>
            </w:r>
          </w:p>
        </w:tc>
        <w:tc>
          <w:tcPr>
            <w:tcW w:w="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2,845</w:t>
            </w:r>
          </w:p>
        </w:tc>
        <w:tc>
          <w:tcPr>
            <w:tcW w:w="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(616)</w:t>
            </w: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2,111</w:t>
            </w: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80" w:hanging="219"/>
        <w:spacing w:after="0"/>
        <w:tabs>
          <w:tab w:leader="none" w:pos="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costs and the impairment of lease assets.</w:t>
      </w:r>
    </w:p>
    <w:p>
      <w:pPr>
        <w:spacing w:after="0" w:line="65"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gain on the sale of a noncore trademark licensing operation.</w:t>
      </w:r>
    </w:p>
    <w:p>
      <w:pPr>
        <w:spacing w:after="0" w:line="52"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of $37 million on the sale of an investment and an increase in the fair value of an investment which was sold during the third quarter of 2021.</w:t>
      </w:r>
    </w:p>
    <w:p>
      <w:pPr>
        <w:spacing w:after="0" w:line="65" w:lineRule="exact"/>
        <w:rPr>
          <w:rFonts w:ascii="Times New Roman" w:cs="Times New Roman" w:eastAsia="Times New Roman" w:hAnsi="Times New Roman"/>
          <w:sz w:val="16"/>
          <w:szCs w:val="16"/>
          <w:color w:val="auto"/>
        </w:rPr>
      </w:pPr>
    </w:p>
    <w:p>
      <w:pPr>
        <w:ind w:left="280" w:hanging="219"/>
        <w:spacing w:after="0"/>
        <w:tabs>
          <w:tab w:leader="none" w:pos="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52" w:lineRule="exact"/>
        <w:rPr>
          <w:rFonts w:ascii="Times New Roman" w:cs="Times New Roman" w:eastAsia="Times New Roman" w:hAnsi="Times New Roman"/>
          <w:sz w:val="16"/>
          <w:szCs w:val="16"/>
          <w:color w:val="auto"/>
        </w:rPr>
      </w:pPr>
    </w:p>
    <w:p>
      <w:pPr>
        <w:ind w:left="300" w:right="140" w:hanging="239"/>
        <w:spacing w:after="0" w:line="302" w:lineRule="auto"/>
        <w:tabs>
          <w:tab w:leader="none" w:pos="27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reflects a benefit of $260 million to remeasure our UK net deferred income tax asset as a result of the enactment in the second quarter of 2021 of an increase in the UK corporate income tax rate from 19% to 25% beginning April 1, 2023, as well as a net tax benefit in connection with the settlement of income tax audits.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500" w:top="587" w:right="4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Three and Nine Months Ended September 30, 2022 versus Three and Nine Months Ended September 30,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36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4060" w:type="dxa"/>
            <w:vAlign w:val="bottom"/>
            <w:tcBorders>
              <w:top w:val="single" w:sz="8" w:color="auto"/>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0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180" w:type="dxa"/>
            <w:vAlign w:val="bottom"/>
          </w:tcPr>
          <w:p>
            <w:pPr>
              <w:spacing w:after="0"/>
              <w:rPr>
                <w:sz w:val="17"/>
                <w:szCs w:val="17"/>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60" w:type="dxa"/>
            <w:vAlign w:val="bottom"/>
          </w:tcPr>
          <w:p>
            <w:pPr>
              <w:spacing w:after="0"/>
              <w:rPr>
                <w:sz w:val="17"/>
                <w:szCs w:val="17"/>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80" w:type="dxa"/>
            <w:vAlign w:val="bottom"/>
          </w:tcPr>
          <w:p>
            <w:pPr>
              <w:spacing w:after="0"/>
              <w:rPr>
                <w:sz w:val="17"/>
                <w:szCs w:val="17"/>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2,337</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34 %</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2,386</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(49)</w:t>
            </w:r>
          </w:p>
        </w:tc>
        <w:tc>
          <w:tcPr>
            <w:tcW w:w="1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2,863</w:t>
            </w: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2,650</w:t>
            </w:r>
          </w:p>
        </w:tc>
        <w:tc>
          <w:tcPr>
            <w:tcW w:w="1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tcPr>
          <w:p>
            <w:pPr>
              <w:spacing w:after="0"/>
              <w:rPr>
                <w:sz w:val="19"/>
                <w:szCs w:val="19"/>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213</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1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231</w:t>
            </w: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67</w:t>
            </w:r>
          </w:p>
        </w:tc>
        <w:tc>
          <w:tcPr>
            <w:tcW w:w="1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164</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1,485</w:t>
            </w: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1,507</w:t>
            </w:r>
          </w:p>
        </w:tc>
        <w:tc>
          <w:tcPr>
            <w:tcW w:w="1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(22)</w:t>
            </w:r>
          </w:p>
        </w:tc>
        <w:tc>
          <w:tcPr>
            <w:tcW w:w="1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6,916</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100 %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6,610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306</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36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180" w:type="dxa"/>
            <w:vAlign w:val="bottom"/>
          </w:tcPr>
          <w:p>
            <w:pPr>
              <w:spacing w:after="0"/>
              <w:rPr>
                <w:sz w:val="17"/>
                <w:szCs w:val="17"/>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80" w:type="dxa"/>
            <w:vAlign w:val="bottom"/>
          </w:tcPr>
          <w:p>
            <w:pPr>
              <w:spacing w:after="0"/>
              <w:rPr>
                <w:sz w:val="17"/>
                <w:szCs w:val="17"/>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40" w:type="dxa"/>
            <w:vAlign w:val="bottom"/>
          </w:tcPr>
          <w:p>
            <w:pPr>
              <w:spacing w:after="0"/>
              <w:rPr>
                <w:sz w:val="17"/>
                <w:szCs w:val="17"/>
                <w:color w:val="auto"/>
              </w:rPr>
            </w:pPr>
          </w:p>
        </w:tc>
        <w:tc>
          <w:tcPr>
            <w:tcW w:w="204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7,746</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35 %</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8,094</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39 %</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(348)</w:t>
            </w:r>
          </w:p>
        </w:tc>
        <w:tc>
          <w:tcPr>
            <w:tcW w:w="1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8,591</w:t>
            </w: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39</w:t>
            </w:r>
          </w:p>
        </w:tc>
        <w:tc>
          <w:tcPr>
            <w:tcW w:w="2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7,701</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890</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1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1,126</w:t>
            </w: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w:t>
            </w:r>
          </w:p>
        </w:tc>
        <w:tc>
          <w:tcPr>
            <w:tcW w:w="280" w:type="dxa"/>
            <w:vAlign w:val="bottom"/>
          </w:tcPr>
          <w:p>
            <w:pPr>
              <w:spacing w:after="0"/>
              <w:rPr>
                <w:sz w:val="19"/>
                <w:szCs w:val="19"/>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202</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924</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4,560</w:t>
            </w: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4,589</w:t>
            </w:r>
          </w:p>
        </w:tc>
        <w:tc>
          <w:tcPr>
            <w:tcW w:w="1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(29)</w:t>
            </w: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3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22,023</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100 %</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20,586</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1,437</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For the three months ended September 30, 2022, the 2% decrease in advertising revenues reflects lower domestic and international advertising revenues. The decrease in domestic advertising revenues is the result of lower linear impressions as pricing only partially offset the decline, reflecting softness in the scatter market. Higher political advertising sales also partially offset the decline. The decrease in international advertising revenues was driven by unfavorable foreign exchange rate changes, partially offset by the benefit from the acquisition of Chilevisión in the third quarter of 2021. The foreign exchange rate changes negatively impacted the comparison of total advertising revenues by 3 percentage points.</w:t>
      </w:r>
    </w:p>
    <w:p>
      <w:pPr>
        <w:spacing w:after="0" w:line="200" w:lineRule="exact"/>
        <w:rPr>
          <w:sz w:val="20"/>
          <w:szCs w:val="20"/>
          <w:color w:val="auto"/>
        </w:rPr>
      </w:pPr>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For the nine months ended September 30, 2022, the 4% decrease in advertising revenues is due to the rotational nature of the rights to broadcast the Super Bowl, which aired on CBS in 2021 and another network in 2022, resulting in a negative impact on the advertising comparison of 5 percentage points. The advertising revenue comparison also reflects significant increases from Paramount+ and Pluto TV. For the nine months, our domestic networks were also impacted by lower impressions, which were substantially offset by higher pricing and increased political advertising sales. The international advertising revenue comparison was negatively impacted by foreign exchange rate changes, partially offset by the benefit from the acquisition of Chilevisión in the third quarter of 2021. The foreign exchange rate changes negatively impacted the comparison of total advertising revenues for the nine-month period by 1 percentage point.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fees received from multichannel video programming distributors (“MVPDs”) and third-party live television streaming services (“virtual MVPDs” or “vMVPDs”) for carriage of our cable networks (“cable affiliate fees”), fees received from television stations affiliated with the CBS Television Network (“reverse compensation”), fees for authorizing the MVPDs’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vMVPDs’ carriage of our owned television stations (“retransmission fees”), and subscription fees for our DTC services.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For the three and nine months ended September 30, 2022, affiliate and subscription revenues increased 8% and 12%, respectively, driven by growth in subscribers for our DTC services of 42% to 66.5 million at September 30, 2022 from 46.7 million at September 30, 2021, reflecting an increase of 20.5 million for Paramount+ to 46.0 million at September 30, 2022. These increases were partially offset by lower affiliate fees for our domestic and international pay television networks. The domestic decrease was the result of pay television subscriber declines, partially offset by rate increases and higher reverse compensation revenues in each period. The nine-month comparison also includes the benefit from the launch of our basic cable networks on a vMVPD in April 2021. Foreign exchange rate changes negatively impacted the comparison of total affiliate and subscription revenues for the three-month period by 1 percentage point.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 xml:space="preserve">For the three months ended September 30, 2022, theatrical revenues grew $164 million, led by the continued success of the second quarter 2022 theatrical release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Releases in the third quarter 2021 included </w:t>
      </w:r>
      <w:r>
        <w:rPr>
          <w:rFonts w:ascii="Times New Roman" w:cs="Times New Roman" w:eastAsia="Times New Roman" w:hAnsi="Times New Roman"/>
          <w:sz w:val="19"/>
          <w:szCs w:val="19"/>
          <w:i w:val="1"/>
          <w:iCs w:val="1"/>
          <w:color w:val="auto"/>
        </w:rPr>
        <w:t>Paw Patrol: The Movie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Snake Eyes: G.I. Joe Origins</w:t>
      </w:r>
      <w:r>
        <w:rPr>
          <w:rFonts w:ascii="Times New Roman" w:cs="Times New Roman" w:eastAsia="Times New Roman" w:hAnsi="Times New Roman"/>
          <w:sz w:val="19"/>
          <w:szCs w:val="19"/>
          <w:color w:val="auto"/>
        </w:rPr>
        <w:t xml:space="preserve">. For the nine months ended September 30, 2022, the $924 million increase in theatrical revenues was also driven by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as well as </w:t>
      </w:r>
      <w:r>
        <w:rPr>
          <w:rFonts w:ascii="Times New Roman" w:cs="Times New Roman" w:eastAsia="Times New Roman" w:hAnsi="Times New Roman"/>
          <w:sz w:val="19"/>
          <w:szCs w:val="19"/>
          <w:i w:val="1"/>
          <w:iCs w:val="1"/>
          <w:color w:val="auto"/>
        </w:rPr>
        <w:t xml:space="preserve">Sonic the Hedgehog 2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The Lost City. </w:t>
      </w:r>
      <w:r>
        <w:rPr>
          <w:rFonts w:ascii="Times New Roman" w:cs="Times New Roman" w:eastAsia="Times New Roman" w:hAnsi="Times New Roman"/>
          <w:sz w:val="19"/>
          <w:szCs w:val="19"/>
          <w:color w:val="auto"/>
        </w:rPr>
        <w:t>The comparable period in 2021 also included revenues from</w:t>
      </w:r>
      <w:r>
        <w:rPr>
          <w:rFonts w:ascii="Times New Roman" w:cs="Times New Roman" w:eastAsia="Times New Roman" w:hAnsi="Times New Roman"/>
          <w:sz w:val="19"/>
          <w:szCs w:val="19"/>
          <w:i w:val="1"/>
          <w:iCs w:val="1"/>
          <w:color w:val="auto"/>
        </w:rPr>
        <w:t xml:space="preserve"> A Quiet Place Part 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for third parties; home entertainment revenues, which includes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fees from the distribution of third-party programming; and revenues from the rental of production facilities.</w:t>
      </w:r>
    </w:p>
    <w:p>
      <w:pPr>
        <w:spacing w:after="0" w:line="19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 xml:space="preserve">The 1% decline in licensing and other revenues for the three months ended September 30, 2022 reflects a decrease in revenues from the licensing of television programming, mainly reflecting lower domestic licensing in the secondary market as the prior-year period included several significant licensing arrangements, offset by an increase in the licensing of film content, driven by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The 1% decrease for the nine months ended September 30, 2022 reflects lower licensing of library film titles and domestic licensing of television programming in the secondary market, offset by higher international licensing and a higher volume of television content produced for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6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4160" w:type="dxa"/>
            <w:vAlign w:val="bottom"/>
            <w:tcBorders>
              <w:top w:val="single" w:sz="8" w:color="auto"/>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9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240" w:type="dxa"/>
            <w:vAlign w:val="bottom"/>
          </w:tcPr>
          <w:p>
            <w:pPr>
              <w:spacing w:after="0"/>
              <w:rPr>
                <w:sz w:val="24"/>
                <w:szCs w:val="24"/>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3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160" w:type="dxa"/>
            <w:vAlign w:val="bottom"/>
          </w:tcPr>
          <w:p>
            <w:pPr>
              <w:spacing w:after="0"/>
              <w:rPr>
                <w:sz w:val="2"/>
                <w:szCs w:val="2"/>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vMerge w:val="restart"/>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3,527</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79 %</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3,255</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80 %</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272</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Distribution and other</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933</w:t>
            </w: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809</w:t>
            </w:r>
          </w:p>
        </w:tc>
        <w:tc>
          <w:tcPr>
            <w:tcW w:w="1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124</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4,460</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4,064</w:t>
            </w: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396</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68"/>
        </w:trPr>
        <w:tc>
          <w:tcPr>
            <w:tcW w:w="3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160" w:type="dxa"/>
            <w:vAlign w:val="bottom"/>
          </w:tcPr>
          <w:p>
            <w:pPr>
              <w:spacing w:after="0"/>
              <w:rPr>
                <w:sz w:val="24"/>
                <w:szCs w:val="24"/>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260" w:type="dxa"/>
            <w:vAlign w:val="bottom"/>
          </w:tcPr>
          <w:p>
            <w:pPr>
              <w:spacing w:after="0"/>
              <w:rPr>
                <w:sz w:val="24"/>
                <w:szCs w:val="24"/>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240" w:type="dxa"/>
            <w:vAlign w:val="bottom"/>
          </w:tcPr>
          <w:p>
            <w:pPr>
              <w:spacing w:after="0"/>
              <w:rPr>
                <w:sz w:val="24"/>
                <w:szCs w:val="24"/>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11,475</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80 %</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10,093</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82 %</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1,382</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Distribution and other</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2,887</w:t>
            </w: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2,199</w:t>
            </w:r>
          </w:p>
        </w:tc>
        <w:tc>
          <w:tcPr>
            <w:tcW w:w="1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688</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14,362</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12,292</w:t>
            </w: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2,070</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 xml:space="preserve">For the three months ended September 30, 2022, content costs increased 8% driven by our investment in content for our DTC services and participations associated with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For the nine months ended September 30, 2022, content costs increased 14% reflecting higher costs associated with theatrical releases and investment in content for our DTC services, partially offset by costs in 2021 from CBS’ broadcast of the Super Bowl.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print and advertising for theatrical releases and costs for amounts paid to third-party distributors; compensation; revenue-sharing costs to television stations affiliated with the CBS Television Network; and other ancillary and overhead costs associated with our operations.</w:t>
      </w:r>
    </w:p>
    <w:p>
      <w:pPr>
        <w:spacing w:after="0" w:line="18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9"/>
          <w:szCs w:val="19"/>
          <w:color w:val="auto"/>
        </w:rPr>
        <w:t>For the three and nine months ended September 30, 2022, distribution and other expenses increased 15% and 31%, respectively, primarily reflecting higher costs associated with the growth of our DTC services, including costs for payments to third-party distributors and to support the international expansion of our DTC services. The increases also reflect higher distribution costs associated with theatrical content.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3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60" w:type="dxa"/>
            <w:vAlign w:val="bottom"/>
            <w:tcBorders>
              <w:top w:val="single" w:sz="8" w:color="auto"/>
              <w:bottom w:val="single" w:sz="8" w:color="auto"/>
            </w:tcBorders>
          </w:tcPr>
          <w:p>
            <w:pPr>
              <w:spacing w:after="0"/>
              <w:rPr>
                <w:sz w:val="21"/>
                <w:szCs w:val="21"/>
                <w:color w:val="auto"/>
              </w:rPr>
            </w:pPr>
          </w:p>
        </w:tc>
        <w:tc>
          <w:tcPr>
            <w:tcW w:w="3760" w:type="dxa"/>
            <w:vAlign w:val="bottom"/>
            <w:tcBorders>
              <w:top w:val="single" w:sz="8" w:color="auto"/>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3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171"/>
        </w:trPr>
        <w:tc>
          <w:tcPr>
            <w:tcW w:w="312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4"/>
        </w:trPr>
        <w:tc>
          <w:tcPr>
            <w:tcW w:w="3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1,670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1,526</w:t>
            </w:r>
          </w:p>
        </w:tc>
        <w:tc>
          <w:tcPr>
            <w:tcW w:w="1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9 %</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4,999</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4,407</w:t>
            </w:r>
          </w:p>
        </w:tc>
        <w:tc>
          <w:tcPr>
            <w:tcW w:w="1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marketing, occupancy, professional service fees, and back office support, including employee compensation and technology. For the three and nine months ended September 30, 2022, SG&amp;A expenses increased 9% and 13%, respectively, driven by advertising, marketing and other cost increases to support the growth and expansion of our DTC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2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80" w:type="dxa"/>
            <w:vAlign w:val="bottom"/>
            <w:tcBorders>
              <w:top w:val="single" w:sz="8" w:color="auto"/>
              <w:bottom w:val="single" w:sz="8" w:color="auto"/>
            </w:tcBorders>
          </w:tcPr>
          <w:p>
            <w:pPr>
              <w:spacing w:after="0"/>
              <w:rPr>
                <w:sz w:val="21"/>
                <w:szCs w:val="21"/>
                <w:color w:val="auto"/>
              </w:rPr>
            </w:pPr>
          </w:p>
        </w:tc>
        <w:tc>
          <w:tcPr>
            <w:tcW w:w="3720" w:type="dxa"/>
            <w:vAlign w:val="bottom"/>
            <w:tcBorders>
              <w:top w:val="single" w:sz="8" w:color="auto"/>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3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2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92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95</w:t>
            </w:r>
          </w:p>
        </w:tc>
        <w:tc>
          <w:tcPr>
            <w:tcW w:w="1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282</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289</w:t>
            </w:r>
          </w:p>
        </w:tc>
        <w:tc>
          <w:tcPr>
            <w:tcW w:w="1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Other Corporate Matters</w:t>
      </w:r>
    </w:p>
    <w:p>
      <w:pPr>
        <w:spacing w:after="0" w:line="151" w:lineRule="exact"/>
        <w:rPr>
          <w:sz w:val="20"/>
          <w:szCs w:val="20"/>
          <w:color w:val="auto"/>
        </w:rPr>
      </w:pPr>
    </w:p>
    <w:p>
      <w:pPr>
        <w:jc w:val="both"/>
        <w:ind w:right="220"/>
        <w:spacing w:after="0" w:line="295" w:lineRule="auto"/>
        <w:rPr>
          <w:sz w:val="20"/>
          <w:szCs w:val="20"/>
          <w:color w:val="auto"/>
        </w:rPr>
      </w:pPr>
      <w:r>
        <w:rPr>
          <w:rFonts w:ascii="Times New Roman" w:cs="Times New Roman" w:eastAsia="Times New Roman" w:hAnsi="Times New Roman"/>
          <w:sz w:val="19"/>
          <w:szCs w:val="19"/>
          <w:color w:val="auto"/>
        </w:rPr>
        <w:t>During the three and nine months ended September 30, 2022 and 2021, we recorded the following costs associated with restructuring and other corporate matters.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6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4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436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19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77</w:t>
            </w:r>
          </w:p>
        </w:tc>
        <w:tc>
          <w:tcPr>
            <w:tcW w:w="88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46</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105</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Exit costs</w:t>
            </w:r>
          </w:p>
        </w:tc>
        <w:tc>
          <w:tcPr>
            <w:tcW w:w="1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8</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1"/>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960" w:type="dxa"/>
            <w:vAlign w:val="bottom"/>
          </w:tcPr>
          <w:p>
            <w:pPr>
              <w:spacing w:after="0"/>
              <w:rPr>
                <w:sz w:val="18"/>
                <w:szCs w:val="18"/>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85</w:t>
            </w:r>
          </w:p>
        </w:tc>
        <w:tc>
          <w:tcPr>
            <w:tcW w:w="880" w:type="dxa"/>
            <w:vAlign w:val="bottom"/>
          </w:tcPr>
          <w:p>
            <w:pPr>
              <w:spacing w:after="0"/>
              <w:rPr>
                <w:sz w:val="18"/>
                <w:szCs w:val="18"/>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46</w:t>
            </w:r>
          </w:p>
        </w:tc>
        <w:tc>
          <w:tcPr>
            <w:tcW w:w="380" w:type="dxa"/>
            <w:vAlign w:val="bottom"/>
          </w:tcPr>
          <w:p>
            <w:pPr>
              <w:spacing w:after="0"/>
              <w:rPr>
                <w:sz w:val="18"/>
                <w:szCs w:val="18"/>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corporate matters</w:t>
            </w:r>
          </w:p>
        </w:tc>
        <w:tc>
          <w:tcPr>
            <w:tcW w:w="1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84</w:t>
            </w: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163</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1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169</w:t>
            </w:r>
          </w:p>
        </w:tc>
        <w:tc>
          <w:tcPr>
            <w:tcW w:w="8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46</w:t>
            </w:r>
          </w:p>
        </w:tc>
        <w:tc>
          <w:tcPr>
            <w:tcW w:w="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276</w:t>
            </w: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three and nine months ended September 30, 2022, we recorded restructuring charges of $85 million and $113 million, respectively,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are comprised of severance costs and the impairment of lease assets in each period. The severance costs are primarily associated 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changes in management following the realignment of our operating segments. The lease impairments relate to lease assets that we ceased use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the intent to sublease in connection with initiatives to reduce our real estate footprint in New York City. In addition, for the three and nine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months ended September 30, 2022, we recorded charges for other corporate matters of $84 million and $163 million, respectively, of which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$77 million and $117 million, respectively, is associated with litigation described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Stockholder Matters</w:t>
      </w:r>
      <w:r>
        <w:rPr>
          <w:rFonts w:ascii="Times New Roman" w:cs="Times New Roman" w:eastAsia="Times New Roman" w:hAnsi="Times New Roman"/>
          <w:sz w:val="19"/>
          <w:szCs w:val="19"/>
          <w:color w:val="auto"/>
        </w:rPr>
        <w:t>. Also included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corporate matters are charges of $7 million and $46 million for the three and nine months ended September 30, 2022, respectively, recorded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Russia’s invasion of Ukraine in the first quarter of 2022, principally to reserve against amounts due from counterparties in Russia,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Belarus and Ukraine.</w:t>
      </w:r>
    </w:p>
    <w:p>
      <w:pPr>
        <w:spacing w:after="0" w:line="22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During the three and nine months ended September 30, 2021, we recorded restructuring charges of $46 million and $81 million, respectively. The charges for the three-month period were for severance costs primarily associated with changes in management at certain of our businesses. The charges for the nine-month period also included $35 million for the impairment of lease assets that we determined we would not use and began actively marketing for sublease. This determination was made in connection with cost-transformation initiatives related to the merger of Viacom Inc. (“Viacom”) with and into CBS Corporation (“CBS”) (the “Merger”). The impairment was the result of a decline in market conditions since inception of these leases and reflects the difference between the estimated fair values, which were determined based on the expected discounted future cash flows of the lease assets, and the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Gain on Dispositions</w:t>
      </w:r>
    </w:p>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For the three and nine months ended September 30, 2022, we recorded a gain of $41 million relating to the contribution of certain assets of Paramount+ in the Nordics to SkyShowtime. Also, for the nine months ended September 30, 2022, we recorded gains on dispositions totaling $15 million, comprised of a gain from the sale of international intangible assets and a working capital adjustment to the gain from the fourth quarter 2021 sale of CBS Studio Center. For the nine months ended September 30, 2021, net gain on dispositions of $116 million principally included a gain on the sale of a noncore trademark licensing operation.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1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800" w:type="dxa"/>
            <w:vAlign w:val="bottom"/>
            <w:tcBorders>
              <w:top w:val="single" w:sz="8" w:color="auto"/>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6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3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(231)</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(243)</w:t>
            </w:r>
          </w:p>
        </w:tc>
        <w:tc>
          <w:tcPr>
            <w:tcW w:w="18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(701)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(745)</w:t>
            </w:r>
          </w:p>
        </w:tc>
        <w:tc>
          <w:tcPr>
            <w:tcW w:w="18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(6)%</w:t>
            </w:r>
          </w:p>
        </w:tc>
      </w:tr>
      <w:tr>
        <w:trPr>
          <w:trHeight w:val="234"/>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11</w:t>
            </w:r>
          </w:p>
        </w:tc>
        <w:tc>
          <w:tcPr>
            <w:tcW w:w="1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200 %</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73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37</w:t>
            </w:r>
          </w:p>
        </w:tc>
        <w:tc>
          <w:tcPr>
            <w:tcW w:w="1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97 %</w:t>
            </w:r>
          </w:p>
        </w:tc>
      </w:tr>
    </w:tbl>
    <w:p>
      <w:pPr>
        <w:spacing w:after="0" w:line="26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9"/>
          <w:szCs w:val="19"/>
          <w:color w:val="auto"/>
        </w:rPr>
        <w:t>The following table presents our outstanding debt balances, excluding finance leases, and the weighted average interest rates as of September 30, 2022 and 2021.</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249"/>
        </w:trPr>
        <w:tc>
          <w:tcPr>
            <w:tcW w:w="26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At September 30,</w:t>
            </w:r>
          </w:p>
        </w:tc>
        <w:tc>
          <w:tcPr>
            <w:tcW w:w="86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spacing w:after="0"/>
              <w:rPr>
                <w:sz w:val="21"/>
                <w:szCs w:val="21"/>
                <w:color w:val="auto"/>
              </w:rPr>
            </w:pPr>
          </w:p>
        </w:tc>
      </w:tr>
      <w:tr>
        <w:trPr>
          <w:trHeight w:val="209"/>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30"/>
        </w:trPr>
        <w:tc>
          <w:tcPr>
            <w:tcW w:w="2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1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Interest Rate</w:t>
            </w:r>
          </w:p>
        </w:tc>
      </w:tr>
      <w:tr>
        <w:trPr>
          <w:trHeight w:val="211"/>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Total notes and debentures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15,775</w:t>
            </w:r>
          </w:p>
        </w:tc>
        <w:tc>
          <w:tcPr>
            <w:tcW w:w="216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5.13 %</w:t>
            </w: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17,650</w:t>
            </w:r>
          </w:p>
        </w:tc>
        <w:tc>
          <w:tcPr>
            <w:tcW w:w="19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4.93 %</w:t>
            </w:r>
          </w:p>
        </w:tc>
      </w:tr>
      <w:tr>
        <w:trPr>
          <w:trHeight w:val="234"/>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bank borrowings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47</w:t>
            </w:r>
          </w:p>
        </w:tc>
        <w:tc>
          <w:tcPr>
            <w:tcW w:w="2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5.80 %</w:t>
            </w: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35</w:t>
            </w:r>
          </w:p>
        </w:tc>
        <w:tc>
          <w:tcPr>
            <w:tcW w:w="1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3.50 %</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Gains (Losses) from Investments</w:t>
      </w:r>
    </w:p>
    <w:p>
      <w:pPr>
        <w:spacing w:after="0" w:line="15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For the three months ended September 30, 2022, we recorded a loss of $4 million on the sale of a 37.5% interest in The CW, which is principally comprised of transaction costs, and an impairment of an investment of $5 million. For the three months ended September 30, 2021 we recorded a net loss from investments of $5 million, reflecting changes in the fair value of a marketable security, and for the nine month period we recorded a net gain of $47 million, which included a gain of $37 million from the sale of an investment without a readily determinable fair value and a net gain from changes in the fair value of the marketable security discussed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on Extinguishment of Debt</w:t>
      </w:r>
    </w:p>
    <w:p>
      <w:pPr>
        <w:spacing w:after="0" w:line="151"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9"/>
          <w:szCs w:val="19"/>
          <w:color w:val="auto"/>
        </w:rPr>
        <w:t>For the nine months ended September 30, 2022 and 2021, we recorded losses on extinguishment of debt of $120 million and $128 million associated with the early redemption of long-term debt of $2.91 billion and $1.99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5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3"/>
        </w:trPr>
        <w:tc>
          <w:tcPr>
            <w:tcW w:w="516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9"/>
        </w:trPr>
        <w:tc>
          <w:tcPr>
            <w:tcW w:w="5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8"/>
              </w:rPr>
              <w:t>(16)</w:t>
            </w:r>
          </w:p>
        </w:tc>
        <w:tc>
          <w:tcPr>
            <w:tcW w:w="8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720" w:type="dxa"/>
            <w:vAlign w:val="bottom"/>
          </w:tcPr>
          <w:p>
            <w:pPr>
              <w:spacing w:after="0"/>
              <w:rPr>
                <w:sz w:val="19"/>
                <w:szCs w:val="19"/>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8"/>
              </w:rPr>
              <w:t>(21)</w:t>
            </w:r>
          </w:p>
        </w:tc>
        <w:tc>
          <w:tcPr>
            <w:tcW w:w="820" w:type="dxa"/>
            <w:vAlign w:val="bottom"/>
          </w:tcPr>
          <w:p>
            <w:pPr>
              <w:spacing w:after="0"/>
              <w:rPr>
                <w:sz w:val="19"/>
                <w:szCs w:val="19"/>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r>
      <w:tr>
        <w:trPr>
          <w:trHeight w:val="226"/>
        </w:trPr>
        <w:tc>
          <w:tcPr>
            <w:tcW w:w="516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Pension settlement charge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9"/>
                <w:szCs w:val="19"/>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8"/>
              </w:rPr>
              <w:t>(36)</w:t>
            </w:r>
          </w:p>
        </w:tc>
        <w:tc>
          <w:tcPr>
            <w:tcW w:w="8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(91)</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(55)</w:t>
            </w:r>
          </w:p>
        </w:tc>
      </w:tr>
    </w:tbl>
    <w:p>
      <w:pPr>
        <w:spacing w:after="0" w:line="117" w:lineRule="exact"/>
        <w:rPr>
          <w:sz w:val="20"/>
          <w:szCs w:val="20"/>
          <w:color w:val="auto"/>
        </w:rPr>
      </w:pPr>
    </w:p>
    <w:p>
      <w:pPr>
        <w:ind w:left="800" w:right="700" w:hanging="244"/>
        <w:spacing w:after="0" w:line="285" w:lineRule="auto"/>
        <w:tabs>
          <w:tab w:leader="none" w:pos="7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accelerated recognition of a portion of the unamortized actuarial losses due to the volume of lump sum benefit payments in one of our pension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 Income Taxes</w:t>
      </w:r>
    </w:p>
    <w:p>
      <w:pPr>
        <w:spacing w:after="0" w:line="1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The provision for income taxes represents federal, state and local, and foreign taxes on earnings from continuing operations before income taxes and equity in loss of investee companies. For the three and nine months ended September 30, 2022, we recorded a provision for income taxes of $101 million and $264 million, reflecting effective income tax rates of 31.3% and 20.1%, respectively. Included in the provision for income taxes for the third quarter of 2022 is a net discrete tax provision of $9 million, which primarily reflects discrete tax provisions realized in connection with the filing of our tax returns in international jurisdictions and from the transfer of subsidiaries in connection with a reorganization of our international operations. These items, together with a net tax benefit of $29 million on other items identified as affecting the comparability of our results during the period (which include charges for restructuring and other corporate matters, and a gain on a disposition) increased our effective income tax rate by 5.0 percentage points. The tax provision for the nine months ended September 30, 2022 included a net discrete tax benefit of $72 million primarily resulting from the transfer of intangible assets between our subsidiaries in connection with a reorganization of our international operations. This item, together with a net tax benefit of $77 million on other items identified as affecting the comparability of our results during the nine-month period (which include charges for restructuring and other corporate matters, a loss on extinguishment of debt, and gains on dispositions) decreased our effective income tax rate by 4.8 percentage points.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For the three and nine months ended September 30, 2021, we recorded a provision for income taxes of $120 million and $312 million, reflecting effective income tax rates of 19.5% and 11.2%, respectively. Included in the provision for income taxes for the nine months ended September 30, 2021 are discrete tax benefits of $290 million primarily consisting of a benefit of $260 million to remeasure our UK net deferred income tax asset as a result of the enactment during the second quarter of 2021 of an increase in the UK corporate income tax rate from 19% to 25% beginning April 1, 2023, as well as a net tax benefit in connection with the settlement of income tax audits. For the nine months ended September 30, 2021, these discrete tax benefits, together with a net tax benefit of $14 million on other items identified as affecting the comparability of our results during the period (which include a loss on extinguishment of debt, restructuring and pension settlement charges and net gains from dispositions and investments) reduced our effective income tax rate by 10.5 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for our equity-method investments.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30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700" w:type="dxa"/>
            <w:vAlign w:val="bottom"/>
            <w:tcBorders>
              <w:top w:val="single" w:sz="8" w:color="auto"/>
              <w:bottom w:val="single" w:sz="8" w:color="auto"/>
            </w:tcBorders>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60" w:type="dxa"/>
            <w:vAlign w:val="bottom"/>
            <w:tcBorders>
              <w:top w:val="single" w:sz="8" w:color="auto"/>
              <w:bottom w:val="single" w:sz="8" w:color="auto"/>
            </w:tcBorders>
          </w:tcPr>
          <w:p>
            <w:pPr>
              <w:spacing w:after="0"/>
              <w:rPr>
                <w:sz w:val="21"/>
                <w:szCs w:val="21"/>
                <w:color w:val="auto"/>
              </w:rPr>
            </w:pPr>
          </w:p>
        </w:tc>
        <w:tc>
          <w:tcPr>
            <w:tcW w:w="3820" w:type="dxa"/>
            <w:vAlign w:val="bottom"/>
            <w:tcBorders>
              <w:top w:val="single" w:sz="8" w:color="auto"/>
              <w:bottom w:val="single" w:sz="8" w:color="auto"/>
            </w:tcBorders>
            <w:gridSpan w:val="4"/>
          </w:tcPr>
          <w:p>
            <w:pPr>
              <w:ind w:left="4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3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(27)</w:t>
            </w:r>
          </w:p>
        </w:tc>
        <w:tc>
          <w:tcPr>
            <w:tcW w:w="1760" w:type="dxa"/>
            <w:vAlign w:val="bottom"/>
          </w:tcPr>
          <w:p>
            <w:pPr>
              <w:jc w:val="center"/>
              <w:ind w:left="513"/>
              <w:spacing w:after="0"/>
              <w:rPr>
                <w:sz w:val="20"/>
                <w:szCs w:val="20"/>
                <w:color w:val="auto"/>
              </w:rPr>
            </w:pPr>
            <w:r>
              <w:rPr>
                <w:rFonts w:ascii="Times New Roman" w:cs="Times New Roman" w:eastAsia="Times New Roman" w:hAnsi="Times New Roman"/>
                <w:sz w:val="17"/>
                <w:szCs w:val="17"/>
                <w:color w:val="auto"/>
              </w:rPr>
              <w:t>(178)%</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(166)</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(119)</w:t>
            </w:r>
          </w:p>
        </w:tc>
        <w:tc>
          <w:tcPr>
            <w:tcW w:w="182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rPr>
              <w:t>(39)%</w:t>
            </w:r>
          </w:p>
        </w:tc>
      </w:tr>
      <w:tr>
        <w:trPr>
          <w:trHeight w:val="22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9</w:t>
            </w:r>
          </w:p>
        </w:tc>
        <w:tc>
          <w:tcPr>
            <w:tcW w:w="176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7"/>
                <w:szCs w:val="17"/>
                <w:color w:val="auto"/>
                <w:w w:val="93"/>
              </w:rPr>
              <w:t>89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39</w:t>
            </w:r>
          </w:p>
        </w:tc>
        <w:tc>
          <w:tcPr>
            <w:tcW w:w="182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7"/>
                <w:szCs w:val="17"/>
                <w:color w:val="auto"/>
                <w:w w:val="93"/>
              </w:rPr>
              <w:t>8</w:t>
            </w:r>
          </w:p>
        </w:tc>
      </w:tr>
      <w:tr>
        <w:trPr>
          <w:trHeight w:val="164"/>
        </w:trPr>
        <w:tc>
          <w:tcPr>
            <w:tcW w:w="3020" w:type="dxa"/>
            <w:vAlign w:val="bottom"/>
          </w:tcPr>
          <w:p>
            <w:pPr>
              <w:ind w:left="20"/>
              <w:spacing w:after="0" w:line="164" w:lineRule="exact"/>
              <w:rPr>
                <w:sz w:val="20"/>
                <w:szCs w:val="20"/>
                <w:color w:val="auto"/>
              </w:rPr>
            </w:pPr>
            <w:r>
              <w:rPr>
                <w:rFonts w:ascii="Times New Roman" w:cs="Times New Roman" w:eastAsia="Times New Roman" w:hAnsi="Times New Roman"/>
                <w:sz w:val="17"/>
                <w:szCs w:val="17"/>
                <w:color w:val="auto"/>
              </w:rPr>
              <w:t>Equity in loss of investee companies,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42"/>
        </w:trPr>
        <w:tc>
          <w:tcPr>
            <w:tcW w:w="3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(58)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(18)</w:t>
            </w:r>
          </w:p>
        </w:tc>
        <w:tc>
          <w:tcPr>
            <w:tcW w:w="17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7"/>
                <w:szCs w:val="17"/>
                <w:color w:val="auto"/>
              </w:rPr>
              <w:t>(222)%</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(124)</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(80)</w:t>
            </w:r>
          </w:p>
        </w:tc>
        <w:tc>
          <w:tcPr>
            <w:tcW w:w="182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7"/>
                <w:szCs w:val="17"/>
                <w:color w:val="auto"/>
              </w:rPr>
              <w:t>(55)%</w:t>
            </w:r>
          </w:p>
        </w:tc>
      </w:tr>
    </w:tbl>
    <w:p>
      <w:pPr>
        <w:spacing w:after="0" w:line="253"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9"/>
          <w:szCs w:val="19"/>
          <w:color w:val="auto"/>
        </w:rPr>
        <w:t>For the three and nine months ended September 30, 2022, the increase in equity in loss of investee companies, net of tax was driven by our investment in SkyShowtime.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5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9"/>
          <w:szCs w:val="19"/>
          <w:color w:val="auto"/>
        </w:rPr>
        <w:t xml:space="preserve">During the fourth quarter of 2020, we entered into an agreement to sell our publishing business, Simon &amp; Schuster, to Penguin Random House LLC (“Penguin Random House”), a wholly-owned subsidiary of Bertelsmann SE &amp; Co. KGaA (“Bertelsmann”) (see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Simon &amp; Schuster has been presented as a discontinued operation in our consolidated financial statements for all periods presented.</w:t>
      </w:r>
    </w:p>
    <w:p>
      <w:pPr>
        <w:spacing w:after="0" w:line="19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9"/>
          <w:szCs w:val="19"/>
          <w:color w:val="auto"/>
        </w:rPr>
        <w:t>The following table sets forth details of net earnings from discontinued operations for the three and nine months ended September 30, 2022 and 2021, which primarily reflects the results of Simon &amp; Schuster.</w:t>
      </w:r>
    </w:p>
    <w:p>
      <w:pPr>
        <w:spacing w:after="0" w:line="122" w:lineRule="exact"/>
        <w:rPr>
          <w:sz w:val="20"/>
          <w:szCs w:val="20"/>
          <w:color w:val="auto"/>
        </w:rPr>
      </w:pPr>
    </w:p>
    <w:tbl>
      <w:tblPr>
        <w:tblLayout w:type="fixed"/>
        <w:tblInd w:w="500" w:type="dxa"/>
        <w:tblCellMar>
          <w:top w:w="0" w:type="dxa"/>
          <w:left w:w="0" w:type="dxa"/>
          <w:bottom w:w="0" w:type="dxa"/>
          <w:right w:w="0" w:type="dxa"/>
        </w:tblCellMar>
      </w:tblPr>
      <w:tr>
        <w:trPr>
          <w:trHeight w:val="242"/>
        </w:trPr>
        <w:tc>
          <w:tcPr>
            <w:tcW w:w="58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82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5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6"/>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353</w:t>
            </w:r>
          </w:p>
        </w:tc>
        <w:tc>
          <w:tcPr>
            <w:tcW w:w="8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321</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863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68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198</w:t>
            </w:r>
          </w:p>
        </w:tc>
        <w:tc>
          <w:tcPr>
            <w:tcW w:w="820" w:type="dxa"/>
            <w:vAlign w:val="bottom"/>
          </w:tcPr>
          <w:p>
            <w:pPr>
              <w:spacing w:after="0"/>
              <w:rPr>
                <w:sz w:val="19"/>
                <w:szCs w:val="19"/>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182</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68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45</w:t>
            </w:r>
          </w:p>
        </w:tc>
        <w:tc>
          <w:tcPr>
            <w:tcW w:w="820" w:type="dxa"/>
            <w:vAlign w:val="bottom"/>
          </w:tcPr>
          <w:p>
            <w:pPr>
              <w:spacing w:after="0"/>
              <w:rPr>
                <w:sz w:val="19"/>
                <w:szCs w:val="19"/>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8"/>
        </w:trPr>
        <w:tc>
          <w:tcPr>
            <w:tcW w:w="5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5820" w:type="dxa"/>
            <w:vAlign w:val="bottom"/>
          </w:tcPr>
          <w:p>
            <w:pPr>
              <w:ind w:left="340"/>
              <w:spacing w:after="0" w:line="211" w:lineRule="exact"/>
              <w:rPr>
                <w:sz w:val="20"/>
                <w:szCs w:val="20"/>
                <w:color w:val="auto"/>
              </w:rPr>
            </w:pPr>
            <w:r>
              <w:rPr>
                <w:rFonts w:ascii="Times New Roman" w:cs="Times New Roman" w:eastAsia="Times New Roman" w:hAnsi="Times New Roman"/>
                <w:sz w:val="17"/>
                <w:szCs w:val="17"/>
                <w:color w:val="auto"/>
              </w:rPr>
              <w:t xml:space="preserve">Total costs and expenses </w:t>
            </w:r>
            <w:r>
              <w:rPr>
                <w:rFonts w:ascii="Times New Roman" w:cs="Times New Roman" w:eastAsia="Times New Roman" w:hAnsi="Times New Roman"/>
                <w:sz w:val="22"/>
                <w:szCs w:val="22"/>
                <w:color w:val="auto"/>
                <w:vertAlign w:val="superscript"/>
              </w:rPr>
              <w:t>(a)</w:t>
            </w:r>
          </w:p>
        </w:tc>
        <w:tc>
          <w:tcPr>
            <w:tcW w:w="680" w:type="dxa"/>
            <w:vAlign w:val="bottom"/>
          </w:tcPr>
          <w:p>
            <w:pPr>
              <w:spacing w:after="0"/>
              <w:rPr>
                <w:sz w:val="18"/>
                <w:szCs w:val="18"/>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245</w:t>
            </w:r>
          </w:p>
        </w:tc>
        <w:tc>
          <w:tcPr>
            <w:tcW w:w="820" w:type="dxa"/>
            <w:vAlign w:val="bottom"/>
          </w:tcPr>
          <w:p>
            <w:pPr>
              <w:spacing w:after="0"/>
              <w:rPr>
                <w:sz w:val="18"/>
                <w:szCs w:val="18"/>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221</w:t>
            </w:r>
          </w:p>
        </w:tc>
        <w:tc>
          <w:tcPr>
            <w:tcW w:w="34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615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68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108</w:t>
            </w:r>
          </w:p>
        </w:tc>
        <w:tc>
          <w:tcPr>
            <w:tcW w:w="820" w:type="dxa"/>
            <w:vAlign w:val="bottom"/>
          </w:tcPr>
          <w:p>
            <w:pPr>
              <w:spacing w:after="0"/>
              <w:rPr>
                <w:sz w:val="19"/>
                <w:szCs w:val="19"/>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100</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8"/>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tc>
        <w:tc>
          <w:tcPr>
            <w:tcW w:w="680" w:type="dxa"/>
            <w:vAlign w:val="bottom"/>
          </w:tcPr>
          <w:p>
            <w:pPr>
              <w:spacing w:after="0"/>
              <w:rPr>
                <w:sz w:val="18"/>
                <w:szCs w:val="18"/>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105</w:t>
            </w:r>
          </w:p>
        </w:tc>
        <w:tc>
          <w:tcPr>
            <w:tcW w:w="820" w:type="dxa"/>
            <w:vAlign w:val="bottom"/>
          </w:tcPr>
          <w:p>
            <w:pPr>
              <w:spacing w:after="0"/>
              <w:rPr>
                <w:sz w:val="18"/>
                <w:szCs w:val="18"/>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94</w:t>
            </w:r>
          </w:p>
        </w:tc>
        <w:tc>
          <w:tcPr>
            <w:tcW w:w="34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31"/>
        </w:trPr>
        <w:tc>
          <w:tcPr>
            <w:tcW w:w="582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 xml:space="preserve">Income tax provision </w:t>
            </w:r>
            <w:r>
              <w:rPr>
                <w:rFonts w:ascii="Times New Roman" w:cs="Times New Roman" w:eastAsia="Times New Roman" w:hAnsi="Times New Roman"/>
                <w:sz w:val="22"/>
                <w:szCs w:val="22"/>
                <w:color w:val="auto"/>
                <w:vertAlign w:val="superscript"/>
              </w:rPr>
              <w:t>(b)</w:t>
            </w:r>
          </w:p>
        </w:tc>
        <w:tc>
          <w:tcPr>
            <w:tcW w:w="6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8"/>
              </w:rPr>
              <w:t>(27)</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8"/>
              </w:rPr>
              <w:t>(21)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78</w:t>
            </w:r>
          </w:p>
        </w:tc>
        <w:tc>
          <w:tcPr>
            <w:tcW w:w="8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bl>
    <w:p>
      <w:pPr>
        <w:spacing w:after="0" w:line="104" w:lineRule="exact"/>
        <w:rPr>
          <w:sz w:val="20"/>
          <w:szCs w:val="20"/>
          <w:color w:val="auto"/>
        </w:rPr>
      </w:pPr>
    </w:p>
    <w:p>
      <w:pPr>
        <w:ind w:left="640" w:right="380" w:hanging="242"/>
        <w:spacing w:after="0" w:line="262" w:lineRule="auto"/>
        <w:tabs>
          <w:tab w:leader="none" w:pos="61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total costs and expenses are amounts associated with the release of indemnification obligations for leases relating to a previously disposed business of $15 million and $25 million for the three and nine months ended September 30, 2022, respectively, and $7 million and $9 million for the three and nine months ended September 30, 2021, respectively.</w:t>
      </w:r>
    </w:p>
    <w:p>
      <w:pPr>
        <w:spacing w:after="0" w:line="40" w:lineRule="exact"/>
        <w:rPr>
          <w:rFonts w:ascii="Times New Roman" w:cs="Times New Roman" w:eastAsia="Times New Roman" w:hAnsi="Times New Roman"/>
          <w:sz w:val="16"/>
          <w:szCs w:val="16"/>
          <w:color w:val="auto"/>
        </w:rPr>
      </w:pPr>
    </w:p>
    <w:p>
      <w:pPr>
        <w:ind w:left="640" w:right="560" w:hanging="242"/>
        <w:spacing w:after="0" w:line="268" w:lineRule="auto"/>
        <w:tabs>
          <w:tab w:leader="none" w:pos="6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includes amounts relating to previously disposed businesses of $4 million and $6 million for the three and nine months ended September 30, 2022, respectively, and $2 million and $9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Continuing Operations Attributable to Paramount and Diluted EPS from Continuing Operations Attributable to Paramount</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31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700" w:type="dxa"/>
            <w:vAlign w:val="bottom"/>
            <w:tcBorders>
              <w:top w:val="single" w:sz="8" w:color="auto"/>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40" w:type="dxa"/>
            <w:vAlign w:val="bottom"/>
            <w:tcBorders>
              <w:top w:val="single" w:sz="8" w:color="auto"/>
              <w:bottom w:val="single" w:sz="8" w:color="auto"/>
            </w:tcBorders>
          </w:tcPr>
          <w:p>
            <w:pPr>
              <w:spacing w:after="0"/>
              <w:rPr>
                <w:sz w:val="21"/>
                <w:szCs w:val="21"/>
                <w:color w:val="auto"/>
              </w:rPr>
            </w:pPr>
          </w:p>
        </w:tc>
        <w:tc>
          <w:tcPr>
            <w:tcW w:w="3700" w:type="dxa"/>
            <w:vAlign w:val="bottom"/>
            <w:tcBorders>
              <w:top w:val="single" w:sz="8" w:color="auto"/>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3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171"/>
        </w:trPr>
        <w:tc>
          <w:tcPr>
            <w:tcW w:w="318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Net earnings from continuing operations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3"/>
        </w:trPr>
        <w:tc>
          <w:tcPr>
            <w:tcW w:w="3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153</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465</w:t>
            </w: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(67)%</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902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2,359</w:t>
            </w:r>
          </w:p>
        </w:tc>
        <w:tc>
          <w:tcPr>
            <w:tcW w:w="18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(62)%</w:t>
            </w:r>
          </w:p>
        </w:tc>
      </w:tr>
      <w:tr>
        <w:trPr>
          <w:trHeight w:val="184"/>
        </w:trPr>
        <w:tc>
          <w:tcPr>
            <w:tcW w:w="31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Diluted EPS from continuing operations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34"/>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.69</w:t>
            </w:r>
          </w:p>
        </w:tc>
        <w:tc>
          <w:tcPr>
            <w:tcW w:w="1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1.32</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3.62</w:t>
            </w:r>
          </w:p>
        </w:tc>
        <w:tc>
          <w:tcPr>
            <w:tcW w:w="1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(64)%</w:t>
            </w:r>
          </w:p>
        </w:tc>
      </w:tr>
    </w:tbl>
    <w:p>
      <w:pPr>
        <w:spacing w:after="0" w:line="26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For the three and nine months ended September 30, 2022, net earnings from continuing operations attributable to Paramount decreased 67% and 62%, respectively, and diluted EPS from continuing operations decreased 70% and 64%, respectively, driven by the decrease in operating income as well as lower discrete tax benefits in the nine-month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w:t>
      </w:r>
    </w:p>
    <w:p>
      <w:pPr>
        <w:spacing w:after="0" w:line="16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We present operating income excluding depreciation and amortization, stock-based compensation, costs for restructuring and other corporate matters and net gain on dispositions, each where applicable (“Adjusted OIBDA”), as the primary measure of profit and loss for our operating segments in accordance with Financial Accounting Standards Board guidance for segment reporting.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 Stock-based compensation is included as a component of our consolidated Adjusted OIBDA. The reconciliation of Adjusted OIBDA to our consolidated net earnings is presented in Note 13 to the consolidated financial statements.</w:t>
      </w:r>
    </w:p>
    <w:p>
      <w:pPr>
        <w:spacing w:after="0" w:line="1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Beginning in 2022, primarily as a result of our increased strategic focus on our direct-to-consumer businesses, we made certain changes to how we manage our businesses and allocate resources that resulted in a change to our operating segments. Our management structure has been reorganized to focus on managing our business as the combination of three parts: a traditional media business, a portfolio of global DTC services, and a film studio. Accordingly, beginning in the first quarter of 2022, and for all periods presented we are reporting results based on the following segments:</w:t>
      </w:r>
    </w:p>
    <w:p>
      <w:pPr>
        <w:spacing w:after="0" w:line="328" w:lineRule="exact"/>
        <w:rPr>
          <w:sz w:val="20"/>
          <w:szCs w:val="20"/>
          <w:color w:val="auto"/>
        </w:rPr>
      </w:pPr>
    </w:p>
    <w:p>
      <w:pPr>
        <w:ind w:left="560" w:right="20" w:hanging="240"/>
        <w:spacing w:after="0" w:line="261" w:lineRule="auto"/>
        <w:tabs>
          <w:tab w:leader="none" w:pos="553" w:val="left"/>
        </w:tabs>
        <w:numPr>
          <w:ilvl w:val="0"/>
          <w:numId w:val="21"/>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domestic and international broadcast networks, including the CBS Television Network,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Network 10, Channel 5, Telefe and Chilevisión; our premium and basic cable networks, including Showtime, BET, Nickelodeon, MTV, Comedy Central, Paramount Network, Smithsonian Channel, international extensions of these brands, and CBS Sports Network; our television production operations, including CBS Studios, Paramount Television Studios and CBS Media Ventures, which primarily produces or distributes first-run syndicated programming; and our owned broadcast television stations, CBS Stations</w:t>
      </w:r>
      <w:r>
        <w:rPr>
          <w:rFonts w:ascii="Times New Roman" w:cs="Times New Roman" w:eastAsia="Times New Roman" w:hAnsi="Times New Roman"/>
          <w:sz w:val="19"/>
          <w:szCs w:val="19"/>
          <w:color w:val="242424"/>
        </w:rPr>
        <w:t>.</w:t>
      </w:r>
    </w:p>
    <w:p>
      <w:pPr>
        <w:spacing w:after="0" w:line="174" w:lineRule="exact"/>
        <w:rPr>
          <w:rFonts w:ascii="Calibri" w:cs="Calibri" w:eastAsia="Calibri" w:hAnsi="Calibri"/>
          <w:sz w:val="19"/>
          <w:szCs w:val="19"/>
          <w:b w:val="1"/>
          <w:bCs w:val="1"/>
          <w:i w:val="1"/>
          <w:iCs w:val="1"/>
          <w:color w:val="auto"/>
        </w:rPr>
      </w:pPr>
    </w:p>
    <w:p>
      <w:pPr>
        <w:ind w:left="560" w:right="40" w:hanging="240"/>
        <w:spacing w:after="0" w:line="297" w:lineRule="auto"/>
        <w:tabs>
          <w:tab w:leader="none" w:pos="553" w:val="left"/>
        </w:tabs>
        <w:numPr>
          <w:ilvl w:val="0"/>
          <w:numId w:val="21"/>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pay, free and premium global DTC services,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Paramount+, Pluto TV, Showtime Networks’ premium subscription streaming service (“Showtime OTT”), BET+ and Noggin.</w:t>
      </w:r>
    </w:p>
    <w:p>
      <w:pPr>
        <w:spacing w:after="0" w:line="124" w:lineRule="exact"/>
        <w:rPr>
          <w:rFonts w:ascii="Calibri" w:cs="Calibri" w:eastAsia="Calibri" w:hAnsi="Calibri"/>
          <w:sz w:val="19"/>
          <w:szCs w:val="19"/>
          <w:b w:val="1"/>
          <w:bCs w:val="1"/>
          <w:i w:val="1"/>
          <w:iCs w:val="1"/>
          <w:color w:val="auto"/>
        </w:rPr>
      </w:pPr>
    </w:p>
    <w:p>
      <w:pPr>
        <w:ind w:left="560" w:right="280" w:hanging="240"/>
        <w:spacing w:after="0" w:line="297" w:lineRule="auto"/>
        <w:tabs>
          <w:tab w:leader="none" w:pos="553" w:val="left"/>
        </w:tabs>
        <w:numPr>
          <w:ilvl w:val="0"/>
          <w:numId w:val="21"/>
        </w:numPr>
        <w:rPr>
          <w:rFonts w:ascii="Calibri" w:cs="Calibri" w:eastAsia="Calibri" w:hAnsi="Calibri"/>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and Miramax.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9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640" w:type="dxa"/>
            <w:vAlign w:val="bottom"/>
          </w:tcPr>
          <w:p>
            <w:pPr>
              <w:spacing w:after="0"/>
              <w:rPr>
                <w:sz w:val="18"/>
                <w:szCs w:val="18"/>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40" w:type="dxa"/>
            <w:vAlign w:val="bottom"/>
          </w:tcPr>
          <w:p>
            <w:pPr>
              <w:spacing w:after="0"/>
              <w:rPr>
                <w:sz w:val="18"/>
                <w:szCs w:val="18"/>
                <w:color w:val="auto"/>
              </w:rPr>
            </w:pPr>
          </w:p>
        </w:tc>
        <w:tc>
          <w:tcPr>
            <w:tcW w:w="204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4,948</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72 %</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5,220</w:t>
            </w: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79 %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(272)</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1,226</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w:t>
            </w:r>
          </w:p>
        </w:tc>
        <w:tc>
          <w:tcPr>
            <w:tcW w:w="64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890</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336</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783</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w:t>
            </w:r>
          </w:p>
        </w:tc>
        <w:tc>
          <w:tcPr>
            <w:tcW w:w="64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530</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253</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(41)</w:t>
            </w: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(30)</w:t>
            </w:r>
          </w:p>
        </w:tc>
        <w:tc>
          <w:tcPr>
            <w:tcW w:w="12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(11)</w:t>
            </w: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6,916</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100 %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6,610</w:t>
            </w:r>
          </w:p>
        </w:tc>
        <w:tc>
          <w:tcPr>
            <w:tcW w:w="12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100 %</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306</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249"/>
        </w:trPr>
        <w:tc>
          <w:tcPr>
            <w:tcW w:w="54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r>
      <w:tr>
        <w:trPr>
          <w:trHeight w:val="209"/>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5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auto"/>
            </w:tcBorders>
          </w:tcPr>
          <w:p>
            <w:pPr>
              <w:spacing w:after="0"/>
              <w:rPr>
                <w:sz w:val="19"/>
                <w:szCs w:val="19"/>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1,231</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1,385</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(154)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(198)</w:t>
            </w:r>
          </w:p>
        </w:tc>
        <w:tc>
          <w:tcPr>
            <w:tcW w:w="440" w:type="dxa"/>
            <w:vAlign w:val="bottom"/>
          </w:tcPr>
          <w:p>
            <w:pPr>
              <w:spacing w:after="0"/>
              <w:rPr>
                <w:sz w:val="19"/>
                <w:szCs w:val="19"/>
                <w:color w:val="auto"/>
              </w:rPr>
            </w:pP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(145)</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2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w:t>
            </w:r>
          </w:p>
        </w:tc>
        <w:tc>
          <w:tcPr>
            <w:tcW w:w="440" w:type="dxa"/>
            <w:vAlign w:val="bottom"/>
          </w:tcPr>
          <w:p>
            <w:pPr>
              <w:spacing w:after="0"/>
              <w:rPr>
                <w:sz w:val="19"/>
                <w:szCs w:val="19"/>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65</w:t>
            </w: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Corporate/Eliminations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(111)</w:t>
            </w:r>
          </w:p>
        </w:tc>
        <w:tc>
          <w:tcPr>
            <w:tcW w:w="440" w:type="dxa"/>
            <w:vAlign w:val="bottom"/>
          </w:tcPr>
          <w:p>
            <w:pPr>
              <w:spacing w:after="0"/>
              <w:rPr>
                <w:sz w:val="19"/>
                <w:szCs w:val="19"/>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r>
      <w:tr>
        <w:trPr>
          <w:trHeight w:val="231"/>
        </w:trPr>
        <w:tc>
          <w:tcPr>
            <w:tcW w:w="5400" w:type="dxa"/>
            <w:vAlign w:val="bottom"/>
            <w:tcBorders>
              <w:bottom w:val="single" w:sz="8" w:color="auto"/>
            </w:tcBorders>
          </w:tcPr>
          <w:p>
            <w:pPr>
              <w:spacing w:after="0" w:line="231"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(32)</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r>
      <w:tr>
        <w:trPr>
          <w:trHeight w:val="211"/>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786</w:t>
            </w:r>
          </w:p>
        </w:tc>
        <w:tc>
          <w:tcPr>
            <w:tcW w:w="38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1,020</w:t>
            </w:r>
          </w:p>
        </w:tc>
        <w:tc>
          <w:tcPr>
            <w:tcW w:w="440" w:type="dxa"/>
            <w:vAlign w:val="bottom"/>
          </w:tcPr>
          <w:p>
            <w:pPr>
              <w:spacing w:after="0"/>
              <w:rPr>
                <w:sz w:val="18"/>
                <w:szCs w:val="18"/>
                <w:color w:val="auto"/>
              </w:rPr>
            </w:pP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(234)</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(95)</w:t>
            </w:r>
          </w:p>
        </w:tc>
        <w:tc>
          <w:tcPr>
            <w:tcW w:w="440" w:type="dxa"/>
            <w:vAlign w:val="bottom"/>
          </w:tcPr>
          <w:p>
            <w:pPr>
              <w:spacing w:after="0"/>
              <w:rPr>
                <w:sz w:val="19"/>
                <w:szCs w:val="19"/>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w:t>
            </w:r>
          </w:p>
        </w:tc>
        <w:tc>
          <w:tcPr>
            <w:tcW w:w="440" w:type="dxa"/>
            <w:vAlign w:val="bottom"/>
          </w:tcPr>
          <w:p>
            <w:pPr>
              <w:spacing w:after="0"/>
              <w:rPr>
                <w:sz w:val="19"/>
                <w:szCs w:val="19"/>
                <w:color w:val="auto"/>
              </w:rPr>
            </w:pPr>
          </w:p>
        </w:tc>
        <w:tc>
          <w:tcPr>
            <w:tcW w:w="12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(123)</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r>
      <w:tr>
        <w:trPr>
          <w:trHeight w:val="22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gain on dispositions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41</w:t>
            </w:r>
          </w:p>
        </w:tc>
        <w:tc>
          <w:tcPr>
            <w:tcW w:w="9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7"/>
                <w:szCs w:val="17"/>
                <w:color w:val="auto"/>
              </w:rPr>
              <w:t>n/m</w:t>
            </w:r>
          </w:p>
        </w:tc>
      </w:tr>
      <w:tr>
        <w:trPr>
          <w:trHeight w:val="222"/>
        </w:trPr>
        <w:tc>
          <w:tcPr>
            <w:tcW w:w="5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Total Operating Income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566</w:t>
            </w:r>
          </w:p>
        </w:tc>
        <w:tc>
          <w:tcPr>
            <w:tcW w:w="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879</w:t>
            </w: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(313)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auto"/>
            </w:tcBorders>
          </w:tcPr>
          <w:p>
            <w:pPr>
              <w:spacing w:after="0"/>
              <w:rPr>
                <w:sz w:val="19"/>
                <w:szCs w:val="19"/>
                <w:color w:val="auto"/>
              </w:rPr>
            </w:pPr>
          </w:p>
        </w:tc>
      </w:tr>
    </w:tbl>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8" w:lineRule="exact"/>
        <w:rPr>
          <w:sz w:val="20"/>
          <w:szCs w:val="20"/>
          <w:color w:val="auto"/>
        </w:rPr>
      </w:pPr>
    </w:p>
    <w:p>
      <w:pPr>
        <w:ind w:left="560" w:right="240" w:hanging="240"/>
        <w:spacing w:after="0" w:line="268" w:lineRule="auto"/>
        <w:tabs>
          <w:tab w:leader="none" w:pos="53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restructuring and other corporate matters is stock-based compensation expense of $11 million and $21 million for the three months ended September 2022 and 2021,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2022 and 2021</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49"/>
        </w:trPr>
        <w:tc>
          <w:tcPr>
            <w:tcW w:w="37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660" w:type="dxa"/>
            <w:vAlign w:val="bottom"/>
          </w:tcPr>
          <w:p>
            <w:pPr>
              <w:spacing w:after="0"/>
              <w:rPr>
                <w:sz w:val="17"/>
                <w:szCs w:val="17"/>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00" w:type="dxa"/>
            <w:vAlign w:val="bottom"/>
          </w:tcPr>
          <w:p>
            <w:pPr>
              <w:spacing w:after="0"/>
              <w:rPr>
                <w:sz w:val="17"/>
                <w:szCs w:val="17"/>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15,849</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72 %</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16,432</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80 %</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(583)</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3,508</w:t>
            </w: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16</w:t>
            </w:r>
          </w:p>
        </w:tc>
        <w:tc>
          <w:tcPr>
            <w:tcW w:w="66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2,255</w:t>
            </w: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1,253</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2,770</w:t>
            </w: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12</w:t>
            </w:r>
          </w:p>
        </w:tc>
        <w:tc>
          <w:tcPr>
            <w:tcW w:w="66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1,993</w:t>
            </w: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777</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8"/>
        </w:trPr>
        <w:tc>
          <w:tcPr>
            <w:tcW w:w="3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(104)</w:t>
            </w:r>
          </w:p>
        </w:tc>
        <w:tc>
          <w:tcPr>
            <w:tcW w:w="10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(94)</w:t>
            </w: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(10)</w:t>
            </w:r>
          </w:p>
        </w:tc>
        <w:tc>
          <w:tcPr>
            <w:tcW w:w="10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22,023</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100 %</w:t>
            </w: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20,586</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100 %</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1,437</w:t>
            </w: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8" w:name="page49"/>
    <w:bookmarkEnd w:id="48"/>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49"/>
        </w:trPr>
        <w:tc>
          <w:tcPr>
            <w:tcW w:w="54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980" w:type="dxa"/>
            <w:vAlign w:val="bottom"/>
            <w:tcBorders>
              <w:top w:val="single" w:sz="8" w:color="auto"/>
              <w:bottom w:val="single" w:sz="8" w:color="auto"/>
            </w:tcBorders>
          </w:tcPr>
          <w:p>
            <w:pPr>
              <w:spacing w:after="0"/>
              <w:rPr>
                <w:sz w:val="21"/>
                <w:szCs w:val="21"/>
                <w:color w:val="auto"/>
              </w:rPr>
            </w:pPr>
          </w:p>
        </w:tc>
      </w:tr>
      <w:tr>
        <w:trPr>
          <w:trHeight w:val="209"/>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2"/>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5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4,155</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4,654</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(499)</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(490)</w:t>
            </w:r>
          </w:p>
        </w:tc>
        <w:tc>
          <w:tcPr>
            <w:tcW w:w="440" w:type="dxa"/>
            <w:vAlign w:val="bottom"/>
          </w:tcPr>
          <w:p>
            <w:pPr>
              <w:spacing w:after="0"/>
              <w:rPr>
                <w:sz w:val="19"/>
                <w:szCs w:val="19"/>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(754)</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(154)</w:t>
            </w: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2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185</w:t>
            </w:r>
          </w:p>
        </w:tc>
        <w:tc>
          <w:tcPr>
            <w:tcW w:w="380" w:type="dxa"/>
            <w:vAlign w:val="bottom"/>
          </w:tcPr>
          <w:p>
            <w:pPr>
              <w:spacing w:after="0"/>
              <w:rPr>
                <w:sz w:val="19"/>
                <w:szCs w:val="19"/>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207</w:t>
            </w:r>
          </w:p>
        </w:tc>
        <w:tc>
          <w:tcPr>
            <w:tcW w:w="440" w:type="dxa"/>
            <w:vAlign w:val="bottom"/>
          </w:tcPr>
          <w:p>
            <w:pPr>
              <w:spacing w:after="0"/>
              <w:rPr>
                <w:sz w:val="19"/>
                <w:szCs w:val="19"/>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(22)</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Corporate/Eliminations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(351)</w:t>
            </w:r>
          </w:p>
        </w:tc>
        <w:tc>
          <w:tcPr>
            <w:tcW w:w="440" w:type="dxa"/>
            <w:vAlign w:val="bottom"/>
          </w:tcPr>
          <w:p>
            <w:pPr>
              <w:spacing w:after="0"/>
              <w:rPr>
                <w:sz w:val="19"/>
                <w:szCs w:val="19"/>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31</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w:t>
            </w:r>
          </w:p>
        </w:tc>
      </w:tr>
      <w:tr>
        <w:trPr>
          <w:trHeight w:val="228"/>
        </w:trPr>
        <w:tc>
          <w:tcPr>
            <w:tcW w:w="5400" w:type="dxa"/>
            <w:vAlign w:val="bottom"/>
            <w:tcBorders>
              <w:bottom w:val="single" w:sz="8" w:color="auto"/>
            </w:tcBorders>
          </w:tcPr>
          <w:p>
            <w:pPr>
              <w:spacing w:after="0" w:line="228"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(133)</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19</w:t>
            </w: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14</w:t>
            </w:r>
          </w:p>
        </w:tc>
      </w:tr>
      <w:tr>
        <w:trPr>
          <w:trHeight w:val="211"/>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2,662</w:t>
            </w:r>
          </w:p>
        </w:tc>
        <w:tc>
          <w:tcPr>
            <w:tcW w:w="38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3,887</w:t>
            </w:r>
          </w:p>
        </w:tc>
        <w:tc>
          <w:tcPr>
            <w:tcW w:w="440" w:type="dxa"/>
            <w:vAlign w:val="bottom"/>
          </w:tcPr>
          <w:p>
            <w:pPr>
              <w:spacing w:after="0"/>
              <w:rPr>
                <w:sz w:val="18"/>
                <w:szCs w:val="18"/>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(1,225)</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(289)</w:t>
            </w:r>
          </w:p>
        </w:tc>
        <w:tc>
          <w:tcPr>
            <w:tcW w:w="440" w:type="dxa"/>
            <w:vAlign w:val="bottom"/>
          </w:tcPr>
          <w:p>
            <w:pPr>
              <w:spacing w:after="0"/>
              <w:rPr>
                <w:sz w:val="19"/>
                <w:szCs w:val="19"/>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7</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and other corporate matters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380" w:type="dxa"/>
            <w:vAlign w:val="bottom"/>
          </w:tcPr>
          <w:p>
            <w:pPr>
              <w:spacing w:after="0"/>
              <w:rPr>
                <w:sz w:val="19"/>
                <w:szCs w:val="19"/>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(81)</w:t>
            </w:r>
          </w:p>
        </w:tc>
        <w:tc>
          <w:tcPr>
            <w:tcW w:w="440" w:type="dxa"/>
            <w:vAlign w:val="bottom"/>
          </w:tcPr>
          <w:p>
            <w:pPr>
              <w:spacing w:after="0"/>
              <w:rPr>
                <w:sz w:val="19"/>
                <w:szCs w:val="19"/>
                <w:color w:val="auto"/>
              </w:rPr>
            </w:pPr>
          </w:p>
        </w:tc>
        <w:tc>
          <w:tcPr>
            <w:tcW w:w="12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(195)</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(241)</w:t>
            </w:r>
          </w:p>
        </w:tc>
      </w:tr>
      <w:tr>
        <w:trPr>
          <w:trHeight w:val="22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gain on dispositions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56</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116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(60)</w:t>
            </w: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5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Total Operating Income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2,160</w:t>
            </w:r>
          </w:p>
        </w:tc>
        <w:tc>
          <w:tcPr>
            <w:tcW w:w="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3,633</w:t>
            </w:r>
          </w:p>
        </w:tc>
        <w:tc>
          <w:tcPr>
            <w:tcW w:w="4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(1,473)</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(41)%</w:t>
            </w:r>
          </w:p>
        </w:tc>
      </w:tr>
    </w:tbl>
    <w:p>
      <w:pPr>
        <w:spacing w:after="0" w:line="143" w:lineRule="exact"/>
        <w:rPr>
          <w:sz w:val="20"/>
          <w:szCs w:val="20"/>
          <w:color w:val="auto"/>
        </w:rPr>
      </w:pPr>
    </w:p>
    <w:p>
      <w:pPr>
        <w:ind w:left="640" w:right="80" w:hanging="242"/>
        <w:spacing w:after="0" w:line="285" w:lineRule="auto"/>
        <w:tabs>
          <w:tab w:leader="none" w:pos="61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restructuring and other corporate matters is stock-based compensation expense of $13 million and $21 million for the nine months ended September 2022 and 2021,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2022 and 2021</w:t>
      </w:r>
    </w:p>
    <w:p>
      <w:pPr>
        <w:spacing w:after="0" w:line="193" w:lineRule="exact"/>
        <w:rPr>
          <w:sz w:val="20"/>
          <w:szCs w:val="20"/>
          <w:color w:val="auto"/>
        </w:rPr>
      </w:pPr>
    </w:p>
    <w:tbl>
      <w:tblPr>
        <w:tblLayout w:type="fixed"/>
        <w:tblInd w:w="840" w:type="dxa"/>
        <w:tblCellMar>
          <w:top w:w="0" w:type="dxa"/>
          <w:left w:w="0" w:type="dxa"/>
          <w:bottom w:w="0" w:type="dxa"/>
          <w:right w:w="0" w:type="dxa"/>
        </w:tblCellMar>
      </w:tblPr>
      <w:tr>
        <w:trPr>
          <w:trHeight w:val="249"/>
        </w:trPr>
        <w:tc>
          <w:tcPr>
            <w:tcW w:w="49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880" w:type="dxa"/>
            <w:vAlign w:val="bottom"/>
            <w:tcBorders>
              <w:top w:val="single" w:sz="8" w:color="auto"/>
              <w:bottom w:val="single" w:sz="8" w:color="auto"/>
            </w:tcBorders>
          </w:tcPr>
          <w:p>
            <w:pPr>
              <w:spacing w:after="0"/>
              <w:rPr>
                <w:sz w:val="21"/>
                <w:szCs w:val="21"/>
                <w:color w:val="auto"/>
              </w:rPr>
            </w:pPr>
          </w:p>
        </w:tc>
      </w:tr>
      <w:tr>
        <w:trPr>
          <w:trHeight w:val="209"/>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2,039</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(66)</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36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2,108</w:t>
            </w:r>
          </w:p>
        </w:tc>
        <w:tc>
          <w:tcPr>
            <w:tcW w:w="380" w:type="dxa"/>
            <w:vAlign w:val="bottom"/>
          </w:tcPr>
          <w:p>
            <w:pPr>
              <w:spacing w:after="0"/>
              <w:rPr>
                <w:sz w:val="19"/>
                <w:szCs w:val="19"/>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(108)</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1,073</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(98)</w:t>
            </w: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(9)</w:t>
            </w: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5,220</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(272)</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w:t>
            </w:r>
          </w:p>
        </w:tc>
      </w:tr>
      <w:tr>
        <w:trPr>
          <w:trHeight w:val="27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1,385</w:t>
            </w: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(154)</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three months ended September 30, 2022, revenues decreased 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The 3% decrease in advertising revenues reflects lower domestic and international advertising revenues. The decrease in domestic advertising revenues is the result of lower impressions as pricing only partially offset the decline, reflecting softness in the scatter market. Higher political advertising sales also partially offset the decline. The decrease in international advertising revenues was driven by unfavorable foreign exchange rate changes, partially offset by the benefit from the acquisition of Chilevisión in the third quarter of 2021. The foreign exchange rate changes negatively impacted the total advertising revenue comparison by 3 percentage points.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The 5% decrease in affiliate and subscription revenues reflects lower domestic and international affiliate revenues. The decrease in domestic affiliate revenues was driven by lower revenues for our pay television networks, reflecting a decline in subscribers, partially offset by rate increases and growth in reverse compensation. The decrease in international affiliate revenues was driven by the restructuring of certain affiliate agreements, resulting in a shift of revenue from our pay television services to our DTC services; unfavorable foreign exchange rate changes, which negatively impacted the total affiliate and subscription revenue comparison by 1 percentage point;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587" w:right="45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9"/>
          <w:szCs w:val="19"/>
          <w:color w:val="auto"/>
        </w:rPr>
        <w:t>and the absence of revenues in Russia, where we suspended our operations following Russia’s invasion of Ukraine. Lower revenues from pay-per-view boxing events also contributed to the decline.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9"/>
          <w:szCs w:val="19"/>
          <w:color w:val="auto"/>
        </w:rPr>
        <w:t xml:space="preserve">Licensing and other revenues decreased 9%, primarily reflecting lower domestic licensing in the secondary market, driven by the comparison against several significant licensing arrangements in the prior-year period, including for </w:t>
      </w:r>
      <w:r>
        <w:rPr>
          <w:rFonts w:ascii="Times New Roman" w:cs="Times New Roman" w:eastAsia="Times New Roman" w:hAnsi="Times New Roman"/>
          <w:sz w:val="19"/>
          <w:szCs w:val="19"/>
          <w:i w:val="1"/>
          <w:iCs w:val="1"/>
          <w:color w:val="auto"/>
        </w:rPr>
        <w:t>NCIS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Bull</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decreased 11%, driven by the decline in affiliate revenues and lower profits from content licensing.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2022 and 2021</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249"/>
        </w:trPr>
        <w:tc>
          <w:tcPr>
            <w:tcW w:w="42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60" w:type="dxa"/>
            <w:vAlign w:val="bottom"/>
            <w:tcBorders>
              <w:top w:val="single" w:sz="8" w:color="auto"/>
              <w:bottom w:val="single" w:sz="8" w:color="auto"/>
            </w:tcBorders>
          </w:tcPr>
          <w:p>
            <w:pPr>
              <w:spacing w:after="0"/>
              <w:rPr>
                <w:sz w:val="21"/>
                <w:szCs w:val="21"/>
                <w:color w:val="auto"/>
              </w:rPr>
            </w:pPr>
          </w:p>
        </w:tc>
      </w:tr>
      <w:tr>
        <w:trPr>
          <w:trHeight w:val="209"/>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7,230</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(562)</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4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28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6,303</w:t>
            </w:r>
          </w:p>
        </w:tc>
        <w:tc>
          <w:tcPr>
            <w:tcW w:w="320" w:type="dxa"/>
            <w:vAlign w:val="bottom"/>
          </w:tcPr>
          <w:p>
            <w:pPr>
              <w:spacing w:after="0"/>
              <w:rPr>
                <w:sz w:val="19"/>
                <w:szCs w:val="19"/>
                <w:color w:val="auto"/>
              </w:rPr>
            </w:pPr>
          </w:p>
        </w:tc>
        <w:tc>
          <w:tcPr>
            <w:tcW w:w="118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(147)</w:t>
            </w: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w:t>
            </w:r>
          </w:p>
        </w:tc>
      </w:tr>
      <w:tr>
        <w:trPr>
          <w:trHeight w:val="228"/>
        </w:trPr>
        <w:tc>
          <w:tcPr>
            <w:tcW w:w="4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2,899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rPr>
              <w:t>126</w:t>
            </w: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4</w:t>
            </w:r>
          </w:p>
        </w:tc>
      </w:tr>
      <w:tr>
        <w:trPr>
          <w:trHeight w:val="221"/>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16,432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(583)</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w:t>
            </w:r>
          </w:p>
        </w:tc>
      </w:tr>
      <w:tr>
        <w:trPr>
          <w:trHeight w:val="27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4,654</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color w:val="auto"/>
              </w:rPr>
              <w:t>(499)</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For the nine months ended September 30, 2022, revenues decreased 4%, primarily reflecting lower advertising revenues, driven by the comparison against CBS’ broadcast of the Super Bowl in the first quarter of 2021, which negatively impacted the total revenue comparison by 3 percentage points. The decline also reflects lower affiliate revenues, partially offset by higher licensing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8% decrease in advertising revenues was driven by the rotational nature of the rights to broadcast the Super Bowl, which aired on CBS in 2021 and another network in 2022, resulting in a negative impact on the advertising revenue comparison of 6 percentage points. The decline also reflects lower impressions at our domestic networks and unfavorable foreign exchange rate changes, partially offset by higher pricing and political advertising sales as well as the benefit from the acquisition of Chilevisión in the third quarter of 2021. The foreign exchange rate changes negatively impacted the advertising revenue comparison by 2 percentage points.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2% decrease in affiliate and subscription revenues was driven by lower international affiliate revenues, including the impact from the previously-mentioned restructuring of certain affiliate agreements. The decline also reflects lower domestic affiliate revenues, driven by a decline in MVPD subscribers, partially offset by rate increases from MVPDs and vMVPDs, growth in reverse compensation, and the launch of our basic cable networks on a vMVPD in April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50" w:name="page51"/>
    <w:bookmarkEnd w:id="50"/>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Licensing and other revenues increased 4%, reflecting higher international licensing and a higher volume of content produced for third parties, partially offset by lower domestic licensing in the secondary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6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9"/>
          <w:szCs w:val="19"/>
          <w:color w:val="auto"/>
        </w:rPr>
        <w:t>Adjusted OIBDA decreased 11%, primarily reflecting the benefit to the prior-year period from the broadcast of the Super Bowl as well as the decline in affiliate revenues and higher costs associated with the mix of programming.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2022 and 2021</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49"/>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220" w:type="dxa"/>
            <w:vAlign w:val="bottom"/>
            <w:tcBorders>
              <w:top w:val="single" w:sz="8" w:color="auto"/>
              <w:bottom w:val="single" w:sz="8" w:color="auto"/>
            </w:tcBorders>
          </w:tcPr>
          <w:p>
            <w:pPr>
              <w:spacing w:after="0"/>
              <w:rPr>
                <w:sz w:val="21"/>
                <w:szCs w:val="21"/>
                <w:color w:val="auto"/>
              </w:rPr>
            </w:pPr>
          </w:p>
        </w:tc>
        <w:tc>
          <w:tcPr>
            <w:tcW w:w="3640" w:type="dxa"/>
            <w:vAlign w:val="bottom"/>
            <w:tcBorders>
              <w:top w:val="single" w:sz="8" w:color="auto"/>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780" w:type="dxa"/>
            <w:vAlign w:val="bottom"/>
            <w:tcBorders>
              <w:top w:val="single" w:sz="8" w:color="auto"/>
              <w:bottom w:val="single" w:sz="8" w:color="auto"/>
            </w:tcBorders>
          </w:tcPr>
          <w:p>
            <w:pPr>
              <w:spacing w:after="0"/>
              <w:rPr>
                <w:sz w:val="21"/>
                <w:szCs w:val="21"/>
                <w:color w:val="auto"/>
              </w:rPr>
            </w:pPr>
          </w:p>
        </w:tc>
      </w:tr>
      <w:tr>
        <w:trPr>
          <w:trHeight w:val="21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(Subscribers in millions)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11"/>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363</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348</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15</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4 %</w:t>
            </w:r>
          </w:p>
        </w:tc>
      </w:tr>
      <w:tr>
        <w:trPr>
          <w:trHeight w:val="228"/>
        </w:trPr>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Subscription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863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59</w:t>
            </w: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1,226</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890</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336</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38 %</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2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(198)</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(145)</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(73)%</w:t>
            </w:r>
          </w:p>
        </w:tc>
      </w:tr>
      <w:tr>
        <w:trPr>
          <w:trHeight w:val="282"/>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Global DTC Subscribers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66.5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46.7</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19.8</w:t>
            </w: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42 %</w:t>
            </w:r>
          </w:p>
        </w:tc>
      </w:tr>
    </w:tbl>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249"/>
        </w:trPr>
        <w:tc>
          <w:tcPr>
            <w:tcW w:w="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2960" w:type="dxa"/>
            <w:vAlign w:val="bottom"/>
            <w:tcBorders>
              <w:top w:val="single" w:sz="8" w:color="auto"/>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740" w:type="dxa"/>
            <w:vAlign w:val="bottom"/>
            <w:tcBorders>
              <w:top w:val="single" w:sz="8" w:color="auto"/>
              <w:bottom w:val="single" w:sz="8" w:color="auto"/>
            </w:tcBorders>
          </w:tcPr>
          <w:p>
            <w:pPr>
              <w:spacing w:after="0"/>
              <w:rPr>
                <w:sz w:val="21"/>
                <w:szCs w:val="2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(Subscribers in millions)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177"/>
        </w:trPr>
        <w:tc>
          <w:tcPr>
            <w:tcW w:w="20" w:type="dxa"/>
            <w:vAlign w:val="bottom"/>
          </w:tcPr>
          <w:p>
            <w:pPr>
              <w:spacing w:after="0"/>
              <w:rPr>
                <w:sz w:val="15"/>
                <w:szCs w:val="15"/>
                <w:color w:val="auto"/>
              </w:rPr>
            </w:pPr>
          </w:p>
        </w:tc>
        <w:tc>
          <w:tcPr>
            <w:tcW w:w="492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Paramount+ (Global)</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89"/>
        </w:trPr>
        <w:tc>
          <w:tcPr>
            <w:tcW w:w="20" w:type="dxa"/>
            <w:vAlign w:val="bottom"/>
          </w:tcPr>
          <w:p>
            <w:pPr>
              <w:spacing w:after="0"/>
              <w:rPr>
                <w:sz w:val="24"/>
                <w:szCs w:val="24"/>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xml:space="preserve">Subscribers </w:t>
            </w:r>
            <w:r>
              <w:rPr>
                <w:rFonts w:ascii="Times New Roman" w:cs="Times New Roman" w:eastAsia="Times New Roman" w:hAnsi="Times New Roman"/>
                <w:sz w:val="22"/>
                <w:szCs w:val="22"/>
                <w:color w:val="auto"/>
                <w:vertAlign w:val="superscript"/>
              </w:rPr>
              <w:t>(a)</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38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25.5</w:t>
            </w:r>
          </w:p>
        </w:tc>
        <w:tc>
          <w:tcPr>
            <w:tcW w:w="380" w:type="dxa"/>
            <w:vAlign w:val="bottom"/>
          </w:tcPr>
          <w:p>
            <w:pPr>
              <w:spacing w:after="0"/>
              <w:rPr>
                <w:sz w:val="24"/>
                <w:szCs w:val="24"/>
                <w:color w:val="auto"/>
              </w:rPr>
            </w:pPr>
          </w:p>
        </w:tc>
        <w:tc>
          <w:tcPr>
            <w:tcW w:w="13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20.5</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80 %</w:t>
            </w:r>
          </w:p>
        </w:tc>
      </w:tr>
      <w:tr>
        <w:trPr>
          <w:trHeight w:val="228"/>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363</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345</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95 %</w:t>
            </w:r>
          </w:p>
        </w:tc>
      </w:tr>
      <w:tr>
        <w:trPr>
          <w:trHeight w:val="276"/>
        </w:trPr>
        <w:tc>
          <w:tcPr>
            <w:tcW w:w="20" w:type="dxa"/>
            <w:vAlign w:val="bottom"/>
          </w:tcPr>
          <w:p>
            <w:pPr>
              <w:spacing w:after="0"/>
              <w:rPr>
                <w:sz w:val="23"/>
                <w:szCs w:val="23"/>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Pluto TV (Global)</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9"/>
        </w:trPr>
        <w:tc>
          <w:tcPr>
            <w:tcW w:w="20" w:type="dxa"/>
            <w:vAlign w:val="bottom"/>
          </w:tcPr>
          <w:p>
            <w:pPr>
              <w:spacing w:after="0"/>
              <w:rPr>
                <w:sz w:val="24"/>
                <w:szCs w:val="24"/>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MAUs </w:t>
            </w:r>
            <w:r>
              <w:rPr>
                <w:rFonts w:ascii="Times New Roman" w:cs="Times New Roman" w:eastAsia="Times New Roman" w:hAnsi="Times New Roman"/>
                <w:sz w:val="22"/>
                <w:szCs w:val="22"/>
                <w:color w:val="auto"/>
                <w:vertAlign w:val="superscript"/>
              </w:rPr>
              <w:t>(b)</w:t>
            </w:r>
          </w:p>
        </w:tc>
        <w:tc>
          <w:tcPr>
            <w:tcW w:w="3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38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54.4</w:t>
            </w:r>
          </w:p>
        </w:tc>
        <w:tc>
          <w:tcPr>
            <w:tcW w:w="380" w:type="dxa"/>
            <w:vAlign w:val="bottom"/>
          </w:tcPr>
          <w:p>
            <w:pPr>
              <w:spacing w:after="0"/>
              <w:rPr>
                <w:sz w:val="24"/>
                <w:szCs w:val="24"/>
                <w:color w:val="auto"/>
              </w:rPr>
            </w:pPr>
          </w:p>
        </w:tc>
        <w:tc>
          <w:tcPr>
            <w:tcW w:w="13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17.6</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32 %</w:t>
            </w:r>
          </w:p>
        </w:tc>
      </w:tr>
      <w:tr>
        <w:trPr>
          <w:trHeight w:val="234"/>
        </w:trPr>
        <w:tc>
          <w:tcPr>
            <w:tcW w:w="2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289</w:t>
            </w: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(21)</w:t>
            </w: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(7)%</w:t>
            </w:r>
          </w:p>
        </w:tc>
      </w:tr>
    </w:tbl>
    <w:p>
      <w:pPr>
        <w:spacing w:after="0" w:line="170" w:lineRule="exact"/>
        <w:rPr>
          <w:sz w:val="20"/>
          <w:szCs w:val="20"/>
          <w:color w:val="auto"/>
        </w:rPr>
      </w:pPr>
    </w:p>
    <w:p>
      <w:pPr>
        <w:ind w:left="940" w:right="660" w:hanging="227"/>
        <w:spacing w:after="0" w:line="251" w:lineRule="auto"/>
        <w:tabs>
          <w:tab w:leader="none" w:pos="91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Direct-to-consumer streaming subscribers (“DTC subscribers”) include customers with access to our domestic or international DTC services, either directly through our owned and operated apps and websites, or through third-party distributors. Our subscribers include paid subscriptions and those customers registered in a free trial, and subscribers are considered unique to each of our services, whether offered individually or as part of a bundle. For the periods above subscriber counts reflect the number of subscribers as of the applicable period-end date. Global DTC subscribers include subscribers for Paramount+, Showtime OTT and all other subscription DTC services.</w:t>
      </w:r>
    </w:p>
    <w:p>
      <w:pPr>
        <w:spacing w:after="0" w:line="47" w:lineRule="exact"/>
        <w:rPr>
          <w:rFonts w:ascii="Times New Roman" w:cs="Times New Roman" w:eastAsia="Times New Roman" w:hAnsi="Times New Roman"/>
          <w:sz w:val="16"/>
          <w:szCs w:val="16"/>
          <w:color w:val="auto"/>
        </w:rPr>
      </w:pPr>
    </w:p>
    <w:p>
      <w:pPr>
        <w:ind w:left="940" w:right="440" w:hanging="227"/>
        <w:spacing w:after="0" w:line="268" w:lineRule="auto"/>
        <w:tabs>
          <w:tab w:leader="none" w:pos="9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Monthly Active Users (“MAUs”) count reflects the number of unique devices interacting with the Pluto TV service in a calendar month, and for the periods above reflects the MAU count for the last month of the applicable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three months ended September 30, 2022, the 38% increase in revenues was driven by growth from Paramount+.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587" w:right="599" w:bottom="1440" w:gutter="0" w:footer="0" w:header="0"/>
        </w:sectPr>
      </w:pPr>
    </w:p>
    <w:bookmarkStart w:id="51" w:name="page52"/>
    <w:bookmarkEnd w:id="51"/>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9"/>
          <w:szCs w:val="19"/>
          <w:color w:val="auto"/>
        </w:rPr>
        <w:t>The 4% increase in advertising revenues was driven by higher impressions, reflecting the benefit from growth in Paramount+ subscribers. Pluto TV global MAUs were 72.0 million for September 2022, reflecting growth of 17.6 million, or 32%, from 54.4 million for September 2021, and 2.4 million, or 3%, from 69.6 million for June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59% increase in subscription revenues was driven by growth from Paramount+, BET+ and Showtime OTT. Global DTC subscribers grew 19.8 million, or 42%, compared with September 30, 2021, led by an increase of 20.5 million, or 80% for Paramount+, reflecting significant growth in U.S. subscribers and the impact from launches in international markets. During the quarter, global DTC subscribers increased 2.8 million, or 4%, to 66.5 million at September 30, 2022 from 63.7 million at June 30, 2022, and Paramount+ subscribers grew 2.7 million, or 6%, to 46.0 million, driven by launches in international markets as well as growth in U.S. subscribers, reflecting the benefit from the start of the NFL season and the UEFA Champions League, as well as the launch on Walmart+. The subscriber growth from the prior year and in the quarter was impacted by the removal of 1.9 million Paramount+ subscribers following the September 2022 launch of the SkyShowtime streaming service in the Nordics, where it replaced Paramount+ in the market. Excluding the impact of the removal of subscribers in the Nordics, global DTC subscribers increased 4.7 million and Paramount+ subscribers increased 4.6 million during the third quarter of 2022</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 xml:space="preserve"> Additionally, the year-over-</w:t>
      </w:r>
    </w:p>
    <w:p>
      <w:pPr>
        <w:spacing w:after="0" w:line="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9"/>
          <w:szCs w:val="19"/>
          <w:color w:val="auto"/>
        </w:rPr>
        <w:t>year comparison was impacted by the removal of subscribers in Russia, where we suspended our operations following Russia’s invasion of Ukraine. This resulted in the removal of 3.9 million global DTC subscribers during the second quarter of 2022, including 1.2 million for Paramount+.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6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9"/>
          <w:szCs w:val="19"/>
          <w:color w:val="auto"/>
        </w:rPr>
        <w:t>Adjusted OIBDA decreased $145 million, as the revenue growth was more than offset by higher costs to support growth in our DTC services including content, marketing, distribution, employee and technology costs.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2022 and 2021</w:t>
      </w:r>
    </w:p>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48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80" w:type="dxa"/>
            <w:vAlign w:val="bottom"/>
            <w:tcBorders>
              <w:top w:val="single" w:sz="8" w:color="auto"/>
              <w:bottom w:val="single" w:sz="8" w:color="auto"/>
            </w:tcBorders>
          </w:tcPr>
          <w:p>
            <w:pPr>
              <w:spacing w:after="0"/>
              <w:rPr>
                <w:sz w:val="21"/>
                <w:szCs w:val="21"/>
                <w:color w:val="auto"/>
              </w:rPr>
            </w:pPr>
          </w:p>
        </w:tc>
      </w:tr>
      <w:tr>
        <w:trPr>
          <w:trHeight w:val="209"/>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9"/>
              </w:rPr>
              <w:t>1,073</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857</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216</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25 %</w:t>
            </w:r>
          </w:p>
        </w:tc>
      </w:tr>
      <w:tr>
        <w:trPr>
          <w:trHeight w:val="228"/>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Subscription</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color w:val="auto"/>
                <w:w w:val="99"/>
              </w:rPr>
              <w:t>2,435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1,398</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1,037</w:t>
            </w: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74</w:t>
            </w: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9"/>
              </w:rPr>
              <w:t>3,508</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2,255</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1,253</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56 %</w:t>
            </w:r>
          </w:p>
        </w:tc>
      </w:tr>
      <w:tr>
        <w:trPr>
          <w:trHeight w:val="27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(1,244)</w:t>
            </w:r>
          </w:p>
        </w:tc>
        <w:tc>
          <w:tcPr>
            <w:tcW w:w="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(490)</w:t>
            </w:r>
          </w:p>
        </w:tc>
        <w:tc>
          <w:tcPr>
            <w:tcW w:w="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(754)</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(154)%</w:t>
            </w:r>
          </w:p>
        </w:tc>
      </w:tr>
    </w:tbl>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48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80" w:type="dxa"/>
            <w:vAlign w:val="bottom"/>
            <w:tcBorders>
              <w:top w:val="single" w:sz="8" w:color="auto"/>
              <w:bottom w:val="single" w:sz="8" w:color="auto"/>
            </w:tcBorders>
          </w:tcPr>
          <w:p>
            <w:pPr>
              <w:spacing w:after="0"/>
              <w:rPr>
                <w:sz w:val="21"/>
                <w:szCs w:val="21"/>
                <w:color w:val="auto"/>
              </w:rPr>
            </w:pPr>
          </w:p>
        </w:tc>
      </w:tr>
      <w:tr>
        <w:trPr>
          <w:trHeight w:val="209"/>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Paramount+ (Global)</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904</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1,061</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117 %</w:t>
            </w:r>
          </w:p>
        </w:tc>
      </w:tr>
      <w:tr>
        <w:trPr>
          <w:trHeight w:val="335"/>
        </w:trPr>
        <w:tc>
          <w:tcPr>
            <w:tcW w:w="4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Pluto TV (Global)</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697</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89</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13 %</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9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9"/>
          <w:szCs w:val="19"/>
          <w:color w:val="auto"/>
        </w:rPr>
        <w:t>For the nine months ended September 30, 2022, the 56% increase in revenues was primarily driven by growth from Paramount+, Pluto TV and Showtime OTT.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25% increase in advertising revenues was driven by increases in pricing and impressions, benefiting from subscriber growth for Paramount+ and MAU growth for Pluto TV.</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74% increase in subscription revenues was primarily driven by growth from Paramount+ and Showtime OTT.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66"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9"/>
          <w:szCs w:val="19"/>
          <w:color w:val="auto"/>
        </w:rPr>
        <w:t>Adjusted OIBDA decreased $754 million, as the revenue growth was more than offset by higher costs to support growth in our DTC services including content, marketing, distribution, employee and technology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September 30, 2022 and 2021</w:t>
      </w:r>
    </w:p>
    <w:p>
      <w:pPr>
        <w:spacing w:after="0" w:line="285" w:lineRule="exact"/>
        <w:rPr>
          <w:sz w:val="20"/>
          <w:szCs w:val="20"/>
          <w:color w:val="auto"/>
        </w:rPr>
      </w:pPr>
    </w:p>
    <w:tbl>
      <w:tblPr>
        <w:tblLayout w:type="fixed"/>
        <w:tblInd w:w="840" w:type="dxa"/>
        <w:tblCellMar>
          <w:top w:w="0" w:type="dxa"/>
          <w:left w:w="0" w:type="dxa"/>
          <w:bottom w:w="0" w:type="dxa"/>
          <w:right w:w="0" w:type="dxa"/>
        </w:tblCellMar>
      </w:tblPr>
      <w:tr>
        <w:trPr>
          <w:trHeight w:val="249"/>
        </w:trPr>
        <w:tc>
          <w:tcPr>
            <w:tcW w:w="49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880" w:type="dxa"/>
            <w:vAlign w:val="bottom"/>
            <w:tcBorders>
              <w:top w:val="single" w:sz="8" w:color="auto"/>
              <w:bottom w:val="single" w:sz="8" w:color="auto"/>
            </w:tcBorders>
          </w:tcPr>
          <w:p>
            <w:pPr>
              <w:spacing w:after="0"/>
              <w:rPr>
                <w:sz w:val="21"/>
                <w:szCs w:val="21"/>
                <w:color w:val="auto"/>
              </w:rPr>
            </w:pPr>
          </w:p>
        </w:tc>
      </w:tr>
      <w:tr>
        <w:trPr>
          <w:trHeight w:val="209"/>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940" w:type="dxa"/>
            <w:vAlign w:val="bottom"/>
          </w:tcPr>
          <w:p>
            <w:pPr>
              <w:ind w:left="140"/>
              <w:spacing w:after="0" w:line="211" w:lineRule="exact"/>
              <w:rPr>
                <w:sz w:val="20"/>
                <w:szCs w:val="20"/>
                <w:color w:val="auto"/>
              </w:rPr>
            </w:pPr>
            <w:r>
              <w:rPr>
                <w:rFonts w:ascii="Times New Roman" w:cs="Times New Roman" w:eastAsia="Times New Roman" w:hAnsi="Times New Roman"/>
                <w:sz w:val="17"/>
                <w:szCs w:val="17"/>
                <w:color w:val="auto"/>
              </w:rPr>
              <w:t xml:space="preserve">Advertising </w:t>
            </w:r>
            <w:r>
              <w:rPr>
                <w:rFonts w:ascii="Times New Roman" w:cs="Times New Roman" w:eastAsia="Times New Roman" w:hAnsi="Times New Roman"/>
                <w:sz w:val="22"/>
                <w:szCs w:val="22"/>
                <w:color w:val="auto"/>
                <w:vertAlign w:val="superscript"/>
              </w:rPr>
              <w:t>(a)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50 %</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3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Pr>
          <w:p>
            <w:pPr>
              <w:spacing w:after="0"/>
              <w:rPr>
                <w:sz w:val="19"/>
                <w:szCs w:val="19"/>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164</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245</w:t>
            </w:r>
          </w:p>
        </w:tc>
      </w:tr>
      <w:tr>
        <w:trPr>
          <w:trHeight w:val="228"/>
        </w:trPr>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461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88</w:t>
            </w: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19</w:t>
            </w: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530</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253</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48 %</w:t>
            </w:r>
          </w:p>
        </w:tc>
      </w:tr>
      <w:tr>
        <w:trPr>
          <w:trHeight w:val="27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65</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(a) 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 party digital platforms.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For the three months ended September 30, 2022, the 48% increase in revenues was driven by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Theatrical revenues increased $164 million, primarily reflecting the continued success of the second quarter 2022 theatrical release </w:t>
      </w:r>
      <w:r>
        <w:rPr>
          <w:rFonts w:ascii="Times New Roman" w:cs="Times New Roman" w:eastAsia="Times New Roman" w:hAnsi="Times New Roman"/>
          <w:sz w:val="19"/>
          <w:szCs w:val="19"/>
          <w:i w:val="1"/>
          <w:iCs w:val="1"/>
          <w:color w:val="auto"/>
        </w:rPr>
        <w:t>Top Gun: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Maverick</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6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 xml:space="preserve">Licensing and other revenues increased 19% reflecting the licensing of recent theatrical releases, driven by the success of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in the digital home entertainment market.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Adjusted OIBDA increased $65 million, primarily driven by the strong performance of </w:t>
      </w:r>
      <w:r>
        <w:rPr>
          <w:rFonts w:ascii="Times New Roman" w:cs="Times New Roman" w:eastAsia="Times New Roman" w:hAnsi="Times New Roman"/>
          <w:sz w:val="19"/>
          <w:szCs w:val="19"/>
          <w:i w:val="1"/>
          <w:iCs w:val="1"/>
          <w:color w:val="auto"/>
        </w:rPr>
        <w:t>Top Gun: Maverick.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587" w:right="41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Nine Months Ended September 30, 2022 and 2021</w:t>
      </w:r>
    </w:p>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48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80" w:type="dxa"/>
            <w:vAlign w:val="bottom"/>
            <w:tcBorders>
              <w:top w:val="single" w:sz="8" w:color="auto"/>
              <w:bottom w:val="single" w:sz="8" w:color="auto"/>
            </w:tcBorders>
          </w:tcPr>
          <w:p>
            <w:pPr>
              <w:spacing w:after="0"/>
              <w:rPr>
                <w:sz w:val="21"/>
                <w:szCs w:val="2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1"/>
        </w:trPr>
        <w:tc>
          <w:tcPr>
            <w:tcW w:w="4800" w:type="dxa"/>
            <w:vAlign w:val="bottom"/>
          </w:tcPr>
          <w:p>
            <w:pPr>
              <w:ind w:left="140"/>
              <w:spacing w:after="0" w:line="211" w:lineRule="exact"/>
              <w:rPr>
                <w:sz w:val="20"/>
                <w:szCs w:val="20"/>
                <w:color w:val="auto"/>
              </w:rPr>
            </w:pPr>
            <w:r>
              <w:rPr>
                <w:rFonts w:ascii="Times New Roman" w:cs="Times New Roman" w:eastAsia="Times New Roman" w:hAnsi="Times New Roman"/>
                <w:sz w:val="17"/>
                <w:szCs w:val="17"/>
                <w:color w:val="auto"/>
              </w:rPr>
              <w:t xml:space="preserve">Advertising </w:t>
            </w:r>
            <w:r>
              <w:rPr>
                <w:rFonts w:ascii="Times New Roman" w:cs="Times New Roman" w:eastAsia="Times New Roman" w:hAnsi="Times New Roman"/>
                <w:sz w:val="22"/>
                <w:szCs w:val="22"/>
                <w:color w:val="auto"/>
                <w:vertAlign w:val="superscript"/>
              </w:rPr>
              <w:t>(a)</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21 %</w:t>
            </w: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202</w:t>
            </w:r>
          </w:p>
        </w:tc>
        <w:tc>
          <w:tcPr>
            <w:tcW w:w="360" w:type="dxa"/>
            <w:vAlign w:val="bottom"/>
          </w:tcPr>
          <w:p>
            <w:pPr>
              <w:spacing w:after="0"/>
              <w:rPr>
                <w:sz w:val="19"/>
                <w:szCs w:val="19"/>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924</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457</w:t>
            </w:r>
          </w:p>
        </w:tc>
      </w:tr>
      <w:tr>
        <w:trPr>
          <w:trHeight w:val="228"/>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1,777</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(150)</w:t>
            </w: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1,993</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777</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39 %</w:t>
            </w:r>
          </w:p>
        </w:tc>
      </w:tr>
      <w:tr>
        <w:trPr>
          <w:trHeight w:val="27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207</w:t>
            </w:r>
          </w:p>
        </w:tc>
        <w:tc>
          <w:tcPr>
            <w:tcW w:w="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(22)</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r>
    </w:tbl>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(a) 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 party digital platforms as well as sponsorships.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3" w:lineRule="exact"/>
        <w:rPr>
          <w:sz w:val="20"/>
          <w:szCs w:val="20"/>
          <w:color w:val="auto"/>
        </w:rPr>
      </w:pPr>
    </w:p>
    <w:p>
      <w:pPr>
        <w:ind w:right="640"/>
        <w:spacing w:after="0" w:line="295" w:lineRule="auto"/>
        <w:rPr>
          <w:sz w:val="20"/>
          <w:szCs w:val="20"/>
          <w:color w:val="auto"/>
        </w:rPr>
      </w:pPr>
      <w:r>
        <w:rPr>
          <w:rFonts w:ascii="Times New Roman" w:cs="Times New Roman" w:eastAsia="Times New Roman" w:hAnsi="Times New Roman"/>
          <w:sz w:val="19"/>
          <w:szCs w:val="19"/>
          <w:color w:val="auto"/>
        </w:rPr>
        <w:t>For the nine months ended September 30, 2022, the 39% increase in revenues reflects higher theatrical revenues, partially offset by lower licensing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6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 xml:space="preserve">The $924 million increase in theatrical revenues reflects the success of our current year releases, driven by </w:t>
      </w:r>
      <w:r>
        <w:rPr>
          <w:rFonts w:ascii="Times New Roman" w:cs="Times New Roman" w:eastAsia="Times New Roman" w:hAnsi="Times New Roman"/>
          <w:sz w:val="19"/>
          <w:szCs w:val="19"/>
          <w:i w:val="1"/>
          <w:iCs w:val="1"/>
          <w:color w:val="auto"/>
        </w:rPr>
        <w:t>Top Gun: Maverick</w:t>
      </w:r>
      <w:r>
        <w:rPr>
          <w:rFonts w:ascii="Times New Roman" w:cs="Times New Roman" w:eastAsia="Times New Roman" w:hAnsi="Times New Roman"/>
          <w:sz w:val="19"/>
          <w:szCs w:val="19"/>
          <w:color w:val="auto"/>
        </w:rPr>
        <w:t xml:space="preserve">, as well as </w:t>
      </w:r>
      <w:r>
        <w:rPr>
          <w:rFonts w:ascii="Times New Roman" w:cs="Times New Roman" w:eastAsia="Times New Roman" w:hAnsi="Times New Roman"/>
          <w:sz w:val="19"/>
          <w:szCs w:val="19"/>
          <w:i w:val="1"/>
          <w:iCs w:val="1"/>
          <w:color w:val="auto"/>
        </w:rPr>
        <w:t>Sonic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the Hedgehog 2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The Lost City</w:t>
      </w:r>
      <w:r>
        <w:rPr>
          <w:rFonts w:ascii="Times New Roman" w:cs="Times New Roman" w:eastAsia="Times New Roman" w:hAnsi="Times New Roman"/>
          <w:sz w:val="19"/>
          <w:szCs w:val="19"/>
          <w:color w:val="auto"/>
        </w:rPr>
        <w:t>. Theatrical releases in the comparable prior-year period included</w:t>
      </w:r>
      <w:r>
        <w:rPr>
          <w:rFonts w:ascii="Times New Roman" w:cs="Times New Roman" w:eastAsia="Times New Roman" w:hAnsi="Times New Roman"/>
          <w:sz w:val="19"/>
          <w:szCs w:val="19"/>
          <w:i w:val="1"/>
          <w:iCs w:val="1"/>
          <w:color w:val="auto"/>
        </w:rPr>
        <w:t xml:space="preserve"> A Quiet Place Part II. </w:t>
      </w:r>
      <w:r>
        <w:rPr>
          <w:rFonts w:ascii="Times New Roman" w:cs="Times New Roman" w:eastAsia="Times New Roman" w:hAnsi="Times New Roman"/>
          <w:sz w:val="19"/>
          <w:szCs w:val="19"/>
          <w:color w:val="auto"/>
        </w:rPr>
        <w:t>There were no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theatrical releases in the first quarter of 2021 as movie theaters continued to be impacted by closures or reduced capacity in response to COVID-19.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9"/>
          <w:szCs w:val="19"/>
          <w:color w:val="auto"/>
        </w:rPr>
        <w:t xml:space="preserve">The 8% decrease in licensing and other revenues primarily reflects lower revenues from the licensing of library titles and the benefit to the prior-year period from the licensing of </w:t>
      </w:r>
      <w:r>
        <w:rPr>
          <w:rFonts w:ascii="Times New Roman" w:cs="Times New Roman" w:eastAsia="Times New Roman" w:hAnsi="Times New Roman"/>
          <w:sz w:val="19"/>
          <w:szCs w:val="19"/>
          <w:i w:val="1"/>
          <w:iCs w:val="1"/>
          <w:color w:val="auto"/>
        </w:rPr>
        <w:t>Coming 2 America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Tom Clancy’s Without Remorse</w:t>
      </w:r>
      <w:r>
        <w:rPr>
          <w:rFonts w:ascii="Times New Roman" w:cs="Times New Roman" w:eastAsia="Times New Roman" w:hAnsi="Times New Roman"/>
          <w:sz w:val="19"/>
          <w:szCs w:val="19"/>
          <w:color w:val="auto"/>
        </w:rPr>
        <w:t>, partially offset by higher home entertainment revenues from current year theatrical releases.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9"/>
          <w:szCs w:val="19"/>
          <w:color w:val="auto"/>
        </w:rPr>
        <w:t>Adjusted OIBDA decreased 11%, mainly reflecting lower profits from the licensing of library titles, partially offset by higher profits from current year releases.</w:t>
      </w:r>
    </w:p>
    <w:p>
      <w:pPr>
        <w:spacing w:after="0" w:line="15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 xml:space="preserve">Fluctuations in results for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may occur as a result of the timing of the recognition of distribution costs, including print and advertising, which are generally incurred before and throughout the theatrical release of a film, while the revenues for the respective film are recognized as earned through the film’s theatrical exhibition and distribution to other platforms.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DTC services, including television and film programming, sports rights, and talent contracts, as well as advertising and marketing costs to promote our content and platforms; payments for leases, interest, and income taxes; and pension funding obligations. Our investing and financing spending includes capital expenditures; acquisitions; funding relating to new and existing investments,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including funding of our streaming joint venture with Comcast, SkyShowtime, under which both parent companies have committed to support initial operations; share repurchases; dividends and principal payments on our outstanding indebtedness. We believe that our operating cash flows, cash and cash equivalents, borrowing capacity under our $3.50 billion Credit Facility described below, as well as access to capital markets are sufficient to fund our operating, investing and financing requirements for the next twelve months.</w:t>
      </w:r>
    </w:p>
    <w:p>
      <w:pPr>
        <w:spacing w:after="0" w:line="18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Our funding for short-term and long-term obligations, including our long-term debt obligations due over the next five years, which were $2.35 billion as of September 30, 2022, as well as our other long term commitments, will come primarily from cash flows from operating activities, proceeds from non-core asset sales, including the planned sale of Simon &amp; Schuster described below, and our ability to refinance our debt. Any additional cash funding requirements are financed with short-term borrowings, including commercial paper, and long-term debt. To the extent</w:t>
      </w:r>
    </w:p>
    <w:p>
      <w:pPr>
        <w:spacing w:after="0" w:line="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that commercial paper is not available to us, the Credit Facility provides sufficient capacity to satisfy short-term borrowing needs. </w:t>
      </w:r>
      <w:r>
        <w:rPr>
          <w:rFonts w:ascii="Times New Roman" w:cs="Times New Roman" w:eastAsia="Times New Roman" w:hAnsi="Times New Roman"/>
          <w:sz w:val="20"/>
          <w:szCs w:val="20"/>
          <w:color w:val="auto"/>
        </w:rPr>
        <w:t>We</w:t>
      </w:r>
      <w:r>
        <w:rPr>
          <w:rFonts w:ascii="Times New Roman" w:cs="Times New Roman" w:eastAsia="Times New Roman" w:hAnsi="Times New Roman"/>
          <w:sz w:val="19"/>
          <w:szCs w:val="19"/>
          <w:color w:val="auto"/>
        </w:rPr>
        <w:t xml:space="preserve"> routinely assess our capital structure and opportunistically enter into transactions to manage our outstanding maturities, which could result in a charge from the early extinguishment of debt.</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 xml:space="preserve">During 2020, we entered into an agreement to sell Simon &amp; Schuster for $2.175 billion in cash, and expect to use proceeds from the sale to invest in our strategic growth priorities, including in streaming, as well as to fund dividends and pay down debt. On November 2, 2021, the U.S. Department of Justice filed suit to block the sale. The trial was conducted in August 2022, and in October 2022, the Court issued a decision to block the consummation of the transaction. We are discussing next steps with Bertelsmann and Penguin Random House, including seeking an expedited appeal (see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The purchase agreement contains commitments on the part of the purchaser to take all necessary steps to obtain any required regulatory approvals and to defend any litigation that would delay or prevent consummation, and also provides for a $200 million termination fee payable to us in certain circumstances in the event the transaction does not close for regulatory reasons.</w:t>
      </w:r>
    </w:p>
    <w:p>
      <w:pPr>
        <w:spacing w:after="0" w:line="2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 We have used and intend to continue to use the net proceeds for general corporate purposes, including investments in streaming.</w:t>
      </w:r>
    </w:p>
    <w:p>
      <w:pPr>
        <w:spacing w:after="0" w:line="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Our access to capital markets can be impacted by factors outside our control, including economic conditions; however, we believe that our strong balance sheet and cash flows, our credit facility and our credit rating will provide us with adequate access to funding for our expected cash needs. The cost of any new borrowings is affected by market conditions and short and long-term debt ratings assigned by independent rating agencies, and there can be no assurance that we will be able to access capital markets on terms and conditions that will be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cash equivalents and restricted cash were as follows:</w:t>
      </w: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249"/>
        </w:trPr>
        <w:tc>
          <w:tcPr>
            <w:tcW w:w="64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60" w:type="dxa"/>
            <w:vAlign w:val="bottom"/>
            <w:tcBorders>
              <w:top w:val="single" w:sz="8" w:color="auto"/>
              <w:bottom w:val="single" w:sz="8" w:color="auto"/>
            </w:tcBorders>
          </w:tcPr>
          <w:p>
            <w:pPr>
              <w:spacing w:after="0"/>
              <w:rPr>
                <w:sz w:val="21"/>
                <w:szCs w:val="21"/>
                <w:color w:val="auto"/>
              </w:rPr>
            </w:pPr>
          </w:p>
        </w:tc>
      </w:tr>
      <w:tr>
        <w:trPr>
          <w:trHeight w:val="216"/>
        </w:trPr>
        <w:tc>
          <w:tcPr>
            <w:tcW w:w="6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 provided by operating activities from:</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219</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1,528</w:t>
            </w: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(1,309)</w:t>
            </w:r>
          </w:p>
        </w:tc>
      </w:tr>
      <w:tr>
        <w:trPr>
          <w:trHeight w:val="228"/>
        </w:trPr>
        <w:tc>
          <w:tcPr>
            <w:tcW w:w="6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107</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124</w:t>
            </w: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(17)</w:t>
            </w:r>
          </w:p>
        </w:tc>
      </w:tr>
      <w:tr>
        <w:trPr>
          <w:trHeight w:val="21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326</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1,652</w:t>
            </w: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(1,326)</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 used for investing activities from:</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(380)</w:t>
            </w:r>
          </w:p>
        </w:tc>
        <w:tc>
          <w:tcPr>
            <w:tcW w:w="44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c>
          <w:tcPr>
            <w:tcW w:w="90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(367)</w:t>
            </w:r>
          </w:p>
        </w:tc>
      </w:tr>
      <w:tr>
        <w:trPr>
          <w:trHeight w:val="228"/>
        </w:trPr>
        <w:tc>
          <w:tcPr>
            <w:tcW w:w="6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Discontinued operations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(383)</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(16)</w:t>
            </w: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(367)</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provided by financing activities</w:t>
            </w:r>
          </w:p>
        </w:tc>
        <w:tc>
          <w:tcPr>
            <w:tcW w:w="24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(2,681)</w:t>
            </w:r>
          </w:p>
        </w:tc>
        <w:tc>
          <w:tcPr>
            <w:tcW w:w="440" w:type="dxa"/>
            <w:vAlign w:val="bottom"/>
          </w:tcPr>
          <w:p>
            <w:pPr>
              <w:spacing w:after="0"/>
              <w:rPr>
                <w:sz w:val="18"/>
                <w:szCs w:val="18"/>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101</w:t>
            </w:r>
          </w:p>
        </w:tc>
        <w:tc>
          <w:tcPr>
            <w:tcW w:w="9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(2,782)</w:t>
            </w:r>
          </w:p>
        </w:tc>
      </w:tr>
      <w:tr>
        <w:trPr>
          <w:trHeight w:val="228"/>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(146)</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(116)</w:t>
            </w:r>
          </w:p>
        </w:tc>
      </w:tr>
      <w:tr>
        <w:trPr>
          <w:trHeight w:val="222"/>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(2,884)</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1,707</w:t>
            </w: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(4,591)</w:t>
            </w:r>
          </w:p>
        </w:tc>
      </w:tr>
    </w:tbl>
    <w:p>
      <w:pPr>
        <w:spacing w:after="0" w:line="198" w:lineRule="exact"/>
        <w:rPr>
          <w:sz w:val="20"/>
          <w:szCs w:val="20"/>
          <w:color w:val="auto"/>
        </w:rPr>
      </w:pPr>
    </w:p>
    <w:p>
      <w:pPr>
        <w:jc w:val="both"/>
        <w:ind w:right="40"/>
        <w:spacing w:after="0" w:line="297" w:lineRule="auto"/>
        <w:rPr>
          <w:sz w:val="20"/>
          <w:szCs w:val="20"/>
          <w:color w:val="auto"/>
        </w:rPr>
      </w:pPr>
      <w:r>
        <w:rPr>
          <w:rFonts w:ascii="Times New Roman" w:cs="Times New Roman" w:eastAsia="Times New Roman" w:hAnsi="Times New Roman"/>
          <w:sz w:val="19"/>
          <w:szCs w:val="19"/>
          <w:i w:val="1"/>
          <w:iCs w:val="1"/>
          <w:color w:val="auto"/>
        </w:rPr>
        <w:t xml:space="preserve">Operating Activities. </w:t>
      </w:r>
      <w:r>
        <w:rPr>
          <w:rFonts w:ascii="Times New Roman" w:cs="Times New Roman" w:eastAsia="Times New Roman" w:hAnsi="Times New Roman"/>
          <w:sz w:val="19"/>
          <w:szCs w:val="19"/>
          <w:color w:val="auto"/>
        </w:rPr>
        <w:t>For the nine months ended September 30, 2022, the decrease in cash flow provided by operating activities from continuing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operations was mainly driven by our increased investment in our DTC services, including spending for content, marketing and distribution costs.</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Cash flow provided by operating activities for the nine months ended September 30, 2022 and 2021 included payments for restructuring, merger-related costs and transformation initiatives of $133 million and $241 million, respectively. Since the Merger, we have invested in a number of transformation initiatives. Initially, these were undertaken to realize synergies related to the Merger. Beginning in 2022, our transformation initiatives are related to future-state technology, including the unification and evolution of systems and platforms, and migration to the cloud. In addition, we are investing in future-state workspaces, including adapting our facilities to accommodate our hybrid and agile work model.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flow provided by operating activities from discontinued operations reflects the operating activities of Simon &amp; Schuster.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587" w:right="3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746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7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7460" w:type="dxa"/>
            <w:vAlign w:val="bottom"/>
          </w:tcPr>
          <w:p>
            <w:pPr>
              <w:spacing w:after="0" w:line="210" w:lineRule="exact"/>
              <w:rPr>
                <w:sz w:val="20"/>
                <w:szCs w:val="20"/>
                <w:color w:val="auto"/>
              </w:rPr>
            </w:pPr>
            <w:r>
              <w:rPr>
                <w:rFonts w:ascii="Times New Roman" w:cs="Times New Roman" w:eastAsia="Times New Roman" w:hAnsi="Times New Roman"/>
                <w:sz w:val="17"/>
                <w:szCs w:val="17"/>
                <w:color w:val="auto"/>
              </w:rPr>
              <w:t xml:space="preserve">Investments </w:t>
            </w:r>
            <w:r>
              <w:rPr>
                <w:rFonts w:ascii="Times New Roman" w:cs="Times New Roman" w:eastAsia="Times New Roman" w:hAnsi="Times New Roman"/>
                <w:sz w:val="22"/>
                <w:szCs w:val="22"/>
                <w:color w:val="auto"/>
                <w:vertAlign w:val="superscript"/>
              </w:rPr>
              <w:t>(a)</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(189)</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(147)</w:t>
            </w:r>
          </w:p>
        </w:tc>
      </w:tr>
      <w:tr>
        <w:trPr>
          <w:trHeight w:val="223"/>
        </w:trPr>
        <w:tc>
          <w:tcPr>
            <w:tcW w:w="74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Capital expenditures </w:t>
            </w:r>
            <w:r>
              <w:rPr>
                <w:rFonts w:ascii="Times New Roman" w:cs="Times New Roman" w:eastAsia="Times New Roman" w:hAnsi="Times New Roman"/>
                <w:sz w:val="22"/>
                <w:szCs w:val="22"/>
                <w:color w:val="auto"/>
                <w:vertAlign w:val="superscript"/>
              </w:rPr>
              <w:t>(b)</w:t>
            </w:r>
          </w:p>
        </w:tc>
        <w:tc>
          <w:tcPr>
            <w:tcW w:w="460" w:type="dxa"/>
            <w:vAlign w:val="bottom"/>
          </w:tcPr>
          <w:p>
            <w:pPr>
              <w:spacing w:after="0"/>
              <w:rPr>
                <w:sz w:val="19"/>
                <w:szCs w:val="19"/>
                <w:color w:val="auto"/>
              </w:rPr>
            </w:pPr>
          </w:p>
        </w:tc>
        <w:tc>
          <w:tcPr>
            <w:tcW w:w="14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(228)</w:t>
            </w:r>
          </w:p>
        </w:tc>
        <w:tc>
          <w:tcPr>
            <w:tcW w:w="70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(231)</w:t>
            </w:r>
          </w:p>
        </w:tc>
      </w:tr>
      <w:tr>
        <w:trPr>
          <w:trHeight w:val="223"/>
        </w:trPr>
        <w:tc>
          <w:tcPr>
            <w:tcW w:w="74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Acquisitions, net of cash acquired </w:t>
            </w:r>
            <w:r>
              <w:rPr>
                <w:rFonts w:ascii="Times New Roman" w:cs="Times New Roman" w:eastAsia="Times New Roman" w:hAnsi="Times New Roman"/>
                <w:sz w:val="22"/>
                <w:szCs w:val="22"/>
                <w:color w:val="auto"/>
                <w:vertAlign w:val="superscript"/>
              </w:rPr>
              <w:t>(c)</w:t>
            </w:r>
          </w:p>
        </w:tc>
        <w:tc>
          <w:tcPr>
            <w:tcW w:w="460" w:type="dxa"/>
            <w:vAlign w:val="bottom"/>
          </w:tcPr>
          <w:p>
            <w:pPr>
              <w:spacing w:after="0"/>
              <w:rPr>
                <w:sz w:val="19"/>
                <w:szCs w:val="19"/>
                <w:color w:val="auto"/>
              </w:rPr>
            </w:pPr>
          </w:p>
        </w:tc>
        <w:tc>
          <w:tcPr>
            <w:tcW w:w="140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(27)</w:t>
            </w:r>
          </w:p>
        </w:tc>
      </w:tr>
      <w:tr>
        <w:trPr>
          <w:trHeight w:val="223"/>
        </w:trPr>
        <w:tc>
          <w:tcPr>
            <w:tcW w:w="74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Proceeds from dispositions </w:t>
            </w:r>
            <w:r>
              <w:rPr>
                <w:rFonts w:ascii="Times New Roman" w:cs="Times New Roman" w:eastAsia="Times New Roman" w:hAnsi="Times New Roman"/>
                <w:sz w:val="22"/>
                <w:szCs w:val="22"/>
                <w:color w:val="auto"/>
                <w:vertAlign w:val="superscript"/>
              </w:rPr>
              <w:t>(d)</w:t>
            </w:r>
          </w:p>
        </w:tc>
        <w:tc>
          <w:tcPr>
            <w:tcW w:w="460" w:type="dxa"/>
            <w:vAlign w:val="bottom"/>
          </w:tcPr>
          <w:p>
            <w:pPr>
              <w:spacing w:after="0"/>
              <w:rPr>
                <w:sz w:val="19"/>
                <w:szCs w:val="19"/>
                <w:color w:val="auto"/>
              </w:rPr>
            </w:pPr>
          </w:p>
        </w:tc>
        <w:tc>
          <w:tcPr>
            <w:tcW w:w="14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38</w:t>
            </w:r>
          </w:p>
        </w:tc>
        <w:tc>
          <w:tcPr>
            <w:tcW w:w="700" w:type="dxa"/>
            <w:vAlign w:val="bottom"/>
          </w:tcPr>
          <w:p>
            <w:pPr>
              <w:spacing w:after="0"/>
              <w:rPr>
                <w:sz w:val="19"/>
                <w:szCs w:val="19"/>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418</w:t>
            </w:r>
          </w:p>
        </w:tc>
      </w:tr>
      <w:tr>
        <w:trPr>
          <w:trHeight w:val="228"/>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(1)</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(26)</w:t>
            </w:r>
          </w:p>
        </w:tc>
      </w:tr>
      <w:tr>
        <w:trPr>
          <w:trHeight w:val="211"/>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 operations</w:t>
            </w:r>
          </w:p>
        </w:tc>
        <w:tc>
          <w:tcPr>
            <w:tcW w:w="460" w:type="dxa"/>
            <w:vAlign w:val="bottom"/>
          </w:tcPr>
          <w:p>
            <w:pPr>
              <w:spacing w:after="0"/>
              <w:rPr>
                <w:sz w:val="18"/>
                <w:szCs w:val="18"/>
                <w:color w:val="auto"/>
              </w:rPr>
            </w:pPr>
          </w:p>
        </w:tc>
        <w:tc>
          <w:tcPr>
            <w:tcW w:w="14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(380)</w:t>
            </w:r>
          </w:p>
        </w:tc>
        <w:tc>
          <w:tcPr>
            <w:tcW w:w="70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(13)</w:t>
            </w:r>
          </w:p>
        </w:tc>
      </w:tr>
      <w:tr>
        <w:trPr>
          <w:trHeight w:val="228"/>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flow used for investing activities from discontinued operations</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(3)</w:t>
            </w:r>
          </w:p>
        </w:tc>
      </w:tr>
      <w:tr>
        <w:trPr>
          <w:trHeight w:val="222"/>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(383)</w:t>
            </w: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(16)</w:t>
            </w:r>
          </w:p>
        </w:tc>
      </w:tr>
    </w:tbl>
    <w:p>
      <w:pPr>
        <w:spacing w:after="0" w:line="130" w:lineRule="exact"/>
        <w:rPr>
          <w:sz w:val="20"/>
          <w:szCs w:val="20"/>
          <w:color w:val="auto"/>
        </w:rPr>
      </w:pPr>
    </w:p>
    <w:p>
      <w:pPr>
        <w:ind w:left="300" w:hanging="216"/>
        <w:spacing w:after="0"/>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and 2021 primarily include investment in The CW. 2022 also includes investment in SkyShowtime.</w:t>
      </w:r>
    </w:p>
    <w:p>
      <w:pPr>
        <w:spacing w:after="0" w:line="52"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$34 million and $56 million in 2022 and 2021, respectively.</w:t>
      </w:r>
    </w:p>
    <w:p>
      <w:pPr>
        <w:spacing w:after="0" w:line="65"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2021 reflects the acquisition of Chilevisión, a free-to-air television channel.</w:t>
      </w:r>
    </w:p>
    <w:p>
      <w:pPr>
        <w:spacing w:after="0" w:line="52" w:lineRule="exact"/>
        <w:rPr>
          <w:rFonts w:ascii="Times New Roman" w:cs="Times New Roman" w:eastAsia="Times New Roman" w:hAnsi="Times New Roman"/>
          <w:sz w:val="16"/>
          <w:szCs w:val="16"/>
          <w:color w:val="auto"/>
        </w:rPr>
      </w:pPr>
    </w:p>
    <w:p>
      <w:pPr>
        <w:ind w:left="320" w:right="60" w:hanging="236"/>
        <w:spacing w:after="0" w:line="268" w:lineRule="auto"/>
        <w:tabs>
          <w:tab w:leader="none" w:pos="30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2022 primarily reflects the disposition of international intangible assets. 2021 primarily reflects proceeds received from the sale of our investment in fuboTV Inc. during the fourth quarter of 2020, as well as proceeds received from the sales of a noncore trademark licensing operation and investments.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49"/>
        </w:trPr>
        <w:tc>
          <w:tcPr>
            <w:tcW w:w="72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7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debt</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1,114</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debt</w:t>
            </w:r>
          </w:p>
        </w:tc>
        <w:tc>
          <w:tcPr>
            <w:tcW w:w="48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(3,123)</w:t>
            </w:r>
          </w:p>
        </w:tc>
        <w:tc>
          <w:tcPr>
            <w:tcW w:w="7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(2,220)</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48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(43)</w:t>
            </w:r>
          </w:p>
        </w:tc>
        <w:tc>
          <w:tcPr>
            <w:tcW w:w="7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48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(471)</w:t>
            </w:r>
          </w:p>
        </w:tc>
        <w:tc>
          <w:tcPr>
            <w:tcW w:w="7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(458)</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480" w:type="dxa"/>
            <w:vAlign w:val="bottom"/>
          </w:tcPr>
          <w:p>
            <w:pPr>
              <w:spacing w:after="0"/>
              <w:rPr>
                <w:sz w:val="19"/>
                <w:szCs w:val="19"/>
                <w:color w:val="auto"/>
              </w:rPr>
            </w:pP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983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480" w:type="dxa"/>
            <w:vAlign w:val="bottom"/>
          </w:tcPr>
          <w:p>
            <w:pPr>
              <w:spacing w:after="0"/>
              <w:rPr>
                <w:sz w:val="19"/>
                <w:szCs w:val="19"/>
                <w:color w:val="auto"/>
              </w:rPr>
            </w:pP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1,672</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Payment of payroll taxes in lieu of issuing shares for stock-based compensation</w:t>
            </w:r>
          </w:p>
        </w:tc>
        <w:tc>
          <w:tcPr>
            <w:tcW w:w="48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(14)</w:t>
            </w:r>
          </w:p>
        </w:tc>
        <w:tc>
          <w:tcPr>
            <w:tcW w:w="7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(55)</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480" w:type="dxa"/>
            <w:vAlign w:val="bottom"/>
          </w:tcPr>
          <w:p>
            <w:pPr>
              <w:spacing w:after="0"/>
              <w:rPr>
                <w:sz w:val="19"/>
                <w:szCs w:val="19"/>
                <w:color w:val="auto"/>
              </w:rPr>
            </w:pPr>
          </w:p>
        </w:tc>
        <w:tc>
          <w:tcPr>
            <w:tcW w:w="13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408</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480" w:type="dxa"/>
            <w:vAlign w:val="bottom"/>
          </w:tcPr>
          <w:p>
            <w:pPr>
              <w:spacing w:after="0"/>
              <w:rPr>
                <w:sz w:val="19"/>
                <w:szCs w:val="19"/>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(106)</w:t>
            </w:r>
          </w:p>
        </w:tc>
        <w:tc>
          <w:tcPr>
            <w:tcW w:w="78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(215)</w:t>
            </w:r>
          </w:p>
        </w:tc>
      </w:tr>
      <w:tr>
        <w:trPr>
          <w:trHeight w:val="228"/>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(38)</w:t>
            </w: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flow (used for) provided by financing activities</w:t>
            </w: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(2,681)</w:t>
            </w:r>
          </w:p>
        </w:tc>
        <w:tc>
          <w:tcPr>
            <w:tcW w:w="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101</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We declared cash dividends of $.24 per share on our Class A and Class B Common Stock during each of the three-month periods ended September 30, 2022 and 2021, resulting in total dividends of $159 million for each of the respective periods. We declared cash dividends of $.72 per share on our Class A and Class B Common Stock during each of the nine-month periods ended September 30, 2022 and 2021, resulting in total dividends of $477 million and $468 million, respectively.</w:t>
      </w:r>
    </w:p>
    <w:p>
      <w:pPr>
        <w:spacing w:after="0" w:line="1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During each of the three quarters of 2022, we declared a quarterly cash dividend of $1.4375 per share on our Mandatory Convertible Preferred Stock, resulting in total dividends of $14.4 million for the three months ended September 30, 2022, and $43.1 million for the nine months ended September 30, 2022. During the second and third quarters of 2021, we declared quarterly cash dividends on our Mandatory Convertible Preferred Stock of $1.5493 per share and $1.4375 per share, respectively. The dividend period for the dividend declared during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9"/>
          <w:szCs w:val="19"/>
          <w:color w:val="auto"/>
        </w:rPr>
        <w:t>quarter was from March 26, 2021 through July 1, 2021. Accordingly, we recorded dividends on the Mandatory Convertible Preferred Stock of $14.4 million and $29.9 million during the three and nine months ended September 30, 2021,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our debt.</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42"/>
        </w:trPr>
        <w:tc>
          <w:tcPr>
            <w:tcW w:w="46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b w:val="1"/>
                <w:bCs w:val="1"/>
                <w:color w:val="auto"/>
              </w:rPr>
              <w:t>At</w:t>
            </w:r>
          </w:p>
        </w:tc>
        <w:tc>
          <w:tcPr>
            <w:tcW w:w="9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30"/>
        </w:trPr>
        <w:tc>
          <w:tcPr>
            <w:tcW w:w="46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340" w:type="dxa"/>
            <w:vAlign w:val="bottom"/>
            <w:tcBorders>
              <w:bottom w:val="single" w:sz="8" w:color="auto"/>
            </w:tcBorders>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1"/>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Senior debt (2.90%-7.875% due 2023-2050)</w:t>
            </w: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rPr>
              <w:t>14,143</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16,501</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Junior debt (5.875%-6.375% due 2057 and 2062)</w:t>
            </w:r>
          </w:p>
        </w:tc>
        <w:tc>
          <w:tcPr>
            <w:tcW w:w="1680" w:type="dxa"/>
            <w:vAlign w:val="bottom"/>
          </w:tcPr>
          <w:p>
            <w:pPr>
              <w:spacing w:after="0"/>
              <w:rPr>
                <w:sz w:val="19"/>
                <w:szCs w:val="19"/>
                <w:color w:val="auto"/>
              </w:rPr>
            </w:pP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rPr>
              <w:t>1,632</w:t>
            </w:r>
          </w:p>
        </w:tc>
        <w:tc>
          <w:tcPr>
            <w:tcW w:w="980" w:type="dxa"/>
            <w:vAlign w:val="bottom"/>
          </w:tcPr>
          <w:p>
            <w:pPr>
              <w:spacing w:after="0"/>
              <w:rPr>
                <w:sz w:val="19"/>
                <w:szCs w:val="19"/>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1,157</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bank borrowings</w:t>
            </w:r>
          </w:p>
        </w:tc>
        <w:tc>
          <w:tcPr>
            <w:tcW w:w="1680" w:type="dxa"/>
            <w:vAlign w:val="bottom"/>
          </w:tcPr>
          <w:p>
            <w:pPr>
              <w:spacing w:after="0"/>
              <w:rPr>
                <w:sz w:val="19"/>
                <w:szCs w:val="19"/>
                <w:color w:val="auto"/>
              </w:rPr>
            </w:pP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rPr>
              <w:t>47</w:t>
            </w:r>
          </w:p>
        </w:tc>
        <w:tc>
          <w:tcPr>
            <w:tcW w:w="980" w:type="dxa"/>
            <w:vAlign w:val="bottom"/>
          </w:tcPr>
          <w:p>
            <w:pPr>
              <w:spacing w:after="0"/>
              <w:rPr>
                <w:sz w:val="19"/>
                <w:szCs w:val="19"/>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35</w:t>
            </w:r>
          </w:p>
        </w:tc>
      </w:tr>
      <w:tr>
        <w:trPr>
          <w:trHeight w:val="228"/>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Obligations under finance leases</w:t>
            </w:r>
          </w:p>
        </w:tc>
        <w:tc>
          <w:tcPr>
            <w:tcW w:w="1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12</w:t>
            </w: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16</w:t>
            </w:r>
          </w:p>
        </w:tc>
      </w:tr>
      <w:tr>
        <w:trPr>
          <w:trHeight w:val="211"/>
        </w:trPr>
        <w:tc>
          <w:tcPr>
            <w:tcW w:w="468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(a)</w:t>
            </w:r>
          </w:p>
        </w:tc>
        <w:tc>
          <w:tcPr>
            <w:tcW w:w="1680" w:type="dxa"/>
            <w:vAlign w:val="bottom"/>
          </w:tcPr>
          <w:p>
            <w:pPr>
              <w:spacing w:after="0"/>
              <w:rPr>
                <w:sz w:val="18"/>
                <w:szCs w:val="18"/>
                <w:color w:val="auto"/>
              </w:rPr>
            </w:pP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rPr>
              <w:t>15,834</w:t>
            </w:r>
          </w:p>
        </w:tc>
        <w:tc>
          <w:tcPr>
            <w:tcW w:w="980" w:type="dxa"/>
            <w:vAlign w:val="bottom"/>
          </w:tcPr>
          <w:p>
            <w:pPr>
              <w:spacing w:after="0"/>
              <w:rPr>
                <w:sz w:val="18"/>
                <w:szCs w:val="18"/>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17,709</w:t>
            </w:r>
          </w:p>
        </w:tc>
      </w:tr>
      <w:tr>
        <w:trPr>
          <w:trHeight w:val="228"/>
        </w:trPr>
        <w:tc>
          <w:tcPr>
            <w:tcW w:w="4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Less current portion</w:t>
            </w:r>
          </w:p>
        </w:tc>
        <w:tc>
          <w:tcPr>
            <w:tcW w:w="1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196</w:t>
            </w: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15,638</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17,698</w:t>
            </w:r>
          </w:p>
        </w:tc>
      </w:tr>
    </w:tbl>
    <w:p>
      <w:pPr>
        <w:spacing w:after="0" w:line="130" w:lineRule="exact"/>
        <w:rPr>
          <w:sz w:val="20"/>
          <w:szCs w:val="20"/>
          <w:color w:val="auto"/>
        </w:rPr>
      </w:pPr>
    </w:p>
    <w:p>
      <w:pPr>
        <w:jc w:val="both"/>
        <w:ind w:left="800" w:right="780" w:hanging="244"/>
        <w:spacing w:after="0" w:line="262" w:lineRule="auto"/>
        <w:tabs>
          <w:tab w:leader="none" w:pos="7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2022 and December 31, 2021, the senior and junior subordinated debt balances included (i) a net unamortized discount of $446 million and $466 million, respectively, and (ii) unamortized deferred financing costs of $91 million and $95 million, respectively. The face value of our total debt was $16.37 billion and $18.27 billion at September 30, 2022 and December 31, 2021, respectively.</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During the nine months ended September 30, 2022, we redeemed senior notes totaling $2.39 billion, prior to maturity, for an aggregate redemption price of $2.49 billion. Additionally, in February 2022, we redeemed our $520 million of 5.875% junior subordinated debentures due February 2057 at par. These redemptions resulted in a total pre-tax loss on extinguishment of debt of $120 million for the nine months ended September 30, 2022.</w:t>
      </w:r>
    </w:p>
    <w:p>
      <w:pPr>
        <w:spacing w:after="0" w:line="1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During the nine months ended September 30, 2022, we issued $1.00 billion of 6.375% junior subordinated debentures due 2062. The interest rate on these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at any interest payment date thereafter.</w:t>
      </w:r>
    </w:p>
    <w:p>
      <w:pPr>
        <w:spacing w:after="0" w:line="202"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9"/>
          <w:szCs w:val="19"/>
          <w:color w:val="auto"/>
        </w:rPr>
        <w:t>During the nine months ended September 30, 2021, we redeemed senior notes totaling $1.99 billion, prior to maturity, for an aggregate redemption price of $2.11 billion resulting in a pre-tax loss on extinguishment of debt of $128 million.</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Our 6.25% junior subordinated debentures due February 2057 accrue interest at the stated fixed rates until February 28, 2027, on which date the rate will switch to a floating rate. Under the terms of the debentures the floating rate is based on three-month LIBOR plus 3.899%, reset quarterly. These debentures can be called by us at par at any time after the expiration of the fixed-rate period.</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subordination, interest deferral option and extended term of our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Commercial Paper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September 30, 2022 and December 31, 2021, we had no outstanding commercial paper borrowings.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Facility</w:t>
      </w:r>
    </w:p>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At September 30, 2022,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The benchmark rate for loans denominated in euros, sterling and yen is based on EURIBOR, SONIA and TIBOR rates, respectively.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On February 14, 2022, we amended our Credit Facility to modify the definition of the Consolidated Total Leverage Ratio in the amended credit agreement to allow unrestricted cash and cash equivalents to be netted against Consolidated Indebtedness through June 2024</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 xml:space="preserve"> We met the covenant as of September 30, 2022.</w:t>
      </w:r>
    </w:p>
    <w:p>
      <w:pPr>
        <w:spacing w:after="0" w:line="200" w:lineRule="exact"/>
        <w:rPr>
          <w:sz w:val="20"/>
          <w:szCs w:val="20"/>
          <w:color w:val="auto"/>
        </w:rPr>
      </w:pPr>
    </w:p>
    <w:p>
      <w:pPr>
        <w:spacing w:after="0" w:line="228"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9"/>
          <w:szCs w:val="19"/>
          <w:color w:val="auto"/>
        </w:rPr>
        <w:t>At September 30, 2022, we had no borrowings outstanding under the Credit Facility and the remaining availability under the Credit Facility, net of outstanding letters of credit, was $3.50 billion.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Bank Borrowings</w:t>
      </w:r>
    </w:p>
    <w:p>
      <w:pPr>
        <w:spacing w:after="0" w:line="166"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9"/>
          <w:szCs w:val="19"/>
          <w:color w:val="auto"/>
        </w:rPr>
        <w:t>At September 30, 2022 and December 31, 2021, we had bank borrowings under Miramax’s $300 million credit facility, which matures in April 2023, of $47 million and $35 million, respectively, with weighted average interest rates of 5.80% and 3.50%,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9"/>
          <w:szCs w:val="19"/>
          <w:color w:val="auto"/>
        </w:rPr>
        <w:t>We have indemnification obligations with respect to letters of credit and surety bonds primarily used as security against non-performance in the normal course of business. At September 30, 2022, the outstanding letters of credit and surety bonds approximated $174 million and were not recorded on the Consolidated Balance Sheet.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CBS Television City</w:t>
      </w:r>
    </w:p>
    <w:p>
      <w:pPr>
        <w:spacing w:after="0" w:line="1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color w:val="auto"/>
        </w:rPr>
        <w:t>In connection with the sale of the CBS Television City property and sound stage operation (“CBS Television City”) in 2019, we guaranteed a specified level of cash flows to be generated by the business during the first five years following the completion of the sale. Included in “Other current liabilities” and “Other liabilities” on the Consolidated Balance Sheet at September 30, 2022 is a liability totaling $51 million, reflecting the present value of the estimated amount remaining under the guarantee obligation.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Inc. These lease commitments totaled $25 million at September 30, 2022 and are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Stockholder Matters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Litigation Relating to the Merger</w:t>
      </w:r>
    </w:p>
    <w:p>
      <w:pPr>
        <w:spacing w:after="0" w:line="1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 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surviving claims is proceeding. We believe that the remaining claims are without merit and we intend to defend against them vigorously.</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is proceeding. We believe that the remaining claims are without merit and we intend to defend against them vigorously.</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Investigation-Related Matters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with respect to the termination of Mr. Moonves’ employment.</w:t>
      </w:r>
    </w:p>
    <w:p>
      <w:pPr>
        <w:spacing w:after="0" w:line="1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reached an agreement with the plaintiffs to settle the lawsuit for $14.75 million, which will be paid by the Company’s insurers. The settlement, which includes no admission of liability or wrongdoing by the Company, was granted preliminary approval by the Court on May 13, 2022 and is subject to final approval.</w:t>
      </w:r>
    </w:p>
    <w:p>
      <w:pPr>
        <w:spacing w:after="0" w:line="2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9"/>
          <w:szCs w:val="19"/>
          <w:color w:val="auto"/>
        </w:rPr>
        <w:t>We also received subpoenas or requests for information from the New York County District Attorney’s Office, the New York City Commission on Human Rights, the New York State Attorney General’s Office and the United States Securities and Exchange Commission regarding the subject matter of the CBS Board of Directors’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investigation and related matters, including with respect to CBS’ related public disclosures. We have reached an agreement in principle to resolve the matter with the Investor Protection Bureau of the New York State Attorney General’s Office. After credits for the settlement amount to be paid in the consolidated federal securities class action discussed above, and certain financial commitments to human resources-related programs made by CBS in connection with an earlier resolution with the Civil Rights Bureau of the New York State Attorney General’s Office, the Company has agreed to make a payment of $7.25 million, which by agreement with the Investor Protection Bureau will be distributed in connection with the federal securities class action settlement discussed above, subject to the court’s approval of the class action settlement. The resolution includes no admission of liability or wrongdoing by the Company. We may continue to receive additional related regulatory and investigative inquiries from these and other entities in the future.</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Litigation Related to Stock Offerings</w:t>
      </w:r>
    </w:p>
    <w:p>
      <w:pPr>
        <w:spacing w:after="0" w:line="1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On August 13, 2021, Camelot Event Driven Fund filed a putative securities class action lawsuit in New York Supreme Court, County of New York, and on November 5, 2021, an amended complaint was filed that, among other changes, added an additional named plaintiff (the “Complaint”). The Complaint is purportedly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On December 22, 2021, the plaintiffs filed a stipulation seeking the voluntary dismissal without prejudice of the outside director defendants from the lawsuit, which the Court subsequently ordered. On the same date, the defendants filed motions to dismiss the lawsuit, which are pending. The complaint seeks unspecified compensatory damages, as well as other relief. We believe that the claims are without merit and intend to defend against them vigorously.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Television Station Owners</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have reached an agreement in principle with the plaintiffs to settle the lawsuit. The settlement, which will include no admission of liability or wrongdoing by the Company, will be subject to Court approval.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the Proposed Sale of Simon &amp; Schuster</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On November 2, 2021, the U.S. Department of Justice (the “DOJ”) filed suit in the United States District Court for the District of Columbia to block our sale of the Simon &amp; Schuster business to Penguin Random House (the “Transaction”) pursuant to a Share Purchase Agreement (“Purchase Agreement”), dated November 24, 2020, between the Company, certain of its subsidiaries, Penguin Random House and Bertelsmann SE &amp; Co. KGaA. The DOJ asserted that the sale of Simon &amp; Schuster would reduce competition for the acquisition of titles. The trial was conducted in August 2022, and in October 2022, the Court issued a decision to block the consummation of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9"/>
          <w:szCs w:val="19"/>
          <w:color w:val="auto"/>
        </w:rPr>
        <w:t>Transaction. We are discussing next steps with Bertelsmann and Penguin Random House, including seeking an expedited appeal. The Purchase Agreement contains customary representations and warranties and covenants, including commitments on the part of Penguin Random House to take all necessary steps to obtain any required regulatory approvals and to defend any litigation that would delay or prevent consummation, and also provides for a $200 million termination fee payable to the Company in certain circumstances in the event the Transaction does not close for regulatory reasons.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3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September 30, 2022, we had pending approximately 25,880 asbestos claims, as compared with approximately 27,770 as of December 31, 2021. During the third quarter of 2022, we received approximately 660 new claims and closed or moved to an inactive docket approximately 1,570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2021 and 2020 for settlement and defense of asbestos claims after insurance recoveries and net of tax were approximately $63 million and $35 million, respectively. Our costs for settlement and defense of asbestos claims may vary year to year and insurance proceeds are not always recovered in the same period as the insured portion of the expenses.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4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 to the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w:t>
      </w:r>
    </w:p>
    <w:p>
      <w:pPr>
        <w:spacing w:after="0" w:line="1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See Item 7, Management’s Discussion and Analysis of Results of Operations and Financial Condition in our Annual Report on Form 10-K for the year ended December 31, 2021, for a discussion of our critical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122" w:lineRule="exact"/>
        <w:rPr>
          <w:sz w:val="20"/>
          <w:szCs w:val="20"/>
          <w:color w:val="auto"/>
        </w:rPr>
      </w:pPr>
    </w:p>
    <w:p>
      <w:pPr>
        <w:spacing w:after="0" w:line="234" w:lineRule="exact"/>
        <w:rPr>
          <w:sz w:val="20"/>
          <w:szCs w:val="20"/>
          <w:color w:val="auto"/>
        </w:rPr>
      </w:pPr>
      <w:r>
        <w:rPr>
          <w:rFonts w:ascii="Times New Roman" w:cs="Times New Roman" w:eastAsia="Times New Roman" w:hAnsi="Times New Roman"/>
          <w:sz w:val="19"/>
          <w:szCs w:val="19"/>
          <w:color w:val="auto"/>
        </w:rPr>
        <w:t>This Quarterly Report on Form 10-Q contains both historical and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including statements related to our future results and performance.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initiatives; changes in consumer behavior, as well as evolving technologies, distribution platforms and packaging; the impact on our advertising revenues as a result of changes in consumer viewership, advertising market conditions and deficiencies in audience measurement; our ability to maintain attractive brands and our reputation, and to offer popular programming and other content; increased costs for content and other rights; competition for talent, content, audiences, subscribers, advertising and distribution; the potential for loss of carriage or other reduction in or the impact of negotiations for the distribution of our content; losses due to asset impairment charges for goodwill, intangible assets, FCC licenses and programming; risks related to our ongoing investments in new businesses, products, services and technologies, through acquisitions and other strategic initiatives; evolving business continuity, cybersecurity, privacy and data protection and similar risks; content infringement; the impact of COVID-19 and other pandemics and measures taken in response thereto; domestic and global political, economic and regulatory factors affecting our businesses generally; liabilities related to discontinued operations and former businesses; the loss of existing or inability to hire new key employees or secure creative talent; strikes and other union activity; potential conflicts of interest arising from our ownership structure with a controlling stockholder; and other factors described in our news releases and filings with the Securities and Exchange Commission, including but not limited to our most recent Annual Report on Form 10-K and reports on Form 10-Q and Form 8-K. There may be additional risks, uncertainties and factors that we do not currently view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30" w:lineRule="exact"/>
        <w:rPr>
          <w:sz w:val="20"/>
          <w:szCs w:val="20"/>
          <w:color w:val="auto"/>
        </w:rPr>
      </w:pPr>
    </w:p>
    <w:p>
      <w:pPr>
        <w:jc w:val="both"/>
        <w:ind w:right="60"/>
        <w:spacing w:after="0" w:line="246" w:lineRule="exact"/>
        <w:rPr>
          <w:sz w:val="20"/>
          <w:szCs w:val="20"/>
          <w:color w:val="auto"/>
        </w:rPr>
      </w:pPr>
      <w:r>
        <w:rPr>
          <w:rFonts w:ascii="Times New Roman" w:cs="Times New Roman" w:eastAsia="Times New Roman" w:hAnsi="Times New Roman"/>
          <w:sz w:val="19"/>
          <w:szCs w:val="19"/>
          <w:color w:val="auto"/>
        </w:rPr>
        <w:t>material or that are not necessarily known. The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included in this Quarterly Report on Form 10-Q are made only as of the date of this report, and we do not undertake any obligation to publicly update any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to reflect subsequent events or circumstances.</w:t>
      </w:r>
    </w:p>
    <w:p>
      <w:pPr>
        <w:spacing w:after="0" w:line="234"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have been no significant changes to market risk since reported in our Annual Report on Form 10-K for the year ended December 31, 2021.</w:t>
      </w:r>
    </w:p>
    <w:p>
      <w:pPr>
        <w:spacing w:after="0" w:line="252"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9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Our chief executive officer and chief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spacing w:after="0" w:line="19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9"/>
          <w:szCs w:val="19"/>
          <w:color w:val="auto"/>
        </w:rPr>
        <w:t>No change in our internal control over financial reporting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587"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33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9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9"/>
          <w:szCs w:val="19"/>
          <w:color w:val="auto"/>
        </w:rPr>
        <w:t>The information set forth in Note 14 to the consolidated financial statements appearing in Item 1 of Part I of this Quarterly Report on Form 10-Q under the caption “Legal Matters” is incorporated by reference herein.</w:t>
      </w:r>
    </w:p>
    <w:p>
      <w:pPr>
        <w:spacing w:after="0" w:line="196"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51"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There have been no material changes to risk factors previously disclosed in Item 1A of our Annual Report on Form 10-K for the year ended December 31, 2021.</w:t>
      </w:r>
    </w:p>
    <w:p>
      <w:pPr>
        <w:spacing w:after="0" w:line="31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Purchases of Equity Securities</w:t>
      </w:r>
    </w:p>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During the third quarter of 2022, we did not purchase any shares under our publicly announced share repurchase program, which had remaining authorization of $2.36 billion at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60" w:right="419" w:bottom="1440" w:gutter="0" w:footer="0" w:header="0"/>
        </w:sectPr>
      </w:pPr>
    </w:p>
    <w:bookmarkStart w:id="66" w:name="page67"/>
    <w:bookmarkEnd w:id="66"/>
    <w:p>
      <w:pPr>
        <w:ind w:left="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80" w:lineRule="exact"/>
        <w:rPr>
          <w:sz w:val="20"/>
          <w:szCs w:val="20"/>
          <w:color w:val="auto"/>
        </w:rPr>
      </w:pPr>
    </w:p>
    <w:p>
      <w:pPr>
        <w:ind w:left="200"/>
        <w:spacing w:after="0"/>
        <w:tabs>
          <w:tab w:leader="none" w:pos="5220" w:val="left"/>
        </w:tabs>
        <w:rPr>
          <w:sz w:val="20"/>
          <w:szCs w:val="20"/>
          <w:color w:val="auto"/>
        </w:rPr>
      </w:pPr>
      <w:r>
        <w:rPr>
          <w:rFonts w:ascii="Times New Roman" w:cs="Times New Roman" w:eastAsia="Times New Roman" w:hAnsi="Times New Roman"/>
          <w:sz w:val="19"/>
          <w:szCs w:val="19"/>
          <w:b w:val="1"/>
          <w:bCs w:val="1"/>
          <w:color w:val="auto"/>
        </w:rPr>
        <w:t>Exhibit No.</w:t>
      </w:r>
      <w:r>
        <w:rPr>
          <w:sz w:val="20"/>
          <w:szCs w:val="20"/>
          <w:color w:val="auto"/>
        </w:rPr>
        <w:tab/>
      </w:r>
      <w:r>
        <w:rPr>
          <w:rFonts w:ascii="Times New Roman" w:cs="Times New Roman" w:eastAsia="Times New Roman" w:hAnsi="Times New Roman"/>
          <w:sz w:val="19"/>
          <w:szCs w:val="19"/>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19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pacing w:after="0" w:line="24" w:lineRule="exact"/>
        <w:rPr>
          <w:sz w:val="20"/>
          <w:szCs w:val="20"/>
          <w:color w:val="auto"/>
        </w:rPr>
      </w:pPr>
    </w:p>
    <w:p>
      <w:pPr>
        <w:ind w:left="1340" w:hanging="803"/>
        <w:spacing w:after="0"/>
        <w:tabs>
          <w:tab w:leader="none" w:pos="134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Rule 13a-14(a)/15d-14(a) Certifications</w:t>
      </w:r>
    </w:p>
    <w:p>
      <w:pPr>
        <w:spacing w:after="0" w:line="34" w:lineRule="exact"/>
        <w:rPr>
          <w:rFonts w:ascii="Times New Roman" w:cs="Times New Roman" w:eastAsia="Times New Roman" w:hAnsi="Times New Roman"/>
          <w:sz w:val="19"/>
          <w:szCs w:val="19"/>
          <w:b w:val="1"/>
          <w:bCs w:val="1"/>
          <w:color w:val="auto"/>
        </w:rPr>
      </w:pPr>
    </w:p>
    <w:p>
      <w:pPr>
        <w:ind w:left="1340" w:right="680" w:hanging="340"/>
        <w:spacing w:after="0" w:line="237" w:lineRule="auto"/>
        <w:tabs>
          <w:tab w:leader="none" w:pos="134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Chief Executive Officer of Paramount Global.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right="80" w:hanging="346"/>
        <w:spacing w:after="0" w:line="237" w:lineRule="auto"/>
        <w:tabs>
          <w:tab w:leader="none" w:pos="134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Chief Financial Officer of Paramount Global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hanging="803"/>
        <w:spacing w:after="0"/>
        <w:tabs>
          <w:tab w:leader="none" w:pos="134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1350 Certifications</w:t>
      </w:r>
    </w:p>
    <w:p>
      <w:pPr>
        <w:spacing w:after="0" w:line="30" w:lineRule="exact"/>
        <w:rPr>
          <w:rFonts w:ascii="Times New Roman" w:cs="Times New Roman" w:eastAsia="Times New Roman" w:hAnsi="Times New Roman"/>
          <w:sz w:val="19"/>
          <w:szCs w:val="19"/>
          <w:b w:val="1"/>
          <w:bCs w:val="1"/>
          <w:color w:val="auto"/>
        </w:rPr>
      </w:pPr>
    </w:p>
    <w:p>
      <w:pPr>
        <w:ind w:left="1340" w:right="360" w:hanging="340"/>
        <w:spacing w:after="0" w:line="237" w:lineRule="auto"/>
        <w:tabs>
          <w:tab w:leader="none" w:pos="134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Chief Executive Officer of Paramount Global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right="420" w:hanging="346"/>
        <w:spacing w:after="0" w:line="237" w:lineRule="auto"/>
        <w:tabs>
          <w:tab w:leader="none" w:pos="134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Chief Financial Officer of Paramount Global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340" w:hanging="899"/>
        <w:spacing w:after="0"/>
        <w:tabs>
          <w:tab w:leader="none" w:pos="134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Interactive Data File</w:t>
      </w:r>
    </w:p>
    <w:p>
      <w:pPr>
        <w:spacing w:after="0" w:line="31" w:lineRule="exact"/>
        <w:rPr>
          <w:sz w:val="20"/>
          <w:szCs w:val="20"/>
          <w:color w:val="auto"/>
        </w:rPr>
      </w:pPr>
    </w:p>
    <w:p>
      <w:pPr>
        <w:ind w:left="1340" w:firstLine="7"/>
        <w:spacing w:after="0" w:line="237" w:lineRule="auto"/>
        <w:tabs>
          <w:tab w:leader="none" w:pos="172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101. SCH Inline XBRL Taxonomy Extension Schema.</w:t>
      </w:r>
    </w:p>
    <w:p>
      <w:pPr>
        <w:spacing w:after="0" w:line="31" w:lineRule="exact"/>
        <w:rPr>
          <w:sz w:val="20"/>
          <w:szCs w:val="20"/>
          <w:color w:val="auto"/>
        </w:rPr>
      </w:pPr>
    </w:p>
    <w:p>
      <w:pPr>
        <w:ind w:left="1740" w:hanging="393"/>
        <w:spacing w:after="0"/>
        <w:tabs>
          <w:tab w:leader="none" w:pos="174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 Inline XBRL Taxonomy Extension Calculation Linkbase.</w:t>
      </w:r>
    </w:p>
    <w:p>
      <w:pPr>
        <w:spacing w:after="0" w:line="3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 Inline XBRL Taxonomy Extension Definition Linkbase.</w:t>
      </w:r>
    </w:p>
    <w:p>
      <w:pPr>
        <w:spacing w:after="0" w:line="3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 Inline XBRL Taxonomy Extension Label Linkbase.</w:t>
      </w:r>
    </w:p>
    <w:p>
      <w:pPr>
        <w:spacing w:after="0" w:line="3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 Inline XBRL Taxonomy Extension Presentation Linkbase.</w:t>
      </w:r>
    </w:p>
    <w:p>
      <w:pPr>
        <w:spacing w:after="0" w:line="78" w:lineRule="exact"/>
        <w:rPr>
          <w:rFonts w:ascii="Times New Roman" w:cs="Times New Roman" w:eastAsia="Times New Roman" w:hAnsi="Times New Roman"/>
          <w:sz w:val="19"/>
          <w:szCs w:val="19"/>
          <w:color w:val="auto"/>
        </w:rPr>
      </w:pPr>
    </w:p>
    <w:p>
      <w:pPr>
        <w:ind w:left="1340" w:hanging="899"/>
        <w:spacing w:after="0"/>
        <w:tabs>
          <w:tab w:leader="none" w:pos="134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Cover Page Interactive Data File </w:t>
      </w:r>
      <w:r>
        <w:rPr>
          <w:rFonts w:ascii="Times New Roman" w:cs="Times New Roman" w:eastAsia="Times New Roman" w:hAnsi="Times New Roman"/>
          <w:sz w:val="19"/>
          <w:szCs w:val="19"/>
          <w:color w:val="auto"/>
        </w:rPr>
        <w:t>(formatted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contract or compensatory plan required to be filed as an exhibit to this form pursuant to Item 15(b).</w:t>
      </w:r>
    </w:p>
    <w:p>
      <w:pPr>
        <w:sectPr>
          <w:pgSz w:w="11900" w:h="16838" w:orient="portrait"/>
          <w:cols w:equalWidth="0" w:num="1">
            <w:col w:w="11180"/>
          </w:cols>
          <w:pgMar w:left="320" w:top="119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type w:val="continuous"/>
        </w:sectPr>
      </w:pPr>
    </w:p>
    <w:bookmarkStart w:id="67" w:name="page68"/>
    <w:bookmarkEnd w:id="67"/>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1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b w:val="1"/>
          <w:bCs w:val="1"/>
          <w:color w:val="auto"/>
        </w:rPr>
        <w:t>PARAMOUNT GLOBAL</w:t>
      </w:r>
    </w:p>
    <w:p>
      <w:pPr>
        <w:ind w:left="5180"/>
        <w:spacing w:after="0"/>
        <w:rPr>
          <w:sz w:val="20"/>
          <w:szCs w:val="20"/>
          <w:color w:val="auto"/>
        </w:rPr>
      </w:pPr>
      <w:r>
        <w:rPr>
          <w:rFonts w:ascii="Times New Roman" w:cs="Times New Roman" w:eastAsia="Times New Roman" w:hAnsi="Times New Roman"/>
          <w:sz w:val="19"/>
          <w:szCs w:val="19"/>
          <w:color w:val="auto"/>
        </w:rPr>
        <w:t>(Registrant)</w:t>
      </w:r>
    </w:p>
    <w:p>
      <w:pPr>
        <w:spacing w:after="0" w:line="258"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November 2, 2022</w:t>
      </w:r>
      <w:r>
        <w:rPr>
          <w:sz w:val="20"/>
          <w:szCs w:val="20"/>
          <w:color w:val="auto"/>
        </w:rPr>
        <w:tab/>
      </w: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25400</wp:posOffset>
            </wp:positionV>
            <wp:extent cx="32810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Naveen Chopra</w:t>
      </w:r>
    </w:p>
    <w:p>
      <w:pPr>
        <w:ind w:left="5180"/>
        <w:spacing w:after="0" w:line="216" w:lineRule="auto"/>
        <w:rPr>
          <w:sz w:val="20"/>
          <w:szCs w:val="20"/>
          <w:color w:val="auto"/>
        </w:rPr>
      </w:pPr>
      <w:r>
        <w:rPr>
          <w:rFonts w:ascii="Times New Roman" w:cs="Times New Roman" w:eastAsia="Times New Roman" w:hAnsi="Times New Roman"/>
          <w:sz w:val="19"/>
          <w:szCs w:val="19"/>
          <w:i w:val="1"/>
          <w:iCs w:val="1"/>
          <w:color w:val="auto"/>
        </w:rPr>
        <w:t>Executive Vice President,</w:t>
      </w:r>
    </w:p>
    <w:p>
      <w:pPr>
        <w:ind w:left="5180"/>
        <w:spacing w:after="0"/>
        <w:rPr>
          <w:sz w:val="20"/>
          <w:szCs w:val="20"/>
          <w:color w:val="auto"/>
        </w:rPr>
      </w:pPr>
      <w:r>
        <w:rPr>
          <w:rFonts w:ascii="Times New Roman" w:cs="Times New Roman" w:eastAsia="Times New Roman" w:hAnsi="Times New Roman"/>
          <w:sz w:val="19"/>
          <w:szCs w:val="19"/>
          <w:i w:val="1"/>
          <w:iCs w:val="1"/>
          <w:color w:val="auto"/>
        </w:rPr>
        <w:t>Chief Financial Officer</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November 2, 2022</w:t>
      </w:r>
      <w:r>
        <w:rPr>
          <w:sz w:val="20"/>
          <w:szCs w:val="20"/>
          <w:color w:val="auto"/>
        </w:rPr>
        <w:tab/>
      </w: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25400</wp:posOffset>
            </wp:positionV>
            <wp:extent cx="32810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Katherine Gill-Charest</w:t>
      </w:r>
    </w:p>
    <w:p>
      <w:pPr>
        <w:ind w:left="5180"/>
        <w:spacing w:after="0" w:line="216" w:lineRule="auto"/>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ind w:left="5180"/>
        <w:spacing w:after="0"/>
        <w:rPr>
          <w:sz w:val="20"/>
          <w:szCs w:val="20"/>
          <w:color w:val="auto"/>
        </w:rPr>
      </w:pPr>
      <w:r>
        <w:rPr>
          <w:rFonts w:ascii="Times New Roman" w:cs="Times New Roman" w:eastAsia="Times New Roman" w:hAnsi="Times New Roman"/>
          <w:sz w:val="19"/>
          <w:szCs w:val="19"/>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980"/>
          </w:cols>
          <w:pgMar w:left="320" w:top="1440" w:right="5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Robert M. Bakish, certify that:</w:t>
      </w:r>
    </w:p>
    <w:p>
      <w:pPr>
        <w:spacing w:after="0" w:line="359" w:lineRule="exact"/>
        <w:rPr>
          <w:sz w:val="20"/>
          <w:szCs w:val="20"/>
          <w:color w:val="auto"/>
        </w:rPr>
      </w:pPr>
    </w:p>
    <w:p>
      <w:pPr>
        <w:ind w:left="400" w:hanging="395"/>
        <w:spacing w:after="0"/>
        <w:tabs>
          <w:tab w:leader="none" w:pos="4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Global;</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2, 2022</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Robert M. Bakish</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t>
      </w:r>
    </w:p>
    <w:p>
      <w:pPr>
        <w:sectPr>
          <w:pgSz w:w="11900" w:h="16838" w:orient="portrait"/>
          <w:cols w:equalWidth="0" w:num="1">
            <w:col w:w="11240"/>
          </w:cols>
          <w:pgMar w:left="320" w:top="35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Naveen Chopra, certify that:</w:t>
      </w:r>
    </w:p>
    <w:p>
      <w:pPr>
        <w:spacing w:after="0" w:line="359" w:lineRule="exact"/>
        <w:rPr>
          <w:sz w:val="20"/>
          <w:szCs w:val="20"/>
          <w:color w:val="auto"/>
        </w:rPr>
      </w:pPr>
    </w:p>
    <w:p>
      <w:pPr>
        <w:ind w:left="400" w:hanging="395"/>
        <w:spacing w:after="0"/>
        <w:tabs>
          <w:tab w:leader="none" w:pos="4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Global;</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2, 2022</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Naveen Chopra</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Executive Vice President, Chief Financial Officer</w:t>
      </w:r>
    </w:p>
    <w:p>
      <w:pPr>
        <w:sectPr>
          <w:pgSz w:w="11900" w:h="16838" w:orient="portrait"/>
          <w:cols w:equalWidth="0" w:num="1">
            <w:col w:w="11240"/>
          </w:cols>
          <w:pgMar w:left="320" w:top="35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jc w:val="both"/>
        <w:ind w:right="100"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Global (the “Company”) on Form 10-Q for the period ended September 30, 2022 as filed with the Securities and Exchange Commission (the “Report”), I, Robert M. Bakish, President and Chief Executive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Robert M. Bakish</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November 2, 2022</w:t>
      </w:r>
    </w:p>
    <w:p>
      <w:pPr>
        <w:sectPr>
          <w:pgSz w:w="11900" w:h="16838" w:orient="portrait"/>
          <w:cols w:equalWidth="0" w:num="1">
            <w:col w:w="11240"/>
          </w:cols>
          <w:pgMar w:left="320" w:top="5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100"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Global (the “Company”) on Form 10-Q for the period ended September 30, 2022 as filed with the Securities and Exchange Commission (the ”Report”), I, Naveen Chopra, Executive Vice President, Chief Financial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Naveen Chopra</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November 2, 2022</w:t>
      </w:r>
    </w:p>
    <w:sectPr>
      <w:pgSz w:w="11900" w:h="16838" w:orient="portrait"/>
      <w:cols w:equalWidth="0" w:num="1">
        <w:col w:w="11240"/>
      </w:cols>
      <w:pgMar w:left="320" w:top="5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decimal"/>
      <w:start w:val="1"/>
    </w:lvl>
    <w:lvl w:ilvl="1">
      <w:lvlJc w:val="left"/>
      <w:lvlText w:val="(%2)"/>
      <w:numFmt w:val="lowerLetter"/>
      <w:start w:val="1"/>
    </w:lvl>
  </w:abstractNum>
  <w:abstractNum w:abstractNumId="8">
    <w:nsid w:val="6763845E"/>
    <w:multiLevelType w:val="hybridMultilevel"/>
    <w:lvl w:ilvl="0">
      <w:lvlJc w:val="left"/>
      <w:lvlText w:val="%1)"/>
      <w:numFmt w:val="decimal"/>
      <w:start w:val="12"/>
    </w:lvl>
    <w:lvl w:ilvl="1">
      <w:lvlJc w:val="left"/>
      <w:lvlText w:val="%2"/>
      <w:numFmt w:val="lowerLetter"/>
      <w:start w:val="1"/>
    </w:lvl>
  </w:abstractNum>
  <w:abstractNum w:abstractNumId="9">
    <w:nsid w:val="75A2A8D4"/>
    <w:multiLevelType w:val="hybridMultilevel"/>
    <w:lvl w:ilvl="0">
      <w:lvlJc w:val="left"/>
      <w:lvlText w:val="%1"/>
      <w:numFmt w:val="decimal"/>
      <w:start w:val="1"/>
    </w:lvl>
    <w:lvl w:ilvl="1">
      <w:lvlJc w:val="left"/>
      <w:lvlText w:val="(%2)"/>
      <w:numFmt w:val="lowerLetter"/>
      <w:start w:val="1"/>
    </w:lvl>
  </w:abstractNum>
  <w:abstractNum w:abstractNumId="10">
    <w:nsid w:val="8EDBDAB"/>
    <w:multiLevelType w:val="hybridMultilevel"/>
    <w:lvl w:ilvl="0">
      <w:lvlJc w:val="left"/>
      <w:lvlText w:val="%1)"/>
      <w:numFmt w:val="decimal"/>
      <w:start w:val="14"/>
    </w:lvl>
    <w:lvl w:ilvl="1">
      <w:lvlJc w:val="left"/>
      <w:lvlText w:val="%2"/>
      <w:numFmt w:val="lowerLetter"/>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31"/>
    </w:lvl>
    <w:lvl w:ilvl="1">
      <w:lvlJc w:val="left"/>
      <w:lvlText w:val="(%2)"/>
      <w:numFmt w:val="lowerLetter"/>
      <w:start w:val="1"/>
    </w:lvl>
  </w:abstractNum>
  <w:abstractNum w:abstractNumId="27">
    <w:nsid w:val="4516DDE9"/>
    <w:multiLevelType w:val="hybridMultilevel"/>
    <w:lvl w:ilvl="0">
      <w:lvlJc w:val="left"/>
      <w:lvlText w:val="(%1)"/>
      <w:numFmt w:val="decimal"/>
      <w:start w:val="101"/>
    </w:lvl>
  </w:abstractNum>
  <w:abstractNum w:abstractNumId="28">
    <w:nsid w:val="3006C83E"/>
    <w:multiLevelType w:val="hybridMultilevel"/>
    <w:lvl w:ilvl="0">
      <w:lvlJc w:val="left"/>
      <w:lvlText w:val="%1."/>
      <w:numFmt w:val="decimal"/>
      <w:start w:val="101"/>
    </w:lvl>
  </w:abstractNum>
  <w:abstractNum w:abstractNumId="29">
    <w:nsid w:val="614FD4A1"/>
    <w:multiLevelType w:val="hybridMultilevel"/>
    <w:lvl w:ilvl="0">
      <w:lvlJc w:val="left"/>
      <w:lvlText w:val="%1"/>
      <w:numFmt w:val="decimal"/>
      <w:start w:val="1"/>
    </w:lvl>
    <w:lvl w:ilvl="1">
      <w:lvlJc w:val="left"/>
      <w:lvlText w:val="%2."/>
      <w:numFmt w:val="decimal"/>
      <w:start w:val="101"/>
    </w:lvl>
  </w:abstractNum>
  <w:abstractNum w:abstractNumId="30">
    <w:nsid w:val="419AC241"/>
    <w:multiLevelType w:val="hybridMultilevel"/>
    <w:lvl w:ilvl="0">
      <w:lvlJc w:val="left"/>
      <w:lvlText w:val="%1"/>
      <w:numFmt w:val="decimal"/>
      <w:start w:val="1"/>
    </w:lvl>
    <w:lvl w:ilvl="1">
      <w:lvlJc w:val="left"/>
      <w:lvlText w:val="%2."/>
      <w:numFmt w:val="decimal"/>
      <w:start w:val="101"/>
    </w:lvl>
  </w:abstractNum>
  <w:abstractNum w:abstractNumId="31">
    <w:nsid w:val="5577F8E1"/>
    <w:multiLevelType w:val="hybridMultilevel"/>
    <w:lvl w:ilvl="0">
      <w:lvlJc w:val="left"/>
      <w:lvlText w:val="%1"/>
      <w:numFmt w:val="decimal"/>
      <w:start w:val="1"/>
    </w:lvl>
    <w:lvl w:ilvl="1">
      <w:lvlJc w:val="left"/>
      <w:lvlText w:val="%2."/>
      <w:numFmt w:val="decimal"/>
      <w:start w:val="101"/>
    </w:lvl>
  </w:abstractNum>
  <w:abstractNum w:abstractNumId="32">
    <w:nsid w:val="440BADFC"/>
    <w:multiLevelType w:val="hybridMultilevel"/>
    <w:lvl w:ilvl="0">
      <w:lvlJc w:val="left"/>
      <w:lvlText w:val="%1"/>
      <w:numFmt w:val="decimal"/>
      <w:start w:val="1"/>
    </w:lvl>
    <w:lvl w:ilvl="1">
      <w:lvlJc w:val="left"/>
      <w:lvlText w:val="%2."/>
      <w:numFmt w:val="decimal"/>
      <w:start w:val="101"/>
    </w:lvl>
  </w:abstractNum>
  <w:abstractNum w:abstractNumId="33">
    <w:nsid w:val="5072367"/>
    <w:multiLevelType w:val="hybridMultilevel"/>
    <w:lvl w:ilvl="0">
      <w:lvlJc w:val="left"/>
      <w:lvlText w:val="(%1)"/>
      <w:numFmt w:val="decimal"/>
      <w:start w:val="104"/>
    </w:lvl>
    <w:lvl w:ilvl="1">
      <w:lvlJc w:val="left"/>
      <w:lvlText w:val="%2"/>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2022-11-02T09:09:16Z</dcterms:created>
  <dcterms:modified xsi:type="dcterms:W3CDTF">2022-11-02T09:09:16Z</dcterms:modified>
</cp:coreProperties>
</file>