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212090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254635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ind w:left="45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272415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SCHEDULE 14A</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Proxy Statement Pursuant to Section 14(a) of the</w:t>
      </w:r>
    </w:p>
    <w:p>
      <w:pPr>
        <w:jc w:val="center"/>
        <w:ind w:right="-1100"/>
        <w:spacing w:after="0" w:line="223" w:lineRule="auto"/>
        <w:rPr>
          <w:sz w:val="20"/>
          <w:szCs w:val="20"/>
          <w:color w:val="auto"/>
        </w:rPr>
      </w:pPr>
      <w:r>
        <w:rPr>
          <w:rFonts w:ascii="Arial" w:cs="Arial" w:eastAsia="Arial" w:hAnsi="Arial"/>
          <w:sz w:val="20"/>
          <w:szCs w:val="20"/>
          <w:b w:val="1"/>
          <w:bCs w:val="1"/>
          <w:color w:val="auto"/>
        </w:rPr>
        <w:t>Securities Exchange Act of 1934</w:t>
      </w:r>
    </w:p>
    <w:p>
      <w:pPr>
        <w:jc w:val="center"/>
        <w:ind w:right="-1100"/>
        <w:spacing w:after="0"/>
        <w:rPr>
          <w:sz w:val="20"/>
          <w:szCs w:val="20"/>
          <w:color w:val="auto"/>
        </w:rPr>
      </w:pPr>
      <w:r>
        <w:rPr>
          <w:rFonts w:ascii="Arial" w:cs="Arial" w:eastAsia="Arial" w:hAnsi="Arial"/>
          <w:sz w:val="20"/>
          <w:szCs w:val="20"/>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272415</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97"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70" w:lineRule="exact"/>
        <w:rPr>
          <w:sz w:val="24"/>
          <w:szCs w:val="24"/>
          <w:color w:val="auto"/>
        </w:rPr>
      </w:pPr>
    </w:p>
    <w:p>
      <w:pPr>
        <w:ind w:left="160"/>
        <w:spacing w:after="0"/>
        <w:rPr>
          <w:sz w:val="20"/>
          <w:szCs w:val="20"/>
          <w:color w:val="auto"/>
        </w:rPr>
      </w:pPr>
      <w:r>
        <w:rPr>
          <w:rFonts w:ascii="Arial" w:cs="Arial" w:eastAsia="Arial" w:hAnsi="Arial"/>
          <w:sz w:val="16"/>
          <w:szCs w:val="16"/>
          <w:color w:val="auto"/>
        </w:rPr>
        <w:t>Check the appropriate box:</w:t>
      </w:r>
    </w:p>
    <w:p>
      <w:pPr>
        <w:spacing w:after="0" w:line="338" w:lineRule="exact"/>
        <w:rPr>
          <w:sz w:val="24"/>
          <w:szCs w:val="24"/>
          <w:color w:val="auto"/>
        </w:rPr>
      </w:pPr>
    </w:p>
    <w:p>
      <w:pPr>
        <w:ind w:left="600" w:hanging="433"/>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350" w:lineRule="exact"/>
        <w:rPr>
          <w:rFonts w:ascii="MS PGothic" w:cs="MS PGothic" w:eastAsia="MS PGothic" w:hAnsi="MS PGothic"/>
          <w:sz w:val="16"/>
          <w:szCs w:val="16"/>
          <w:color w:val="auto"/>
        </w:rPr>
      </w:pPr>
    </w:p>
    <w:p>
      <w:pPr>
        <w:ind w:left="600" w:hanging="433"/>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351" w:lineRule="exact"/>
        <w:rPr>
          <w:sz w:val="24"/>
          <w:szCs w:val="24"/>
          <w:color w:val="auto"/>
        </w:rPr>
      </w:pPr>
    </w:p>
    <w:p>
      <w:pPr>
        <w:ind w:left="600" w:hanging="433"/>
        <w:spacing w:after="0"/>
        <w:tabs>
          <w:tab w:leader="none" w:pos="6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351" w:lineRule="exact"/>
        <w:rPr>
          <w:sz w:val="24"/>
          <w:szCs w:val="24"/>
          <w:color w:val="auto"/>
        </w:rPr>
      </w:pPr>
    </w:p>
    <w:p>
      <w:pPr>
        <w:ind w:left="600" w:hanging="433"/>
        <w:spacing w:after="0"/>
        <w:tabs>
          <w:tab w:leader="none" w:pos="6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350" w:lineRule="exact"/>
        <w:rPr>
          <w:rFonts w:ascii="MS PGothic" w:cs="MS PGothic" w:eastAsia="MS PGothic" w:hAnsi="MS PGothic"/>
          <w:sz w:val="16"/>
          <w:szCs w:val="16"/>
          <w:color w:val="auto"/>
        </w:rPr>
      </w:pPr>
    </w:p>
    <w:p>
      <w:pPr>
        <w:ind w:left="600" w:hanging="433"/>
        <w:spacing w:after="0"/>
        <w:tabs>
          <w:tab w:leader="none" w:pos="6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283"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Paramount Global</w:t>
      </w:r>
    </w:p>
    <w:p>
      <w:pPr>
        <w:spacing w:after="0" w:line="45" w:lineRule="exact"/>
        <w:rPr>
          <w:sz w:val="24"/>
          <w:szCs w:val="24"/>
          <w:color w:val="auto"/>
        </w:rPr>
      </w:pPr>
    </w:p>
    <w:p>
      <w:pPr>
        <w:ind w:left="382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81" w:lineRule="exact"/>
        <w:rPr>
          <w:sz w:val="24"/>
          <w:szCs w:val="24"/>
          <w:color w:val="auto"/>
        </w:rPr>
      </w:pPr>
    </w:p>
    <w:p>
      <w:pPr>
        <w:ind w:left="290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84" w:lineRule="exact"/>
        <w:rPr>
          <w:sz w:val="24"/>
          <w:szCs w:val="24"/>
          <w:color w:val="auto"/>
        </w:rPr>
      </w:pPr>
    </w:p>
    <w:p>
      <w:pPr>
        <w:ind w:left="160"/>
        <w:spacing w:after="0"/>
        <w:rPr>
          <w:sz w:val="20"/>
          <w:szCs w:val="20"/>
          <w:color w:val="auto"/>
        </w:rPr>
      </w:pPr>
      <w:r>
        <w:rPr>
          <w:rFonts w:ascii="Arial" w:cs="Arial" w:eastAsia="Arial" w:hAnsi="Arial"/>
          <w:sz w:val="16"/>
          <w:szCs w:val="16"/>
          <w:color w:val="auto"/>
        </w:rPr>
        <w:t>Payment of Filing Fee (Check all boxes that apply):</w:t>
      </w:r>
    </w:p>
    <w:p>
      <w:pPr>
        <w:spacing w:after="0" w:line="338" w:lineRule="exact"/>
        <w:rPr>
          <w:sz w:val="24"/>
          <w:szCs w:val="24"/>
          <w:color w:val="auto"/>
        </w:rPr>
      </w:pPr>
    </w:p>
    <w:p>
      <w:pPr>
        <w:ind w:left="600" w:hanging="433"/>
        <w:spacing w:after="0"/>
        <w:tabs>
          <w:tab w:leader="none" w:pos="60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351" w:lineRule="exact"/>
        <w:rPr>
          <w:sz w:val="24"/>
          <w:szCs w:val="24"/>
          <w:color w:val="auto"/>
        </w:rPr>
      </w:pPr>
    </w:p>
    <w:p>
      <w:pPr>
        <w:ind w:left="600" w:hanging="433"/>
        <w:spacing w:after="0"/>
        <w:tabs>
          <w:tab w:leader="none" w:pos="6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50" w:lineRule="exact"/>
        <w:rPr>
          <w:rFonts w:ascii="MS PGothic" w:cs="MS PGothic" w:eastAsia="MS PGothic" w:hAnsi="MS PGothic"/>
          <w:sz w:val="16"/>
          <w:szCs w:val="16"/>
          <w:color w:val="auto"/>
        </w:rPr>
      </w:pPr>
    </w:p>
    <w:p>
      <w:pPr>
        <w:ind w:left="600" w:hanging="433"/>
        <w:spacing w:after="0"/>
        <w:tabs>
          <w:tab w:leader="none" w:pos="6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240030</wp:posOffset>
            </wp:positionV>
            <wp:extent cx="692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282575</wp:posOffset>
            </wp:positionV>
            <wp:extent cx="6929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227" w:right="1440" w:bottom="1440" w:gutter="0" w:footer="0" w:header="0"/>
        </w:sectPr>
      </w:pPr>
    </w:p>
    <w:bookmarkStart w:id="1" w:name="page2"/>
    <w:bookmarkEnd w:id="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7094855" cy="9171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51D49"/>
        </w:rPr>
        <w:t>Message To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185420</wp:posOffset>
            </wp:positionV>
            <wp:extent cx="69297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160"/>
        <w:spacing w:after="0"/>
        <w:tabs>
          <w:tab w:leader="none" w:pos="10020" w:val="left"/>
        </w:tabs>
        <w:rPr>
          <w:sz w:val="20"/>
          <w:szCs w:val="20"/>
          <w:color w:val="auto"/>
        </w:rPr>
      </w:pPr>
      <w:r>
        <w:rPr>
          <w:rFonts w:ascii="Arial" w:cs="Arial" w:eastAsia="Arial" w:hAnsi="Arial"/>
          <w:sz w:val="25"/>
          <w:szCs w:val="25"/>
          <w:color w:val="051D49"/>
        </w:rPr>
        <w:t>Dear Stockholder:</w:t>
      </w:r>
      <w:r>
        <w:rPr>
          <w:sz w:val="20"/>
          <w:szCs w:val="20"/>
          <w:color w:val="auto"/>
        </w:rPr>
        <w:tab/>
      </w:r>
      <w:r>
        <w:rPr>
          <w:rFonts w:ascii="Arial" w:cs="Arial" w:eastAsia="Arial" w:hAnsi="Arial"/>
          <w:sz w:val="25"/>
          <w:szCs w:val="25"/>
          <w:color w:val="051D49"/>
          <w:vertAlign w:val="superscript"/>
        </w:rPr>
        <w:t>April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179705</wp:posOffset>
            </wp:positionV>
            <wp:extent cx="2352675" cy="55454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52675" cy="55454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33" w:lineRule="exact"/>
        <w:rPr>
          <w:sz w:val="20"/>
          <w:szCs w:val="20"/>
          <w:color w:val="auto"/>
        </w:rPr>
      </w:pPr>
    </w:p>
    <w:p>
      <w:pPr>
        <w:ind w:left="160" w:right="140"/>
        <w:spacing w:after="0" w:line="234" w:lineRule="auto"/>
        <w:rPr>
          <w:sz w:val="20"/>
          <w:szCs w:val="20"/>
          <w:color w:val="auto"/>
        </w:rPr>
      </w:pPr>
      <w:r>
        <w:rPr>
          <w:rFonts w:ascii="Arial" w:cs="Arial" w:eastAsia="Arial" w:hAnsi="Arial"/>
          <w:sz w:val="15"/>
          <w:szCs w:val="15"/>
          <w:color w:val="auto"/>
        </w:rPr>
        <w:t>You are cordially invited to attend the 2022 Annual Meeting of Stockholders (the “Annual Meeting”) of Paramount Global (“we,” “us,” “our,” “Paramount” or the “Company”), which is scheduled to be held by live webcast at 9:30 a.m., Eastern Daylight Time, on Wednesday, June 8, 2022. Holders of Paramount Class A Common Stock are being asked to vote on the matters listed in the attached Notice of 2022 Annual Meeting of Stockholders.</w:t>
      </w:r>
    </w:p>
    <w:p>
      <w:pPr>
        <w:spacing w:after="0" w:line="82" w:lineRule="exact"/>
        <w:rPr>
          <w:sz w:val="20"/>
          <w:szCs w:val="20"/>
          <w:color w:val="auto"/>
        </w:rPr>
      </w:pPr>
    </w:p>
    <w:p>
      <w:pPr>
        <w:ind w:left="160"/>
        <w:spacing w:after="0" w:line="236" w:lineRule="auto"/>
        <w:rPr>
          <w:sz w:val="20"/>
          <w:szCs w:val="20"/>
          <w:color w:val="auto"/>
        </w:rPr>
      </w:pPr>
      <w:r>
        <w:rPr>
          <w:rFonts w:ascii="Arial" w:cs="Arial" w:eastAsia="Arial" w:hAnsi="Arial"/>
          <w:sz w:val="15"/>
          <w:szCs w:val="15"/>
          <w:color w:val="auto"/>
        </w:rPr>
        <w:t>The Annual Meeting webcast may be attended by company stockholders and others by visiting the following website at the designated time: www.virtualshareholdermeeting.com/PARA2022. Access to the website will begin at 9:15 a.m., Eastern Daylight Time, on June 8</w:t>
      </w:r>
      <w:r>
        <w:rPr>
          <w:rFonts w:ascii="Arial" w:cs="Arial" w:eastAsia="Arial" w:hAnsi="Arial"/>
          <w:sz w:val="12"/>
          <w:szCs w:val="12"/>
          <w:color w:val="auto"/>
        </w:rPr>
        <w:t>th</w:t>
      </w:r>
      <w:r>
        <w:rPr>
          <w:rFonts w:ascii="Arial" w:cs="Arial" w:eastAsia="Arial" w:hAnsi="Arial"/>
          <w:sz w:val="15"/>
          <w:szCs w:val="15"/>
          <w:color w:val="auto"/>
        </w:rPr>
        <w:t>, and we encourage stockholders and other attendees to access the Annual Meeting website prior to the meeting start time.</w:t>
      </w:r>
    </w:p>
    <w:p>
      <w:pPr>
        <w:spacing w:after="0" w:line="84" w:lineRule="exact"/>
        <w:rPr>
          <w:sz w:val="20"/>
          <w:szCs w:val="20"/>
          <w:color w:val="auto"/>
        </w:rPr>
      </w:pPr>
    </w:p>
    <w:p>
      <w:pPr>
        <w:ind w:left="160" w:right="20"/>
        <w:spacing w:after="0" w:line="234" w:lineRule="auto"/>
        <w:rPr>
          <w:sz w:val="20"/>
          <w:szCs w:val="20"/>
          <w:color w:val="auto"/>
        </w:rPr>
      </w:pPr>
      <w:r>
        <w:rPr>
          <w:rFonts w:ascii="Arial" w:cs="Arial" w:eastAsia="Arial" w:hAnsi="Arial"/>
          <w:sz w:val="15"/>
          <w:szCs w:val="15"/>
          <w:color w:val="auto"/>
        </w:rPr>
        <w:t>To be admitted to the Annual Meeting webcast at the website provided above, holders of Paramount Class A Common Stock and Paramount Class B Common Stock should enter the 16-digit control number found on their Notice of Internet Availability of Proxy Materials, proxy card or voting instruction card, as applicable. Any others may attend the meeting as a guest by following the instructions provided on the Annual Meeting website.</w:t>
      </w:r>
    </w:p>
    <w:p>
      <w:pPr>
        <w:spacing w:after="0" w:line="82" w:lineRule="exact"/>
        <w:rPr>
          <w:sz w:val="20"/>
          <w:szCs w:val="20"/>
          <w:color w:val="auto"/>
        </w:rPr>
      </w:pPr>
    </w:p>
    <w:p>
      <w:pPr>
        <w:ind w:left="160" w:right="40"/>
        <w:spacing w:after="0" w:line="232" w:lineRule="auto"/>
        <w:rPr>
          <w:sz w:val="20"/>
          <w:szCs w:val="20"/>
          <w:color w:val="auto"/>
        </w:rPr>
      </w:pPr>
      <w:r>
        <w:rPr>
          <w:rFonts w:ascii="Arial" w:cs="Arial" w:eastAsia="Arial" w:hAnsi="Arial"/>
          <w:sz w:val="15"/>
          <w:szCs w:val="15"/>
          <w:color w:val="auto"/>
        </w:rPr>
        <w:t>As always, we encourage holders of Class A Common Stock to submit their proxy and vote their shares prior to the Annual Meeting. Class A stockholders may vote in advance of the meeting by telephone or through the Internet by following the instructions on the Notice of Internet Availability of Proxy Materials or in the 2022 Proxy Statement, or by returning a proxy card or voting instruction card if they received a printed copy of the proxy materials. Holders of Class A Common Stock may also vote during the Annual Meeting by following the instructions on the Annual Meeting website once they enter the meeting.</w:t>
      </w:r>
    </w:p>
    <w:p>
      <w:pPr>
        <w:spacing w:after="0" w:line="83" w:lineRule="exact"/>
        <w:rPr>
          <w:sz w:val="20"/>
          <w:szCs w:val="20"/>
          <w:color w:val="auto"/>
        </w:rPr>
      </w:pPr>
    </w:p>
    <w:p>
      <w:pPr>
        <w:ind w:left="160"/>
        <w:spacing w:after="0" w:line="232" w:lineRule="auto"/>
        <w:rPr>
          <w:sz w:val="20"/>
          <w:szCs w:val="20"/>
          <w:color w:val="auto"/>
        </w:rPr>
      </w:pPr>
      <w:r>
        <w:rPr>
          <w:rFonts w:ascii="Arial" w:cs="Arial" w:eastAsia="Arial" w:hAnsi="Arial"/>
          <w:sz w:val="15"/>
          <w:szCs w:val="15"/>
          <w:color w:val="auto"/>
        </w:rPr>
        <w:t>Holders of Class A Common Stock and Class B Common Stock may submit questions in advance of the meeting, from 9:00 a.m., Eastern Daylight Time, on May 30, 2022 until 5:00 p.m., Eastern Daylight Time, on June 3, 2022, by visiting www.proxyvote.com, entering their 16-digit control number and following the instructions. Holders of Class A Common Stock and Class B Common Stock may also submit questions during the meeting and will find instructions for doing so on the Annual Meeting website once they enter the meeting.</w:t>
      </w:r>
    </w:p>
    <w:p>
      <w:pPr>
        <w:spacing w:after="0" w:line="83" w:lineRule="exact"/>
        <w:rPr>
          <w:sz w:val="20"/>
          <w:szCs w:val="20"/>
          <w:color w:val="auto"/>
        </w:rPr>
      </w:pPr>
    </w:p>
    <w:p>
      <w:pPr>
        <w:ind w:left="160" w:right="120"/>
        <w:spacing w:after="0" w:line="234" w:lineRule="auto"/>
        <w:rPr>
          <w:sz w:val="20"/>
          <w:szCs w:val="20"/>
          <w:color w:val="auto"/>
        </w:rPr>
      </w:pPr>
      <w:r>
        <w:rPr>
          <w:rFonts w:ascii="Arial" w:cs="Arial" w:eastAsia="Arial" w:hAnsi="Arial"/>
          <w:sz w:val="15"/>
          <w:szCs w:val="15"/>
          <w:color w:val="auto"/>
        </w:rPr>
        <w:t>National Amusements, Inc., which as of April 11, 2022, beneficially owned shares of our Class A Common Stock representing approximately 77.4% of the voting power of Paramount’s common stock, has advised us that it intends to vote all of its shares of our Class A Common Stock in accordance with the recommendations of the Board of Directors on Items 1, 2 and 3 in the attached Notice. Therefore, the determination of Items 1, 2 and 3 in accordance with the Board’s recommendations is assured.</w:t>
      </w:r>
    </w:p>
    <w:p>
      <w:pPr>
        <w:spacing w:after="0" w:line="82" w:lineRule="exact"/>
        <w:rPr>
          <w:sz w:val="20"/>
          <w:szCs w:val="20"/>
          <w:color w:val="auto"/>
        </w:rPr>
      </w:pPr>
    </w:p>
    <w:p>
      <w:pPr>
        <w:ind w:left="160"/>
        <w:spacing w:after="0" w:line="234" w:lineRule="auto"/>
        <w:rPr>
          <w:sz w:val="20"/>
          <w:szCs w:val="20"/>
          <w:color w:val="auto"/>
        </w:rPr>
      </w:pPr>
      <w:r>
        <w:rPr>
          <w:rFonts w:ascii="Arial" w:cs="Arial" w:eastAsia="Arial" w:hAnsi="Arial"/>
          <w:sz w:val="15"/>
          <w:szCs w:val="15"/>
          <w:color w:val="auto"/>
        </w:rPr>
        <w:t>If you have elected to receive printed copies of our proxy statements, annual reports and other materials relating to the Annual Meeting and want to elect to receive these documents electronically next year instead of by mail, please go to http://enroll.icsdelivery.com/para and follow the instructions to enroll. We highly recommend that you consider electronic delivery of these documents as it helps to lower our costs and reduce the amount of paper mailed to your home.</w:t>
      </w:r>
    </w:p>
    <w:p>
      <w:pPr>
        <w:spacing w:after="0" w:line="82" w:lineRule="exact"/>
        <w:rPr>
          <w:sz w:val="20"/>
          <w:szCs w:val="20"/>
          <w:color w:val="auto"/>
        </w:rPr>
      </w:pPr>
    </w:p>
    <w:p>
      <w:pPr>
        <w:ind w:left="160" w:right="220"/>
        <w:spacing w:after="0" w:line="260" w:lineRule="auto"/>
        <w:rPr>
          <w:sz w:val="20"/>
          <w:szCs w:val="20"/>
          <w:color w:val="auto"/>
        </w:rPr>
      </w:pPr>
      <w:r>
        <w:rPr>
          <w:rFonts w:ascii="Arial" w:cs="Arial" w:eastAsia="Arial" w:hAnsi="Arial"/>
          <w:sz w:val="15"/>
          <w:szCs w:val="15"/>
          <w:color w:val="auto"/>
        </w:rPr>
        <w:t>We appreciate your interest in and support of Paramount and look forward to your participation at the Annual Meeting.</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156210</wp:posOffset>
            </wp:positionV>
            <wp:extent cx="832485" cy="3314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32485" cy="331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051D49"/>
        </w:rPr>
        <w:t>Key Strategic and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051D49"/>
        </w:rPr>
        <w:t>Financial Highlights:</w:t>
      </w:r>
    </w:p>
    <w:p>
      <w:pPr>
        <w:spacing w:after="0" w:line="97" w:lineRule="exact"/>
        <w:rPr>
          <w:sz w:val="20"/>
          <w:szCs w:val="20"/>
          <w:color w:val="auto"/>
        </w:rPr>
      </w:pPr>
    </w:p>
    <w:p>
      <w:pPr>
        <w:ind w:left="160" w:right="140" w:hanging="157"/>
        <w:spacing w:after="0" w:line="236" w:lineRule="auto"/>
        <w:tabs>
          <w:tab w:leader="none" w:pos="159" w:val="left"/>
        </w:tabs>
        <w:numPr>
          <w:ilvl w:val="0"/>
          <w:numId w:val="6"/>
        </w:numPr>
        <w:rPr>
          <w:rFonts w:ascii="Arial" w:cs="Arial" w:eastAsia="Arial" w:hAnsi="Arial"/>
          <w:sz w:val="15"/>
          <w:szCs w:val="15"/>
          <w:color w:val="auto"/>
        </w:rPr>
      </w:pPr>
      <w:r>
        <w:rPr>
          <w:rFonts w:ascii="Arial" w:cs="Arial" w:eastAsia="Arial" w:hAnsi="Arial"/>
          <w:sz w:val="15"/>
          <w:szCs w:val="15"/>
          <w:color w:val="auto"/>
        </w:rPr>
        <w:t>Launched Paramount+ in March 2021, a global streaming service for our leading portfolio of brands, including originals, live sports, news, and over 30,000 episodes and movies;</w:t>
      </w:r>
    </w:p>
    <w:p>
      <w:pPr>
        <w:spacing w:after="0" w:line="83" w:lineRule="exact"/>
        <w:rPr>
          <w:rFonts w:ascii="Arial" w:cs="Arial" w:eastAsia="Arial" w:hAnsi="Arial"/>
          <w:sz w:val="15"/>
          <w:szCs w:val="15"/>
          <w:color w:val="auto"/>
        </w:rPr>
      </w:pPr>
    </w:p>
    <w:p>
      <w:pPr>
        <w:ind w:left="160" w:right="120" w:hanging="157"/>
        <w:spacing w:after="0" w:line="236" w:lineRule="auto"/>
        <w:tabs>
          <w:tab w:leader="none" w:pos="159" w:val="left"/>
        </w:tabs>
        <w:numPr>
          <w:ilvl w:val="0"/>
          <w:numId w:val="6"/>
        </w:numPr>
        <w:rPr>
          <w:rFonts w:ascii="Arial" w:cs="Arial" w:eastAsia="Arial" w:hAnsi="Arial"/>
          <w:sz w:val="15"/>
          <w:szCs w:val="15"/>
          <w:color w:val="auto"/>
        </w:rPr>
      </w:pPr>
      <w:r>
        <w:rPr>
          <w:rFonts w:ascii="Arial" w:cs="Arial" w:eastAsia="Arial" w:hAnsi="Arial"/>
          <w:sz w:val="15"/>
          <w:szCs w:val="15"/>
          <w:color w:val="auto"/>
        </w:rPr>
        <w:t>Finalized key platform and distribution deals with TMobile, Roku, Twitter, Comcast, Charter, Altice and Cox, among others, using a unified approach across our portfolio; and</w:t>
      </w:r>
    </w:p>
    <w:p>
      <w:pPr>
        <w:spacing w:after="0" w:line="83" w:lineRule="exact"/>
        <w:rPr>
          <w:rFonts w:ascii="Arial" w:cs="Arial" w:eastAsia="Arial" w:hAnsi="Arial"/>
          <w:sz w:val="15"/>
          <w:szCs w:val="15"/>
          <w:color w:val="auto"/>
        </w:rPr>
      </w:pPr>
    </w:p>
    <w:p>
      <w:pPr>
        <w:ind w:left="160" w:right="160" w:hanging="157"/>
        <w:spacing w:after="0" w:line="236" w:lineRule="auto"/>
        <w:tabs>
          <w:tab w:leader="none" w:pos="159" w:val="left"/>
        </w:tabs>
        <w:numPr>
          <w:ilvl w:val="0"/>
          <w:numId w:val="6"/>
        </w:numPr>
        <w:rPr>
          <w:rFonts w:ascii="Arial" w:cs="Arial" w:eastAsia="Arial" w:hAnsi="Arial"/>
          <w:sz w:val="15"/>
          <w:szCs w:val="15"/>
          <w:color w:val="auto"/>
        </w:rPr>
      </w:pPr>
      <w:r>
        <w:rPr>
          <w:rFonts w:ascii="Arial" w:cs="Arial" w:eastAsia="Arial" w:hAnsi="Arial"/>
          <w:sz w:val="15"/>
          <w:szCs w:val="15"/>
          <w:color w:val="auto"/>
        </w:rPr>
        <w:t>Expanded the global reach of Paramount+, Pluto TV and our other streaming services, including in Europe and Latin America, positioning Pluto TV to generate over $1 billion in revenue in 2021</w:t>
      </w:r>
    </w:p>
    <w:p>
      <w:pPr>
        <w:spacing w:after="0" w:line="2930" w:lineRule="exact"/>
        <w:rPr>
          <w:sz w:val="20"/>
          <w:szCs w:val="20"/>
          <w:color w:val="auto"/>
        </w:rPr>
      </w:pPr>
    </w:p>
    <w:p>
      <w:pPr>
        <w:sectPr>
          <w:pgSz w:w="11900" w:h="16838" w:orient="portrait"/>
          <w:cols w:equalWidth="0" w:num="2">
            <w:col w:w="7140" w:space="340"/>
            <w:col w:w="3600"/>
          </w:cols>
          <w:pgMar w:left="320" w:top="45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Robert M. Bakish</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96520</wp:posOffset>
            </wp:positionV>
            <wp:extent cx="6921500" cy="883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1500" cy="88328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jc w:val="right"/>
        <w:ind w:right="1440"/>
        <w:spacing w:after="0"/>
        <w:rPr>
          <w:sz w:val="20"/>
          <w:szCs w:val="20"/>
          <w:color w:val="auto"/>
        </w:rPr>
      </w:pPr>
      <w:r>
        <w:rPr>
          <w:rFonts w:ascii="Arial" w:cs="Arial" w:eastAsia="Arial" w:hAnsi="Arial"/>
          <w:sz w:val="36"/>
          <w:szCs w:val="36"/>
          <w:b w:val="1"/>
          <w:bCs w:val="1"/>
          <w:color w:val="051D49"/>
        </w:rPr>
        <w:t>Notice of 2022 Annual Meeting of Stockholders</w:t>
      </w:r>
    </w:p>
    <w:p>
      <w:pPr>
        <w:sectPr>
          <w:pgSz w:w="11900" w:h="16838" w:orient="portrait"/>
          <w:cols w:equalWidth="0" w:num="1">
            <w:col w:w="11040"/>
          </w:cols>
          <w:pgMar w:left="320" w:top="454" w:right="5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Paramount Global Stockholders:</w:t>
      </w:r>
    </w:p>
    <w:p>
      <w:pPr>
        <w:spacing w:after="0" w:line="234"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The 2022 Annual Meeting of Stockholders (the “Annual Meeting”) of Paramount Global (“we,” “us,” “our,” “Paramount” or the “Company”) will be held by live webcast at the date, time and website noted below. The close of business on April 11, 2022 has been fixed as the record date for determining the holders of shares of Paramount Class A Common Stock entitled to notice of and to vote at the Annual Meeting and any adjournment or postponement thereof.</w:t>
      </w:r>
    </w:p>
    <w:p>
      <w:pPr>
        <w:spacing w:after="0" w:line="87" w:lineRule="exact"/>
        <w:rPr>
          <w:sz w:val="20"/>
          <w:szCs w:val="20"/>
          <w:color w:val="auto"/>
        </w:rPr>
      </w:pPr>
    </w:p>
    <w:p>
      <w:pPr>
        <w:ind w:left="160" w:right="280"/>
        <w:spacing w:after="0" w:line="265" w:lineRule="auto"/>
        <w:rPr>
          <w:sz w:val="20"/>
          <w:szCs w:val="20"/>
          <w:color w:val="auto"/>
        </w:rPr>
      </w:pPr>
      <w:r>
        <w:rPr>
          <w:rFonts w:ascii="Arial" w:cs="Arial" w:eastAsia="Arial" w:hAnsi="Arial"/>
          <w:sz w:val="18"/>
          <w:szCs w:val="18"/>
          <w:color w:val="auto"/>
        </w:rPr>
        <w:t>The principal business of the Annual Meeting will be the consideration of the following matters:</w:t>
      </w:r>
    </w:p>
    <w:p>
      <w:pPr>
        <w:spacing w:after="0" w:line="64" w:lineRule="exact"/>
        <w:rPr>
          <w:sz w:val="20"/>
          <w:szCs w:val="20"/>
          <w:color w:val="auto"/>
        </w:rPr>
      </w:pPr>
    </w:p>
    <w:p>
      <w:pPr>
        <w:ind w:left="520" w:hanging="353"/>
        <w:spacing w:after="0"/>
        <w:tabs>
          <w:tab w:leader="none" w:pos="520" w:val="left"/>
        </w:tabs>
        <w:numPr>
          <w:ilvl w:val="0"/>
          <w:numId w:val="7"/>
        </w:numPr>
        <w:rPr>
          <w:rFonts w:ascii="Arial" w:cs="Arial" w:eastAsia="Arial" w:hAnsi="Arial"/>
          <w:sz w:val="18"/>
          <w:szCs w:val="18"/>
          <w:b w:val="1"/>
          <w:bCs w:val="1"/>
          <w:color w:val="051D49"/>
        </w:rPr>
      </w:pPr>
      <w:r>
        <w:rPr>
          <w:rFonts w:ascii="Arial" w:cs="Arial" w:eastAsia="Arial" w:hAnsi="Arial"/>
          <w:sz w:val="18"/>
          <w:szCs w:val="18"/>
          <w:color w:val="auto"/>
        </w:rPr>
        <w:t>The election of 12 directors;</w:t>
      </w:r>
    </w:p>
    <w:p>
      <w:pPr>
        <w:spacing w:after="0" w:line="114" w:lineRule="exact"/>
        <w:rPr>
          <w:sz w:val="20"/>
          <w:szCs w:val="20"/>
          <w:color w:val="auto"/>
        </w:rPr>
      </w:pPr>
    </w:p>
    <w:p>
      <w:pPr>
        <w:ind w:left="520" w:right="140" w:hanging="353"/>
        <w:spacing w:after="0" w:line="265" w:lineRule="auto"/>
        <w:tabs>
          <w:tab w:leader="none" w:pos="509" w:val="left"/>
        </w:tabs>
        <w:numPr>
          <w:ilvl w:val="0"/>
          <w:numId w:val="8"/>
        </w:numPr>
        <w:rPr>
          <w:rFonts w:ascii="Arial" w:cs="Arial" w:eastAsia="Arial" w:hAnsi="Arial"/>
          <w:sz w:val="18"/>
          <w:szCs w:val="18"/>
          <w:b w:val="1"/>
          <w:bCs w:val="1"/>
          <w:color w:val="051D49"/>
        </w:rPr>
      </w:pPr>
      <w:r>
        <w:rPr>
          <w:rFonts w:ascii="Arial" w:cs="Arial" w:eastAsia="Arial" w:hAnsi="Arial"/>
          <w:sz w:val="18"/>
          <w:szCs w:val="18"/>
          <w:color w:val="auto"/>
        </w:rPr>
        <w:t>The ratification of the appointment of PricewaterhouseCoopers LLP to serve as our independent registered public accounting firm for fiscal year 2022;</w:t>
      </w:r>
    </w:p>
    <w:p>
      <w:pPr>
        <w:spacing w:after="0" w:line="64" w:lineRule="exact"/>
        <w:rPr>
          <w:sz w:val="20"/>
          <w:szCs w:val="20"/>
          <w:color w:val="auto"/>
        </w:rPr>
      </w:pPr>
    </w:p>
    <w:p>
      <w:pPr>
        <w:ind w:left="520" w:right="60" w:hanging="353"/>
        <w:spacing w:after="0" w:line="249" w:lineRule="auto"/>
        <w:tabs>
          <w:tab w:leader="none" w:pos="502" w:val="left"/>
        </w:tabs>
        <w:numPr>
          <w:ilvl w:val="0"/>
          <w:numId w:val="9"/>
        </w:numPr>
        <w:rPr>
          <w:rFonts w:ascii="Arial" w:cs="Arial" w:eastAsia="Arial" w:hAnsi="Arial"/>
          <w:sz w:val="18"/>
          <w:szCs w:val="18"/>
          <w:b w:val="1"/>
          <w:bCs w:val="1"/>
          <w:color w:val="051D49"/>
        </w:rPr>
      </w:pPr>
      <w:r>
        <w:rPr>
          <w:rFonts w:ascii="Arial" w:cs="Arial" w:eastAsia="Arial" w:hAnsi="Arial"/>
          <w:sz w:val="18"/>
          <w:szCs w:val="18"/>
          <w:color w:val="auto"/>
        </w:rPr>
        <w:t>A stockholder proposal requesting that our Board of Directors take steps to reduce the threshold at which Company stockholders may call a special meeting, if properly presented at the Annual Meeting; and</w:t>
      </w:r>
    </w:p>
    <w:p>
      <w:pPr>
        <w:spacing w:after="0" w:line="78" w:lineRule="exact"/>
        <w:rPr>
          <w:sz w:val="20"/>
          <w:szCs w:val="20"/>
          <w:color w:val="auto"/>
        </w:rPr>
      </w:pPr>
    </w:p>
    <w:p>
      <w:pPr>
        <w:ind w:left="520" w:right="580" w:hanging="353"/>
        <w:spacing w:after="0" w:line="265" w:lineRule="auto"/>
        <w:tabs>
          <w:tab w:leader="none" w:pos="512" w:val="left"/>
        </w:tabs>
        <w:numPr>
          <w:ilvl w:val="0"/>
          <w:numId w:val="10"/>
        </w:numPr>
        <w:rPr>
          <w:rFonts w:ascii="Arial" w:cs="Arial" w:eastAsia="Arial" w:hAnsi="Arial"/>
          <w:sz w:val="18"/>
          <w:szCs w:val="18"/>
          <w:b w:val="1"/>
          <w:bCs w:val="1"/>
          <w:color w:val="051D49"/>
        </w:rPr>
      </w:pPr>
      <w:r>
        <w:rPr>
          <w:rFonts w:ascii="Arial" w:cs="Arial" w:eastAsia="Arial" w:hAnsi="Arial"/>
          <w:sz w:val="18"/>
          <w:szCs w:val="18"/>
          <w:color w:val="auto"/>
        </w:rPr>
        <w:t>Such other business as may properly come before the Annual Meeting or any adjournment or postponement thereof.</w:t>
      </w:r>
    </w:p>
    <w:p>
      <w:pPr>
        <w:spacing w:after="0" w:line="64"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For a period of at least 10 days prior to the Annual Meeting, a complete list of stockholders entitled to vote at the Annual Meeting will be open to the examination of any stockholder during ordinary business hours by calling Investor Relations at</w:t>
      </w:r>
    </w:p>
    <w:p>
      <w:pPr>
        <w:spacing w:after="0" w:line="1" w:lineRule="exact"/>
        <w:rPr>
          <w:sz w:val="20"/>
          <w:szCs w:val="20"/>
          <w:color w:val="auto"/>
        </w:rPr>
      </w:pPr>
    </w:p>
    <w:p>
      <w:pPr>
        <w:ind w:left="160" w:right="40"/>
        <w:spacing w:after="0" w:line="259" w:lineRule="auto"/>
        <w:rPr>
          <w:sz w:val="20"/>
          <w:szCs w:val="20"/>
          <w:color w:val="auto"/>
        </w:rPr>
      </w:pPr>
      <w:r>
        <w:rPr>
          <w:rFonts w:ascii="Arial" w:cs="Arial" w:eastAsia="Arial" w:hAnsi="Arial"/>
          <w:sz w:val="17"/>
          <w:szCs w:val="17"/>
          <w:color w:val="auto"/>
        </w:rPr>
        <w:t>1-877-227-0787. In addition, a complete list of stockholders entitled to vote at the Annual Meeting will be open to the examination of any stockholder during the meeting by following the instructions on the Annual Meeting website once they enter the meeting.</w:t>
      </w:r>
    </w:p>
    <w:p>
      <w:pPr>
        <w:spacing w:after="0" w:line="3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1562735" cy="237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2735" cy="23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Christa A. D’Alimonte</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Executive Vice President, General Counsel and Secretary</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April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2148205</wp:posOffset>
            </wp:positionV>
            <wp:extent cx="6929755" cy="2374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051D49"/>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-445770</wp:posOffset>
            </wp:positionV>
            <wp:extent cx="2242185" cy="6853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42185" cy="68535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051D49"/>
        </w:rPr>
        <w:t>Date and time: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Wednesday, June 8, 2022</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at 9:30 a.m. EDT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051D49"/>
        </w:rPr>
        <w:t>Website: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www.virtualshareholdermeeting.com/PARA2022</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051D49"/>
        </w:rPr>
        <w:t>Record date: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April 11, 2022</w:t>
      </w:r>
    </w:p>
    <w:p>
      <w:pPr>
        <w:spacing w:after="0" w:line="5016" w:lineRule="exact"/>
        <w:rPr>
          <w:sz w:val="20"/>
          <w:szCs w:val="20"/>
          <w:color w:val="auto"/>
        </w:rPr>
      </w:pPr>
    </w:p>
    <w:p>
      <w:pPr>
        <w:sectPr>
          <w:pgSz w:w="11900" w:h="16838" w:orient="portrait"/>
          <w:cols w:equalWidth="0" w:num="2">
            <w:col w:w="7200" w:space="440"/>
            <w:col w:w="3400"/>
          </w:cols>
          <w:pgMar w:left="320" w:top="454"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40"/>
        <w:spacing w:after="0"/>
        <w:rPr>
          <w:sz w:val="20"/>
          <w:szCs w:val="20"/>
          <w:color w:val="auto"/>
        </w:rPr>
      </w:pPr>
      <w:r>
        <w:rPr>
          <w:rFonts w:ascii="Arial" w:cs="Arial" w:eastAsia="Arial" w:hAnsi="Arial"/>
          <w:sz w:val="14"/>
          <w:szCs w:val="14"/>
          <w:color w:val="FFFFFF"/>
        </w:rPr>
        <w:t>PARAMOUNT GLOBAL</w:t>
      </w:r>
    </w:p>
    <w:p>
      <w:pPr>
        <w:sectPr>
          <w:pgSz w:w="11900" w:h="16838" w:orient="portrait"/>
          <w:cols w:equalWidth="0" w:num="1">
            <w:col w:w="11040"/>
          </w:cols>
          <w:pgMar w:left="320" w:top="454" w:right="53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jc w:val="center"/>
        <w:ind w:right="-239"/>
        <w:spacing w:after="0"/>
        <w:rPr>
          <w:sz w:val="20"/>
          <w:szCs w:val="20"/>
          <w:color w:val="auto"/>
        </w:rPr>
      </w:pPr>
      <w:r>
        <w:rPr>
          <w:rFonts w:ascii="Arial" w:cs="Arial" w:eastAsia="Arial" w:hAnsi="Arial"/>
          <w:sz w:val="35"/>
          <w:szCs w:val="35"/>
          <w:b w:val="1"/>
          <w:bCs w:val="1"/>
          <w:color w:val="051D49"/>
        </w:rPr>
        <w:t>Table of Contents</w:t>
      </w:r>
    </w:p>
    <w:p>
      <w:pPr>
        <w:sectPr>
          <w:pgSz w:w="11900" w:h="16838" w:orient="portrait"/>
          <w:cols w:equalWidth="0" w:num="1">
            <w:col w:w="11020"/>
          </w:cols>
          <w:pgMar w:left="320" w:top="454" w:right="55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PROXY STATEMENT HIGHLIGHTS</w:t>
        </w:r>
      </w:hyperlink>
    </w:p>
    <w:p>
      <w:pPr>
        <w:spacing w:after="0" w:line="208" w:lineRule="exact"/>
        <w:rPr>
          <w:sz w:val="20"/>
          <w:szCs w:val="20"/>
          <w:color w:val="auto"/>
        </w:rPr>
      </w:pPr>
    </w:p>
    <w:p>
      <w:pPr>
        <w:ind w:left="1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VOTING AND SOLICITATION OF PROXIES</w:t>
        </w:r>
      </w:hyperlink>
    </w:p>
    <w:p>
      <w:pPr>
        <w:spacing w:after="0" w:line="208" w:lineRule="exact"/>
        <w:rPr>
          <w:sz w:val="20"/>
          <w:szCs w:val="20"/>
          <w:color w:val="auto"/>
        </w:rPr>
      </w:pPr>
    </w:p>
    <w:p>
      <w:pPr>
        <w:ind w:left="18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CORPORATE GOVERNANCE</w:t>
        </w:r>
      </w:hyperlink>
    </w:p>
    <w:p>
      <w:pPr>
        <w:spacing w:after="0" w:line="208" w:lineRule="exact"/>
        <w:rPr>
          <w:sz w:val="20"/>
          <w:szCs w:val="20"/>
          <w:color w:val="auto"/>
        </w:rPr>
      </w:pPr>
    </w:p>
    <w:p>
      <w:pPr>
        <w:ind w:left="180"/>
        <w:spacing w:after="0" w:line="265" w:lineRule="auto"/>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OUR ENVIRONMENTAL, SOCIAL AND GOVERNANCE</w:t>
        </w:r>
      </w:hyperlink>
      <w:r>
        <w:rPr>
          <w:rFonts w:ascii="Arial" w:cs="Arial" w:eastAsia="Arial" w:hAnsi="Arial"/>
          <w:sz w:val="18"/>
          <w:szCs w:val="18"/>
          <w:u w:val="single" w:color="auto"/>
          <w:color w:val="0000EE"/>
        </w:rPr>
        <w:t xml:space="preserve"> </w:t>
      </w:r>
      <w:hyperlink w:anchor="page15">
        <w:r>
          <w:rPr>
            <w:rFonts w:ascii="Arial" w:cs="Arial" w:eastAsia="Arial" w:hAnsi="Arial"/>
            <w:sz w:val="18"/>
            <w:szCs w:val="18"/>
            <w:u w:val="single" w:color="auto"/>
            <w:color w:val="0000EE"/>
          </w:rPr>
          <w:t>(ESG) STRATEGY</w:t>
        </w:r>
      </w:hyperlink>
    </w:p>
    <w:p>
      <w:pPr>
        <w:spacing w:after="0" w:line="158" w:lineRule="exact"/>
        <w:rPr>
          <w:sz w:val="20"/>
          <w:szCs w:val="20"/>
          <w:color w:val="auto"/>
        </w:rPr>
      </w:pPr>
    </w:p>
    <w:p>
      <w:pPr>
        <w:ind w:left="18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OUR BOARD OF DIRECTORS</w:t>
        </w:r>
      </w:hyperlink>
    </w:p>
    <w:p>
      <w:pPr>
        <w:spacing w:after="0" w:line="208" w:lineRule="exact"/>
        <w:rPr>
          <w:sz w:val="20"/>
          <w:szCs w:val="20"/>
          <w:color w:val="auto"/>
        </w:rPr>
      </w:pPr>
    </w:p>
    <w:p>
      <w:pPr>
        <w:ind w:left="180" w:right="220"/>
        <w:spacing w:after="0" w:line="265" w:lineRule="auto"/>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SECURITY OWNERSHIP OF CERTAIN BENEFICIAL</w:t>
        </w:r>
      </w:hyperlink>
      <w:r>
        <w:rPr>
          <w:rFonts w:ascii="Arial" w:cs="Arial" w:eastAsia="Arial" w:hAnsi="Arial"/>
          <w:sz w:val="18"/>
          <w:szCs w:val="18"/>
          <w:u w:val="single" w:color="auto"/>
          <w:color w:val="0000EE"/>
        </w:rPr>
        <w:t xml:space="preserve"> </w:t>
      </w:r>
      <w:hyperlink w:anchor="page25">
        <w:r>
          <w:rPr>
            <w:rFonts w:ascii="Arial" w:cs="Arial" w:eastAsia="Arial" w:hAnsi="Arial"/>
            <w:sz w:val="18"/>
            <w:szCs w:val="18"/>
            <w:u w:val="single" w:color="auto"/>
            <w:color w:val="0000EE"/>
          </w:rPr>
          <w:t>OWNERS AND MANAGEMENT</w:t>
        </w:r>
      </w:hyperlink>
    </w:p>
    <w:p>
      <w:pPr>
        <w:spacing w:after="0" w:line="158" w:lineRule="exact"/>
        <w:rPr>
          <w:sz w:val="20"/>
          <w:szCs w:val="20"/>
          <w:color w:val="auto"/>
        </w:rPr>
      </w:pPr>
    </w:p>
    <w:p>
      <w:pPr>
        <w:ind w:left="1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RELATED PERSON TRANSACTIONS</w:t>
        </w:r>
      </w:hyperlink>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color w:val="051D49"/>
        </w:rPr>
        <w:t>ITEM 1</w:t>
      </w:r>
    </w:p>
    <w:p>
      <w:pPr>
        <w:spacing w:after="0" w:line="12" w:lineRule="exact"/>
        <w:rPr>
          <w:sz w:val="20"/>
          <w:szCs w:val="20"/>
          <w:color w:val="auto"/>
        </w:rPr>
      </w:pPr>
    </w:p>
    <w:p>
      <w:pPr>
        <w:ind w:left="1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ELECTION OF DIRECTORS</w:t>
        </w:r>
      </w:hyperlink>
    </w:p>
    <w:p>
      <w:pPr>
        <w:spacing w:after="0" w:line="203" w:lineRule="exact"/>
        <w:rPr>
          <w:sz w:val="20"/>
          <w:szCs w:val="20"/>
          <w:color w:val="auto"/>
        </w:rPr>
      </w:pPr>
    </w:p>
    <w:p>
      <w:pPr>
        <w:ind w:left="1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DIRECTOR COMPENSATION</w:t>
        </w:r>
      </w:hyperlink>
    </w:p>
    <w:p>
      <w:pPr>
        <w:spacing w:after="0" w:line="101" w:lineRule="exact"/>
        <w:rPr>
          <w:sz w:val="20"/>
          <w:szCs w:val="20"/>
          <w:color w:val="auto"/>
        </w:rPr>
      </w:pPr>
    </w:p>
    <w:p>
      <w:pPr>
        <w:ind w:left="4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Outside Director Compensation During 2021</w:t>
        </w:r>
      </w:hyperlink>
    </w:p>
    <w:p>
      <w:pPr>
        <w:spacing w:after="0" w:line="101" w:lineRule="exact"/>
        <w:rPr>
          <w:sz w:val="20"/>
          <w:szCs w:val="20"/>
          <w:color w:val="auto"/>
        </w:rPr>
      </w:pPr>
    </w:p>
    <w:p>
      <w:pPr>
        <w:ind w:left="4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Description of Director Compensation</w:t>
        </w:r>
      </w:hyperlink>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color w:val="051D49"/>
        </w:rPr>
        <w:t>ITEM 2</w:t>
      </w:r>
    </w:p>
    <w:p>
      <w:pPr>
        <w:spacing w:after="0" w:line="12" w:lineRule="exact"/>
        <w:rPr>
          <w:sz w:val="20"/>
          <w:szCs w:val="20"/>
          <w:color w:val="auto"/>
        </w:rPr>
      </w:pPr>
    </w:p>
    <w:p>
      <w:pPr>
        <w:ind w:left="180" w:right="40"/>
        <w:spacing w:after="0" w:line="239" w:lineRule="auto"/>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RATIFICATION OF THE APPOINTMENT OF THE</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INDEPENDENT REGISTERED PUBLIC ACCOUNTING</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FIRM</w:t>
        </w:r>
      </w:hyperlink>
    </w:p>
    <w:p>
      <w:pPr>
        <w:spacing w:after="0" w:line="193" w:lineRule="exact"/>
        <w:rPr>
          <w:rFonts w:ascii="Arial" w:cs="Arial" w:eastAsia="Arial" w:hAnsi="Arial"/>
          <w:sz w:val="18"/>
          <w:szCs w:val="18"/>
          <w:u w:val="single" w:color="auto"/>
          <w:color w:val="0000EE"/>
        </w:rPr>
      </w:pPr>
    </w:p>
    <w:p>
      <w:pPr>
        <w:ind w:left="1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REPORT OF THE AUDIT COMMITTEE</w:t>
        </w:r>
      </w:hyperlink>
    </w:p>
    <w:p>
      <w:pPr>
        <w:spacing w:after="0" w:line="208" w:lineRule="exact"/>
        <w:rPr>
          <w:rFonts w:ascii="Arial" w:cs="Arial" w:eastAsia="Arial" w:hAnsi="Arial"/>
          <w:sz w:val="18"/>
          <w:szCs w:val="18"/>
          <w:u w:val="single" w:color="auto"/>
          <w:color w:val="0000EE"/>
        </w:rPr>
      </w:pPr>
    </w:p>
    <w:p>
      <w:pPr>
        <w:ind w:left="180" w:right="40"/>
        <w:spacing w:after="0" w:line="249" w:lineRule="auto"/>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FEES FOR SERVICES PROVIDED BY THE</w:t>
        </w:r>
      </w:hyperlink>
      <w:r>
        <w:rPr>
          <w:rFonts w:ascii="Arial" w:cs="Arial" w:eastAsia="Arial" w:hAnsi="Arial"/>
          <w:sz w:val="18"/>
          <w:szCs w:val="18"/>
          <w:u w:val="single" w:color="auto"/>
          <w:color w:val="0000EE"/>
        </w:rPr>
        <w:t xml:space="preserve"> </w:t>
      </w:r>
      <w:hyperlink w:anchor="page42">
        <w:r>
          <w:rPr>
            <w:rFonts w:ascii="Arial" w:cs="Arial" w:eastAsia="Arial" w:hAnsi="Arial"/>
            <w:sz w:val="18"/>
            <w:szCs w:val="18"/>
            <w:u w:val="single" w:color="auto"/>
            <w:color w:val="0000EE"/>
          </w:rPr>
          <w:t>INDEPENDENT REGISTERED PUBLIC ACCOUNTING</w:t>
        </w:r>
      </w:hyperlink>
      <w:r>
        <w:rPr>
          <w:rFonts w:ascii="Arial" w:cs="Arial" w:eastAsia="Arial" w:hAnsi="Arial"/>
          <w:sz w:val="18"/>
          <w:szCs w:val="18"/>
          <w:u w:val="single" w:color="auto"/>
          <w:color w:val="0000EE"/>
        </w:rPr>
        <w:t xml:space="preserve"> </w:t>
      </w:r>
      <w:hyperlink w:anchor="page42">
        <w:r>
          <w:rPr>
            <w:rFonts w:ascii="Arial" w:cs="Arial" w:eastAsia="Arial" w:hAnsi="Arial"/>
            <w:sz w:val="18"/>
            <w:szCs w:val="18"/>
            <w:u w:val="single" w:color="auto"/>
            <w:color w:val="0000EE"/>
          </w:rPr>
          <w:t>FIRM</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345" w:lineRule="exact"/>
        <w:rPr>
          <w:rFonts w:ascii="Arial" w:cs="Arial" w:eastAsia="Arial" w:hAnsi="Arial"/>
          <w:sz w:val="18"/>
          <w:szCs w:val="18"/>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07"/>
        </w:trPr>
        <w:tc>
          <w:tcPr>
            <w:tcW w:w="600" w:type="dxa"/>
            <w:vAlign w:val="bottom"/>
          </w:tcPr>
          <w:p>
            <w:pPr>
              <w:jc w:val="right"/>
              <w:ind w:right="311"/>
              <w:spacing w:after="0"/>
              <w:rPr>
                <w:sz w:val="20"/>
                <w:szCs w:val="20"/>
                <w:color w:val="auto"/>
              </w:rPr>
            </w:pPr>
            <w:r>
              <w:rPr>
                <w:rFonts w:ascii="Arial" w:cs="Arial" w:eastAsia="Arial" w:hAnsi="Arial"/>
                <w:sz w:val="18"/>
                <w:szCs w:val="18"/>
                <w:b w:val="1"/>
                <w:bCs w:val="1"/>
                <w:color w:val="auto"/>
              </w:rPr>
              <w:t>1</w:t>
            </w:r>
          </w:p>
        </w:tc>
        <w:tc>
          <w:tcPr>
            <w:tcW w:w="4720" w:type="dxa"/>
            <w:vAlign w:val="bottom"/>
            <w:gridSpan w:val="1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COMPENSATION DISCUSSION AND ANALYSIS</w:t>
              </w:r>
            </w:hyperlink>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395"/>
        </w:trPr>
        <w:tc>
          <w:tcPr>
            <w:tcW w:w="600" w:type="dxa"/>
            <w:vAlign w:val="bottom"/>
          </w:tcPr>
          <w:p>
            <w:pPr>
              <w:jc w:val="right"/>
              <w:ind w:right="311"/>
              <w:spacing w:after="0"/>
              <w:rPr>
                <w:sz w:val="20"/>
                <w:szCs w:val="20"/>
                <w:color w:val="auto"/>
              </w:rPr>
            </w:pPr>
            <w:r>
              <w:rPr>
                <w:rFonts w:ascii="Arial" w:cs="Arial" w:eastAsia="Arial" w:hAnsi="Arial"/>
                <w:sz w:val="18"/>
                <w:szCs w:val="18"/>
                <w:b w:val="1"/>
                <w:bCs w:val="1"/>
                <w:color w:val="auto"/>
              </w:rPr>
              <w:t>5</w:t>
            </w:r>
          </w:p>
        </w:tc>
        <w:tc>
          <w:tcPr>
            <w:tcW w:w="3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7"/>
              </w:rPr>
            </w:pPr>
            <w:hyperlink w:anchor="page59">
              <w:r>
                <w:rPr>
                  <w:rFonts w:ascii="Arial" w:cs="Arial" w:eastAsia="Arial" w:hAnsi="Arial"/>
                  <w:sz w:val="18"/>
                  <w:szCs w:val="18"/>
                  <w:color w:val="0000EE"/>
                  <w:w w:val="97"/>
                </w:rPr>
                <w:t>COMPENSATION COMMITTEE REPORT</w:t>
              </w:r>
            </w:hyperlink>
          </w:p>
        </w:tc>
        <w:tc>
          <w:tcPr>
            <w:tcW w:w="580" w:type="dxa"/>
            <w:vAlign w:val="bottom"/>
            <w:tcBorders>
              <w:top w:val="single" w:sz="8" w:color="0000EE"/>
            </w:tcBorders>
            <w:gridSpan w:val="3"/>
          </w:tcPr>
          <w:p>
            <w:pPr>
              <w:spacing w:after="0"/>
              <w:rPr>
                <w:sz w:val="24"/>
                <w:szCs w:val="24"/>
                <w:color w:val="auto"/>
              </w:rPr>
            </w:pPr>
          </w:p>
        </w:tc>
        <w:tc>
          <w:tcPr>
            <w:tcW w:w="80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395"/>
        </w:trPr>
        <w:tc>
          <w:tcPr>
            <w:tcW w:w="600" w:type="dxa"/>
            <w:vAlign w:val="bottom"/>
          </w:tcPr>
          <w:p>
            <w:pPr>
              <w:jc w:val="right"/>
              <w:ind w:right="311"/>
              <w:spacing w:after="0"/>
              <w:rPr>
                <w:sz w:val="20"/>
                <w:szCs w:val="20"/>
                <w:color w:val="auto"/>
              </w:rPr>
            </w:pPr>
            <w:r>
              <w:rPr>
                <w:rFonts w:ascii="Arial" w:cs="Arial" w:eastAsia="Arial" w:hAnsi="Arial"/>
                <w:sz w:val="18"/>
                <w:szCs w:val="18"/>
                <w:b w:val="1"/>
                <w:bCs w:val="1"/>
                <w:color w:val="auto"/>
              </w:rPr>
              <w:t>8</w:t>
            </w:r>
          </w:p>
        </w:tc>
        <w:tc>
          <w:tcPr>
            <w:tcW w:w="250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60">
              <w:r>
                <w:rPr>
                  <w:rFonts w:ascii="Arial" w:cs="Arial" w:eastAsia="Arial" w:hAnsi="Arial"/>
                  <w:sz w:val="18"/>
                  <w:szCs w:val="18"/>
                  <w:color w:val="0000EE"/>
                  <w:w w:val="97"/>
                </w:rPr>
                <w:t>EXECUTIVE COMPENSATION</w:t>
              </w:r>
            </w:hyperlink>
          </w:p>
        </w:tc>
        <w:tc>
          <w:tcPr>
            <w:tcW w:w="222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88"/>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gridSpan w:val="10"/>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Summary Compensation Table for Fiscal Year 2021</w:t>
              </w:r>
            </w:hyperlink>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88"/>
        </w:trPr>
        <w:tc>
          <w:tcPr>
            <w:tcW w:w="600" w:type="dxa"/>
            <w:vAlign w:val="bottom"/>
          </w:tcPr>
          <w:p>
            <w:pPr>
              <w:jc w:val="right"/>
              <w:ind w:right="311"/>
              <w:spacing w:after="0"/>
              <w:rPr>
                <w:sz w:val="20"/>
                <w:szCs w:val="20"/>
                <w:color w:val="auto"/>
              </w:rPr>
            </w:pPr>
            <w:r>
              <w:rPr>
                <w:rFonts w:ascii="Arial" w:cs="Arial" w:eastAsia="Arial" w:hAnsi="Arial"/>
                <w:sz w:val="18"/>
                <w:szCs w:val="18"/>
                <w:b w:val="1"/>
                <w:bCs w:val="1"/>
                <w:color w:val="auto"/>
                <w:w w:val="89"/>
              </w:rPr>
              <w:t>10</w:t>
            </w:r>
          </w:p>
        </w:tc>
        <w:tc>
          <w:tcPr>
            <w:tcW w:w="280" w:type="dxa"/>
            <w:vAlign w:val="bottom"/>
          </w:tcPr>
          <w:p>
            <w:pPr>
              <w:spacing w:after="0"/>
              <w:rPr>
                <w:sz w:val="24"/>
                <w:szCs w:val="24"/>
                <w:color w:val="auto"/>
              </w:rPr>
            </w:pPr>
          </w:p>
        </w:tc>
        <w:tc>
          <w:tcPr>
            <w:tcW w:w="4060" w:type="dxa"/>
            <w:vAlign w:val="bottom"/>
            <w:tcBorders>
              <w:top w:val="single" w:sz="8" w:color="0000EE"/>
            </w:tcBorders>
            <w:gridSpan w:val="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Grants of Plan-Based Awards During 2021</w:t>
              </w:r>
            </w:hyperlink>
          </w:p>
        </w:tc>
        <w:tc>
          <w:tcPr>
            <w:tcW w:w="38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w w:val="89"/>
              </w:rPr>
              <w:t>11</w:t>
            </w:r>
          </w:p>
        </w:tc>
        <w:tc>
          <w:tcPr>
            <w:tcW w:w="280" w:type="dxa"/>
            <w:vAlign w:val="bottom"/>
          </w:tcPr>
          <w:p>
            <w:pPr>
              <w:spacing w:after="0"/>
              <w:rPr>
                <w:sz w:val="24"/>
                <w:szCs w:val="24"/>
                <w:color w:val="auto"/>
              </w:rPr>
            </w:pPr>
          </w:p>
        </w:tc>
        <w:tc>
          <w:tcPr>
            <w:tcW w:w="4100" w:type="dxa"/>
            <w:vAlign w:val="bottom"/>
            <w:tcBorders>
              <w:bottom w:val="single" w:sz="8" w:color="0000EE"/>
            </w:tcBorders>
            <w:gridSpan w:val="9"/>
          </w:tcPr>
          <w:p>
            <w:pPr>
              <w:spacing w:after="0"/>
              <w:rPr>
                <w:rFonts w:ascii="Arial" w:cs="Arial" w:eastAsia="Arial" w:hAnsi="Arial"/>
                <w:sz w:val="18"/>
                <w:szCs w:val="18"/>
                <w:color w:val="0000EE"/>
                <w:w w:val="98"/>
              </w:rPr>
            </w:pPr>
            <w:hyperlink w:anchor="page65">
              <w:r>
                <w:rPr>
                  <w:rFonts w:ascii="Arial" w:cs="Arial" w:eastAsia="Arial" w:hAnsi="Arial"/>
                  <w:sz w:val="18"/>
                  <w:szCs w:val="18"/>
                  <w:color w:val="0000EE"/>
                  <w:w w:val="98"/>
                </w:rPr>
                <w:t>Outstanding Equity Awards at Fiscal Year-End 2021</w:t>
              </w:r>
            </w:hyperlink>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140"/>
        </w:trPr>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gridSpan w:val="10"/>
            <w:vMerge w:val="restart"/>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Option Exercises and Stock Vested During 2021</w:t>
              </w:r>
            </w:hyperlink>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gridSpan w:val="10"/>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w w:val="89"/>
              </w:rPr>
              <w:t>20</w:t>
            </w:r>
          </w:p>
        </w:tc>
        <w:tc>
          <w:tcPr>
            <w:tcW w:w="280" w:type="dxa"/>
            <w:vAlign w:val="bottom"/>
          </w:tcPr>
          <w:p>
            <w:pPr>
              <w:spacing w:after="0"/>
              <w:rPr>
                <w:sz w:val="24"/>
                <w:szCs w:val="24"/>
                <w:color w:val="auto"/>
              </w:rPr>
            </w:pPr>
          </w:p>
        </w:tc>
        <w:tc>
          <w:tcPr>
            <w:tcW w:w="1980" w:type="dxa"/>
            <w:vAlign w:val="bottom"/>
            <w:tcBorders>
              <w:top w:val="single" w:sz="8" w:color="0000EE"/>
              <w:bottom w:val="single" w:sz="8" w:color="0000EE"/>
            </w:tcBorders>
          </w:tcPr>
          <w:p>
            <w:pPr>
              <w:spacing w:after="0"/>
              <w:rPr>
                <w:rFonts w:ascii="Arial" w:cs="Arial" w:eastAsia="Arial" w:hAnsi="Arial"/>
                <w:sz w:val="18"/>
                <w:szCs w:val="18"/>
                <w:color w:val="0000EE"/>
                <w:w w:val="98"/>
              </w:rPr>
            </w:pPr>
            <w:hyperlink w:anchor="page67">
              <w:r>
                <w:rPr>
                  <w:rFonts w:ascii="Arial" w:cs="Arial" w:eastAsia="Arial" w:hAnsi="Arial"/>
                  <w:sz w:val="18"/>
                  <w:szCs w:val="18"/>
                  <w:color w:val="0000EE"/>
                  <w:w w:val="98"/>
                </w:rPr>
                <w:t>Pension Benefits in 2021</w:t>
              </w:r>
            </w:hyperlink>
          </w:p>
        </w:tc>
        <w:tc>
          <w:tcPr>
            <w:tcW w:w="1820" w:type="dxa"/>
            <w:vAlign w:val="bottom"/>
            <w:tcBorders>
              <w:top w:val="single" w:sz="8" w:color="0000EE"/>
            </w:tcBorders>
            <w:gridSpan w:val="6"/>
          </w:tcPr>
          <w:p>
            <w:pPr>
              <w:spacing w:after="0"/>
              <w:rPr>
                <w:sz w:val="24"/>
                <w:szCs w:val="24"/>
                <w:color w:val="auto"/>
              </w:rPr>
            </w:pPr>
          </w:p>
        </w:tc>
        <w:tc>
          <w:tcPr>
            <w:tcW w:w="64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140"/>
        </w:trPr>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580" w:type="dxa"/>
            <w:vAlign w:val="bottom"/>
            <w:gridSpan w:val="5"/>
            <w:vMerge w:val="restart"/>
          </w:tcPr>
          <w:p>
            <w:pPr>
              <w:spacing w:after="0"/>
              <w:rPr>
                <w:rFonts w:ascii="Arial" w:cs="Arial" w:eastAsia="Arial" w:hAnsi="Arial"/>
                <w:sz w:val="18"/>
                <w:szCs w:val="18"/>
                <w:color w:val="0000EE"/>
                <w:w w:val="98"/>
              </w:rPr>
            </w:pPr>
            <w:hyperlink w:anchor="page68">
              <w:r>
                <w:rPr>
                  <w:rFonts w:ascii="Arial" w:cs="Arial" w:eastAsia="Arial" w:hAnsi="Arial"/>
                  <w:sz w:val="18"/>
                  <w:szCs w:val="18"/>
                  <w:color w:val="0000EE"/>
                  <w:w w:val="98"/>
                </w:rPr>
                <w:t>Nonqualified Deferred Compensation in 2021</w:t>
              </w:r>
            </w:hyperlink>
          </w:p>
        </w:tc>
        <w:tc>
          <w:tcPr>
            <w:tcW w:w="860" w:type="dxa"/>
            <w:vAlign w:val="bottom"/>
            <w:gridSpan w:val="5"/>
            <w:vMerge w:val="restart"/>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153"/>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80" w:type="dxa"/>
            <w:vAlign w:val="bottom"/>
            <w:tcBorders>
              <w:bottom w:val="single" w:sz="8" w:color="0000EE"/>
            </w:tcBorders>
            <w:gridSpan w:val="5"/>
            <w:vMerge w:val="continue"/>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880" w:hanging="871"/>
        <w:spacing w:after="0" w:line="180" w:lineRule="auto"/>
        <w:tabs>
          <w:tab w:leader="none" w:pos="880" w:val="left"/>
        </w:tabs>
        <w:numPr>
          <w:ilvl w:val="0"/>
          <w:numId w:val="11"/>
        </w:numPr>
        <w:rPr>
          <w:rFonts w:ascii="Arial" w:cs="Arial" w:eastAsia="Arial" w:hAnsi="Arial"/>
          <w:sz w:val="17"/>
          <w:szCs w:val="17"/>
          <w:color w:val="0000EE"/>
        </w:rPr>
      </w:pPr>
      <w:hyperlink w:anchor="page69">
        <w:r>
          <w:rPr>
            <w:rFonts w:ascii="Arial" w:cs="Arial" w:eastAsia="Arial" w:hAnsi="Arial"/>
            <w:sz w:val="17"/>
            <w:szCs w:val="17"/>
            <w:color w:val="0000EE"/>
          </w:rPr>
          <w:t>Potential Payments Upon Termination and Certain Other</w:t>
        </w:r>
      </w:hyperlink>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60" w:type="dxa"/>
            <w:vAlign w:val="bottom"/>
            <w:tcBorders>
              <w:top w:val="single" w:sz="8" w:color="0000EE"/>
            </w:tcBorders>
            <w:gridSpan w:val="4"/>
          </w:tcPr>
          <w:p>
            <w:pPr>
              <w:spacing w:after="0" w:line="181" w:lineRule="exact"/>
              <w:rPr>
                <w:rFonts w:ascii="Arial" w:cs="Arial" w:eastAsia="Arial" w:hAnsi="Arial"/>
                <w:sz w:val="18"/>
                <w:szCs w:val="18"/>
                <w:color w:val="0000EE"/>
              </w:rPr>
            </w:pPr>
            <w:hyperlink w:anchor="page69">
              <w:r>
                <w:rPr>
                  <w:rFonts w:ascii="Arial" w:cs="Arial" w:eastAsia="Arial" w:hAnsi="Arial"/>
                  <w:sz w:val="18"/>
                  <w:szCs w:val="18"/>
                  <w:color w:val="0000EE"/>
                </w:rPr>
                <w:t>Events</w:t>
              </w:r>
            </w:hyperlink>
          </w:p>
        </w:tc>
        <w:tc>
          <w:tcPr>
            <w:tcW w:w="54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600" w:type="dxa"/>
            <w:vAlign w:val="bottom"/>
          </w:tcPr>
          <w:p>
            <w:pPr>
              <w:jc w:val="right"/>
              <w:ind w:right="311"/>
              <w:spacing w:after="0"/>
              <w:rPr>
                <w:sz w:val="20"/>
                <w:szCs w:val="20"/>
                <w:color w:val="auto"/>
              </w:rPr>
            </w:pPr>
            <w:r>
              <w:rPr>
                <w:rFonts w:ascii="Arial" w:cs="Arial" w:eastAsia="Arial" w:hAnsi="Arial"/>
                <w:sz w:val="18"/>
                <w:szCs w:val="18"/>
                <w:b w:val="1"/>
                <w:bCs w:val="1"/>
                <w:color w:val="051D49"/>
                <w:w w:val="89"/>
              </w:rPr>
              <w:t>24</w:t>
            </w:r>
          </w:p>
        </w:tc>
        <w:tc>
          <w:tcPr>
            <w:tcW w:w="280" w:type="dxa"/>
            <w:vAlign w:val="bottom"/>
          </w:tcPr>
          <w:p>
            <w:pPr>
              <w:spacing w:after="0"/>
              <w:rPr>
                <w:sz w:val="24"/>
                <w:szCs w:val="24"/>
                <w:color w:val="auto"/>
              </w:rPr>
            </w:pPr>
          </w:p>
        </w:tc>
        <w:tc>
          <w:tcPr>
            <w:tcW w:w="78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73">
              <w:r>
                <w:rPr>
                  <w:rFonts w:ascii="Arial" w:cs="Arial" w:eastAsia="Arial" w:hAnsi="Arial"/>
                  <w:sz w:val="18"/>
                  <w:szCs w:val="18"/>
                  <w:color w:val="0000EE"/>
                  <w:w w:val="97"/>
                </w:rPr>
                <w:t>Pay Ratio</w:t>
              </w:r>
            </w:hyperlink>
          </w:p>
        </w:tc>
        <w:tc>
          <w:tcPr>
            <w:tcW w:w="2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368"/>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w w:val="89"/>
              </w:rPr>
              <w:t>31</w:t>
            </w:r>
          </w:p>
        </w:tc>
        <w:tc>
          <w:tcPr>
            <w:tcW w:w="394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74">
              <w:r>
                <w:rPr>
                  <w:rFonts w:ascii="Arial" w:cs="Arial" w:eastAsia="Arial" w:hAnsi="Arial"/>
                  <w:sz w:val="18"/>
                  <w:szCs w:val="18"/>
                  <w:color w:val="0000EE"/>
                  <w:w w:val="97"/>
                </w:rPr>
                <w:t>EQUITY COMPENSATION PLAN INFORMATION</w:t>
              </w:r>
            </w:hyperlink>
          </w:p>
        </w:tc>
        <w:tc>
          <w:tcPr>
            <w:tcW w:w="800" w:type="dxa"/>
            <w:vAlign w:val="bottom"/>
            <w:vMerge w:val="restart"/>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86"/>
        </w:trPr>
        <w:tc>
          <w:tcPr>
            <w:tcW w:w="600" w:type="dxa"/>
            <w:vAlign w:val="bottom"/>
            <w:vMerge w:val="continue"/>
          </w:tcPr>
          <w:p>
            <w:pPr>
              <w:spacing w:after="0"/>
              <w:rPr>
                <w:sz w:val="7"/>
                <w:szCs w:val="7"/>
                <w:color w:val="auto"/>
              </w:rPr>
            </w:pPr>
          </w:p>
        </w:tc>
        <w:tc>
          <w:tcPr>
            <w:tcW w:w="3940" w:type="dxa"/>
            <w:vAlign w:val="bottom"/>
            <w:gridSpan w:val="4"/>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600" w:hanging="591"/>
        <w:spacing w:after="0" w:line="193" w:lineRule="auto"/>
        <w:tabs>
          <w:tab w:leader="none" w:pos="600" w:val="left"/>
        </w:tabs>
        <w:numPr>
          <w:ilvl w:val="0"/>
          <w:numId w:val="12"/>
        </w:numPr>
        <w:rPr>
          <w:rFonts w:ascii="Arial" w:cs="Arial" w:eastAsia="Arial" w:hAnsi="Arial"/>
          <w:sz w:val="36"/>
          <w:szCs w:val="36"/>
          <w:b w:val="1"/>
          <w:bCs w:val="1"/>
          <w:color w:val="auto"/>
          <w:vertAlign w:val="superscript"/>
        </w:rPr>
      </w:pPr>
      <w:r>
        <w:rPr>
          <w:rFonts w:ascii="Arial" w:cs="Arial" w:eastAsia="Arial" w:hAnsi="Arial"/>
          <w:sz w:val="18"/>
          <w:szCs w:val="18"/>
          <w:color w:val="051D49"/>
        </w:rPr>
        <w:t>ITEM 3</w:t>
      </w:r>
    </w:p>
    <w:p>
      <w:pPr>
        <w:ind w:left="600" w:hanging="591"/>
        <w:spacing w:after="0" w:line="180" w:lineRule="auto"/>
        <w:tabs>
          <w:tab w:leader="none" w:pos="600" w:val="left"/>
        </w:tabs>
        <w:numPr>
          <w:ilvl w:val="0"/>
          <w:numId w:val="13"/>
        </w:numPr>
        <w:rPr>
          <w:rFonts w:ascii="Arial" w:cs="Arial" w:eastAsia="Arial" w:hAnsi="Arial"/>
          <w:sz w:val="14"/>
          <w:szCs w:val="14"/>
          <w:u w:val="single" w:color="auto"/>
          <w:color w:val="0000EE"/>
        </w:rPr>
      </w:pPr>
      <w:hyperlink w:anchor="page75">
        <w:r>
          <w:rPr>
            <w:rFonts w:ascii="Arial" w:cs="Arial" w:eastAsia="Arial" w:hAnsi="Arial"/>
            <w:sz w:val="14"/>
            <w:szCs w:val="14"/>
            <w:u w:val="single" w:color="auto"/>
            <w:color w:val="0000EE"/>
          </w:rPr>
          <w:t>STOCKHOLDER PROPOSAL REQUESTING THAT OUR</w:t>
        </w:r>
      </w:hyperlink>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4720" w:type="dxa"/>
            <w:vAlign w:val="bottom"/>
            <w:tcBorders>
              <w:bottom w:val="single" w:sz="8" w:color="0000EE"/>
            </w:tcBorders>
            <w:gridSpan w:val="4"/>
          </w:tcPr>
          <w:p>
            <w:pPr>
              <w:spacing w:after="0" w:line="161"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BOARD OF DIRECTORS TAKE STEPS TO REDUCE THE</w:t>
              </w:r>
            </w:hyperlink>
          </w:p>
        </w:tc>
        <w:tc>
          <w:tcPr>
            <w:tcW w:w="28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00" w:type="dxa"/>
            <w:vAlign w:val="bottom"/>
          </w:tcPr>
          <w:p>
            <w:pPr>
              <w:spacing w:after="0"/>
              <w:rPr>
                <w:sz w:val="15"/>
                <w:szCs w:val="15"/>
                <w:color w:val="auto"/>
              </w:rPr>
            </w:pPr>
          </w:p>
        </w:tc>
        <w:tc>
          <w:tcPr>
            <w:tcW w:w="5000" w:type="dxa"/>
            <w:vAlign w:val="bottom"/>
            <w:gridSpan w:val="6"/>
          </w:tcPr>
          <w:p>
            <w:pPr>
              <w:spacing w:after="0" w:line="181"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THRESHOLD AT WHICH COMPANY STOCKHOLDERS MAY</w:t>
              </w:r>
            </w:hyperlink>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051D49"/>
              </w:rPr>
              <w:t>70</w:t>
            </w:r>
          </w:p>
        </w:tc>
        <w:tc>
          <w:tcPr>
            <w:tcW w:w="0" w:type="dxa"/>
            <w:vAlign w:val="bottom"/>
          </w:tcPr>
          <w:p>
            <w:pPr>
              <w:spacing w:after="0"/>
              <w:rPr>
                <w:sz w:val="1"/>
                <w:szCs w:val="1"/>
                <w:color w:val="auto"/>
              </w:rPr>
            </w:pPr>
          </w:p>
        </w:tc>
      </w:tr>
      <w:tr>
        <w:trPr>
          <w:trHeight w:val="181"/>
        </w:trPr>
        <w:tc>
          <w:tcPr>
            <w:tcW w:w="60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2"/>
          </w:tcPr>
          <w:p>
            <w:pPr>
              <w:spacing w:after="0" w:line="167" w:lineRule="exact"/>
              <w:rPr>
                <w:rFonts w:ascii="Arial" w:cs="Arial" w:eastAsia="Arial" w:hAnsi="Arial"/>
                <w:sz w:val="18"/>
                <w:szCs w:val="18"/>
                <w:color w:val="0000EE"/>
                <w:w w:val="98"/>
              </w:rPr>
            </w:pPr>
            <w:hyperlink w:anchor="page75">
              <w:r>
                <w:rPr>
                  <w:rFonts w:ascii="Arial" w:cs="Arial" w:eastAsia="Arial" w:hAnsi="Arial"/>
                  <w:sz w:val="18"/>
                  <w:szCs w:val="18"/>
                  <w:color w:val="0000EE"/>
                  <w:w w:val="98"/>
                </w:rPr>
                <w:t>CALL A SPECIAL MEETING</w:t>
              </w:r>
            </w:hyperlink>
          </w:p>
        </w:tc>
        <w:tc>
          <w:tcPr>
            <w:tcW w:w="2620" w:type="dxa"/>
            <w:vAlign w:val="bottom"/>
            <w:tcBorders>
              <w:top w:val="single" w:sz="8" w:color="0000EE"/>
            </w:tcBorders>
            <w:gridSpan w:val="3"/>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051D49"/>
                <w:w w:val="89"/>
              </w:rPr>
              <w:t>34</w:t>
            </w:r>
          </w:p>
        </w:tc>
        <w:tc>
          <w:tcPr>
            <w:tcW w:w="1520" w:type="dxa"/>
            <w:vAlign w:val="bottom"/>
            <w:tcBorders>
              <w:bottom w:val="single" w:sz="8" w:color="0000EE"/>
            </w:tcBorders>
          </w:tcPr>
          <w:p>
            <w:pPr>
              <w:spacing w:after="0"/>
              <w:rPr>
                <w:rFonts w:ascii="Arial" w:cs="Arial" w:eastAsia="Arial" w:hAnsi="Arial"/>
                <w:sz w:val="18"/>
                <w:szCs w:val="18"/>
                <w:color w:val="0000EE"/>
                <w:w w:val="97"/>
              </w:rPr>
            </w:pPr>
            <w:hyperlink w:anchor="page77">
              <w:r>
                <w:rPr>
                  <w:rFonts w:ascii="Arial" w:cs="Arial" w:eastAsia="Arial" w:hAnsi="Arial"/>
                  <w:sz w:val="18"/>
                  <w:szCs w:val="18"/>
                  <w:color w:val="0000EE"/>
                  <w:w w:val="97"/>
                </w:rPr>
                <w:t>OTHER MATTERS</w:t>
              </w:r>
            </w:hyperlink>
          </w:p>
        </w:tc>
        <w:tc>
          <w:tcPr>
            <w:tcW w:w="2320" w:type="dxa"/>
            <w:vAlign w:val="bottom"/>
            <w:gridSpan w:val="2"/>
            <w:vMerge w:val="restart"/>
          </w:tcPr>
          <w:p>
            <w:pPr>
              <w:spacing w:after="0"/>
              <w:rPr>
                <w:sz w:val="24"/>
                <w:szCs w:val="24"/>
                <w:color w:val="auto"/>
              </w:rPr>
            </w:pPr>
          </w:p>
        </w:tc>
        <w:tc>
          <w:tcPr>
            <w:tcW w:w="1160" w:type="dxa"/>
            <w:vAlign w:val="bottom"/>
            <w:gridSpan w:val="3"/>
            <w:vMerge w:val="restart"/>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86"/>
        </w:trPr>
        <w:tc>
          <w:tcPr>
            <w:tcW w:w="60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2320" w:type="dxa"/>
            <w:vAlign w:val="bottom"/>
            <w:gridSpan w:val="2"/>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8"/>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w w:val="89"/>
              </w:rPr>
              <w:t>35</w:t>
            </w:r>
          </w:p>
        </w:tc>
        <w:tc>
          <w:tcPr>
            <w:tcW w:w="384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77">
              <w:r>
                <w:rPr>
                  <w:rFonts w:ascii="Arial" w:cs="Arial" w:eastAsia="Arial" w:hAnsi="Arial"/>
                  <w:sz w:val="18"/>
                  <w:szCs w:val="18"/>
                  <w:color w:val="0000EE"/>
                  <w:w w:val="98"/>
                </w:rPr>
                <w:t>2023 ANNUAL MEETING OF STOCKHOLDERS</w:t>
              </w:r>
            </w:hyperlink>
          </w:p>
        </w:tc>
        <w:tc>
          <w:tcPr>
            <w:tcW w:w="1160" w:type="dxa"/>
            <w:vAlign w:val="bottom"/>
            <w:gridSpan w:val="3"/>
            <w:vMerge w:val="restart"/>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86"/>
        </w:trPr>
        <w:tc>
          <w:tcPr>
            <w:tcW w:w="600" w:type="dxa"/>
            <w:vAlign w:val="bottom"/>
            <w:vMerge w:val="continue"/>
          </w:tcPr>
          <w:p>
            <w:pPr>
              <w:spacing w:after="0"/>
              <w:rPr>
                <w:sz w:val="7"/>
                <w:szCs w:val="7"/>
                <w:color w:val="auto"/>
              </w:rPr>
            </w:pPr>
          </w:p>
        </w:tc>
        <w:tc>
          <w:tcPr>
            <w:tcW w:w="3840" w:type="dxa"/>
            <w:vAlign w:val="bottom"/>
            <w:gridSpan w:val="3"/>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6"/>
        </w:trPr>
        <w:tc>
          <w:tcPr>
            <w:tcW w:w="600" w:type="dxa"/>
            <w:vAlign w:val="bottom"/>
          </w:tcPr>
          <w:p>
            <w:pPr>
              <w:jc w:val="right"/>
              <w:ind w:right="311"/>
              <w:spacing w:after="0"/>
              <w:rPr>
                <w:sz w:val="20"/>
                <w:szCs w:val="20"/>
                <w:color w:val="auto"/>
              </w:rPr>
            </w:pPr>
            <w:r>
              <w:rPr>
                <w:rFonts w:ascii="Arial" w:cs="Arial" w:eastAsia="Arial" w:hAnsi="Arial"/>
                <w:sz w:val="18"/>
                <w:szCs w:val="18"/>
                <w:b w:val="1"/>
                <w:bCs w:val="1"/>
                <w:color w:val="auto"/>
                <w:w w:val="89"/>
              </w:rPr>
              <w:t>37</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170180</wp:posOffset>
            </wp:positionV>
            <wp:extent cx="6929755" cy="237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40" w:space="500"/>
            <w:col w:w="5880"/>
          </w:cols>
          <w:pgMar w:left="320" w:top="454" w:right="559" w:bottom="1440" w:gutter="0" w:footer="0" w:header="0"/>
          <w:type w:val="continuous"/>
        </w:sectPr>
      </w:pP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FFFFFF"/>
        </w:rPr>
        <w:t>PARAMOUNT GLOBAL</w:t>
      </w:r>
    </w:p>
    <w:p>
      <w:pPr>
        <w:sectPr>
          <w:pgSz w:w="11900" w:h="16838" w:orient="portrait"/>
          <w:cols w:equalWidth="0" w:num="1">
            <w:col w:w="11020"/>
          </w:cols>
          <w:pgMar w:left="320" w:top="454" w:right="55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280035</wp:posOffset>
            </wp:positionV>
            <wp:extent cx="1460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51D49"/>
        </w:rPr>
        <w:t>Paramount Global</w:t>
      </w:r>
    </w:p>
    <w:p>
      <w:pPr>
        <w:spacing w:after="0" w:line="37"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51D49"/>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188595</wp:posOffset>
            </wp:positionV>
            <wp:extent cx="1460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51D49"/>
        </w:rPr>
        <w:t>Proxy Statement Highlights</w:t>
      </w:r>
    </w:p>
    <w:p>
      <w:pPr>
        <w:spacing w:after="0" w:line="200" w:lineRule="exact"/>
        <w:rPr>
          <w:sz w:val="20"/>
          <w:szCs w:val="20"/>
          <w:color w:val="auto"/>
        </w:rPr>
      </w:pPr>
    </w:p>
    <w:p>
      <w:pPr>
        <w:spacing w:after="0" w:line="247" w:lineRule="exact"/>
        <w:rPr>
          <w:sz w:val="20"/>
          <w:szCs w:val="20"/>
          <w:color w:val="auto"/>
        </w:rPr>
      </w:pPr>
    </w:p>
    <w:p>
      <w:pPr>
        <w:ind w:left="160" w:right="320"/>
        <w:spacing w:after="0" w:line="265"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of the information you should consider, and you should read the entire proxy statement before voting.</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2022 ANNUAL MEETING OF STOCKHOLDERS</w:t>
      </w:r>
    </w:p>
    <w:p>
      <w:pPr>
        <w:spacing w:after="0" w:line="174"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color w:val="auto"/>
        </w:rPr>
        <w:t>The 2022 Annual Meeting of Stockholders (the “Annual Meeting”) of Paramount Global (“we,” “us,” “our,” “Paramount” or the “Company”) will be held by live webcast at the date, time and website noted below.</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62"/>
        </w:trPr>
        <w:tc>
          <w:tcPr>
            <w:tcW w:w="3020" w:type="dxa"/>
            <w:vAlign w:val="bottom"/>
            <w:shd w:val="clear" w:color="auto" w:fill="E5E5E5"/>
          </w:tcPr>
          <w:p>
            <w:pPr>
              <w:jc w:val="center"/>
              <w:ind w:right="71"/>
              <w:spacing w:after="0"/>
              <w:rPr>
                <w:sz w:val="20"/>
                <w:szCs w:val="20"/>
                <w:color w:val="auto"/>
              </w:rPr>
            </w:pPr>
            <w:r>
              <w:rPr>
                <w:rFonts w:ascii="Arial" w:cs="Arial" w:eastAsia="Arial" w:hAnsi="Arial"/>
                <w:sz w:val="18"/>
                <w:szCs w:val="18"/>
                <w:b w:val="1"/>
                <w:bCs w:val="1"/>
                <w:color w:val="051D49"/>
                <w:w w:val="98"/>
              </w:rPr>
              <w:t>Date and time:</w:t>
            </w:r>
          </w:p>
        </w:tc>
        <w:tc>
          <w:tcPr>
            <w:tcW w:w="5140" w:type="dxa"/>
            <w:vAlign w:val="bottom"/>
            <w:shd w:val="clear" w:color="auto" w:fill="E5E5E5"/>
          </w:tcPr>
          <w:p>
            <w:pPr>
              <w:jc w:val="center"/>
              <w:ind w:right="151"/>
              <w:spacing w:after="0"/>
              <w:rPr>
                <w:sz w:val="20"/>
                <w:szCs w:val="20"/>
                <w:color w:val="auto"/>
              </w:rPr>
            </w:pPr>
            <w:r>
              <w:rPr>
                <w:rFonts w:ascii="Arial" w:cs="Arial" w:eastAsia="Arial" w:hAnsi="Arial"/>
                <w:sz w:val="18"/>
                <w:szCs w:val="18"/>
                <w:b w:val="1"/>
                <w:bCs w:val="1"/>
                <w:color w:val="051D49"/>
                <w:w w:val="98"/>
              </w:rPr>
              <w:t>Website:</w:t>
            </w:r>
          </w:p>
        </w:tc>
        <w:tc>
          <w:tcPr>
            <w:tcW w:w="2760" w:type="dxa"/>
            <w:vAlign w:val="bottom"/>
            <w:shd w:val="clear" w:color="auto" w:fill="E5E5E5"/>
          </w:tcPr>
          <w:p>
            <w:pPr>
              <w:ind w:left="800"/>
              <w:spacing w:after="0"/>
              <w:rPr>
                <w:sz w:val="20"/>
                <w:szCs w:val="20"/>
                <w:color w:val="auto"/>
              </w:rPr>
            </w:pPr>
            <w:r>
              <w:rPr>
                <w:rFonts w:ascii="Arial" w:cs="Arial" w:eastAsia="Arial" w:hAnsi="Arial"/>
                <w:sz w:val="18"/>
                <w:szCs w:val="18"/>
                <w:b w:val="1"/>
                <w:bCs w:val="1"/>
                <w:color w:val="051D49"/>
              </w:rPr>
              <w:t>Record date:</w:t>
            </w:r>
          </w:p>
        </w:tc>
      </w:tr>
      <w:tr>
        <w:trPr>
          <w:trHeight w:val="201"/>
        </w:trPr>
        <w:tc>
          <w:tcPr>
            <w:tcW w:w="3020" w:type="dxa"/>
            <w:vAlign w:val="bottom"/>
            <w:shd w:val="clear" w:color="auto" w:fill="E5E5E5"/>
          </w:tcPr>
          <w:p>
            <w:pPr>
              <w:jc w:val="center"/>
              <w:ind w:right="71"/>
              <w:spacing w:after="0" w:line="201" w:lineRule="exact"/>
              <w:rPr>
                <w:sz w:val="20"/>
                <w:szCs w:val="20"/>
                <w:color w:val="auto"/>
              </w:rPr>
            </w:pPr>
            <w:r>
              <w:rPr>
                <w:rFonts w:ascii="Arial" w:cs="Arial" w:eastAsia="Arial" w:hAnsi="Arial"/>
                <w:sz w:val="18"/>
                <w:szCs w:val="18"/>
                <w:color w:val="auto"/>
                <w:w w:val="98"/>
              </w:rPr>
              <w:t>Wednesday, June 8, 2022</w:t>
            </w:r>
          </w:p>
        </w:tc>
        <w:tc>
          <w:tcPr>
            <w:tcW w:w="5140" w:type="dxa"/>
            <w:vAlign w:val="bottom"/>
            <w:shd w:val="clear" w:color="auto" w:fill="E5E5E5"/>
          </w:tcPr>
          <w:p>
            <w:pPr>
              <w:jc w:val="center"/>
              <w:ind w:right="151"/>
              <w:spacing w:after="0" w:line="201" w:lineRule="exact"/>
              <w:rPr>
                <w:sz w:val="20"/>
                <w:szCs w:val="20"/>
                <w:color w:val="auto"/>
              </w:rPr>
            </w:pPr>
            <w:r>
              <w:rPr>
                <w:rFonts w:ascii="Arial" w:cs="Arial" w:eastAsia="Arial" w:hAnsi="Arial"/>
                <w:sz w:val="18"/>
                <w:szCs w:val="18"/>
                <w:color w:val="auto"/>
                <w:w w:val="98"/>
              </w:rPr>
              <w:t>www.virtualshareholdermeeting.com/PARA2022</w:t>
            </w:r>
          </w:p>
        </w:tc>
        <w:tc>
          <w:tcPr>
            <w:tcW w:w="2760" w:type="dxa"/>
            <w:vAlign w:val="bottom"/>
            <w:shd w:val="clear" w:color="auto" w:fill="E5E5E5"/>
          </w:tcPr>
          <w:p>
            <w:pPr>
              <w:ind w:left="800"/>
              <w:spacing w:after="0" w:line="201" w:lineRule="exact"/>
              <w:rPr>
                <w:sz w:val="20"/>
                <w:szCs w:val="20"/>
                <w:color w:val="auto"/>
              </w:rPr>
            </w:pPr>
            <w:r>
              <w:rPr>
                <w:rFonts w:ascii="Arial" w:cs="Arial" w:eastAsia="Arial" w:hAnsi="Arial"/>
                <w:sz w:val="18"/>
                <w:szCs w:val="18"/>
                <w:color w:val="auto"/>
              </w:rPr>
              <w:t>April 11, 2022</w:t>
            </w:r>
          </w:p>
        </w:tc>
      </w:tr>
      <w:tr>
        <w:trPr>
          <w:trHeight w:val="235"/>
        </w:trPr>
        <w:tc>
          <w:tcPr>
            <w:tcW w:w="3020" w:type="dxa"/>
            <w:vAlign w:val="bottom"/>
            <w:shd w:val="clear" w:color="auto" w:fill="E5E5E5"/>
          </w:tcPr>
          <w:p>
            <w:pPr>
              <w:jc w:val="center"/>
              <w:ind w:right="71"/>
              <w:spacing w:after="0"/>
              <w:rPr>
                <w:sz w:val="20"/>
                <w:szCs w:val="20"/>
                <w:color w:val="auto"/>
              </w:rPr>
            </w:pPr>
            <w:r>
              <w:rPr>
                <w:rFonts w:ascii="Arial" w:cs="Arial" w:eastAsia="Arial" w:hAnsi="Arial"/>
                <w:sz w:val="18"/>
                <w:szCs w:val="18"/>
                <w:color w:val="auto"/>
                <w:w w:val="98"/>
              </w:rPr>
              <w:t>at 9:30 a.m. EDT</w:t>
            </w:r>
          </w:p>
        </w:tc>
        <w:tc>
          <w:tcPr>
            <w:tcW w:w="5140" w:type="dxa"/>
            <w:vAlign w:val="bottom"/>
            <w:shd w:val="clear" w:color="auto" w:fill="E5E5E5"/>
          </w:tcPr>
          <w:p>
            <w:pPr>
              <w:spacing w:after="0"/>
              <w:rPr>
                <w:sz w:val="20"/>
                <w:szCs w:val="20"/>
                <w:color w:val="auto"/>
              </w:rPr>
            </w:pPr>
          </w:p>
        </w:tc>
        <w:tc>
          <w:tcPr>
            <w:tcW w:w="2760" w:type="dxa"/>
            <w:vAlign w:val="bottom"/>
            <w:shd w:val="clear" w:color="auto" w:fill="E5E5E5"/>
          </w:tcPr>
          <w:p>
            <w:pPr>
              <w:spacing w:after="0"/>
              <w:rPr>
                <w:sz w:val="20"/>
                <w:szCs w:val="20"/>
                <w:color w:val="auto"/>
              </w:rPr>
            </w:pPr>
          </w:p>
        </w:tc>
      </w:tr>
      <w:tr>
        <w:trPr>
          <w:trHeight w:val="118"/>
        </w:trPr>
        <w:tc>
          <w:tcPr>
            <w:tcW w:w="3020" w:type="dxa"/>
            <w:vAlign w:val="bottom"/>
            <w:shd w:val="clear" w:color="auto" w:fill="E5E5E5"/>
          </w:tcPr>
          <w:p>
            <w:pPr>
              <w:spacing w:after="0"/>
              <w:rPr>
                <w:sz w:val="10"/>
                <w:szCs w:val="10"/>
                <w:color w:val="auto"/>
              </w:rPr>
            </w:pPr>
          </w:p>
        </w:tc>
        <w:tc>
          <w:tcPr>
            <w:tcW w:w="5140" w:type="dxa"/>
            <w:vAlign w:val="bottom"/>
            <w:shd w:val="clear" w:color="auto" w:fill="E5E5E5"/>
          </w:tcPr>
          <w:p>
            <w:pPr>
              <w:spacing w:after="0"/>
              <w:rPr>
                <w:sz w:val="10"/>
                <w:szCs w:val="10"/>
                <w:color w:val="auto"/>
              </w:rPr>
            </w:pPr>
          </w:p>
        </w:tc>
        <w:tc>
          <w:tcPr>
            <w:tcW w:w="2760" w:type="dxa"/>
            <w:vAlign w:val="bottom"/>
            <w:shd w:val="clear" w:color="auto" w:fill="E5E5E5"/>
          </w:tcPr>
          <w:p>
            <w:pPr>
              <w:spacing w:after="0"/>
              <w:rPr>
                <w:sz w:val="10"/>
                <w:szCs w:val="10"/>
                <w:color w:val="auto"/>
              </w:rPr>
            </w:pPr>
          </w:p>
        </w:tc>
      </w:tr>
    </w:tbl>
    <w:p>
      <w:pPr>
        <w:spacing w:after="0" w:line="299" w:lineRule="exact"/>
        <w:rPr>
          <w:sz w:val="20"/>
          <w:szCs w:val="20"/>
          <w:color w:val="auto"/>
        </w:rPr>
      </w:pPr>
    </w:p>
    <w:p>
      <w:pPr>
        <w:ind w:left="160"/>
        <w:spacing w:after="0"/>
        <w:rPr>
          <w:sz w:val="20"/>
          <w:szCs w:val="20"/>
          <w:color w:val="auto"/>
        </w:rPr>
      </w:pPr>
      <w:r>
        <w:rPr>
          <w:rFonts w:ascii="Arial" w:cs="Arial" w:eastAsia="Arial" w:hAnsi="Arial"/>
          <w:sz w:val="20"/>
          <w:szCs w:val="20"/>
          <w:color w:val="auto"/>
        </w:rPr>
        <w:t>HOW TO VOTE</w:t>
      </w:r>
    </w:p>
    <w:p>
      <w:pPr>
        <w:spacing w:after="0" w:line="161" w:lineRule="exact"/>
        <w:rPr>
          <w:sz w:val="20"/>
          <w:szCs w:val="20"/>
          <w:color w:val="auto"/>
        </w:rPr>
      </w:pPr>
    </w:p>
    <w:p>
      <w:pPr>
        <w:ind w:left="160" w:right="300"/>
        <w:spacing w:after="0" w:line="265" w:lineRule="auto"/>
        <w:rPr>
          <w:sz w:val="20"/>
          <w:szCs w:val="20"/>
          <w:color w:val="auto"/>
        </w:rPr>
      </w:pPr>
      <w:r>
        <w:rPr>
          <w:rFonts w:ascii="Arial" w:cs="Arial" w:eastAsia="Arial" w:hAnsi="Arial"/>
          <w:sz w:val="18"/>
          <w:szCs w:val="18"/>
          <w:color w:val="auto"/>
        </w:rPr>
        <w:t>If you are a stockholder of record, you may vote during the Annual Meeting by following the instructions on the Annual Meeting website once you enter the meeting, or by proxy using any of the following methods:</w:t>
      </w:r>
    </w:p>
    <w:p>
      <w:pPr>
        <w:spacing w:after="0" w:line="158" w:lineRule="exact"/>
        <w:rPr>
          <w:sz w:val="20"/>
          <w:szCs w:val="20"/>
          <w:color w:val="auto"/>
        </w:rPr>
      </w:pPr>
    </w:p>
    <w:tbl>
      <w:tblPr>
        <w:tblLayout w:type="fixed"/>
        <w:tblInd w:w="1320" w:type="dxa"/>
        <w:tblCellMar>
          <w:top w:w="0" w:type="dxa"/>
          <w:left w:w="0" w:type="dxa"/>
          <w:bottom w:w="0" w:type="dxa"/>
          <w:right w:w="0" w:type="dxa"/>
        </w:tblCellMar>
      </w:tblPr>
      <w:tr>
        <w:trPr>
          <w:trHeight w:val="241"/>
        </w:trPr>
        <w:tc>
          <w:tcPr>
            <w:tcW w:w="3720" w:type="dxa"/>
            <w:vAlign w:val="bottom"/>
          </w:tcPr>
          <w:p>
            <w:pPr>
              <w:spacing w:after="0"/>
              <w:rPr>
                <w:sz w:val="20"/>
                <w:szCs w:val="20"/>
                <w:color w:val="auto"/>
              </w:rPr>
            </w:pPr>
            <w:r>
              <w:rPr>
                <w:rFonts w:ascii="Arial" w:cs="Arial" w:eastAsia="Arial" w:hAnsi="Arial"/>
                <w:sz w:val="18"/>
                <w:szCs w:val="18"/>
                <w:b w:val="1"/>
                <w:bCs w:val="1"/>
                <w:color w:val="051D49"/>
              </w:rPr>
              <w:t>By Internet:</w:t>
            </w:r>
          </w:p>
        </w:tc>
        <w:tc>
          <w:tcPr>
            <w:tcW w:w="5760" w:type="dxa"/>
            <w:vAlign w:val="bottom"/>
          </w:tcPr>
          <w:p>
            <w:pPr>
              <w:ind w:left="1480"/>
              <w:spacing w:after="0"/>
              <w:rPr>
                <w:sz w:val="20"/>
                <w:szCs w:val="20"/>
                <w:color w:val="auto"/>
              </w:rPr>
            </w:pPr>
            <w:r>
              <w:rPr>
                <w:rFonts w:ascii="Arial" w:cs="Arial" w:eastAsia="Arial" w:hAnsi="Arial"/>
                <w:sz w:val="18"/>
                <w:szCs w:val="18"/>
                <w:b w:val="1"/>
                <w:bCs w:val="1"/>
                <w:color w:val="051D49"/>
              </w:rPr>
              <w:t>By mail:</w:t>
            </w:r>
          </w:p>
        </w:tc>
        <w:tc>
          <w:tcPr>
            <w:tcW w:w="0" w:type="dxa"/>
            <w:vAlign w:val="bottom"/>
          </w:tcPr>
          <w:p>
            <w:pPr>
              <w:spacing w:after="0"/>
              <w:rPr>
                <w:sz w:val="1"/>
                <w:szCs w:val="1"/>
                <w:color w:val="auto"/>
              </w:rPr>
            </w:pPr>
          </w:p>
        </w:tc>
      </w:tr>
      <w:tr>
        <w:trPr>
          <w:trHeight w:val="201"/>
        </w:trPr>
        <w:tc>
          <w:tcPr>
            <w:tcW w:w="3720" w:type="dxa"/>
            <w:vAlign w:val="bottom"/>
          </w:tcPr>
          <w:p>
            <w:pPr>
              <w:spacing w:after="0" w:line="201" w:lineRule="exact"/>
              <w:rPr>
                <w:sz w:val="20"/>
                <w:szCs w:val="20"/>
                <w:color w:val="auto"/>
              </w:rPr>
            </w:pPr>
            <w:r>
              <w:rPr>
                <w:rFonts w:ascii="Arial" w:cs="Arial" w:eastAsia="Arial" w:hAnsi="Arial"/>
                <w:sz w:val="18"/>
                <w:szCs w:val="18"/>
                <w:color w:val="auto"/>
              </w:rPr>
              <w:t>at www.proxyvote.com</w:t>
            </w:r>
          </w:p>
        </w:tc>
        <w:tc>
          <w:tcPr>
            <w:tcW w:w="5760" w:type="dxa"/>
            <w:vAlign w:val="bottom"/>
          </w:tcPr>
          <w:p>
            <w:pPr>
              <w:ind w:left="1480"/>
              <w:spacing w:after="0" w:line="201" w:lineRule="exact"/>
              <w:rPr>
                <w:sz w:val="20"/>
                <w:szCs w:val="20"/>
                <w:color w:val="auto"/>
              </w:rPr>
            </w:pPr>
            <w:r>
              <w:rPr>
                <w:rFonts w:ascii="Arial" w:cs="Arial" w:eastAsia="Arial" w:hAnsi="Arial"/>
                <w:sz w:val="18"/>
                <w:szCs w:val="18"/>
                <w:color w:val="auto"/>
                <w:w w:val="98"/>
              </w:rPr>
              <w:t>If you receive a paper copy of the proxy materials, you</w:t>
            </w:r>
          </w:p>
        </w:tc>
        <w:tc>
          <w:tcPr>
            <w:tcW w:w="0" w:type="dxa"/>
            <w:vAlign w:val="bottom"/>
          </w:tcPr>
          <w:p>
            <w:pPr>
              <w:spacing w:after="0"/>
              <w:rPr>
                <w:sz w:val="1"/>
                <w:szCs w:val="1"/>
                <w:color w:val="auto"/>
              </w:rPr>
            </w:pPr>
          </w:p>
        </w:tc>
      </w:tr>
      <w:tr>
        <w:trPr>
          <w:trHeight w:val="201"/>
        </w:trPr>
        <w:tc>
          <w:tcPr>
            <w:tcW w:w="3720" w:type="dxa"/>
            <w:vAlign w:val="bottom"/>
          </w:tcPr>
          <w:p>
            <w:pPr>
              <w:spacing w:after="0"/>
              <w:rPr>
                <w:sz w:val="17"/>
                <w:szCs w:val="17"/>
                <w:color w:val="auto"/>
              </w:rPr>
            </w:pPr>
          </w:p>
        </w:tc>
        <w:tc>
          <w:tcPr>
            <w:tcW w:w="5760" w:type="dxa"/>
            <w:vAlign w:val="bottom"/>
          </w:tcPr>
          <w:p>
            <w:pPr>
              <w:ind w:left="1480"/>
              <w:spacing w:after="0" w:line="201" w:lineRule="exact"/>
              <w:rPr>
                <w:sz w:val="20"/>
                <w:szCs w:val="20"/>
                <w:color w:val="auto"/>
              </w:rPr>
            </w:pPr>
            <w:r>
              <w:rPr>
                <w:rFonts w:ascii="Arial" w:cs="Arial" w:eastAsia="Arial" w:hAnsi="Arial"/>
                <w:sz w:val="18"/>
                <w:szCs w:val="18"/>
                <w:color w:val="auto"/>
              </w:rPr>
              <w:t>may also vote by completing, signing, dating and</w:t>
            </w:r>
          </w:p>
        </w:tc>
        <w:tc>
          <w:tcPr>
            <w:tcW w:w="0" w:type="dxa"/>
            <w:vAlign w:val="bottom"/>
          </w:tcPr>
          <w:p>
            <w:pPr>
              <w:spacing w:after="0"/>
              <w:rPr>
                <w:sz w:val="1"/>
                <w:szCs w:val="1"/>
                <w:color w:val="auto"/>
              </w:rPr>
            </w:pPr>
          </w:p>
        </w:tc>
      </w:tr>
      <w:tr>
        <w:trPr>
          <w:trHeight w:val="235"/>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051D49"/>
              </w:rPr>
              <w:t>By telephone:</w:t>
            </w:r>
          </w:p>
        </w:tc>
        <w:tc>
          <w:tcPr>
            <w:tcW w:w="5760" w:type="dxa"/>
            <w:vAlign w:val="bottom"/>
          </w:tcPr>
          <w:p>
            <w:pPr>
              <w:ind w:left="1480"/>
              <w:spacing w:after="0"/>
              <w:rPr>
                <w:sz w:val="20"/>
                <w:szCs w:val="20"/>
                <w:color w:val="auto"/>
              </w:rPr>
            </w:pPr>
            <w:r>
              <w:rPr>
                <w:rFonts w:ascii="Arial" w:cs="Arial" w:eastAsia="Arial" w:hAnsi="Arial"/>
                <w:sz w:val="18"/>
                <w:szCs w:val="18"/>
                <w:color w:val="auto"/>
              </w:rPr>
              <w:t>returning the proxy card by mail.</w:t>
            </w:r>
          </w:p>
        </w:tc>
        <w:tc>
          <w:tcPr>
            <w:tcW w:w="0" w:type="dxa"/>
            <w:vAlign w:val="bottom"/>
          </w:tcPr>
          <w:p>
            <w:pPr>
              <w:spacing w:after="0"/>
              <w:rPr>
                <w:sz w:val="1"/>
                <w:szCs w:val="1"/>
                <w:color w:val="auto"/>
              </w:rPr>
            </w:pPr>
          </w:p>
        </w:tc>
      </w:tr>
      <w:tr>
        <w:trPr>
          <w:trHeight w:val="219"/>
        </w:trPr>
        <w:tc>
          <w:tcPr>
            <w:tcW w:w="3720" w:type="dxa"/>
            <w:vAlign w:val="bottom"/>
            <w:vMerge w:val="continue"/>
          </w:tcPr>
          <w:p>
            <w:pPr>
              <w:spacing w:after="0"/>
              <w:rPr>
                <w:sz w:val="19"/>
                <w:szCs w:val="19"/>
                <w:color w:val="auto"/>
              </w:rPr>
            </w:pPr>
          </w:p>
        </w:tc>
        <w:tc>
          <w:tcPr>
            <w:tcW w:w="5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720" w:type="dxa"/>
            <w:vAlign w:val="bottom"/>
          </w:tcPr>
          <w:p>
            <w:pPr>
              <w:spacing w:after="0"/>
              <w:rPr>
                <w:sz w:val="20"/>
                <w:szCs w:val="20"/>
                <w:color w:val="auto"/>
              </w:rPr>
            </w:pPr>
            <w:r>
              <w:rPr>
                <w:rFonts w:ascii="Arial" w:cs="Arial" w:eastAsia="Arial" w:hAnsi="Arial"/>
                <w:sz w:val="18"/>
                <w:szCs w:val="18"/>
                <w:color w:val="auto"/>
              </w:rPr>
              <w:t>call toll-free 1-800-690-6903</w:t>
            </w:r>
          </w:p>
        </w:tc>
        <w:tc>
          <w:tcPr>
            <w:tcW w:w="5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-833120</wp:posOffset>
            </wp:positionV>
            <wp:extent cx="254635" cy="229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4635" cy="22923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-782320</wp:posOffset>
            </wp:positionV>
            <wp:extent cx="246380" cy="169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6380" cy="169545"/>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-289560</wp:posOffset>
            </wp:positionV>
            <wp:extent cx="254635" cy="2463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4635" cy="246380"/>
                    </a:xfrm>
                    <a:prstGeom prst="rect">
                      <a:avLst/>
                    </a:prstGeom>
                    <a:noFill/>
                  </pic:spPr>
                </pic:pic>
              </a:graphicData>
            </a:graphic>
          </wp:anchor>
        </w:drawing>
      </w:r>
    </w:p>
    <w:p>
      <w:pPr>
        <w:spacing w:after="0" w:line="133" w:lineRule="exact"/>
        <w:rPr>
          <w:sz w:val="20"/>
          <w:szCs w:val="20"/>
          <w:color w:val="auto"/>
        </w:rPr>
      </w:pPr>
    </w:p>
    <w:p>
      <w:pPr>
        <w:jc w:val="both"/>
        <w:ind w:left="160" w:right="280"/>
        <w:spacing w:after="0" w:line="265" w:lineRule="auto"/>
        <w:rPr>
          <w:sz w:val="20"/>
          <w:szCs w:val="20"/>
          <w:color w:val="auto"/>
        </w:rPr>
      </w:pPr>
      <w:r>
        <w:rPr>
          <w:rFonts w:ascii="Arial" w:cs="Arial" w:eastAsia="Arial" w:hAnsi="Arial"/>
          <w:sz w:val="18"/>
          <w:szCs w:val="18"/>
          <w:color w:val="auto"/>
        </w:rPr>
        <w:t>Votes submitted by Internet or phone must be received by 11:59 p.m., Eastern Daylight Time, on June 7, 2022. Votes submitted by mail must be received prior to the Annual Meeting. Please see “Voting and Solicitation of Proxies” for detailed voting instructions.</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VOTING MATTERS AND BOARD RECOMMENDATIONS</w:t>
      </w:r>
    </w:p>
    <w:p>
      <w:pPr>
        <w:spacing w:after="0" w:line="367"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480" w:type="dxa"/>
            <w:vAlign w:val="bottom"/>
            <w:shd w:val="clear" w:color="auto" w:fill="E5E5E5"/>
          </w:tcPr>
          <w:p>
            <w:pPr>
              <w:spacing w:after="0"/>
              <w:rPr>
                <w:sz w:val="20"/>
                <w:szCs w:val="20"/>
                <w:color w:val="auto"/>
              </w:rPr>
            </w:pPr>
          </w:p>
        </w:tc>
        <w:tc>
          <w:tcPr>
            <w:tcW w:w="5960" w:type="dxa"/>
            <w:vAlign w:val="bottom"/>
            <w:shd w:val="clear" w:color="auto" w:fill="E5E5E5"/>
          </w:tcPr>
          <w:p>
            <w:pPr>
              <w:spacing w:after="0"/>
              <w:rPr>
                <w:sz w:val="20"/>
                <w:szCs w:val="20"/>
                <w:color w:val="auto"/>
              </w:rPr>
            </w:pPr>
          </w:p>
        </w:tc>
        <w:tc>
          <w:tcPr>
            <w:tcW w:w="2200" w:type="dxa"/>
            <w:vAlign w:val="bottom"/>
            <w:shd w:val="clear" w:color="auto" w:fill="E5E5E5"/>
          </w:tcPr>
          <w:p>
            <w:pPr>
              <w:jc w:val="center"/>
              <w:ind w:left="154"/>
              <w:spacing w:after="0"/>
              <w:rPr>
                <w:sz w:val="20"/>
                <w:szCs w:val="20"/>
                <w:color w:val="auto"/>
              </w:rPr>
            </w:pPr>
            <w:r>
              <w:rPr>
                <w:rFonts w:ascii="Arial" w:cs="Arial" w:eastAsia="Arial" w:hAnsi="Arial"/>
                <w:sz w:val="16"/>
                <w:szCs w:val="16"/>
                <w:color w:val="051D49"/>
                <w:w w:val="99"/>
              </w:rPr>
              <w:t>Board Vote</w:t>
            </w:r>
          </w:p>
        </w:tc>
        <w:tc>
          <w:tcPr>
            <w:tcW w:w="2100" w:type="dxa"/>
            <w:vAlign w:val="bottom"/>
            <w:shd w:val="clear" w:color="auto" w:fill="E5E5E5"/>
          </w:tcPr>
          <w:p>
            <w:pPr>
              <w:jc w:val="center"/>
              <w:ind w:left="777"/>
              <w:spacing w:after="0"/>
              <w:rPr>
                <w:sz w:val="20"/>
                <w:szCs w:val="20"/>
                <w:color w:val="auto"/>
              </w:rPr>
            </w:pPr>
            <w:r>
              <w:rPr>
                <w:rFonts w:ascii="Arial" w:cs="Arial" w:eastAsia="Arial" w:hAnsi="Arial"/>
                <w:sz w:val="16"/>
                <w:szCs w:val="16"/>
                <w:color w:val="051D49"/>
              </w:rPr>
              <w:t>Page Reference</w:t>
            </w:r>
          </w:p>
        </w:tc>
        <w:tc>
          <w:tcPr>
            <w:tcW w:w="18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shd w:val="clear" w:color="auto" w:fill="E5E5E5"/>
          </w:tcPr>
          <w:p>
            <w:pPr>
              <w:jc w:val="right"/>
              <w:spacing w:after="0"/>
              <w:rPr>
                <w:sz w:val="20"/>
                <w:szCs w:val="20"/>
                <w:color w:val="auto"/>
              </w:rPr>
            </w:pPr>
            <w:r>
              <w:rPr>
                <w:rFonts w:ascii="Arial" w:cs="Arial" w:eastAsia="Arial" w:hAnsi="Arial"/>
                <w:sz w:val="16"/>
                <w:szCs w:val="16"/>
                <w:color w:val="051D49"/>
              </w:rPr>
              <w:t>Item</w:t>
            </w:r>
          </w:p>
        </w:tc>
        <w:tc>
          <w:tcPr>
            <w:tcW w:w="5960" w:type="dxa"/>
            <w:vAlign w:val="bottom"/>
            <w:shd w:val="clear" w:color="auto" w:fill="E5E5E5"/>
          </w:tcPr>
          <w:p>
            <w:pPr>
              <w:ind w:left="100"/>
              <w:spacing w:after="0"/>
              <w:rPr>
                <w:sz w:val="20"/>
                <w:szCs w:val="20"/>
                <w:color w:val="auto"/>
              </w:rPr>
            </w:pPr>
            <w:r>
              <w:rPr>
                <w:rFonts w:ascii="Arial" w:cs="Arial" w:eastAsia="Arial" w:hAnsi="Arial"/>
                <w:sz w:val="16"/>
                <w:szCs w:val="16"/>
                <w:color w:val="051D49"/>
              </w:rPr>
              <w:t>Description</w:t>
            </w:r>
          </w:p>
        </w:tc>
        <w:tc>
          <w:tcPr>
            <w:tcW w:w="2200" w:type="dxa"/>
            <w:vAlign w:val="bottom"/>
            <w:shd w:val="clear" w:color="auto" w:fill="E5E5E5"/>
          </w:tcPr>
          <w:p>
            <w:pPr>
              <w:jc w:val="center"/>
              <w:ind w:left="134"/>
              <w:spacing w:after="0"/>
              <w:rPr>
                <w:sz w:val="20"/>
                <w:szCs w:val="20"/>
                <w:color w:val="auto"/>
              </w:rPr>
            </w:pPr>
            <w:r>
              <w:rPr>
                <w:rFonts w:ascii="Arial" w:cs="Arial" w:eastAsia="Arial" w:hAnsi="Arial"/>
                <w:sz w:val="16"/>
                <w:szCs w:val="16"/>
                <w:color w:val="051D49"/>
              </w:rPr>
              <w:t>Recommendation</w:t>
            </w:r>
          </w:p>
        </w:tc>
        <w:tc>
          <w:tcPr>
            <w:tcW w:w="2100" w:type="dxa"/>
            <w:vAlign w:val="bottom"/>
            <w:shd w:val="clear" w:color="auto" w:fill="E5E5E5"/>
          </w:tcPr>
          <w:p>
            <w:pPr>
              <w:jc w:val="center"/>
              <w:ind w:left="797"/>
              <w:spacing w:after="0"/>
              <w:rPr>
                <w:sz w:val="20"/>
                <w:szCs w:val="20"/>
                <w:color w:val="auto"/>
              </w:rPr>
            </w:pPr>
            <w:r>
              <w:rPr>
                <w:rFonts w:ascii="Arial" w:cs="Arial" w:eastAsia="Arial" w:hAnsi="Arial"/>
                <w:sz w:val="16"/>
                <w:szCs w:val="16"/>
                <w:color w:val="051D49"/>
              </w:rPr>
              <w:t>(for more detail)</w:t>
            </w:r>
          </w:p>
        </w:tc>
        <w:tc>
          <w:tcPr>
            <w:tcW w:w="18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80" w:type="dxa"/>
            <w:vAlign w:val="bottom"/>
            <w:vMerge w:val="restart"/>
          </w:tcPr>
          <w:p>
            <w:pPr>
              <w:jc w:val="right"/>
              <w:ind w:right="86"/>
              <w:spacing w:after="0"/>
              <w:rPr>
                <w:sz w:val="20"/>
                <w:szCs w:val="20"/>
                <w:color w:val="auto"/>
              </w:rPr>
            </w:pPr>
            <w:r>
              <w:rPr>
                <w:rFonts w:ascii="Arial" w:cs="Arial" w:eastAsia="Arial" w:hAnsi="Arial"/>
                <w:sz w:val="20"/>
                <w:szCs w:val="20"/>
                <w:b w:val="1"/>
                <w:bCs w:val="1"/>
                <w:color w:val="051D49"/>
              </w:rPr>
              <w:t>1</w:t>
            </w:r>
          </w:p>
        </w:tc>
        <w:tc>
          <w:tcPr>
            <w:tcW w:w="5960" w:type="dxa"/>
            <w:vAlign w:val="bottom"/>
            <w:vMerge w:val="restart"/>
          </w:tcPr>
          <w:p>
            <w:pPr>
              <w:ind w:left="100"/>
              <w:spacing w:after="0"/>
              <w:rPr>
                <w:sz w:val="20"/>
                <w:szCs w:val="20"/>
                <w:color w:val="auto"/>
              </w:rPr>
            </w:pPr>
            <w:r>
              <w:rPr>
                <w:rFonts w:ascii="Arial" w:cs="Arial" w:eastAsia="Arial" w:hAnsi="Arial"/>
                <w:sz w:val="18"/>
                <w:szCs w:val="18"/>
                <w:color w:val="auto"/>
              </w:rPr>
              <w:t>The election of 12 directors</w:t>
            </w:r>
          </w:p>
        </w:tc>
        <w:tc>
          <w:tcPr>
            <w:tcW w:w="2200" w:type="dxa"/>
            <w:vAlign w:val="bottom"/>
          </w:tcPr>
          <w:p>
            <w:pPr>
              <w:jc w:val="center"/>
              <w:ind w:left="154"/>
              <w:spacing w:after="0"/>
              <w:rPr>
                <w:sz w:val="20"/>
                <w:szCs w:val="20"/>
                <w:color w:val="auto"/>
              </w:rPr>
            </w:pPr>
            <w:r>
              <w:rPr>
                <w:rFonts w:ascii="Arial" w:cs="Arial" w:eastAsia="Arial" w:hAnsi="Arial"/>
                <w:sz w:val="18"/>
                <w:szCs w:val="18"/>
                <w:b w:val="1"/>
                <w:bCs w:val="1"/>
                <w:color w:val="auto"/>
                <w:w w:val="98"/>
              </w:rPr>
              <w:t>FOR each of</w:t>
            </w:r>
          </w:p>
        </w:tc>
        <w:tc>
          <w:tcPr>
            <w:tcW w:w="2100" w:type="dxa"/>
            <w:vAlign w:val="bottom"/>
            <w:vMerge w:val="restart"/>
          </w:tcPr>
          <w:p>
            <w:pPr>
              <w:jc w:val="center"/>
              <w:ind w:left="777"/>
              <w:spacing w:after="0"/>
              <w:rPr>
                <w:sz w:val="20"/>
                <w:szCs w:val="20"/>
                <w:color w:val="auto"/>
              </w:rPr>
            </w:pPr>
            <w:r>
              <w:rPr>
                <w:rFonts w:ascii="Arial" w:cs="Arial" w:eastAsia="Arial" w:hAnsi="Arial"/>
                <w:sz w:val="18"/>
                <w:szCs w:val="18"/>
                <w:b w:val="1"/>
                <w:bCs w:val="1"/>
                <w:color w:val="auto"/>
                <w:w w:val="99"/>
              </w:rPr>
              <w:t>24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480" w:type="dxa"/>
            <w:vAlign w:val="bottom"/>
            <w:vMerge w:val="continue"/>
          </w:tcPr>
          <w:p>
            <w:pPr>
              <w:spacing w:after="0"/>
              <w:rPr>
                <w:sz w:val="13"/>
                <w:szCs w:val="13"/>
                <w:color w:val="auto"/>
              </w:rPr>
            </w:pPr>
          </w:p>
        </w:tc>
        <w:tc>
          <w:tcPr>
            <w:tcW w:w="5960" w:type="dxa"/>
            <w:vAlign w:val="bottom"/>
            <w:vMerge w:val="continue"/>
          </w:tcPr>
          <w:p>
            <w:pPr>
              <w:spacing w:after="0"/>
              <w:rPr>
                <w:sz w:val="13"/>
                <w:szCs w:val="13"/>
                <w:color w:val="auto"/>
              </w:rPr>
            </w:pPr>
          </w:p>
        </w:tc>
        <w:tc>
          <w:tcPr>
            <w:tcW w:w="2200" w:type="dxa"/>
            <w:vAlign w:val="bottom"/>
            <w:vMerge w:val="restart"/>
          </w:tcPr>
          <w:p>
            <w:pPr>
              <w:jc w:val="center"/>
              <w:ind w:left="134"/>
              <w:spacing w:after="0"/>
              <w:rPr>
                <w:sz w:val="20"/>
                <w:szCs w:val="20"/>
                <w:color w:val="auto"/>
              </w:rPr>
            </w:pPr>
            <w:r>
              <w:rPr>
                <w:rFonts w:ascii="Arial" w:cs="Arial" w:eastAsia="Arial" w:hAnsi="Arial"/>
                <w:sz w:val="18"/>
                <w:szCs w:val="18"/>
                <w:b w:val="1"/>
                <w:bCs w:val="1"/>
                <w:color w:val="auto"/>
                <w:w w:val="98"/>
              </w:rPr>
              <w:t>the director nominees</w:t>
            </w:r>
          </w:p>
        </w:tc>
        <w:tc>
          <w:tcPr>
            <w:tcW w:w="21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480" w:type="dxa"/>
            <w:vAlign w:val="bottom"/>
            <w:tcBorders>
              <w:bottom w:val="single" w:sz="8" w:color="051D49"/>
            </w:tcBorders>
          </w:tcPr>
          <w:p>
            <w:pPr>
              <w:spacing w:after="0"/>
              <w:rPr>
                <w:sz w:val="8"/>
                <w:szCs w:val="8"/>
                <w:color w:val="auto"/>
              </w:rPr>
            </w:pPr>
          </w:p>
        </w:tc>
        <w:tc>
          <w:tcPr>
            <w:tcW w:w="5960" w:type="dxa"/>
            <w:vAlign w:val="bottom"/>
            <w:tcBorders>
              <w:bottom w:val="single" w:sz="8" w:color="051D49"/>
            </w:tcBorders>
          </w:tcPr>
          <w:p>
            <w:pPr>
              <w:spacing w:after="0"/>
              <w:rPr>
                <w:sz w:val="8"/>
                <w:szCs w:val="8"/>
                <w:color w:val="auto"/>
              </w:rPr>
            </w:pPr>
          </w:p>
        </w:tc>
        <w:tc>
          <w:tcPr>
            <w:tcW w:w="2200" w:type="dxa"/>
            <w:vAlign w:val="bottom"/>
            <w:tcBorders>
              <w:bottom w:val="single" w:sz="8" w:color="051D49"/>
            </w:tcBorders>
            <w:vMerge w:val="continue"/>
          </w:tcPr>
          <w:p>
            <w:pPr>
              <w:spacing w:after="0"/>
              <w:rPr>
                <w:sz w:val="8"/>
                <w:szCs w:val="8"/>
                <w:color w:val="auto"/>
              </w:rPr>
            </w:pPr>
          </w:p>
        </w:tc>
        <w:tc>
          <w:tcPr>
            <w:tcW w:w="2100" w:type="dxa"/>
            <w:vAlign w:val="bottom"/>
            <w:tcBorders>
              <w:bottom w:val="single" w:sz="8" w:color="051D49"/>
            </w:tcBorders>
          </w:tcPr>
          <w:p>
            <w:pPr>
              <w:spacing w:after="0"/>
              <w:rPr>
                <w:sz w:val="8"/>
                <w:szCs w:val="8"/>
                <w:color w:val="auto"/>
              </w:rPr>
            </w:pPr>
          </w:p>
        </w:tc>
        <w:tc>
          <w:tcPr>
            <w:tcW w:w="180" w:type="dxa"/>
            <w:vAlign w:val="bottom"/>
            <w:tcBorders>
              <w:bottom w:val="single" w:sz="8" w:color="051D49"/>
            </w:tcBorders>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480" w:type="dxa"/>
            <w:vAlign w:val="bottom"/>
            <w:vMerge w:val="restart"/>
          </w:tcPr>
          <w:p>
            <w:pPr>
              <w:jc w:val="right"/>
              <w:ind w:right="86"/>
              <w:spacing w:after="0"/>
              <w:rPr>
                <w:sz w:val="20"/>
                <w:szCs w:val="20"/>
                <w:color w:val="auto"/>
              </w:rPr>
            </w:pPr>
            <w:r>
              <w:rPr>
                <w:rFonts w:ascii="Arial" w:cs="Arial" w:eastAsia="Arial" w:hAnsi="Arial"/>
                <w:sz w:val="20"/>
                <w:szCs w:val="20"/>
                <w:b w:val="1"/>
                <w:bCs w:val="1"/>
                <w:color w:val="051D49"/>
              </w:rPr>
              <w:t>2</w:t>
            </w:r>
          </w:p>
        </w:tc>
        <w:tc>
          <w:tcPr>
            <w:tcW w:w="5960" w:type="dxa"/>
            <w:vAlign w:val="bottom"/>
          </w:tcPr>
          <w:p>
            <w:pPr>
              <w:ind w:left="100"/>
              <w:spacing w:after="0"/>
              <w:rPr>
                <w:sz w:val="20"/>
                <w:szCs w:val="20"/>
                <w:color w:val="auto"/>
              </w:rPr>
            </w:pPr>
            <w:r>
              <w:rPr>
                <w:rFonts w:ascii="Arial" w:cs="Arial" w:eastAsia="Arial" w:hAnsi="Arial"/>
                <w:sz w:val="18"/>
                <w:szCs w:val="18"/>
                <w:color w:val="auto"/>
              </w:rPr>
              <w:t>The ratification of the appointment of PricewaterhouseCoopers LLP</w:t>
            </w:r>
          </w:p>
        </w:tc>
        <w:tc>
          <w:tcPr>
            <w:tcW w:w="2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80" w:type="dxa"/>
            <w:vAlign w:val="bottom"/>
            <w:vMerge w:val="continue"/>
          </w:tcPr>
          <w:p>
            <w:pPr>
              <w:spacing w:after="0"/>
              <w:rPr>
                <w:sz w:val="17"/>
                <w:szCs w:val="17"/>
                <w:color w:val="auto"/>
              </w:rPr>
            </w:pPr>
          </w:p>
        </w:tc>
        <w:tc>
          <w:tcPr>
            <w:tcW w:w="5960" w:type="dxa"/>
            <w:vAlign w:val="bottom"/>
          </w:tcPr>
          <w:p>
            <w:pPr>
              <w:ind w:left="100"/>
              <w:spacing w:after="0" w:line="201" w:lineRule="exact"/>
              <w:rPr>
                <w:sz w:val="20"/>
                <w:szCs w:val="20"/>
                <w:color w:val="auto"/>
              </w:rPr>
            </w:pPr>
            <w:r>
              <w:rPr>
                <w:rFonts w:ascii="Arial" w:cs="Arial" w:eastAsia="Arial" w:hAnsi="Arial"/>
                <w:sz w:val="18"/>
                <w:szCs w:val="18"/>
                <w:color w:val="auto"/>
              </w:rPr>
              <w:t>to serve as our independent registered public</w:t>
            </w:r>
          </w:p>
        </w:tc>
        <w:tc>
          <w:tcPr>
            <w:tcW w:w="2200" w:type="dxa"/>
            <w:vAlign w:val="bottom"/>
          </w:tcPr>
          <w:p>
            <w:pPr>
              <w:jc w:val="center"/>
              <w:ind w:left="134"/>
              <w:spacing w:after="0" w:line="201" w:lineRule="exact"/>
              <w:rPr>
                <w:sz w:val="20"/>
                <w:szCs w:val="20"/>
                <w:color w:val="auto"/>
              </w:rPr>
            </w:pPr>
            <w:r>
              <w:rPr>
                <w:rFonts w:ascii="Arial" w:cs="Arial" w:eastAsia="Arial" w:hAnsi="Arial"/>
                <w:sz w:val="18"/>
                <w:szCs w:val="18"/>
                <w:b w:val="1"/>
                <w:bCs w:val="1"/>
                <w:color w:val="auto"/>
                <w:w w:val="99"/>
              </w:rPr>
              <w:t>FOR</w:t>
            </w:r>
          </w:p>
        </w:tc>
        <w:tc>
          <w:tcPr>
            <w:tcW w:w="2100" w:type="dxa"/>
            <w:vAlign w:val="bottom"/>
          </w:tcPr>
          <w:p>
            <w:pPr>
              <w:jc w:val="center"/>
              <w:ind w:left="777"/>
              <w:spacing w:after="0" w:line="201" w:lineRule="exact"/>
              <w:rPr>
                <w:sz w:val="20"/>
                <w:szCs w:val="20"/>
                <w:color w:val="auto"/>
              </w:rPr>
            </w:pPr>
            <w:r>
              <w:rPr>
                <w:rFonts w:ascii="Arial" w:cs="Arial" w:eastAsia="Arial" w:hAnsi="Arial"/>
                <w:sz w:val="18"/>
                <w:szCs w:val="18"/>
                <w:b w:val="1"/>
                <w:bCs w:val="1"/>
                <w:color w:val="auto"/>
                <w:w w:val="99"/>
              </w:rPr>
              <w:t>34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80" w:type="dxa"/>
            <w:vAlign w:val="bottom"/>
          </w:tcPr>
          <w:p>
            <w:pPr>
              <w:spacing w:after="0"/>
              <w:rPr>
                <w:sz w:val="20"/>
                <w:szCs w:val="20"/>
                <w:color w:val="auto"/>
              </w:rPr>
            </w:pPr>
          </w:p>
        </w:tc>
        <w:tc>
          <w:tcPr>
            <w:tcW w:w="5960" w:type="dxa"/>
            <w:vAlign w:val="bottom"/>
          </w:tcPr>
          <w:p>
            <w:pPr>
              <w:ind w:left="100"/>
              <w:spacing w:after="0"/>
              <w:rPr>
                <w:sz w:val="20"/>
                <w:szCs w:val="20"/>
                <w:color w:val="auto"/>
              </w:rPr>
            </w:pPr>
            <w:r>
              <w:rPr>
                <w:rFonts w:ascii="Arial" w:cs="Arial" w:eastAsia="Arial" w:hAnsi="Arial"/>
                <w:sz w:val="18"/>
                <w:szCs w:val="18"/>
                <w:color w:val="auto"/>
              </w:rPr>
              <w:t>accounting firm for fiscal year 2022</w:t>
            </w:r>
          </w:p>
        </w:tc>
        <w:tc>
          <w:tcPr>
            <w:tcW w:w="2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480" w:type="dxa"/>
            <w:vAlign w:val="bottom"/>
            <w:tcBorders>
              <w:bottom w:val="single" w:sz="8" w:color="051D49"/>
            </w:tcBorders>
          </w:tcPr>
          <w:p>
            <w:pPr>
              <w:spacing w:after="0"/>
              <w:rPr>
                <w:sz w:val="2"/>
                <w:szCs w:val="2"/>
                <w:color w:val="auto"/>
              </w:rPr>
            </w:pPr>
          </w:p>
        </w:tc>
        <w:tc>
          <w:tcPr>
            <w:tcW w:w="5960" w:type="dxa"/>
            <w:vAlign w:val="bottom"/>
            <w:tcBorders>
              <w:bottom w:val="single" w:sz="8" w:color="051D49"/>
            </w:tcBorders>
          </w:tcPr>
          <w:p>
            <w:pPr>
              <w:spacing w:after="0"/>
              <w:rPr>
                <w:sz w:val="2"/>
                <w:szCs w:val="2"/>
                <w:color w:val="auto"/>
              </w:rPr>
            </w:pPr>
          </w:p>
        </w:tc>
        <w:tc>
          <w:tcPr>
            <w:tcW w:w="2200" w:type="dxa"/>
            <w:vAlign w:val="bottom"/>
            <w:tcBorders>
              <w:bottom w:val="single" w:sz="8" w:color="051D49"/>
            </w:tcBorders>
          </w:tcPr>
          <w:p>
            <w:pPr>
              <w:spacing w:after="0"/>
              <w:rPr>
                <w:sz w:val="2"/>
                <w:szCs w:val="2"/>
                <w:color w:val="auto"/>
              </w:rPr>
            </w:pPr>
          </w:p>
        </w:tc>
        <w:tc>
          <w:tcPr>
            <w:tcW w:w="2100" w:type="dxa"/>
            <w:vAlign w:val="bottom"/>
            <w:tcBorders>
              <w:bottom w:val="single" w:sz="8" w:color="051D49"/>
            </w:tcBorders>
          </w:tcPr>
          <w:p>
            <w:pPr>
              <w:spacing w:after="0"/>
              <w:rPr>
                <w:sz w:val="2"/>
                <w:szCs w:val="2"/>
                <w:color w:val="auto"/>
              </w:rPr>
            </w:pPr>
          </w:p>
        </w:tc>
        <w:tc>
          <w:tcPr>
            <w:tcW w:w="180" w:type="dxa"/>
            <w:vAlign w:val="bottom"/>
            <w:tcBorders>
              <w:bottom w:val="single" w:sz="8" w:color="051D49"/>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80" w:type="dxa"/>
            <w:vAlign w:val="bottom"/>
            <w:vMerge w:val="restart"/>
          </w:tcPr>
          <w:p>
            <w:pPr>
              <w:jc w:val="right"/>
              <w:ind w:right="86"/>
              <w:spacing w:after="0"/>
              <w:rPr>
                <w:sz w:val="20"/>
                <w:szCs w:val="20"/>
                <w:color w:val="auto"/>
              </w:rPr>
            </w:pPr>
            <w:r>
              <w:rPr>
                <w:rFonts w:ascii="Arial" w:cs="Arial" w:eastAsia="Arial" w:hAnsi="Arial"/>
                <w:sz w:val="20"/>
                <w:szCs w:val="20"/>
                <w:b w:val="1"/>
                <w:bCs w:val="1"/>
                <w:color w:val="051D49"/>
              </w:rPr>
              <w:t>3</w:t>
            </w:r>
          </w:p>
        </w:tc>
        <w:tc>
          <w:tcPr>
            <w:tcW w:w="5960" w:type="dxa"/>
            <w:vAlign w:val="bottom"/>
          </w:tcPr>
          <w:p>
            <w:pPr>
              <w:ind w:left="100"/>
              <w:spacing w:after="0"/>
              <w:rPr>
                <w:sz w:val="20"/>
                <w:szCs w:val="20"/>
                <w:color w:val="auto"/>
              </w:rPr>
            </w:pPr>
            <w:r>
              <w:rPr>
                <w:rFonts w:ascii="Arial" w:cs="Arial" w:eastAsia="Arial" w:hAnsi="Arial"/>
                <w:sz w:val="18"/>
                <w:szCs w:val="18"/>
                <w:color w:val="auto"/>
              </w:rPr>
              <w:t>A stockholder proposal requesting that our Board of Directors take</w:t>
            </w:r>
          </w:p>
        </w:tc>
        <w:tc>
          <w:tcPr>
            <w:tcW w:w="22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80" w:type="dxa"/>
            <w:vAlign w:val="bottom"/>
            <w:vMerge w:val="continue"/>
          </w:tcPr>
          <w:p>
            <w:pPr>
              <w:spacing w:after="0"/>
              <w:rPr>
                <w:sz w:val="17"/>
                <w:szCs w:val="17"/>
                <w:color w:val="auto"/>
              </w:rPr>
            </w:pPr>
          </w:p>
        </w:tc>
        <w:tc>
          <w:tcPr>
            <w:tcW w:w="5960" w:type="dxa"/>
            <w:vAlign w:val="bottom"/>
          </w:tcPr>
          <w:p>
            <w:pPr>
              <w:ind w:left="100"/>
              <w:spacing w:after="0" w:line="201" w:lineRule="exact"/>
              <w:rPr>
                <w:sz w:val="20"/>
                <w:szCs w:val="20"/>
                <w:color w:val="auto"/>
              </w:rPr>
            </w:pPr>
            <w:r>
              <w:rPr>
                <w:rFonts w:ascii="Arial" w:cs="Arial" w:eastAsia="Arial" w:hAnsi="Arial"/>
                <w:sz w:val="18"/>
                <w:szCs w:val="18"/>
                <w:color w:val="auto"/>
              </w:rPr>
              <w:t>steps to reduce the threshold at which Company stockholders may call</w:t>
            </w:r>
          </w:p>
        </w:tc>
        <w:tc>
          <w:tcPr>
            <w:tcW w:w="2200" w:type="dxa"/>
            <w:vAlign w:val="bottom"/>
          </w:tcPr>
          <w:p>
            <w:pPr>
              <w:jc w:val="center"/>
              <w:ind w:left="154"/>
              <w:spacing w:after="0" w:line="201" w:lineRule="exact"/>
              <w:rPr>
                <w:sz w:val="20"/>
                <w:szCs w:val="20"/>
                <w:color w:val="auto"/>
              </w:rPr>
            </w:pPr>
            <w:r>
              <w:rPr>
                <w:rFonts w:ascii="Arial" w:cs="Arial" w:eastAsia="Arial" w:hAnsi="Arial"/>
                <w:sz w:val="18"/>
                <w:szCs w:val="18"/>
                <w:b w:val="1"/>
                <w:bCs w:val="1"/>
                <w:color w:val="auto"/>
                <w:w w:val="98"/>
              </w:rPr>
              <w:t>AGAINST</w:t>
            </w:r>
          </w:p>
        </w:tc>
        <w:tc>
          <w:tcPr>
            <w:tcW w:w="2100" w:type="dxa"/>
            <w:vAlign w:val="bottom"/>
          </w:tcPr>
          <w:p>
            <w:pPr>
              <w:jc w:val="center"/>
              <w:ind w:left="777"/>
              <w:spacing w:after="0" w:line="201" w:lineRule="exact"/>
              <w:rPr>
                <w:sz w:val="20"/>
                <w:szCs w:val="20"/>
                <w:color w:val="auto"/>
              </w:rPr>
            </w:pPr>
            <w:r>
              <w:rPr>
                <w:rFonts w:ascii="Arial" w:cs="Arial" w:eastAsia="Arial" w:hAnsi="Arial"/>
                <w:sz w:val="18"/>
                <w:szCs w:val="18"/>
                <w:b w:val="1"/>
                <w:bCs w:val="1"/>
                <w:color w:val="auto"/>
                <w:w w:val="99"/>
              </w:rPr>
              <w:t>70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0" w:type="dxa"/>
            <w:vAlign w:val="bottom"/>
            <w:tcBorders>
              <w:bottom w:val="single" w:sz="8" w:color="051D49"/>
            </w:tcBorders>
          </w:tcPr>
          <w:p>
            <w:pPr>
              <w:spacing w:after="0"/>
              <w:rPr>
                <w:sz w:val="20"/>
                <w:szCs w:val="20"/>
                <w:color w:val="auto"/>
              </w:rPr>
            </w:pPr>
          </w:p>
        </w:tc>
        <w:tc>
          <w:tcPr>
            <w:tcW w:w="5960" w:type="dxa"/>
            <w:vAlign w:val="bottom"/>
            <w:tcBorders>
              <w:bottom w:val="single" w:sz="8" w:color="051D49"/>
            </w:tcBorders>
          </w:tcPr>
          <w:p>
            <w:pPr>
              <w:ind w:left="100"/>
              <w:spacing w:after="0"/>
              <w:rPr>
                <w:sz w:val="20"/>
                <w:szCs w:val="20"/>
                <w:color w:val="auto"/>
              </w:rPr>
            </w:pPr>
            <w:r>
              <w:rPr>
                <w:rFonts w:ascii="Arial" w:cs="Arial" w:eastAsia="Arial" w:hAnsi="Arial"/>
                <w:sz w:val="18"/>
                <w:szCs w:val="18"/>
                <w:color w:val="auto"/>
              </w:rPr>
              <w:t>a special meeting, if properly presented at the Annual Meeting</w:t>
            </w:r>
          </w:p>
        </w:tc>
        <w:tc>
          <w:tcPr>
            <w:tcW w:w="2200" w:type="dxa"/>
            <w:vAlign w:val="bottom"/>
            <w:tcBorders>
              <w:bottom w:val="single" w:sz="8" w:color="051D49"/>
            </w:tcBorders>
          </w:tcPr>
          <w:p>
            <w:pPr>
              <w:spacing w:after="0"/>
              <w:rPr>
                <w:sz w:val="20"/>
                <w:szCs w:val="20"/>
                <w:color w:val="auto"/>
              </w:rPr>
            </w:pPr>
          </w:p>
        </w:tc>
        <w:tc>
          <w:tcPr>
            <w:tcW w:w="2100" w:type="dxa"/>
            <w:vAlign w:val="bottom"/>
            <w:tcBorders>
              <w:bottom w:val="single" w:sz="8" w:color="051D49"/>
            </w:tcBorders>
          </w:tcPr>
          <w:p>
            <w:pPr>
              <w:spacing w:after="0"/>
              <w:rPr>
                <w:sz w:val="20"/>
                <w:szCs w:val="20"/>
                <w:color w:val="auto"/>
              </w:rPr>
            </w:pPr>
          </w:p>
        </w:tc>
        <w:tc>
          <w:tcPr>
            <w:tcW w:w="180" w:type="dxa"/>
            <w:vAlign w:val="bottom"/>
            <w:tcBorders>
              <w:bottom w:val="single" w:sz="8" w:color="051D49"/>
            </w:tcBorders>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480" w:type="dxa"/>
            <w:vAlign w:val="bottom"/>
            <w:shd w:val="clear" w:color="auto" w:fill="051D49"/>
          </w:tcPr>
          <w:p>
            <w:pPr>
              <w:spacing w:after="0"/>
              <w:rPr>
                <w:sz w:val="24"/>
                <w:szCs w:val="24"/>
                <w:color w:val="auto"/>
              </w:rPr>
            </w:pPr>
          </w:p>
        </w:tc>
        <w:tc>
          <w:tcPr>
            <w:tcW w:w="5960" w:type="dxa"/>
            <w:vAlign w:val="bottom"/>
            <w:shd w:val="clear" w:color="auto" w:fill="051D49"/>
          </w:tcPr>
          <w:p>
            <w:pPr>
              <w:spacing w:after="0"/>
              <w:rPr>
                <w:sz w:val="24"/>
                <w:szCs w:val="24"/>
                <w:color w:val="auto"/>
              </w:rPr>
            </w:pPr>
          </w:p>
        </w:tc>
        <w:tc>
          <w:tcPr>
            <w:tcW w:w="2200" w:type="dxa"/>
            <w:vAlign w:val="bottom"/>
            <w:shd w:val="clear" w:color="auto" w:fill="051D49"/>
          </w:tcPr>
          <w:p>
            <w:pPr>
              <w:spacing w:after="0"/>
              <w:rPr>
                <w:sz w:val="24"/>
                <w:szCs w:val="24"/>
                <w:color w:val="auto"/>
              </w:rPr>
            </w:pPr>
          </w:p>
        </w:tc>
        <w:tc>
          <w:tcPr>
            <w:tcW w:w="2100" w:type="dxa"/>
            <w:vAlign w:val="bottom"/>
            <w:shd w:val="clear" w:color="auto" w:fill="051D49"/>
          </w:tcPr>
          <w:p>
            <w:pPr>
              <w:ind w:left="60"/>
              <w:spacing w:after="0"/>
              <w:rPr>
                <w:sz w:val="20"/>
                <w:szCs w:val="20"/>
                <w:color w:val="auto"/>
              </w:rPr>
            </w:pPr>
            <w:r>
              <w:rPr>
                <w:rFonts w:ascii="Arial" w:cs="Arial" w:eastAsia="Arial" w:hAnsi="Arial"/>
                <w:sz w:val="14"/>
                <w:szCs w:val="14"/>
                <w:color w:val="FFFFFF"/>
              </w:rPr>
              <w:t>2022 PROXY STATEMENT</w:t>
            </w:r>
          </w:p>
        </w:tc>
        <w:tc>
          <w:tcPr>
            <w:tcW w:w="18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1</w:t>
            </w:r>
          </w:p>
        </w:tc>
        <w:tc>
          <w:tcPr>
            <w:tcW w:w="0" w:type="dxa"/>
            <w:vAlign w:val="bottom"/>
          </w:tcPr>
          <w:p>
            <w:pPr>
              <w:spacing w:after="0"/>
              <w:rPr>
                <w:sz w:val="1"/>
                <w:szCs w:val="1"/>
                <w:color w:val="auto"/>
              </w:rPr>
            </w:pPr>
          </w:p>
        </w:tc>
      </w:tr>
      <w:tr>
        <w:trPr>
          <w:trHeight w:val="95"/>
        </w:trPr>
        <w:tc>
          <w:tcPr>
            <w:tcW w:w="480" w:type="dxa"/>
            <w:vAlign w:val="bottom"/>
            <w:shd w:val="clear" w:color="auto" w:fill="051D49"/>
          </w:tcPr>
          <w:p>
            <w:pPr>
              <w:spacing w:after="0"/>
              <w:rPr>
                <w:sz w:val="8"/>
                <w:szCs w:val="8"/>
                <w:color w:val="auto"/>
              </w:rPr>
            </w:pPr>
          </w:p>
        </w:tc>
        <w:tc>
          <w:tcPr>
            <w:tcW w:w="5960" w:type="dxa"/>
            <w:vAlign w:val="bottom"/>
            <w:shd w:val="clear" w:color="auto" w:fill="051D49"/>
          </w:tcPr>
          <w:p>
            <w:pPr>
              <w:spacing w:after="0"/>
              <w:rPr>
                <w:sz w:val="8"/>
                <w:szCs w:val="8"/>
                <w:color w:val="auto"/>
              </w:rPr>
            </w:pPr>
          </w:p>
        </w:tc>
        <w:tc>
          <w:tcPr>
            <w:tcW w:w="2200" w:type="dxa"/>
            <w:vAlign w:val="bottom"/>
            <w:shd w:val="clear" w:color="auto" w:fill="051D49"/>
          </w:tcPr>
          <w:p>
            <w:pPr>
              <w:spacing w:after="0"/>
              <w:rPr>
                <w:sz w:val="8"/>
                <w:szCs w:val="8"/>
                <w:color w:val="auto"/>
              </w:rPr>
            </w:pPr>
          </w:p>
        </w:tc>
        <w:tc>
          <w:tcPr>
            <w:tcW w:w="2100" w:type="dxa"/>
            <w:vAlign w:val="bottom"/>
            <w:shd w:val="clear" w:color="auto" w:fill="051D49"/>
          </w:tcPr>
          <w:p>
            <w:pPr>
              <w:spacing w:after="0"/>
              <w:rPr>
                <w:sz w:val="8"/>
                <w:szCs w:val="8"/>
                <w:color w:val="auto"/>
              </w:rPr>
            </w:pPr>
          </w:p>
        </w:tc>
        <w:tc>
          <w:tcPr>
            <w:tcW w:w="180" w:type="dxa"/>
            <w:vAlign w:val="bottom"/>
            <w:shd w:val="clear" w:color="auto" w:fill="051D49"/>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PROXY STATEMENT HIGHLIGHTS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HOW TO SUBMIT QUESTIONS</w:t>
      </w:r>
    </w:p>
    <w:p>
      <w:pPr>
        <w:spacing w:after="0" w:line="94" w:lineRule="exact"/>
        <w:rPr>
          <w:sz w:val="20"/>
          <w:szCs w:val="20"/>
          <w:color w:val="auto"/>
        </w:rPr>
      </w:pPr>
    </w:p>
    <w:p>
      <w:pPr>
        <w:ind w:left="160" w:right="80"/>
        <w:spacing w:after="0" w:line="257" w:lineRule="auto"/>
        <w:rPr>
          <w:sz w:val="20"/>
          <w:szCs w:val="20"/>
          <w:color w:val="auto"/>
        </w:rPr>
      </w:pPr>
      <w:r>
        <w:rPr>
          <w:rFonts w:ascii="Arial" w:cs="Arial" w:eastAsia="Arial" w:hAnsi="Arial"/>
          <w:sz w:val="17"/>
          <w:szCs w:val="17"/>
          <w:color w:val="auto"/>
        </w:rPr>
        <w:t>Holders of Class A Common Stock and Class B Common Stock may submit questions in advance of the meeting, from 9:00 a.m., Eastern Daylight Time, on May 30, 2022 until 5:00 p.m., Eastern Daylight Time, on June 3, 2022, by visiting www.proxyvote.com, entering their</w:t>
      </w:r>
    </w:p>
    <w:p>
      <w:pPr>
        <w:spacing w:after="0" w:line="1" w:lineRule="exact"/>
        <w:rPr>
          <w:sz w:val="20"/>
          <w:szCs w:val="20"/>
          <w:color w:val="auto"/>
        </w:rPr>
      </w:pPr>
    </w:p>
    <w:p>
      <w:pPr>
        <w:ind w:left="160" w:right="300"/>
        <w:spacing w:after="0" w:line="273" w:lineRule="auto"/>
        <w:rPr>
          <w:sz w:val="20"/>
          <w:szCs w:val="20"/>
          <w:color w:val="auto"/>
        </w:rPr>
      </w:pPr>
      <w:r>
        <w:rPr>
          <w:rFonts w:ascii="Arial" w:cs="Arial" w:eastAsia="Arial" w:hAnsi="Arial"/>
          <w:sz w:val="17"/>
          <w:szCs w:val="17"/>
          <w:color w:val="auto"/>
        </w:rPr>
        <w:t>16-digit control number and following the instructions. Holders of Class A Common Stock and Class B Common Stock may also submit questions during the meeting and will find instructions for doing so on the Annual Meeting website once they enter the meeting.</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BOARD AND GOVERNANCE HIGHLIGHTS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Board of Directors: Nominees for Election</w:t>
      </w:r>
    </w:p>
    <w:p>
      <w:pPr>
        <w:spacing w:after="0" w:line="101" w:lineRule="exact"/>
        <w:rPr>
          <w:sz w:val="20"/>
          <w:szCs w:val="20"/>
          <w:color w:val="auto"/>
        </w:rPr>
      </w:pPr>
    </w:p>
    <w:p>
      <w:pPr>
        <w:ind w:left="160" w:right="260"/>
        <w:spacing w:after="0" w:line="249" w:lineRule="auto"/>
        <w:rPr>
          <w:sz w:val="20"/>
          <w:szCs w:val="20"/>
          <w:color w:val="auto"/>
        </w:rPr>
      </w:pPr>
      <w:r>
        <w:rPr>
          <w:rFonts w:ascii="Arial" w:cs="Arial" w:eastAsia="Arial" w:hAnsi="Arial"/>
          <w:sz w:val="18"/>
          <w:szCs w:val="18"/>
          <w:color w:val="auto"/>
        </w:rPr>
        <w:t>Our 12 director nominees are the current members of our Board of Directors (the “Board of Directors” or “Board”) and, as a group, have extensive and diverse leadership and subject matter experience and knowledge that is important to us. Our nominees include 9 independent directors.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200"/>
        </w:trPr>
        <w:tc>
          <w:tcPr>
            <w:tcW w:w="320" w:type="dxa"/>
            <w:vAlign w:val="bottom"/>
            <w:shd w:val="clear" w:color="auto" w:fill="E5E5E5"/>
          </w:tcPr>
          <w:p>
            <w:pPr>
              <w:spacing w:after="0"/>
              <w:rPr>
                <w:sz w:val="17"/>
                <w:szCs w:val="17"/>
                <w:color w:val="auto"/>
              </w:rPr>
            </w:pPr>
          </w:p>
        </w:tc>
        <w:tc>
          <w:tcPr>
            <w:tcW w:w="178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c>
          <w:tcPr>
            <w:tcW w:w="486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051D49"/>
                <w:w w:val="98"/>
              </w:rPr>
              <w:t>Standing</w:t>
            </w:r>
          </w:p>
        </w:tc>
        <w:tc>
          <w:tcPr>
            <w:tcW w:w="0" w:type="dxa"/>
            <w:vAlign w:val="bottom"/>
          </w:tcPr>
          <w:p>
            <w:pPr>
              <w:spacing w:after="0"/>
              <w:rPr>
                <w:sz w:val="1"/>
                <w:szCs w:val="1"/>
                <w:color w:val="auto"/>
              </w:rPr>
            </w:pPr>
          </w:p>
        </w:tc>
      </w:tr>
      <w:tr>
        <w:trPr>
          <w:trHeight w:val="187"/>
        </w:trPr>
        <w:tc>
          <w:tcPr>
            <w:tcW w:w="320" w:type="dxa"/>
            <w:vAlign w:val="bottom"/>
            <w:shd w:val="clear" w:color="auto" w:fill="E5E5E5"/>
          </w:tcPr>
          <w:p>
            <w:pPr>
              <w:spacing w:after="0"/>
              <w:rPr>
                <w:sz w:val="16"/>
                <w:szCs w:val="16"/>
                <w:color w:val="auto"/>
              </w:rPr>
            </w:pPr>
          </w:p>
        </w:tc>
        <w:tc>
          <w:tcPr>
            <w:tcW w:w="17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4860" w:type="dxa"/>
            <w:vAlign w:val="bottom"/>
            <w:shd w:val="clear" w:color="auto" w:fill="E5E5E5"/>
          </w:tcPr>
          <w:p>
            <w:pPr>
              <w:spacing w:after="0"/>
              <w:rPr>
                <w:sz w:val="16"/>
                <w:szCs w:val="16"/>
                <w:color w:val="auto"/>
              </w:rPr>
            </w:pPr>
          </w:p>
        </w:tc>
        <w:tc>
          <w:tcPr>
            <w:tcW w:w="1260" w:type="dxa"/>
            <w:vAlign w:val="bottom"/>
            <w:shd w:val="clear" w:color="auto" w:fill="E5E5E5"/>
          </w:tcPr>
          <w:p>
            <w:pPr>
              <w:jc w:val="center"/>
              <w:ind w:left="120"/>
              <w:spacing w:after="0"/>
              <w:rPr>
                <w:sz w:val="20"/>
                <w:szCs w:val="20"/>
                <w:color w:val="auto"/>
              </w:rPr>
            </w:pPr>
            <w:r>
              <w:rPr>
                <w:rFonts w:ascii="Arial" w:cs="Arial" w:eastAsia="Arial" w:hAnsi="Arial"/>
                <w:sz w:val="16"/>
                <w:szCs w:val="16"/>
                <w:color w:val="051D49"/>
              </w:rPr>
              <w:t>Independent</w:t>
            </w: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051D49"/>
              </w:rPr>
              <w:t>Committee</w:t>
            </w:r>
          </w:p>
        </w:tc>
        <w:tc>
          <w:tcPr>
            <w:tcW w:w="0" w:type="dxa"/>
            <w:vAlign w:val="bottom"/>
          </w:tcPr>
          <w:p>
            <w:pPr>
              <w:spacing w:after="0"/>
              <w:rPr>
                <w:sz w:val="1"/>
                <w:szCs w:val="1"/>
                <w:color w:val="auto"/>
              </w:rPr>
            </w:pPr>
          </w:p>
        </w:tc>
      </w:tr>
      <w:tr>
        <w:trPr>
          <w:trHeight w:val="228"/>
        </w:trPr>
        <w:tc>
          <w:tcPr>
            <w:tcW w:w="210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051D49"/>
              </w:rPr>
              <w:t>Name</w:t>
            </w:r>
          </w:p>
        </w:tc>
        <w:tc>
          <w:tcPr>
            <w:tcW w:w="480" w:type="dxa"/>
            <w:vAlign w:val="bottom"/>
            <w:shd w:val="clear" w:color="auto" w:fill="E5E5E5"/>
          </w:tcPr>
          <w:p>
            <w:pPr>
              <w:jc w:val="center"/>
              <w:spacing w:after="0"/>
              <w:rPr>
                <w:sz w:val="20"/>
                <w:szCs w:val="20"/>
                <w:color w:val="auto"/>
              </w:rPr>
            </w:pPr>
            <w:r>
              <w:rPr>
                <w:rFonts w:ascii="Arial" w:cs="Arial" w:eastAsia="Arial" w:hAnsi="Arial"/>
                <w:sz w:val="16"/>
                <w:szCs w:val="16"/>
                <w:color w:val="051D49"/>
                <w:w w:val="98"/>
              </w:rPr>
              <w:t>Age</w:t>
            </w:r>
          </w:p>
        </w:tc>
        <w:tc>
          <w:tcPr>
            <w:tcW w:w="1180" w:type="dxa"/>
            <w:vAlign w:val="bottom"/>
            <w:shd w:val="clear" w:color="auto" w:fill="E5E5E5"/>
          </w:tcPr>
          <w:p>
            <w:pPr>
              <w:jc w:val="center"/>
              <w:spacing w:after="0"/>
              <w:rPr>
                <w:sz w:val="20"/>
                <w:szCs w:val="20"/>
                <w:color w:val="auto"/>
              </w:rPr>
            </w:pPr>
            <w:r>
              <w:rPr>
                <w:rFonts w:ascii="Arial" w:cs="Arial" w:eastAsia="Arial" w:hAnsi="Arial"/>
                <w:sz w:val="16"/>
                <w:szCs w:val="16"/>
                <w:color w:val="051D49"/>
                <w:w w:val="99"/>
              </w:rPr>
              <w:t>Director Since</w:t>
            </w:r>
          </w:p>
        </w:tc>
        <w:tc>
          <w:tcPr>
            <w:tcW w:w="4860" w:type="dxa"/>
            <w:vAlign w:val="bottom"/>
            <w:shd w:val="clear" w:color="auto" w:fill="E5E5E5"/>
          </w:tcPr>
          <w:p>
            <w:pPr>
              <w:ind w:left="1760"/>
              <w:spacing w:after="0"/>
              <w:rPr>
                <w:sz w:val="20"/>
                <w:szCs w:val="20"/>
                <w:color w:val="auto"/>
              </w:rPr>
            </w:pPr>
            <w:r>
              <w:rPr>
                <w:rFonts w:ascii="Arial" w:cs="Arial" w:eastAsia="Arial" w:hAnsi="Arial"/>
                <w:sz w:val="16"/>
                <w:szCs w:val="16"/>
                <w:color w:val="051D49"/>
              </w:rPr>
              <w:t>Career Highlights</w:t>
            </w:r>
          </w:p>
        </w:tc>
        <w:tc>
          <w:tcPr>
            <w:tcW w:w="1260" w:type="dxa"/>
            <w:vAlign w:val="bottom"/>
            <w:shd w:val="clear" w:color="auto" w:fill="E5E5E5"/>
          </w:tcPr>
          <w:p>
            <w:pPr>
              <w:jc w:val="center"/>
              <w:ind w:left="120"/>
              <w:spacing w:after="0"/>
              <w:rPr>
                <w:sz w:val="20"/>
                <w:szCs w:val="20"/>
                <w:color w:val="auto"/>
              </w:rPr>
            </w:pPr>
            <w:r>
              <w:rPr>
                <w:rFonts w:ascii="Arial" w:cs="Arial" w:eastAsia="Arial" w:hAnsi="Arial"/>
                <w:sz w:val="16"/>
                <w:szCs w:val="16"/>
                <w:color w:val="051D49"/>
              </w:rPr>
              <w:t>Director</w:t>
            </w: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051D49"/>
                <w:w w:val="99"/>
              </w:rPr>
              <w:t>Memberships</w:t>
            </w:r>
          </w:p>
        </w:tc>
        <w:tc>
          <w:tcPr>
            <w:tcW w:w="0" w:type="dxa"/>
            <w:vAlign w:val="bottom"/>
          </w:tcPr>
          <w:p>
            <w:pPr>
              <w:spacing w:after="0"/>
              <w:rPr>
                <w:sz w:val="1"/>
                <w:szCs w:val="1"/>
                <w:color w:val="auto"/>
              </w:rPr>
            </w:pPr>
          </w:p>
        </w:tc>
      </w:tr>
      <w:tr>
        <w:trPr>
          <w:trHeight w:val="205"/>
        </w:trPr>
        <w:tc>
          <w:tcPr>
            <w:tcW w:w="2100" w:type="dxa"/>
            <w:vAlign w:val="bottom"/>
            <w:gridSpan w:val="2"/>
            <w:vMerge w:val="restart"/>
          </w:tcPr>
          <w:p>
            <w:pPr>
              <w:ind w:left="80"/>
              <w:spacing w:after="0"/>
              <w:rPr>
                <w:sz w:val="20"/>
                <w:szCs w:val="20"/>
                <w:color w:val="auto"/>
              </w:rPr>
            </w:pPr>
            <w:r>
              <w:rPr>
                <w:rFonts w:ascii="Arial" w:cs="Arial" w:eastAsia="Arial" w:hAnsi="Arial"/>
                <w:sz w:val="16"/>
                <w:szCs w:val="16"/>
                <w:color w:val="auto"/>
              </w:rPr>
              <w:t>Shari E. Redstone†</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67</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rPr>
              <w:t>1994</w:t>
            </w:r>
          </w:p>
        </w:tc>
        <w:tc>
          <w:tcPr>
            <w:tcW w:w="4860" w:type="dxa"/>
            <w:vAlign w:val="bottom"/>
          </w:tcPr>
          <w:p>
            <w:pPr>
              <w:ind w:left="60"/>
              <w:spacing w:after="0"/>
              <w:rPr>
                <w:sz w:val="20"/>
                <w:szCs w:val="20"/>
                <w:color w:val="auto"/>
              </w:rPr>
            </w:pPr>
            <w:r>
              <w:rPr>
                <w:rFonts w:ascii="Arial" w:cs="Arial" w:eastAsia="Arial" w:hAnsi="Arial"/>
                <w:sz w:val="14"/>
                <w:szCs w:val="14"/>
                <w:color w:val="auto"/>
              </w:rPr>
              <w:t>Chairperson, Chief Executive Officer and President of National</w:t>
            </w: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10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4860" w:type="dxa"/>
            <w:vAlign w:val="bottom"/>
          </w:tcPr>
          <w:p>
            <w:pPr>
              <w:ind w:left="60"/>
              <w:spacing w:after="0"/>
              <w:rPr>
                <w:sz w:val="20"/>
                <w:szCs w:val="20"/>
                <w:color w:val="auto"/>
              </w:rPr>
            </w:pPr>
            <w:r>
              <w:rPr>
                <w:rFonts w:ascii="Arial" w:cs="Arial" w:eastAsia="Arial" w:hAnsi="Arial"/>
                <w:sz w:val="14"/>
                <w:szCs w:val="14"/>
                <w:color w:val="auto"/>
              </w:rPr>
              <w:t>Amusements, Inc. and Co-Founder and Managing Partner of Advancit</w:t>
            </w:r>
          </w:p>
        </w:tc>
        <w:tc>
          <w:tcPr>
            <w:tcW w:w="1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60" w:type="dxa"/>
            <w:vAlign w:val="bottom"/>
          </w:tcPr>
          <w:p>
            <w:pPr>
              <w:ind w:left="60"/>
              <w:spacing w:after="0"/>
              <w:rPr>
                <w:sz w:val="20"/>
                <w:szCs w:val="20"/>
                <w:color w:val="auto"/>
              </w:rPr>
            </w:pPr>
            <w:r>
              <w:rPr>
                <w:rFonts w:ascii="Arial" w:cs="Arial" w:eastAsia="Arial" w:hAnsi="Arial"/>
                <w:sz w:val="14"/>
                <w:szCs w:val="14"/>
                <w:color w:val="auto"/>
              </w:rPr>
              <w:t>Capital</w:t>
            </w: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100" w:type="dxa"/>
            <w:vAlign w:val="bottom"/>
            <w:tcBorders>
              <w:bottom w:val="single" w:sz="8" w:color="051D49"/>
            </w:tcBorders>
            <w:gridSpan w:val="2"/>
          </w:tcPr>
          <w:p>
            <w:pPr>
              <w:spacing w:after="0"/>
              <w:rPr>
                <w:sz w:val="2"/>
                <w:szCs w:val="2"/>
                <w:color w:val="auto"/>
              </w:rPr>
            </w:pPr>
          </w:p>
        </w:tc>
        <w:tc>
          <w:tcPr>
            <w:tcW w:w="480" w:type="dxa"/>
            <w:vAlign w:val="bottom"/>
            <w:tcBorders>
              <w:bottom w:val="single" w:sz="8" w:color="051D49"/>
            </w:tcBorders>
          </w:tcPr>
          <w:p>
            <w:pPr>
              <w:spacing w:after="0"/>
              <w:rPr>
                <w:sz w:val="2"/>
                <w:szCs w:val="2"/>
                <w:color w:val="auto"/>
              </w:rPr>
            </w:pPr>
          </w:p>
        </w:tc>
        <w:tc>
          <w:tcPr>
            <w:tcW w:w="1180" w:type="dxa"/>
            <w:vAlign w:val="bottom"/>
            <w:tcBorders>
              <w:bottom w:val="single" w:sz="8" w:color="051D49"/>
            </w:tcBorders>
          </w:tcPr>
          <w:p>
            <w:pPr>
              <w:spacing w:after="0"/>
              <w:rPr>
                <w:sz w:val="2"/>
                <w:szCs w:val="2"/>
                <w:color w:val="auto"/>
              </w:rPr>
            </w:pPr>
          </w:p>
        </w:tc>
        <w:tc>
          <w:tcPr>
            <w:tcW w:w="4860" w:type="dxa"/>
            <w:vAlign w:val="bottom"/>
            <w:tcBorders>
              <w:bottom w:val="single" w:sz="8" w:color="051D49"/>
            </w:tcBorders>
          </w:tcPr>
          <w:p>
            <w:pPr>
              <w:spacing w:after="0"/>
              <w:rPr>
                <w:sz w:val="2"/>
                <w:szCs w:val="2"/>
                <w:color w:val="auto"/>
              </w:rPr>
            </w:pPr>
          </w:p>
        </w:tc>
        <w:tc>
          <w:tcPr>
            <w:tcW w:w="126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100" w:type="dxa"/>
            <w:vAlign w:val="bottom"/>
            <w:gridSpan w:val="2"/>
          </w:tcPr>
          <w:p>
            <w:pPr>
              <w:ind w:left="80"/>
              <w:spacing w:after="0"/>
              <w:rPr>
                <w:sz w:val="20"/>
                <w:szCs w:val="20"/>
                <w:color w:val="auto"/>
              </w:rPr>
            </w:pPr>
            <w:r>
              <w:rPr>
                <w:rFonts w:ascii="Arial" w:cs="Arial" w:eastAsia="Arial" w:hAnsi="Arial"/>
                <w:sz w:val="16"/>
                <w:szCs w:val="16"/>
                <w:color w:val="auto"/>
              </w:rPr>
              <w:t>Robert M. Bakish</w:t>
            </w:r>
          </w:p>
        </w:tc>
        <w:tc>
          <w:tcPr>
            <w:tcW w:w="480" w:type="dxa"/>
            <w:vAlign w:val="bottom"/>
          </w:tcPr>
          <w:p>
            <w:pPr>
              <w:jc w:val="center"/>
              <w:spacing w:after="0"/>
              <w:rPr>
                <w:sz w:val="20"/>
                <w:szCs w:val="20"/>
                <w:color w:val="auto"/>
              </w:rPr>
            </w:pPr>
            <w:r>
              <w:rPr>
                <w:rFonts w:ascii="Arial" w:cs="Arial" w:eastAsia="Arial" w:hAnsi="Arial"/>
                <w:sz w:val="16"/>
                <w:szCs w:val="16"/>
                <w:color w:val="auto"/>
              </w:rPr>
              <w:t>58</w:t>
            </w:r>
          </w:p>
        </w:tc>
        <w:tc>
          <w:tcPr>
            <w:tcW w:w="1180" w:type="dxa"/>
            <w:vAlign w:val="bottom"/>
          </w:tcPr>
          <w:p>
            <w:pPr>
              <w:jc w:val="center"/>
              <w:spacing w:after="0"/>
              <w:rPr>
                <w:sz w:val="20"/>
                <w:szCs w:val="20"/>
                <w:color w:val="auto"/>
              </w:rPr>
            </w:pPr>
            <w:r>
              <w:rPr>
                <w:rFonts w:ascii="Arial" w:cs="Arial" w:eastAsia="Arial" w:hAnsi="Arial"/>
                <w:sz w:val="16"/>
                <w:szCs w:val="16"/>
                <w:color w:val="auto"/>
              </w:rPr>
              <w:t>2019</w:t>
            </w:r>
          </w:p>
        </w:tc>
        <w:tc>
          <w:tcPr>
            <w:tcW w:w="4860" w:type="dxa"/>
            <w:vAlign w:val="bottom"/>
          </w:tcPr>
          <w:p>
            <w:pPr>
              <w:ind w:left="60"/>
              <w:spacing w:after="0"/>
              <w:rPr>
                <w:sz w:val="20"/>
                <w:szCs w:val="20"/>
                <w:color w:val="auto"/>
              </w:rPr>
            </w:pPr>
            <w:r>
              <w:rPr>
                <w:rFonts w:ascii="Arial" w:cs="Arial" w:eastAsia="Arial" w:hAnsi="Arial"/>
                <w:sz w:val="14"/>
                <w:szCs w:val="14"/>
                <w:color w:val="auto"/>
              </w:rPr>
              <w:t>President and Chief Executive Officer, Paramount Global</w:t>
            </w: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100" w:type="dxa"/>
            <w:vAlign w:val="bottom"/>
            <w:tcBorders>
              <w:bottom w:val="single" w:sz="8" w:color="051D49"/>
            </w:tcBorders>
            <w:gridSpan w:val="2"/>
          </w:tcPr>
          <w:p>
            <w:pPr>
              <w:spacing w:after="0"/>
              <w:rPr>
                <w:sz w:val="3"/>
                <w:szCs w:val="3"/>
                <w:color w:val="auto"/>
              </w:rPr>
            </w:pPr>
          </w:p>
        </w:tc>
        <w:tc>
          <w:tcPr>
            <w:tcW w:w="480" w:type="dxa"/>
            <w:vAlign w:val="bottom"/>
            <w:tcBorders>
              <w:bottom w:val="single" w:sz="8" w:color="051D49"/>
            </w:tcBorders>
          </w:tcPr>
          <w:p>
            <w:pPr>
              <w:spacing w:after="0"/>
              <w:rPr>
                <w:sz w:val="3"/>
                <w:szCs w:val="3"/>
                <w:color w:val="auto"/>
              </w:rPr>
            </w:pPr>
          </w:p>
        </w:tc>
        <w:tc>
          <w:tcPr>
            <w:tcW w:w="1180" w:type="dxa"/>
            <w:vAlign w:val="bottom"/>
            <w:tcBorders>
              <w:bottom w:val="single" w:sz="8" w:color="051D49"/>
            </w:tcBorders>
          </w:tcPr>
          <w:p>
            <w:pPr>
              <w:spacing w:after="0"/>
              <w:rPr>
                <w:sz w:val="3"/>
                <w:szCs w:val="3"/>
                <w:color w:val="auto"/>
              </w:rPr>
            </w:pPr>
          </w:p>
        </w:tc>
        <w:tc>
          <w:tcPr>
            <w:tcW w:w="4860" w:type="dxa"/>
            <w:vAlign w:val="bottom"/>
            <w:tcBorders>
              <w:bottom w:val="single" w:sz="8" w:color="051D49"/>
            </w:tcBorders>
          </w:tcPr>
          <w:p>
            <w:pPr>
              <w:spacing w:after="0"/>
              <w:rPr>
                <w:sz w:val="3"/>
                <w:szCs w:val="3"/>
                <w:color w:val="auto"/>
              </w:rPr>
            </w:pPr>
          </w:p>
        </w:tc>
        <w:tc>
          <w:tcPr>
            <w:tcW w:w="1260" w:type="dxa"/>
            <w:vAlign w:val="bottom"/>
            <w:tcBorders>
              <w:bottom w:val="single" w:sz="8" w:color="051D49"/>
            </w:tcBorders>
          </w:tcPr>
          <w:p>
            <w:pPr>
              <w:spacing w:after="0"/>
              <w:rPr>
                <w:sz w:val="3"/>
                <w:szCs w:val="3"/>
                <w:color w:val="auto"/>
              </w:rPr>
            </w:pPr>
          </w:p>
        </w:tc>
        <w:tc>
          <w:tcPr>
            <w:tcW w:w="1040" w:type="dxa"/>
            <w:vAlign w:val="bottom"/>
            <w:tcBorders>
              <w:bottom w:val="single" w:sz="8" w:color="051D49"/>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100" w:type="dxa"/>
            <w:vAlign w:val="bottom"/>
            <w:gridSpan w:val="2"/>
          </w:tcPr>
          <w:p>
            <w:pPr>
              <w:ind w:left="80"/>
              <w:spacing w:after="0"/>
              <w:rPr>
                <w:sz w:val="20"/>
                <w:szCs w:val="20"/>
                <w:color w:val="auto"/>
              </w:rPr>
            </w:pPr>
            <w:r>
              <w:rPr>
                <w:rFonts w:ascii="Arial" w:cs="Arial" w:eastAsia="Arial" w:hAnsi="Arial"/>
                <w:sz w:val="16"/>
                <w:szCs w:val="16"/>
                <w:color w:val="auto"/>
              </w:rPr>
              <w:t>Candace K. Beinecke</w:t>
            </w:r>
          </w:p>
        </w:tc>
        <w:tc>
          <w:tcPr>
            <w:tcW w:w="480" w:type="dxa"/>
            <w:vAlign w:val="bottom"/>
          </w:tcPr>
          <w:p>
            <w:pPr>
              <w:jc w:val="center"/>
              <w:spacing w:after="0"/>
              <w:rPr>
                <w:sz w:val="20"/>
                <w:szCs w:val="20"/>
                <w:color w:val="auto"/>
              </w:rPr>
            </w:pPr>
            <w:r>
              <w:rPr>
                <w:rFonts w:ascii="Arial" w:cs="Arial" w:eastAsia="Arial" w:hAnsi="Arial"/>
                <w:sz w:val="16"/>
                <w:szCs w:val="16"/>
                <w:color w:val="auto"/>
              </w:rPr>
              <w:t>75</w:t>
            </w:r>
          </w:p>
        </w:tc>
        <w:tc>
          <w:tcPr>
            <w:tcW w:w="1180" w:type="dxa"/>
            <w:vAlign w:val="bottom"/>
          </w:tcPr>
          <w:p>
            <w:pPr>
              <w:jc w:val="center"/>
              <w:spacing w:after="0"/>
              <w:rPr>
                <w:sz w:val="20"/>
                <w:szCs w:val="20"/>
                <w:color w:val="auto"/>
              </w:rPr>
            </w:pPr>
            <w:r>
              <w:rPr>
                <w:rFonts w:ascii="Arial" w:cs="Arial" w:eastAsia="Arial" w:hAnsi="Arial"/>
                <w:sz w:val="16"/>
                <w:szCs w:val="16"/>
                <w:color w:val="auto"/>
              </w:rPr>
              <w:t>2018</w:t>
            </w:r>
          </w:p>
        </w:tc>
        <w:tc>
          <w:tcPr>
            <w:tcW w:w="4860" w:type="dxa"/>
            <w:vAlign w:val="bottom"/>
          </w:tcPr>
          <w:p>
            <w:pPr>
              <w:ind w:left="60"/>
              <w:spacing w:after="0"/>
              <w:rPr>
                <w:sz w:val="20"/>
                <w:szCs w:val="20"/>
                <w:color w:val="auto"/>
              </w:rPr>
            </w:pPr>
            <w:r>
              <w:rPr>
                <w:rFonts w:ascii="Arial" w:cs="Arial" w:eastAsia="Arial" w:hAnsi="Arial"/>
                <w:sz w:val="14"/>
                <w:szCs w:val="14"/>
                <w:color w:val="auto"/>
              </w:rPr>
              <w:t>The Senior Partner of Hughes Hubbard &amp; Reed LLP</w:t>
            </w:r>
          </w:p>
        </w:tc>
        <w:tc>
          <w:tcPr>
            <w:tcW w:w="126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NG</w:t>
            </w:r>
          </w:p>
        </w:tc>
        <w:tc>
          <w:tcPr>
            <w:tcW w:w="0" w:type="dxa"/>
            <w:vAlign w:val="bottom"/>
          </w:tcPr>
          <w:p>
            <w:pPr>
              <w:spacing w:after="0"/>
              <w:rPr>
                <w:sz w:val="1"/>
                <w:szCs w:val="1"/>
                <w:color w:val="auto"/>
              </w:rPr>
            </w:pPr>
          </w:p>
        </w:tc>
      </w:tr>
      <w:tr>
        <w:trPr>
          <w:trHeight w:val="41"/>
        </w:trPr>
        <w:tc>
          <w:tcPr>
            <w:tcW w:w="2100" w:type="dxa"/>
            <w:vAlign w:val="bottom"/>
            <w:tcBorders>
              <w:bottom w:val="single" w:sz="8" w:color="051D49"/>
            </w:tcBorders>
            <w:gridSpan w:val="2"/>
          </w:tcPr>
          <w:p>
            <w:pPr>
              <w:spacing w:after="0"/>
              <w:rPr>
                <w:sz w:val="3"/>
                <w:szCs w:val="3"/>
                <w:color w:val="auto"/>
              </w:rPr>
            </w:pPr>
          </w:p>
        </w:tc>
        <w:tc>
          <w:tcPr>
            <w:tcW w:w="480" w:type="dxa"/>
            <w:vAlign w:val="bottom"/>
            <w:tcBorders>
              <w:bottom w:val="single" w:sz="8" w:color="051D49"/>
            </w:tcBorders>
          </w:tcPr>
          <w:p>
            <w:pPr>
              <w:spacing w:after="0"/>
              <w:rPr>
                <w:sz w:val="3"/>
                <w:szCs w:val="3"/>
                <w:color w:val="auto"/>
              </w:rPr>
            </w:pPr>
          </w:p>
        </w:tc>
        <w:tc>
          <w:tcPr>
            <w:tcW w:w="1180" w:type="dxa"/>
            <w:vAlign w:val="bottom"/>
            <w:tcBorders>
              <w:bottom w:val="single" w:sz="8" w:color="051D49"/>
            </w:tcBorders>
          </w:tcPr>
          <w:p>
            <w:pPr>
              <w:spacing w:after="0"/>
              <w:rPr>
                <w:sz w:val="3"/>
                <w:szCs w:val="3"/>
                <w:color w:val="auto"/>
              </w:rPr>
            </w:pPr>
          </w:p>
        </w:tc>
        <w:tc>
          <w:tcPr>
            <w:tcW w:w="4860" w:type="dxa"/>
            <w:vAlign w:val="bottom"/>
            <w:tcBorders>
              <w:bottom w:val="single" w:sz="8" w:color="051D49"/>
            </w:tcBorders>
          </w:tcPr>
          <w:p>
            <w:pPr>
              <w:spacing w:after="0"/>
              <w:rPr>
                <w:sz w:val="3"/>
                <w:szCs w:val="3"/>
                <w:color w:val="auto"/>
              </w:rPr>
            </w:pPr>
          </w:p>
        </w:tc>
        <w:tc>
          <w:tcPr>
            <w:tcW w:w="1260" w:type="dxa"/>
            <w:vAlign w:val="bottom"/>
            <w:tcBorders>
              <w:bottom w:val="single" w:sz="8" w:color="051D49"/>
            </w:tcBorders>
          </w:tcPr>
          <w:p>
            <w:pPr>
              <w:spacing w:after="0"/>
              <w:rPr>
                <w:sz w:val="3"/>
                <w:szCs w:val="3"/>
                <w:color w:val="auto"/>
              </w:rPr>
            </w:pPr>
          </w:p>
        </w:tc>
        <w:tc>
          <w:tcPr>
            <w:tcW w:w="1040" w:type="dxa"/>
            <w:vAlign w:val="bottom"/>
            <w:tcBorders>
              <w:bottom w:val="single" w:sz="8" w:color="051D49"/>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100" w:type="dxa"/>
            <w:vAlign w:val="bottom"/>
            <w:gridSpan w:val="2"/>
          </w:tcPr>
          <w:p>
            <w:pPr>
              <w:ind w:left="80"/>
              <w:spacing w:after="0"/>
              <w:rPr>
                <w:sz w:val="20"/>
                <w:szCs w:val="20"/>
                <w:color w:val="auto"/>
              </w:rPr>
            </w:pPr>
            <w:r>
              <w:rPr>
                <w:rFonts w:ascii="Arial" w:cs="Arial" w:eastAsia="Arial" w:hAnsi="Arial"/>
                <w:sz w:val="16"/>
                <w:szCs w:val="16"/>
                <w:color w:val="auto"/>
              </w:rPr>
              <w:t>Barbara M. Byrne</w:t>
            </w:r>
          </w:p>
        </w:tc>
        <w:tc>
          <w:tcPr>
            <w:tcW w:w="480" w:type="dxa"/>
            <w:vAlign w:val="bottom"/>
          </w:tcPr>
          <w:p>
            <w:pPr>
              <w:jc w:val="center"/>
              <w:spacing w:after="0"/>
              <w:rPr>
                <w:sz w:val="20"/>
                <w:szCs w:val="20"/>
                <w:color w:val="auto"/>
              </w:rPr>
            </w:pPr>
            <w:r>
              <w:rPr>
                <w:rFonts w:ascii="Arial" w:cs="Arial" w:eastAsia="Arial" w:hAnsi="Arial"/>
                <w:sz w:val="16"/>
                <w:szCs w:val="16"/>
                <w:color w:val="auto"/>
              </w:rPr>
              <w:t>67</w:t>
            </w:r>
          </w:p>
        </w:tc>
        <w:tc>
          <w:tcPr>
            <w:tcW w:w="1180" w:type="dxa"/>
            <w:vAlign w:val="bottom"/>
          </w:tcPr>
          <w:p>
            <w:pPr>
              <w:jc w:val="center"/>
              <w:spacing w:after="0"/>
              <w:rPr>
                <w:sz w:val="20"/>
                <w:szCs w:val="20"/>
                <w:color w:val="auto"/>
              </w:rPr>
            </w:pPr>
            <w:r>
              <w:rPr>
                <w:rFonts w:ascii="Arial" w:cs="Arial" w:eastAsia="Arial" w:hAnsi="Arial"/>
                <w:sz w:val="16"/>
                <w:szCs w:val="16"/>
                <w:color w:val="auto"/>
              </w:rPr>
              <w:t>2018</w:t>
            </w:r>
          </w:p>
        </w:tc>
        <w:tc>
          <w:tcPr>
            <w:tcW w:w="4860" w:type="dxa"/>
            <w:vAlign w:val="bottom"/>
          </w:tcPr>
          <w:p>
            <w:pPr>
              <w:ind w:left="60"/>
              <w:spacing w:after="0"/>
              <w:rPr>
                <w:sz w:val="20"/>
                <w:szCs w:val="20"/>
                <w:color w:val="auto"/>
              </w:rPr>
            </w:pPr>
            <w:r>
              <w:rPr>
                <w:rFonts w:ascii="Arial" w:cs="Arial" w:eastAsia="Arial" w:hAnsi="Arial"/>
                <w:sz w:val="14"/>
                <w:szCs w:val="14"/>
                <w:color w:val="auto"/>
              </w:rPr>
              <w:t>Former Vice Chairman, Investment Banking at Barclays PLC</w:t>
            </w:r>
          </w:p>
        </w:tc>
        <w:tc>
          <w:tcPr>
            <w:tcW w:w="126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rPr>
              <w:t>AC*</w:t>
            </w:r>
          </w:p>
        </w:tc>
        <w:tc>
          <w:tcPr>
            <w:tcW w:w="0" w:type="dxa"/>
            <w:vAlign w:val="bottom"/>
          </w:tcPr>
          <w:p>
            <w:pPr>
              <w:spacing w:after="0"/>
              <w:rPr>
                <w:sz w:val="1"/>
                <w:szCs w:val="1"/>
                <w:color w:val="auto"/>
              </w:rPr>
            </w:pPr>
          </w:p>
        </w:tc>
      </w:tr>
      <w:tr>
        <w:trPr>
          <w:trHeight w:val="41"/>
        </w:trPr>
        <w:tc>
          <w:tcPr>
            <w:tcW w:w="2100" w:type="dxa"/>
            <w:vAlign w:val="bottom"/>
            <w:tcBorders>
              <w:bottom w:val="single" w:sz="8" w:color="051D49"/>
            </w:tcBorders>
            <w:gridSpan w:val="2"/>
          </w:tcPr>
          <w:p>
            <w:pPr>
              <w:spacing w:after="0"/>
              <w:rPr>
                <w:sz w:val="3"/>
                <w:szCs w:val="3"/>
                <w:color w:val="auto"/>
              </w:rPr>
            </w:pPr>
          </w:p>
        </w:tc>
        <w:tc>
          <w:tcPr>
            <w:tcW w:w="480" w:type="dxa"/>
            <w:vAlign w:val="bottom"/>
            <w:tcBorders>
              <w:bottom w:val="single" w:sz="8" w:color="051D49"/>
            </w:tcBorders>
          </w:tcPr>
          <w:p>
            <w:pPr>
              <w:spacing w:after="0"/>
              <w:rPr>
                <w:sz w:val="3"/>
                <w:szCs w:val="3"/>
                <w:color w:val="auto"/>
              </w:rPr>
            </w:pPr>
          </w:p>
        </w:tc>
        <w:tc>
          <w:tcPr>
            <w:tcW w:w="1180" w:type="dxa"/>
            <w:vAlign w:val="bottom"/>
            <w:tcBorders>
              <w:bottom w:val="single" w:sz="8" w:color="051D49"/>
            </w:tcBorders>
          </w:tcPr>
          <w:p>
            <w:pPr>
              <w:spacing w:after="0"/>
              <w:rPr>
                <w:sz w:val="3"/>
                <w:szCs w:val="3"/>
                <w:color w:val="auto"/>
              </w:rPr>
            </w:pPr>
          </w:p>
        </w:tc>
        <w:tc>
          <w:tcPr>
            <w:tcW w:w="4860" w:type="dxa"/>
            <w:vAlign w:val="bottom"/>
            <w:tcBorders>
              <w:bottom w:val="single" w:sz="8" w:color="051D49"/>
            </w:tcBorders>
          </w:tcPr>
          <w:p>
            <w:pPr>
              <w:spacing w:after="0"/>
              <w:rPr>
                <w:sz w:val="3"/>
                <w:szCs w:val="3"/>
                <w:color w:val="auto"/>
              </w:rPr>
            </w:pPr>
          </w:p>
        </w:tc>
        <w:tc>
          <w:tcPr>
            <w:tcW w:w="1260" w:type="dxa"/>
            <w:vAlign w:val="bottom"/>
            <w:tcBorders>
              <w:bottom w:val="single" w:sz="8" w:color="051D49"/>
            </w:tcBorders>
          </w:tcPr>
          <w:p>
            <w:pPr>
              <w:spacing w:after="0"/>
              <w:rPr>
                <w:sz w:val="3"/>
                <w:szCs w:val="3"/>
                <w:color w:val="auto"/>
              </w:rPr>
            </w:pPr>
          </w:p>
        </w:tc>
        <w:tc>
          <w:tcPr>
            <w:tcW w:w="1040" w:type="dxa"/>
            <w:vAlign w:val="bottom"/>
            <w:tcBorders>
              <w:bottom w:val="single" w:sz="8" w:color="051D49"/>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100" w:type="dxa"/>
            <w:vAlign w:val="bottom"/>
            <w:gridSpan w:val="2"/>
          </w:tcPr>
          <w:p>
            <w:pPr>
              <w:ind w:left="80"/>
              <w:spacing w:after="0"/>
              <w:rPr>
                <w:sz w:val="20"/>
                <w:szCs w:val="20"/>
                <w:color w:val="auto"/>
              </w:rPr>
            </w:pPr>
            <w:r>
              <w:rPr>
                <w:rFonts w:ascii="Arial" w:cs="Arial" w:eastAsia="Arial" w:hAnsi="Arial"/>
                <w:sz w:val="16"/>
                <w:szCs w:val="16"/>
                <w:color w:val="auto"/>
              </w:rPr>
              <w:t>Linda M. Griego</w:t>
            </w:r>
          </w:p>
        </w:tc>
        <w:tc>
          <w:tcPr>
            <w:tcW w:w="480" w:type="dxa"/>
            <w:vAlign w:val="bottom"/>
          </w:tcPr>
          <w:p>
            <w:pPr>
              <w:jc w:val="center"/>
              <w:spacing w:after="0"/>
              <w:rPr>
                <w:sz w:val="20"/>
                <w:szCs w:val="20"/>
                <w:color w:val="auto"/>
              </w:rPr>
            </w:pPr>
            <w:r>
              <w:rPr>
                <w:rFonts w:ascii="Arial" w:cs="Arial" w:eastAsia="Arial" w:hAnsi="Arial"/>
                <w:sz w:val="16"/>
                <w:szCs w:val="16"/>
                <w:color w:val="auto"/>
              </w:rPr>
              <w:t>74</w:t>
            </w:r>
          </w:p>
        </w:tc>
        <w:tc>
          <w:tcPr>
            <w:tcW w:w="1180" w:type="dxa"/>
            <w:vAlign w:val="bottom"/>
          </w:tcPr>
          <w:p>
            <w:pPr>
              <w:jc w:val="center"/>
              <w:spacing w:after="0"/>
              <w:rPr>
                <w:sz w:val="20"/>
                <w:szCs w:val="20"/>
                <w:color w:val="auto"/>
              </w:rPr>
            </w:pPr>
            <w:r>
              <w:rPr>
                <w:rFonts w:ascii="Arial" w:cs="Arial" w:eastAsia="Arial" w:hAnsi="Arial"/>
                <w:sz w:val="16"/>
                <w:szCs w:val="16"/>
                <w:color w:val="auto"/>
              </w:rPr>
              <w:t>2007</w:t>
            </w:r>
          </w:p>
        </w:tc>
        <w:tc>
          <w:tcPr>
            <w:tcW w:w="4860" w:type="dxa"/>
            <w:vAlign w:val="bottom"/>
          </w:tcPr>
          <w:p>
            <w:pPr>
              <w:ind w:left="60"/>
              <w:spacing w:after="0"/>
              <w:rPr>
                <w:sz w:val="20"/>
                <w:szCs w:val="20"/>
                <w:color w:val="auto"/>
              </w:rPr>
            </w:pPr>
            <w:r>
              <w:rPr>
                <w:rFonts w:ascii="Arial" w:cs="Arial" w:eastAsia="Arial" w:hAnsi="Arial"/>
                <w:sz w:val="14"/>
                <w:szCs w:val="14"/>
                <w:color w:val="auto"/>
              </w:rPr>
              <w:t>President and Chief Executive Officer of Griego Enterprises, Inc.</w:t>
            </w:r>
          </w:p>
        </w:tc>
        <w:tc>
          <w:tcPr>
            <w:tcW w:w="126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CC</w:t>
            </w:r>
          </w:p>
        </w:tc>
        <w:tc>
          <w:tcPr>
            <w:tcW w:w="0" w:type="dxa"/>
            <w:vAlign w:val="bottom"/>
          </w:tcPr>
          <w:p>
            <w:pPr>
              <w:spacing w:after="0"/>
              <w:rPr>
                <w:sz w:val="1"/>
                <w:szCs w:val="1"/>
                <w:color w:val="auto"/>
              </w:rPr>
            </w:pPr>
          </w:p>
        </w:tc>
      </w:tr>
      <w:tr>
        <w:trPr>
          <w:trHeight w:val="41"/>
        </w:trPr>
        <w:tc>
          <w:tcPr>
            <w:tcW w:w="2100" w:type="dxa"/>
            <w:vAlign w:val="bottom"/>
            <w:tcBorders>
              <w:bottom w:val="single" w:sz="8" w:color="051D49"/>
            </w:tcBorders>
            <w:gridSpan w:val="2"/>
          </w:tcPr>
          <w:p>
            <w:pPr>
              <w:spacing w:after="0"/>
              <w:rPr>
                <w:sz w:val="3"/>
                <w:szCs w:val="3"/>
                <w:color w:val="auto"/>
              </w:rPr>
            </w:pPr>
          </w:p>
        </w:tc>
        <w:tc>
          <w:tcPr>
            <w:tcW w:w="480" w:type="dxa"/>
            <w:vAlign w:val="bottom"/>
            <w:tcBorders>
              <w:bottom w:val="single" w:sz="8" w:color="051D49"/>
            </w:tcBorders>
          </w:tcPr>
          <w:p>
            <w:pPr>
              <w:spacing w:after="0"/>
              <w:rPr>
                <w:sz w:val="3"/>
                <w:szCs w:val="3"/>
                <w:color w:val="auto"/>
              </w:rPr>
            </w:pPr>
          </w:p>
        </w:tc>
        <w:tc>
          <w:tcPr>
            <w:tcW w:w="1180" w:type="dxa"/>
            <w:vAlign w:val="bottom"/>
            <w:tcBorders>
              <w:bottom w:val="single" w:sz="8" w:color="051D49"/>
            </w:tcBorders>
          </w:tcPr>
          <w:p>
            <w:pPr>
              <w:spacing w:after="0"/>
              <w:rPr>
                <w:sz w:val="3"/>
                <w:szCs w:val="3"/>
                <w:color w:val="auto"/>
              </w:rPr>
            </w:pPr>
          </w:p>
        </w:tc>
        <w:tc>
          <w:tcPr>
            <w:tcW w:w="4860" w:type="dxa"/>
            <w:vAlign w:val="bottom"/>
            <w:tcBorders>
              <w:bottom w:val="single" w:sz="8" w:color="051D49"/>
            </w:tcBorders>
          </w:tcPr>
          <w:p>
            <w:pPr>
              <w:spacing w:after="0"/>
              <w:rPr>
                <w:sz w:val="3"/>
                <w:szCs w:val="3"/>
                <w:color w:val="auto"/>
              </w:rPr>
            </w:pPr>
          </w:p>
        </w:tc>
        <w:tc>
          <w:tcPr>
            <w:tcW w:w="1260" w:type="dxa"/>
            <w:vAlign w:val="bottom"/>
            <w:tcBorders>
              <w:bottom w:val="single" w:sz="8" w:color="051D49"/>
            </w:tcBorders>
          </w:tcPr>
          <w:p>
            <w:pPr>
              <w:spacing w:after="0"/>
              <w:rPr>
                <w:sz w:val="3"/>
                <w:szCs w:val="3"/>
                <w:color w:val="auto"/>
              </w:rPr>
            </w:pPr>
          </w:p>
        </w:tc>
        <w:tc>
          <w:tcPr>
            <w:tcW w:w="1040" w:type="dxa"/>
            <w:vAlign w:val="bottom"/>
            <w:tcBorders>
              <w:bottom w:val="single" w:sz="8" w:color="051D49"/>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100" w:type="dxa"/>
            <w:vAlign w:val="bottom"/>
            <w:gridSpan w:val="2"/>
          </w:tcPr>
          <w:p>
            <w:pPr>
              <w:ind w:left="80"/>
              <w:spacing w:after="0"/>
              <w:rPr>
                <w:sz w:val="20"/>
                <w:szCs w:val="20"/>
                <w:color w:val="auto"/>
              </w:rPr>
            </w:pPr>
            <w:r>
              <w:rPr>
                <w:rFonts w:ascii="Arial" w:cs="Arial" w:eastAsia="Arial" w:hAnsi="Arial"/>
                <w:sz w:val="16"/>
                <w:szCs w:val="16"/>
                <w:color w:val="auto"/>
              </w:rPr>
              <w:t>Robert N. Klieger</w:t>
            </w:r>
          </w:p>
        </w:tc>
        <w:tc>
          <w:tcPr>
            <w:tcW w:w="480" w:type="dxa"/>
            <w:vAlign w:val="bottom"/>
          </w:tcPr>
          <w:p>
            <w:pPr>
              <w:jc w:val="center"/>
              <w:spacing w:after="0"/>
              <w:rPr>
                <w:sz w:val="20"/>
                <w:szCs w:val="20"/>
                <w:color w:val="auto"/>
              </w:rPr>
            </w:pPr>
            <w:r>
              <w:rPr>
                <w:rFonts w:ascii="Arial" w:cs="Arial" w:eastAsia="Arial" w:hAnsi="Arial"/>
                <w:sz w:val="16"/>
                <w:szCs w:val="16"/>
                <w:color w:val="auto"/>
              </w:rPr>
              <w:t>50</w:t>
            </w:r>
          </w:p>
        </w:tc>
        <w:tc>
          <w:tcPr>
            <w:tcW w:w="1180" w:type="dxa"/>
            <w:vAlign w:val="bottom"/>
          </w:tcPr>
          <w:p>
            <w:pPr>
              <w:jc w:val="center"/>
              <w:spacing w:after="0"/>
              <w:rPr>
                <w:sz w:val="20"/>
                <w:szCs w:val="20"/>
                <w:color w:val="auto"/>
              </w:rPr>
            </w:pPr>
            <w:r>
              <w:rPr>
                <w:rFonts w:ascii="Arial" w:cs="Arial" w:eastAsia="Arial" w:hAnsi="Arial"/>
                <w:sz w:val="16"/>
                <w:szCs w:val="16"/>
                <w:color w:val="auto"/>
              </w:rPr>
              <w:t>2017</w:t>
            </w:r>
          </w:p>
        </w:tc>
        <w:tc>
          <w:tcPr>
            <w:tcW w:w="4860" w:type="dxa"/>
            <w:vAlign w:val="bottom"/>
          </w:tcPr>
          <w:p>
            <w:pPr>
              <w:ind w:left="60"/>
              <w:spacing w:after="0"/>
              <w:rPr>
                <w:sz w:val="20"/>
                <w:szCs w:val="20"/>
                <w:color w:val="auto"/>
              </w:rPr>
            </w:pPr>
            <w:r>
              <w:rPr>
                <w:rFonts w:ascii="Arial" w:cs="Arial" w:eastAsia="Arial" w:hAnsi="Arial"/>
                <w:sz w:val="14"/>
                <w:szCs w:val="14"/>
                <w:color w:val="auto"/>
              </w:rPr>
              <w:t>Partner at Hueston Hennigan LLP</w:t>
            </w: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100" w:type="dxa"/>
            <w:vAlign w:val="bottom"/>
            <w:tcBorders>
              <w:bottom w:val="single" w:sz="8" w:color="051D49"/>
            </w:tcBorders>
            <w:gridSpan w:val="2"/>
          </w:tcPr>
          <w:p>
            <w:pPr>
              <w:spacing w:after="0"/>
              <w:rPr>
                <w:sz w:val="3"/>
                <w:szCs w:val="3"/>
                <w:color w:val="auto"/>
              </w:rPr>
            </w:pPr>
          </w:p>
        </w:tc>
        <w:tc>
          <w:tcPr>
            <w:tcW w:w="480" w:type="dxa"/>
            <w:vAlign w:val="bottom"/>
            <w:tcBorders>
              <w:bottom w:val="single" w:sz="8" w:color="051D49"/>
            </w:tcBorders>
          </w:tcPr>
          <w:p>
            <w:pPr>
              <w:spacing w:after="0"/>
              <w:rPr>
                <w:sz w:val="3"/>
                <w:szCs w:val="3"/>
                <w:color w:val="auto"/>
              </w:rPr>
            </w:pPr>
          </w:p>
        </w:tc>
        <w:tc>
          <w:tcPr>
            <w:tcW w:w="1180" w:type="dxa"/>
            <w:vAlign w:val="bottom"/>
            <w:tcBorders>
              <w:bottom w:val="single" w:sz="8" w:color="051D49"/>
            </w:tcBorders>
          </w:tcPr>
          <w:p>
            <w:pPr>
              <w:spacing w:after="0"/>
              <w:rPr>
                <w:sz w:val="3"/>
                <w:szCs w:val="3"/>
                <w:color w:val="auto"/>
              </w:rPr>
            </w:pPr>
          </w:p>
        </w:tc>
        <w:tc>
          <w:tcPr>
            <w:tcW w:w="4860" w:type="dxa"/>
            <w:vAlign w:val="bottom"/>
            <w:tcBorders>
              <w:bottom w:val="single" w:sz="8" w:color="051D49"/>
            </w:tcBorders>
          </w:tcPr>
          <w:p>
            <w:pPr>
              <w:spacing w:after="0"/>
              <w:rPr>
                <w:sz w:val="3"/>
                <w:szCs w:val="3"/>
                <w:color w:val="auto"/>
              </w:rPr>
            </w:pPr>
          </w:p>
        </w:tc>
        <w:tc>
          <w:tcPr>
            <w:tcW w:w="1260" w:type="dxa"/>
            <w:vAlign w:val="bottom"/>
            <w:tcBorders>
              <w:bottom w:val="single" w:sz="8" w:color="051D49"/>
            </w:tcBorders>
          </w:tcPr>
          <w:p>
            <w:pPr>
              <w:spacing w:after="0"/>
              <w:rPr>
                <w:sz w:val="3"/>
                <w:szCs w:val="3"/>
                <w:color w:val="auto"/>
              </w:rPr>
            </w:pPr>
          </w:p>
        </w:tc>
        <w:tc>
          <w:tcPr>
            <w:tcW w:w="1040" w:type="dxa"/>
            <w:vAlign w:val="bottom"/>
            <w:tcBorders>
              <w:bottom w:val="single" w:sz="8" w:color="051D49"/>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100" w:type="dxa"/>
            <w:vAlign w:val="bottom"/>
            <w:gridSpan w:val="2"/>
          </w:tcPr>
          <w:p>
            <w:pPr>
              <w:ind w:left="80"/>
              <w:spacing w:after="0"/>
              <w:rPr>
                <w:sz w:val="20"/>
                <w:szCs w:val="20"/>
                <w:color w:val="auto"/>
              </w:rPr>
            </w:pPr>
            <w:r>
              <w:rPr>
                <w:rFonts w:ascii="Arial" w:cs="Arial" w:eastAsia="Arial" w:hAnsi="Arial"/>
                <w:sz w:val="16"/>
                <w:szCs w:val="16"/>
                <w:color w:val="auto"/>
              </w:rPr>
              <w:t>Judith A. McHale</w:t>
            </w:r>
          </w:p>
        </w:tc>
        <w:tc>
          <w:tcPr>
            <w:tcW w:w="480" w:type="dxa"/>
            <w:vAlign w:val="bottom"/>
          </w:tcPr>
          <w:p>
            <w:pPr>
              <w:jc w:val="center"/>
              <w:spacing w:after="0"/>
              <w:rPr>
                <w:sz w:val="20"/>
                <w:szCs w:val="20"/>
                <w:color w:val="auto"/>
              </w:rPr>
            </w:pPr>
            <w:r>
              <w:rPr>
                <w:rFonts w:ascii="Arial" w:cs="Arial" w:eastAsia="Arial" w:hAnsi="Arial"/>
                <w:sz w:val="16"/>
                <w:szCs w:val="16"/>
                <w:color w:val="auto"/>
              </w:rPr>
              <w:t>75</w:t>
            </w:r>
          </w:p>
        </w:tc>
        <w:tc>
          <w:tcPr>
            <w:tcW w:w="1180" w:type="dxa"/>
            <w:vAlign w:val="bottom"/>
          </w:tcPr>
          <w:p>
            <w:pPr>
              <w:jc w:val="center"/>
              <w:spacing w:after="0"/>
              <w:rPr>
                <w:sz w:val="20"/>
                <w:szCs w:val="20"/>
                <w:color w:val="auto"/>
              </w:rPr>
            </w:pPr>
            <w:r>
              <w:rPr>
                <w:rFonts w:ascii="Arial" w:cs="Arial" w:eastAsia="Arial" w:hAnsi="Arial"/>
                <w:sz w:val="16"/>
                <w:szCs w:val="16"/>
                <w:color w:val="auto"/>
              </w:rPr>
              <w:t>2019</w:t>
            </w:r>
          </w:p>
        </w:tc>
        <w:tc>
          <w:tcPr>
            <w:tcW w:w="4860" w:type="dxa"/>
            <w:vAlign w:val="bottom"/>
          </w:tcPr>
          <w:p>
            <w:pPr>
              <w:ind w:left="60"/>
              <w:spacing w:after="0"/>
              <w:rPr>
                <w:sz w:val="20"/>
                <w:szCs w:val="20"/>
                <w:color w:val="auto"/>
              </w:rPr>
            </w:pPr>
            <w:r>
              <w:rPr>
                <w:rFonts w:ascii="Arial" w:cs="Arial" w:eastAsia="Arial" w:hAnsi="Arial"/>
                <w:sz w:val="14"/>
                <w:szCs w:val="14"/>
                <w:color w:val="auto"/>
              </w:rPr>
              <w:t>President and Chief Executive Officer of Cane Investments, LLC</w:t>
            </w:r>
          </w:p>
        </w:tc>
        <w:tc>
          <w:tcPr>
            <w:tcW w:w="126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rPr>
              <w:t>AC; CC*</w:t>
            </w:r>
          </w:p>
        </w:tc>
        <w:tc>
          <w:tcPr>
            <w:tcW w:w="0" w:type="dxa"/>
            <w:vAlign w:val="bottom"/>
          </w:tcPr>
          <w:p>
            <w:pPr>
              <w:spacing w:after="0"/>
              <w:rPr>
                <w:sz w:val="1"/>
                <w:szCs w:val="1"/>
                <w:color w:val="auto"/>
              </w:rPr>
            </w:pPr>
          </w:p>
        </w:tc>
      </w:tr>
      <w:tr>
        <w:trPr>
          <w:trHeight w:val="41"/>
        </w:trPr>
        <w:tc>
          <w:tcPr>
            <w:tcW w:w="2100" w:type="dxa"/>
            <w:vAlign w:val="bottom"/>
            <w:tcBorders>
              <w:bottom w:val="single" w:sz="8" w:color="051D49"/>
            </w:tcBorders>
            <w:gridSpan w:val="2"/>
          </w:tcPr>
          <w:p>
            <w:pPr>
              <w:spacing w:after="0"/>
              <w:rPr>
                <w:sz w:val="3"/>
                <w:szCs w:val="3"/>
                <w:color w:val="auto"/>
              </w:rPr>
            </w:pPr>
          </w:p>
        </w:tc>
        <w:tc>
          <w:tcPr>
            <w:tcW w:w="480" w:type="dxa"/>
            <w:vAlign w:val="bottom"/>
            <w:tcBorders>
              <w:bottom w:val="single" w:sz="8" w:color="051D49"/>
            </w:tcBorders>
          </w:tcPr>
          <w:p>
            <w:pPr>
              <w:spacing w:after="0"/>
              <w:rPr>
                <w:sz w:val="3"/>
                <w:szCs w:val="3"/>
                <w:color w:val="auto"/>
              </w:rPr>
            </w:pPr>
          </w:p>
        </w:tc>
        <w:tc>
          <w:tcPr>
            <w:tcW w:w="1180" w:type="dxa"/>
            <w:vAlign w:val="bottom"/>
            <w:tcBorders>
              <w:bottom w:val="single" w:sz="8" w:color="051D49"/>
            </w:tcBorders>
          </w:tcPr>
          <w:p>
            <w:pPr>
              <w:spacing w:after="0"/>
              <w:rPr>
                <w:sz w:val="3"/>
                <w:szCs w:val="3"/>
                <w:color w:val="auto"/>
              </w:rPr>
            </w:pPr>
          </w:p>
        </w:tc>
        <w:tc>
          <w:tcPr>
            <w:tcW w:w="4860" w:type="dxa"/>
            <w:vAlign w:val="bottom"/>
            <w:tcBorders>
              <w:bottom w:val="single" w:sz="8" w:color="051D49"/>
            </w:tcBorders>
          </w:tcPr>
          <w:p>
            <w:pPr>
              <w:spacing w:after="0"/>
              <w:rPr>
                <w:sz w:val="3"/>
                <w:szCs w:val="3"/>
                <w:color w:val="auto"/>
              </w:rPr>
            </w:pPr>
          </w:p>
        </w:tc>
        <w:tc>
          <w:tcPr>
            <w:tcW w:w="1260" w:type="dxa"/>
            <w:vAlign w:val="bottom"/>
            <w:tcBorders>
              <w:bottom w:val="single" w:sz="8" w:color="051D49"/>
            </w:tcBorders>
          </w:tcPr>
          <w:p>
            <w:pPr>
              <w:spacing w:after="0"/>
              <w:rPr>
                <w:sz w:val="3"/>
                <w:szCs w:val="3"/>
                <w:color w:val="auto"/>
              </w:rPr>
            </w:pPr>
          </w:p>
        </w:tc>
        <w:tc>
          <w:tcPr>
            <w:tcW w:w="1040" w:type="dxa"/>
            <w:vAlign w:val="bottom"/>
            <w:tcBorders>
              <w:bottom w:val="single" w:sz="8" w:color="051D49"/>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100" w:type="dxa"/>
            <w:vAlign w:val="bottom"/>
            <w:gridSpan w:val="2"/>
          </w:tcPr>
          <w:p>
            <w:pPr>
              <w:ind w:left="80"/>
              <w:spacing w:after="0"/>
              <w:rPr>
                <w:sz w:val="20"/>
                <w:szCs w:val="20"/>
                <w:color w:val="auto"/>
              </w:rPr>
            </w:pPr>
            <w:r>
              <w:rPr>
                <w:rFonts w:ascii="Arial" w:cs="Arial" w:eastAsia="Arial" w:hAnsi="Arial"/>
                <w:sz w:val="16"/>
                <w:szCs w:val="16"/>
                <w:color w:val="auto"/>
              </w:rPr>
              <w:t>Ronald L. Nelson</w:t>
            </w:r>
          </w:p>
        </w:tc>
        <w:tc>
          <w:tcPr>
            <w:tcW w:w="480" w:type="dxa"/>
            <w:vAlign w:val="bottom"/>
          </w:tcPr>
          <w:p>
            <w:pPr>
              <w:jc w:val="center"/>
              <w:spacing w:after="0"/>
              <w:rPr>
                <w:sz w:val="20"/>
                <w:szCs w:val="20"/>
                <w:color w:val="auto"/>
              </w:rPr>
            </w:pPr>
            <w:r>
              <w:rPr>
                <w:rFonts w:ascii="Arial" w:cs="Arial" w:eastAsia="Arial" w:hAnsi="Arial"/>
                <w:sz w:val="16"/>
                <w:szCs w:val="16"/>
                <w:color w:val="auto"/>
              </w:rPr>
              <w:t>69</w:t>
            </w:r>
          </w:p>
        </w:tc>
        <w:tc>
          <w:tcPr>
            <w:tcW w:w="1180" w:type="dxa"/>
            <w:vAlign w:val="bottom"/>
          </w:tcPr>
          <w:p>
            <w:pPr>
              <w:jc w:val="center"/>
              <w:spacing w:after="0"/>
              <w:rPr>
                <w:sz w:val="20"/>
                <w:szCs w:val="20"/>
                <w:color w:val="auto"/>
              </w:rPr>
            </w:pPr>
            <w:r>
              <w:rPr>
                <w:rFonts w:ascii="Arial" w:cs="Arial" w:eastAsia="Arial" w:hAnsi="Arial"/>
                <w:sz w:val="16"/>
                <w:szCs w:val="16"/>
                <w:color w:val="auto"/>
              </w:rPr>
              <w:t>2019</w:t>
            </w:r>
          </w:p>
        </w:tc>
        <w:tc>
          <w:tcPr>
            <w:tcW w:w="4860" w:type="dxa"/>
            <w:vAlign w:val="bottom"/>
          </w:tcPr>
          <w:p>
            <w:pPr>
              <w:ind w:left="60"/>
              <w:spacing w:after="0"/>
              <w:rPr>
                <w:sz w:val="20"/>
                <w:szCs w:val="20"/>
                <w:color w:val="auto"/>
              </w:rPr>
            </w:pPr>
            <w:r>
              <w:rPr>
                <w:rFonts w:ascii="Arial" w:cs="Arial" w:eastAsia="Arial" w:hAnsi="Arial"/>
                <w:sz w:val="14"/>
                <w:szCs w:val="14"/>
                <w:color w:val="auto"/>
              </w:rPr>
              <w:t>Former Executive Chairman of the Board and Chief Executive Officer of</w:t>
            </w:r>
          </w:p>
        </w:tc>
        <w:tc>
          <w:tcPr>
            <w:tcW w:w="126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AC; CC</w:t>
            </w:r>
          </w:p>
        </w:tc>
        <w:tc>
          <w:tcPr>
            <w:tcW w:w="0" w:type="dxa"/>
            <w:vAlign w:val="bottom"/>
          </w:tcPr>
          <w:p>
            <w:pPr>
              <w:spacing w:after="0"/>
              <w:rPr>
                <w:sz w:val="1"/>
                <w:szCs w:val="1"/>
                <w:color w:val="auto"/>
              </w:rPr>
            </w:pPr>
          </w:p>
        </w:tc>
      </w:tr>
      <w:tr>
        <w:trPr>
          <w:trHeight w:val="160"/>
        </w:trPr>
        <w:tc>
          <w:tcPr>
            <w:tcW w:w="320" w:type="dxa"/>
            <w:vAlign w:val="bottom"/>
            <w:tcBorders>
              <w:bottom w:val="single" w:sz="8" w:color="051D49"/>
            </w:tcBorders>
          </w:tcPr>
          <w:p>
            <w:pPr>
              <w:spacing w:after="0"/>
              <w:rPr>
                <w:sz w:val="13"/>
                <w:szCs w:val="13"/>
                <w:color w:val="auto"/>
              </w:rPr>
            </w:pPr>
          </w:p>
        </w:tc>
        <w:tc>
          <w:tcPr>
            <w:tcW w:w="1780" w:type="dxa"/>
            <w:vAlign w:val="bottom"/>
            <w:tcBorders>
              <w:bottom w:val="single" w:sz="8" w:color="051D49"/>
            </w:tcBorders>
          </w:tcPr>
          <w:p>
            <w:pPr>
              <w:spacing w:after="0"/>
              <w:rPr>
                <w:sz w:val="13"/>
                <w:szCs w:val="13"/>
                <w:color w:val="auto"/>
              </w:rPr>
            </w:pPr>
          </w:p>
        </w:tc>
        <w:tc>
          <w:tcPr>
            <w:tcW w:w="480" w:type="dxa"/>
            <w:vAlign w:val="bottom"/>
            <w:tcBorders>
              <w:bottom w:val="single" w:sz="8" w:color="051D49"/>
            </w:tcBorders>
          </w:tcPr>
          <w:p>
            <w:pPr>
              <w:spacing w:after="0"/>
              <w:rPr>
                <w:sz w:val="13"/>
                <w:szCs w:val="13"/>
                <w:color w:val="auto"/>
              </w:rPr>
            </w:pPr>
          </w:p>
        </w:tc>
        <w:tc>
          <w:tcPr>
            <w:tcW w:w="1180" w:type="dxa"/>
            <w:vAlign w:val="bottom"/>
            <w:tcBorders>
              <w:bottom w:val="single" w:sz="8" w:color="051D49"/>
            </w:tcBorders>
          </w:tcPr>
          <w:p>
            <w:pPr>
              <w:spacing w:after="0"/>
              <w:rPr>
                <w:sz w:val="13"/>
                <w:szCs w:val="13"/>
                <w:color w:val="auto"/>
              </w:rPr>
            </w:pPr>
          </w:p>
        </w:tc>
        <w:tc>
          <w:tcPr>
            <w:tcW w:w="4860" w:type="dxa"/>
            <w:vAlign w:val="bottom"/>
            <w:tcBorders>
              <w:bottom w:val="single" w:sz="8" w:color="051D49"/>
            </w:tcBorders>
          </w:tcPr>
          <w:p>
            <w:pPr>
              <w:ind w:left="60"/>
              <w:spacing w:after="0"/>
              <w:rPr>
                <w:sz w:val="20"/>
                <w:szCs w:val="20"/>
                <w:color w:val="auto"/>
              </w:rPr>
            </w:pPr>
            <w:r>
              <w:rPr>
                <w:rFonts w:ascii="Arial" w:cs="Arial" w:eastAsia="Arial" w:hAnsi="Arial"/>
                <w:sz w:val="14"/>
                <w:szCs w:val="14"/>
                <w:color w:val="auto"/>
              </w:rPr>
              <w:t>Avis Budget Group</w:t>
            </w:r>
          </w:p>
        </w:tc>
        <w:tc>
          <w:tcPr>
            <w:tcW w:w="1260" w:type="dxa"/>
            <w:vAlign w:val="bottom"/>
            <w:tcBorders>
              <w:bottom w:val="single" w:sz="8" w:color="051D49"/>
            </w:tcBorders>
          </w:tcPr>
          <w:p>
            <w:pPr>
              <w:spacing w:after="0"/>
              <w:rPr>
                <w:sz w:val="13"/>
                <w:szCs w:val="13"/>
                <w:color w:val="auto"/>
              </w:rPr>
            </w:pPr>
          </w:p>
        </w:tc>
        <w:tc>
          <w:tcPr>
            <w:tcW w:w="1040" w:type="dxa"/>
            <w:vAlign w:val="bottom"/>
            <w:tcBorders>
              <w:bottom w:val="single" w:sz="8" w:color="051D49"/>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100" w:type="dxa"/>
            <w:vAlign w:val="bottom"/>
            <w:gridSpan w:val="2"/>
          </w:tcPr>
          <w:p>
            <w:pPr>
              <w:ind w:left="80"/>
              <w:spacing w:after="0"/>
              <w:rPr>
                <w:sz w:val="20"/>
                <w:szCs w:val="20"/>
                <w:color w:val="auto"/>
              </w:rPr>
            </w:pPr>
            <w:r>
              <w:rPr>
                <w:rFonts w:ascii="Arial" w:cs="Arial" w:eastAsia="Arial" w:hAnsi="Arial"/>
                <w:sz w:val="16"/>
                <w:szCs w:val="16"/>
                <w:color w:val="auto"/>
              </w:rPr>
              <w:t>Charles E. Phillips, Jr.</w:t>
            </w:r>
          </w:p>
        </w:tc>
        <w:tc>
          <w:tcPr>
            <w:tcW w:w="480" w:type="dxa"/>
            <w:vAlign w:val="bottom"/>
          </w:tcPr>
          <w:p>
            <w:pPr>
              <w:jc w:val="center"/>
              <w:spacing w:after="0"/>
              <w:rPr>
                <w:sz w:val="20"/>
                <w:szCs w:val="20"/>
                <w:color w:val="auto"/>
              </w:rPr>
            </w:pPr>
            <w:r>
              <w:rPr>
                <w:rFonts w:ascii="Arial" w:cs="Arial" w:eastAsia="Arial" w:hAnsi="Arial"/>
                <w:sz w:val="16"/>
                <w:szCs w:val="16"/>
                <w:color w:val="auto"/>
              </w:rPr>
              <w:t>62</w:t>
            </w:r>
          </w:p>
        </w:tc>
        <w:tc>
          <w:tcPr>
            <w:tcW w:w="1180" w:type="dxa"/>
            <w:vAlign w:val="bottom"/>
          </w:tcPr>
          <w:p>
            <w:pPr>
              <w:jc w:val="center"/>
              <w:spacing w:after="0"/>
              <w:rPr>
                <w:sz w:val="20"/>
                <w:szCs w:val="20"/>
                <w:color w:val="auto"/>
              </w:rPr>
            </w:pPr>
            <w:r>
              <w:rPr>
                <w:rFonts w:ascii="Arial" w:cs="Arial" w:eastAsia="Arial" w:hAnsi="Arial"/>
                <w:sz w:val="16"/>
                <w:szCs w:val="16"/>
                <w:color w:val="auto"/>
              </w:rPr>
              <w:t>2019</w:t>
            </w:r>
          </w:p>
        </w:tc>
        <w:tc>
          <w:tcPr>
            <w:tcW w:w="4860" w:type="dxa"/>
            <w:vAlign w:val="bottom"/>
          </w:tcPr>
          <w:p>
            <w:pPr>
              <w:ind w:left="60"/>
              <w:spacing w:after="0"/>
              <w:rPr>
                <w:sz w:val="20"/>
                <w:szCs w:val="20"/>
                <w:color w:val="auto"/>
              </w:rPr>
            </w:pPr>
            <w:r>
              <w:rPr>
                <w:rFonts w:ascii="Arial" w:cs="Arial" w:eastAsia="Arial" w:hAnsi="Arial"/>
                <w:sz w:val="14"/>
                <w:szCs w:val="14"/>
                <w:color w:val="auto"/>
              </w:rPr>
              <w:t>Co-Founder and Managing Partner of Recognize</w:t>
            </w:r>
          </w:p>
        </w:tc>
        <w:tc>
          <w:tcPr>
            <w:tcW w:w="126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NG</w:t>
            </w:r>
          </w:p>
        </w:tc>
        <w:tc>
          <w:tcPr>
            <w:tcW w:w="0" w:type="dxa"/>
            <w:vAlign w:val="bottom"/>
          </w:tcPr>
          <w:p>
            <w:pPr>
              <w:spacing w:after="0"/>
              <w:rPr>
                <w:sz w:val="1"/>
                <w:szCs w:val="1"/>
                <w:color w:val="auto"/>
              </w:rPr>
            </w:pPr>
          </w:p>
        </w:tc>
      </w:tr>
      <w:tr>
        <w:trPr>
          <w:trHeight w:val="41"/>
        </w:trPr>
        <w:tc>
          <w:tcPr>
            <w:tcW w:w="2100" w:type="dxa"/>
            <w:vAlign w:val="bottom"/>
            <w:tcBorders>
              <w:bottom w:val="single" w:sz="8" w:color="051D49"/>
            </w:tcBorders>
            <w:gridSpan w:val="2"/>
          </w:tcPr>
          <w:p>
            <w:pPr>
              <w:spacing w:after="0"/>
              <w:rPr>
                <w:sz w:val="3"/>
                <w:szCs w:val="3"/>
                <w:color w:val="auto"/>
              </w:rPr>
            </w:pPr>
          </w:p>
        </w:tc>
        <w:tc>
          <w:tcPr>
            <w:tcW w:w="480" w:type="dxa"/>
            <w:vAlign w:val="bottom"/>
            <w:tcBorders>
              <w:bottom w:val="single" w:sz="8" w:color="051D49"/>
            </w:tcBorders>
          </w:tcPr>
          <w:p>
            <w:pPr>
              <w:spacing w:after="0"/>
              <w:rPr>
                <w:sz w:val="3"/>
                <w:szCs w:val="3"/>
                <w:color w:val="auto"/>
              </w:rPr>
            </w:pPr>
          </w:p>
        </w:tc>
        <w:tc>
          <w:tcPr>
            <w:tcW w:w="1180" w:type="dxa"/>
            <w:vAlign w:val="bottom"/>
            <w:tcBorders>
              <w:bottom w:val="single" w:sz="8" w:color="051D49"/>
            </w:tcBorders>
          </w:tcPr>
          <w:p>
            <w:pPr>
              <w:spacing w:after="0"/>
              <w:rPr>
                <w:sz w:val="3"/>
                <w:szCs w:val="3"/>
                <w:color w:val="auto"/>
              </w:rPr>
            </w:pPr>
          </w:p>
        </w:tc>
        <w:tc>
          <w:tcPr>
            <w:tcW w:w="4860" w:type="dxa"/>
            <w:vAlign w:val="bottom"/>
            <w:tcBorders>
              <w:bottom w:val="single" w:sz="8" w:color="051D49"/>
            </w:tcBorders>
          </w:tcPr>
          <w:p>
            <w:pPr>
              <w:spacing w:after="0"/>
              <w:rPr>
                <w:sz w:val="3"/>
                <w:szCs w:val="3"/>
                <w:color w:val="auto"/>
              </w:rPr>
            </w:pPr>
          </w:p>
        </w:tc>
        <w:tc>
          <w:tcPr>
            <w:tcW w:w="1260" w:type="dxa"/>
            <w:vAlign w:val="bottom"/>
            <w:tcBorders>
              <w:bottom w:val="single" w:sz="8" w:color="051D49"/>
            </w:tcBorders>
          </w:tcPr>
          <w:p>
            <w:pPr>
              <w:spacing w:after="0"/>
              <w:rPr>
                <w:sz w:val="3"/>
                <w:szCs w:val="3"/>
                <w:color w:val="auto"/>
              </w:rPr>
            </w:pPr>
          </w:p>
        </w:tc>
        <w:tc>
          <w:tcPr>
            <w:tcW w:w="1040" w:type="dxa"/>
            <w:vAlign w:val="bottom"/>
            <w:tcBorders>
              <w:bottom w:val="single" w:sz="8" w:color="051D49"/>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100" w:type="dxa"/>
            <w:vAlign w:val="bottom"/>
            <w:gridSpan w:val="2"/>
          </w:tcPr>
          <w:p>
            <w:pPr>
              <w:ind w:left="80"/>
              <w:spacing w:after="0"/>
              <w:rPr>
                <w:sz w:val="20"/>
                <w:szCs w:val="20"/>
                <w:color w:val="auto"/>
              </w:rPr>
            </w:pPr>
            <w:r>
              <w:rPr>
                <w:rFonts w:ascii="Arial" w:cs="Arial" w:eastAsia="Arial" w:hAnsi="Arial"/>
                <w:sz w:val="16"/>
                <w:szCs w:val="16"/>
                <w:color w:val="auto"/>
              </w:rPr>
              <w:t>Susan Schuman</w:t>
            </w:r>
          </w:p>
        </w:tc>
        <w:tc>
          <w:tcPr>
            <w:tcW w:w="480" w:type="dxa"/>
            <w:vAlign w:val="bottom"/>
          </w:tcPr>
          <w:p>
            <w:pPr>
              <w:jc w:val="center"/>
              <w:spacing w:after="0"/>
              <w:rPr>
                <w:sz w:val="20"/>
                <w:szCs w:val="20"/>
                <w:color w:val="auto"/>
              </w:rPr>
            </w:pPr>
            <w:r>
              <w:rPr>
                <w:rFonts w:ascii="Arial" w:cs="Arial" w:eastAsia="Arial" w:hAnsi="Arial"/>
                <w:sz w:val="16"/>
                <w:szCs w:val="16"/>
                <w:color w:val="auto"/>
              </w:rPr>
              <w:t>62</w:t>
            </w:r>
          </w:p>
        </w:tc>
        <w:tc>
          <w:tcPr>
            <w:tcW w:w="1180" w:type="dxa"/>
            <w:vAlign w:val="bottom"/>
          </w:tcPr>
          <w:p>
            <w:pPr>
              <w:jc w:val="center"/>
              <w:spacing w:after="0"/>
              <w:rPr>
                <w:sz w:val="20"/>
                <w:szCs w:val="20"/>
                <w:color w:val="auto"/>
              </w:rPr>
            </w:pPr>
            <w:r>
              <w:rPr>
                <w:rFonts w:ascii="Arial" w:cs="Arial" w:eastAsia="Arial" w:hAnsi="Arial"/>
                <w:sz w:val="16"/>
                <w:szCs w:val="16"/>
                <w:color w:val="auto"/>
              </w:rPr>
              <w:t>2018</w:t>
            </w:r>
          </w:p>
        </w:tc>
        <w:tc>
          <w:tcPr>
            <w:tcW w:w="4860" w:type="dxa"/>
            <w:vAlign w:val="bottom"/>
          </w:tcPr>
          <w:p>
            <w:pPr>
              <w:ind w:left="60"/>
              <w:spacing w:after="0"/>
              <w:rPr>
                <w:sz w:val="20"/>
                <w:szCs w:val="20"/>
                <w:color w:val="auto"/>
              </w:rPr>
            </w:pPr>
            <w:r>
              <w:rPr>
                <w:rFonts w:ascii="Arial" w:cs="Arial" w:eastAsia="Arial" w:hAnsi="Arial"/>
                <w:sz w:val="14"/>
                <w:szCs w:val="14"/>
                <w:color w:val="auto"/>
              </w:rPr>
              <w:t>Executive Chair and Co-Founder of SYPartners LLC and Vice Chair of</w:t>
            </w:r>
          </w:p>
        </w:tc>
        <w:tc>
          <w:tcPr>
            <w:tcW w:w="126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NG</w:t>
            </w:r>
          </w:p>
        </w:tc>
        <w:tc>
          <w:tcPr>
            <w:tcW w:w="0" w:type="dxa"/>
            <w:vAlign w:val="bottom"/>
          </w:tcPr>
          <w:p>
            <w:pPr>
              <w:spacing w:after="0"/>
              <w:rPr>
                <w:sz w:val="1"/>
                <w:szCs w:val="1"/>
                <w:color w:val="auto"/>
              </w:rPr>
            </w:pPr>
          </w:p>
        </w:tc>
      </w:tr>
      <w:tr>
        <w:trPr>
          <w:trHeight w:val="160"/>
        </w:trPr>
        <w:tc>
          <w:tcPr>
            <w:tcW w:w="320" w:type="dxa"/>
            <w:vAlign w:val="bottom"/>
            <w:tcBorders>
              <w:bottom w:val="single" w:sz="8" w:color="051D49"/>
            </w:tcBorders>
          </w:tcPr>
          <w:p>
            <w:pPr>
              <w:spacing w:after="0"/>
              <w:rPr>
                <w:sz w:val="13"/>
                <w:szCs w:val="13"/>
                <w:color w:val="auto"/>
              </w:rPr>
            </w:pPr>
          </w:p>
        </w:tc>
        <w:tc>
          <w:tcPr>
            <w:tcW w:w="1780" w:type="dxa"/>
            <w:vAlign w:val="bottom"/>
            <w:tcBorders>
              <w:bottom w:val="single" w:sz="8" w:color="051D49"/>
            </w:tcBorders>
          </w:tcPr>
          <w:p>
            <w:pPr>
              <w:spacing w:after="0"/>
              <w:rPr>
                <w:sz w:val="13"/>
                <w:szCs w:val="13"/>
                <w:color w:val="auto"/>
              </w:rPr>
            </w:pPr>
          </w:p>
        </w:tc>
        <w:tc>
          <w:tcPr>
            <w:tcW w:w="480" w:type="dxa"/>
            <w:vAlign w:val="bottom"/>
            <w:tcBorders>
              <w:bottom w:val="single" w:sz="8" w:color="051D49"/>
            </w:tcBorders>
          </w:tcPr>
          <w:p>
            <w:pPr>
              <w:spacing w:after="0"/>
              <w:rPr>
                <w:sz w:val="13"/>
                <w:szCs w:val="13"/>
                <w:color w:val="auto"/>
              </w:rPr>
            </w:pPr>
          </w:p>
        </w:tc>
        <w:tc>
          <w:tcPr>
            <w:tcW w:w="1180" w:type="dxa"/>
            <w:vAlign w:val="bottom"/>
            <w:tcBorders>
              <w:bottom w:val="single" w:sz="8" w:color="051D49"/>
            </w:tcBorders>
          </w:tcPr>
          <w:p>
            <w:pPr>
              <w:spacing w:after="0"/>
              <w:rPr>
                <w:sz w:val="13"/>
                <w:szCs w:val="13"/>
                <w:color w:val="auto"/>
              </w:rPr>
            </w:pPr>
          </w:p>
        </w:tc>
        <w:tc>
          <w:tcPr>
            <w:tcW w:w="4860" w:type="dxa"/>
            <w:vAlign w:val="bottom"/>
            <w:tcBorders>
              <w:bottom w:val="single" w:sz="8" w:color="051D49"/>
            </w:tcBorders>
          </w:tcPr>
          <w:p>
            <w:pPr>
              <w:ind w:left="60"/>
              <w:spacing w:after="0"/>
              <w:rPr>
                <w:sz w:val="20"/>
                <w:szCs w:val="20"/>
                <w:color w:val="auto"/>
              </w:rPr>
            </w:pPr>
            <w:r>
              <w:rPr>
                <w:rFonts w:ascii="Arial" w:cs="Arial" w:eastAsia="Arial" w:hAnsi="Arial"/>
                <w:sz w:val="14"/>
                <w:szCs w:val="14"/>
                <w:color w:val="auto"/>
              </w:rPr>
              <w:t>kyu Collective</w:t>
            </w:r>
          </w:p>
        </w:tc>
        <w:tc>
          <w:tcPr>
            <w:tcW w:w="1260" w:type="dxa"/>
            <w:vAlign w:val="bottom"/>
            <w:tcBorders>
              <w:bottom w:val="single" w:sz="8" w:color="051D49"/>
            </w:tcBorders>
          </w:tcPr>
          <w:p>
            <w:pPr>
              <w:spacing w:after="0"/>
              <w:rPr>
                <w:sz w:val="13"/>
                <w:szCs w:val="13"/>
                <w:color w:val="auto"/>
              </w:rPr>
            </w:pPr>
          </w:p>
        </w:tc>
        <w:tc>
          <w:tcPr>
            <w:tcW w:w="1040" w:type="dxa"/>
            <w:vAlign w:val="bottom"/>
            <w:tcBorders>
              <w:bottom w:val="single" w:sz="8" w:color="051D49"/>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100" w:type="dxa"/>
            <w:vAlign w:val="bottom"/>
            <w:gridSpan w:val="2"/>
          </w:tcPr>
          <w:p>
            <w:pPr>
              <w:ind w:left="80"/>
              <w:spacing w:after="0"/>
              <w:rPr>
                <w:sz w:val="20"/>
                <w:szCs w:val="20"/>
                <w:color w:val="auto"/>
              </w:rPr>
            </w:pPr>
            <w:r>
              <w:rPr>
                <w:rFonts w:ascii="Arial" w:cs="Arial" w:eastAsia="Arial" w:hAnsi="Arial"/>
                <w:sz w:val="16"/>
                <w:szCs w:val="16"/>
                <w:color w:val="auto"/>
              </w:rPr>
              <w:t>Nicole Seligman</w:t>
            </w:r>
          </w:p>
        </w:tc>
        <w:tc>
          <w:tcPr>
            <w:tcW w:w="480" w:type="dxa"/>
            <w:vAlign w:val="bottom"/>
          </w:tcPr>
          <w:p>
            <w:pPr>
              <w:jc w:val="center"/>
              <w:spacing w:after="0"/>
              <w:rPr>
                <w:sz w:val="20"/>
                <w:szCs w:val="20"/>
                <w:color w:val="auto"/>
              </w:rPr>
            </w:pPr>
            <w:r>
              <w:rPr>
                <w:rFonts w:ascii="Arial" w:cs="Arial" w:eastAsia="Arial" w:hAnsi="Arial"/>
                <w:sz w:val="16"/>
                <w:szCs w:val="16"/>
                <w:color w:val="auto"/>
              </w:rPr>
              <w:t>65</w:t>
            </w:r>
          </w:p>
        </w:tc>
        <w:tc>
          <w:tcPr>
            <w:tcW w:w="1180" w:type="dxa"/>
            <w:vAlign w:val="bottom"/>
          </w:tcPr>
          <w:p>
            <w:pPr>
              <w:jc w:val="center"/>
              <w:spacing w:after="0"/>
              <w:rPr>
                <w:sz w:val="20"/>
                <w:szCs w:val="20"/>
                <w:color w:val="auto"/>
              </w:rPr>
            </w:pPr>
            <w:r>
              <w:rPr>
                <w:rFonts w:ascii="Arial" w:cs="Arial" w:eastAsia="Arial" w:hAnsi="Arial"/>
                <w:sz w:val="16"/>
                <w:szCs w:val="16"/>
                <w:color w:val="auto"/>
              </w:rPr>
              <w:t>2019</w:t>
            </w:r>
          </w:p>
        </w:tc>
        <w:tc>
          <w:tcPr>
            <w:tcW w:w="4860" w:type="dxa"/>
            <w:vAlign w:val="bottom"/>
          </w:tcPr>
          <w:p>
            <w:pPr>
              <w:ind w:left="60"/>
              <w:spacing w:after="0"/>
              <w:rPr>
                <w:sz w:val="20"/>
                <w:szCs w:val="20"/>
                <w:color w:val="auto"/>
              </w:rPr>
            </w:pPr>
            <w:r>
              <w:rPr>
                <w:rFonts w:ascii="Arial" w:cs="Arial" w:eastAsia="Arial" w:hAnsi="Arial"/>
                <w:sz w:val="14"/>
                <w:szCs w:val="14"/>
                <w:color w:val="auto"/>
              </w:rPr>
              <w:t>Former President of Sony Entertainment, Inc.</w:t>
            </w:r>
          </w:p>
        </w:tc>
        <w:tc>
          <w:tcPr>
            <w:tcW w:w="126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NG*</w:t>
            </w:r>
          </w:p>
        </w:tc>
        <w:tc>
          <w:tcPr>
            <w:tcW w:w="0" w:type="dxa"/>
            <w:vAlign w:val="bottom"/>
          </w:tcPr>
          <w:p>
            <w:pPr>
              <w:spacing w:after="0"/>
              <w:rPr>
                <w:sz w:val="1"/>
                <w:szCs w:val="1"/>
                <w:color w:val="auto"/>
              </w:rPr>
            </w:pPr>
          </w:p>
        </w:tc>
      </w:tr>
      <w:tr>
        <w:trPr>
          <w:trHeight w:val="41"/>
        </w:trPr>
        <w:tc>
          <w:tcPr>
            <w:tcW w:w="2100" w:type="dxa"/>
            <w:vAlign w:val="bottom"/>
            <w:tcBorders>
              <w:bottom w:val="single" w:sz="8" w:color="051D49"/>
            </w:tcBorders>
            <w:gridSpan w:val="2"/>
          </w:tcPr>
          <w:p>
            <w:pPr>
              <w:spacing w:after="0"/>
              <w:rPr>
                <w:sz w:val="3"/>
                <w:szCs w:val="3"/>
                <w:color w:val="auto"/>
              </w:rPr>
            </w:pPr>
          </w:p>
        </w:tc>
        <w:tc>
          <w:tcPr>
            <w:tcW w:w="480" w:type="dxa"/>
            <w:vAlign w:val="bottom"/>
            <w:tcBorders>
              <w:bottom w:val="single" w:sz="8" w:color="051D49"/>
            </w:tcBorders>
          </w:tcPr>
          <w:p>
            <w:pPr>
              <w:spacing w:after="0"/>
              <w:rPr>
                <w:sz w:val="3"/>
                <w:szCs w:val="3"/>
                <w:color w:val="auto"/>
              </w:rPr>
            </w:pPr>
          </w:p>
        </w:tc>
        <w:tc>
          <w:tcPr>
            <w:tcW w:w="1180" w:type="dxa"/>
            <w:vAlign w:val="bottom"/>
            <w:tcBorders>
              <w:bottom w:val="single" w:sz="8" w:color="051D49"/>
            </w:tcBorders>
          </w:tcPr>
          <w:p>
            <w:pPr>
              <w:spacing w:after="0"/>
              <w:rPr>
                <w:sz w:val="3"/>
                <w:szCs w:val="3"/>
                <w:color w:val="auto"/>
              </w:rPr>
            </w:pPr>
          </w:p>
        </w:tc>
        <w:tc>
          <w:tcPr>
            <w:tcW w:w="4860" w:type="dxa"/>
            <w:vAlign w:val="bottom"/>
            <w:tcBorders>
              <w:bottom w:val="single" w:sz="8" w:color="051D49"/>
            </w:tcBorders>
          </w:tcPr>
          <w:p>
            <w:pPr>
              <w:spacing w:after="0"/>
              <w:rPr>
                <w:sz w:val="3"/>
                <w:szCs w:val="3"/>
                <w:color w:val="auto"/>
              </w:rPr>
            </w:pPr>
          </w:p>
        </w:tc>
        <w:tc>
          <w:tcPr>
            <w:tcW w:w="1260" w:type="dxa"/>
            <w:vAlign w:val="bottom"/>
            <w:tcBorders>
              <w:bottom w:val="single" w:sz="8" w:color="051D49"/>
            </w:tcBorders>
          </w:tcPr>
          <w:p>
            <w:pPr>
              <w:spacing w:after="0"/>
              <w:rPr>
                <w:sz w:val="3"/>
                <w:szCs w:val="3"/>
                <w:color w:val="auto"/>
              </w:rPr>
            </w:pPr>
          </w:p>
        </w:tc>
        <w:tc>
          <w:tcPr>
            <w:tcW w:w="1040" w:type="dxa"/>
            <w:vAlign w:val="bottom"/>
            <w:tcBorders>
              <w:bottom w:val="single" w:sz="8" w:color="051D49"/>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100" w:type="dxa"/>
            <w:vAlign w:val="bottom"/>
            <w:gridSpan w:val="2"/>
          </w:tcPr>
          <w:p>
            <w:pPr>
              <w:ind w:left="80"/>
              <w:spacing w:after="0"/>
              <w:rPr>
                <w:sz w:val="20"/>
                <w:szCs w:val="20"/>
                <w:color w:val="auto"/>
              </w:rPr>
            </w:pPr>
            <w:r>
              <w:rPr>
                <w:rFonts w:ascii="Arial" w:cs="Arial" w:eastAsia="Arial" w:hAnsi="Arial"/>
                <w:sz w:val="16"/>
                <w:szCs w:val="16"/>
                <w:color w:val="auto"/>
              </w:rPr>
              <w:t>Frederick O. Terrell</w:t>
            </w:r>
          </w:p>
        </w:tc>
        <w:tc>
          <w:tcPr>
            <w:tcW w:w="480" w:type="dxa"/>
            <w:vAlign w:val="bottom"/>
          </w:tcPr>
          <w:p>
            <w:pPr>
              <w:jc w:val="center"/>
              <w:spacing w:after="0"/>
              <w:rPr>
                <w:sz w:val="20"/>
                <w:szCs w:val="20"/>
                <w:color w:val="auto"/>
              </w:rPr>
            </w:pPr>
            <w:r>
              <w:rPr>
                <w:rFonts w:ascii="Arial" w:cs="Arial" w:eastAsia="Arial" w:hAnsi="Arial"/>
                <w:sz w:val="16"/>
                <w:szCs w:val="16"/>
                <w:color w:val="auto"/>
              </w:rPr>
              <w:t>67</w:t>
            </w:r>
          </w:p>
        </w:tc>
        <w:tc>
          <w:tcPr>
            <w:tcW w:w="1180" w:type="dxa"/>
            <w:vAlign w:val="bottom"/>
          </w:tcPr>
          <w:p>
            <w:pPr>
              <w:jc w:val="center"/>
              <w:spacing w:after="0"/>
              <w:rPr>
                <w:sz w:val="20"/>
                <w:szCs w:val="20"/>
                <w:color w:val="auto"/>
              </w:rPr>
            </w:pPr>
            <w:r>
              <w:rPr>
                <w:rFonts w:ascii="Arial" w:cs="Arial" w:eastAsia="Arial" w:hAnsi="Arial"/>
                <w:sz w:val="16"/>
                <w:szCs w:val="16"/>
                <w:color w:val="auto"/>
              </w:rPr>
              <w:t>2018</w:t>
            </w:r>
          </w:p>
        </w:tc>
        <w:tc>
          <w:tcPr>
            <w:tcW w:w="4860" w:type="dxa"/>
            <w:vAlign w:val="bottom"/>
          </w:tcPr>
          <w:p>
            <w:pPr>
              <w:ind w:left="60"/>
              <w:spacing w:after="0"/>
              <w:rPr>
                <w:sz w:val="20"/>
                <w:szCs w:val="20"/>
                <w:color w:val="auto"/>
              </w:rPr>
            </w:pPr>
            <w:r>
              <w:rPr>
                <w:rFonts w:ascii="Arial" w:cs="Arial" w:eastAsia="Arial" w:hAnsi="Arial"/>
                <w:sz w:val="14"/>
                <w:szCs w:val="14"/>
                <w:color w:val="auto"/>
              </w:rPr>
              <w:t>Senior Advisor, Centerbridge Partners</w:t>
            </w:r>
          </w:p>
        </w:tc>
        <w:tc>
          <w:tcPr>
            <w:tcW w:w="126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AC</w:t>
            </w:r>
          </w:p>
        </w:tc>
        <w:tc>
          <w:tcPr>
            <w:tcW w:w="0" w:type="dxa"/>
            <w:vAlign w:val="bottom"/>
          </w:tcPr>
          <w:p>
            <w:pPr>
              <w:spacing w:after="0"/>
              <w:rPr>
                <w:sz w:val="1"/>
                <w:szCs w:val="1"/>
                <w:color w:val="auto"/>
              </w:rPr>
            </w:pPr>
          </w:p>
        </w:tc>
      </w:tr>
      <w:tr>
        <w:trPr>
          <w:trHeight w:val="41"/>
        </w:trPr>
        <w:tc>
          <w:tcPr>
            <w:tcW w:w="2100" w:type="dxa"/>
            <w:vAlign w:val="bottom"/>
            <w:tcBorders>
              <w:bottom w:val="single" w:sz="8" w:color="051D49"/>
            </w:tcBorders>
            <w:gridSpan w:val="2"/>
          </w:tcPr>
          <w:p>
            <w:pPr>
              <w:spacing w:after="0"/>
              <w:rPr>
                <w:sz w:val="3"/>
                <w:szCs w:val="3"/>
                <w:color w:val="auto"/>
              </w:rPr>
            </w:pPr>
          </w:p>
        </w:tc>
        <w:tc>
          <w:tcPr>
            <w:tcW w:w="480" w:type="dxa"/>
            <w:vAlign w:val="bottom"/>
            <w:tcBorders>
              <w:bottom w:val="single" w:sz="8" w:color="051D49"/>
            </w:tcBorders>
          </w:tcPr>
          <w:p>
            <w:pPr>
              <w:spacing w:after="0"/>
              <w:rPr>
                <w:sz w:val="3"/>
                <w:szCs w:val="3"/>
                <w:color w:val="auto"/>
              </w:rPr>
            </w:pPr>
          </w:p>
        </w:tc>
        <w:tc>
          <w:tcPr>
            <w:tcW w:w="1180" w:type="dxa"/>
            <w:vAlign w:val="bottom"/>
            <w:tcBorders>
              <w:bottom w:val="single" w:sz="8" w:color="051D49"/>
            </w:tcBorders>
          </w:tcPr>
          <w:p>
            <w:pPr>
              <w:spacing w:after="0"/>
              <w:rPr>
                <w:sz w:val="3"/>
                <w:szCs w:val="3"/>
                <w:color w:val="auto"/>
              </w:rPr>
            </w:pPr>
          </w:p>
        </w:tc>
        <w:tc>
          <w:tcPr>
            <w:tcW w:w="4860" w:type="dxa"/>
            <w:vAlign w:val="bottom"/>
            <w:tcBorders>
              <w:bottom w:val="single" w:sz="8" w:color="051D49"/>
            </w:tcBorders>
          </w:tcPr>
          <w:p>
            <w:pPr>
              <w:spacing w:after="0"/>
              <w:rPr>
                <w:sz w:val="3"/>
                <w:szCs w:val="3"/>
                <w:color w:val="auto"/>
              </w:rPr>
            </w:pPr>
          </w:p>
        </w:tc>
        <w:tc>
          <w:tcPr>
            <w:tcW w:w="1260" w:type="dxa"/>
            <w:vAlign w:val="bottom"/>
            <w:tcBorders>
              <w:bottom w:val="single" w:sz="8" w:color="051D49"/>
            </w:tcBorders>
          </w:tcPr>
          <w:p>
            <w:pPr>
              <w:spacing w:after="0"/>
              <w:rPr>
                <w:sz w:val="3"/>
                <w:szCs w:val="3"/>
                <w:color w:val="auto"/>
              </w:rPr>
            </w:pPr>
          </w:p>
        </w:tc>
        <w:tc>
          <w:tcPr>
            <w:tcW w:w="1040" w:type="dxa"/>
            <w:vAlign w:val="bottom"/>
            <w:tcBorders>
              <w:bottom w:val="single" w:sz="8" w:color="051D49"/>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100" w:type="dxa"/>
            <w:vAlign w:val="bottom"/>
            <w:gridSpan w:val="2"/>
          </w:tcPr>
          <w:p>
            <w:pPr>
              <w:spacing w:after="0"/>
              <w:rPr>
                <w:sz w:val="20"/>
                <w:szCs w:val="20"/>
                <w:color w:val="auto"/>
              </w:rPr>
            </w:pPr>
            <w:r>
              <w:rPr>
                <w:rFonts w:ascii="Arial" w:cs="Arial" w:eastAsia="Arial" w:hAnsi="Arial"/>
                <w:sz w:val="14"/>
                <w:szCs w:val="14"/>
                <w:color w:val="auto"/>
              </w:rPr>
              <w:t>AC = Audit Committee</w:t>
            </w: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1820"/>
              <w:spacing w:after="0"/>
              <w:rPr>
                <w:sz w:val="20"/>
                <w:szCs w:val="20"/>
                <w:color w:val="auto"/>
              </w:rPr>
            </w:pPr>
            <w:r>
              <w:rPr>
                <w:rFonts w:ascii="Arial" w:cs="Arial" w:eastAsia="Arial" w:hAnsi="Arial"/>
                <w:sz w:val="14"/>
                <w:szCs w:val="14"/>
                <w:color w:val="auto"/>
              </w:rPr>
              <w:t>* = Committee Chair</w:t>
            </w: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100" w:type="dxa"/>
            <w:vAlign w:val="bottom"/>
            <w:gridSpan w:val="2"/>
          </w:tcPr>
          <w:p>
            <w:pPr>
              <w:spacing w:after="0"/>
              <w:rPr>
                <w:sz w:val="20"/>
                <w:szCs w:val="20"/>
                <w:color w:val="auto"/>
              </w:rPr>
            </w:pPr>
            <w:r>
              <w:rPr>
                <w:rFonts w:ascii="Arial" w:cs="Arial" w:eastAsia="Arial" w:hAnsi="Arial"/>
                <w:sz w:val="14"/>
                <w:szCs w:val="14"/>
                <w:color w:val="auto"/>
              </w:rPr>
              <w:t>CC = Compensation Committee</w:t>
            </w:r>
          </w:p>
        </w:tc>
        <w:tc>
          <w:tcPr>
            <w:tcW w:w="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60" w:type="dxa"/>
            <w:vAlign w:val="bottom"/>
          </w:tcPr>
          <w:p>
            <w:pPr>
              <w:ind w:left="1820"/>
              <w:spacing w:after="0"/>
              <w:rPr>
                <w:sz w:val="20"/>
                <w:szCs w:val="20"/>
                <w:color w:val="auto"/>
              </w:rPr>
            </w:pPr>
            <w:r>
              <w:rPr>
                <w:rFonts w:ascii="Arial" w:cs="Arial" w:eastAsia="Arial" w:hAnsi="Arial"/>
                <w:sz w:val="14"/>
                <w:szCs w:val="14"/>
                <w:color w:val="auto"/>
              </w:rPr>
              <w:t>† = Non-Executive Chair of the Board</w:t>
            </w:r>
          </w:p>
        </w:tc>
        <w:tc>
          <w:tcPr>
            <w:tcW w:w="1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760" w:type="dxa"/>
            <w:vAlign w:val="bottom"/>
            <w:gridSpan w:val="4"/>
          </w:tcPr>
          <w:p>
            <w:pPr>
              <w:spacing w:after="0"/>
              <w:rPr>
                <w:sz w:val="20"/>
                <w:szCs w:val="20"/>
                <w:color w:val="auto"/>
              </w:rPr>
            </w:pPr>
            <w:r>
              <w:rPr>
                <w:rFonts w:ascii="Arial" w:cs="Arial" w:eastAsia="Arial" w:hAnsi="Arial"/>
                <w:sz w:val="14"/>
                <w:szCs w:val="14"/>
                <w:color w:val="auto"/>
              </w:rPr>
              <w:t>NG = Nominating and Governance Committee</w:t>
            </w:r>
          </w:p>
        </w:tc>
        <w:tc>
          <w:tcPr>
            <w:tcW w:w="4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320" w:type="dxa"/>
            <w:vAlign w:val="bottom"/>
            <w:shd w:val="clear" w:color="auto" w:fill="051D49"/>
          </w:tcPr>
          <w:p>
            <w:pPr>
              <w:ind w:left="80"/>
              <w:spacing w:after="0"/>
              <w:rPr>
                <w:sz w:val="20"/>
                <w:szCs w:val="20"/>
                <w:color w:val="auto"/>
              </w:rPr>
            </w:pPr>
            <w:r>
              <w:rPr>
                <w:rFonts w:ascii="Arial" w:cs="Arial" w:eastAsia="Arial" w:hAnsi="Arial"/>
                <w:sz w:val="14"/>
                <w:szCs w:val="14"/>
                <w:b w:val="1"/>
                <w:bCs w:val="1"/>
                <w:color w:val="FFFFFF"/>
              </w:rPr>
              <w:t>2</w:t>
            </w:r>
          </w:p>
        </w:tc>
        <w:tc>
          <w:tcPr>
            <w:tcW w:w="1780" w:type="dxa"/>
            <w:vAlign w:val="bottom"/>
            <w:shd w:val="clear" w:color="auto" w:fill="051D49"/>
          </w:tcPr>
          <w:p>
            <w:pPr>
              <w:ind w:left="160"/>
              <w:spacing w:after="0"/>
              <w:rPr>
                <w:sz w:val="20"/>
                <w:szCs w:val="20"/>
                <w:color w:val="auto"/>
              </w:rPr>
            </w:pPr>
            <w:r>
              <w:rPr>
                <w:rFonts w:ascii="Arial" w:cs="Arial" w:eastAsia="Arial" w:hAnsi="Arial"/>
                <w:sz w:val="14"/>
                <w:szCs w:val="14"/>
                <w:color w:val="FFFFFF"/>
              </w:rPr>
              <w:t>PARAMOUNT GLOBAL</w:t>
            </w:r>
          </w:p>
        </w:tc>
        <w:tc>
          <w:tcPr>
            <w:tcW w:w="480" w:type="dxa"/>
            <w:vAlign w:val="bottom"/>
            <w:shd w:val="clear" w:color="auto" w:fill="051D49"/>
          </w:tcPr>
          <w:p>
            <w:pPr>
              <w:spacing w:after="0"/>
              <w:rPr>
                <w:sz w:val="24"/>
                <w:szCs w:val="24"/>
                <w:color w:val="auto"/>
              </w:rPr>
            </w:pPr>
          </w:p>
        </w:tc>
        <w:tc>
          <w:tcPr>
            <w:tcW w:w="1180" w:type="dxa"/>
            <w:vAlign w:val="bottom"/>
            <w:shd w:val="clear" w:color="auto" w:fill="051D49"/>
          </w:tcPr>
          <w:p>
            <w:pPr>
              <w:spacing w:after="0"/>
              <w:rPr>
                <w:sz w:val="24"/>
                <w:szCs w:val="24"/>
                <w:color w:val="auto"/>
              </w:rPr>
            </w:pPr>
          </w:p>
        </w:tc>
        <w:tc>
          <w:tcPr>
            <w:tcW w:w="4860" w:type="dxa"/>
            <w:vAlign w:val="bottom"/>
            <w:shd w:val="clear" w:color="auto" w:fill="051D49"/>
          </w:tcPr>
          <w:p>
            <w:pPr>
              <w:spacing w:after="0"/>
              <w:rPr>
                <w:sz w:val="24"/>
                <w:szCs w:val="24"/>
                <w:color w:val="auto"/>
              </w:rPr>
            </w:pPr>
          </w:p>
        </w:tc>
        <w:tc>
          <w:tcPr>
            <w:tcW w:w="1260" w:type="dxa"/>
            <w:vAlign w:val="bottom"/>
            <w:shd w:val="clear" w:color="auto" w:fill="051D49"/>
          </w:tcPr>
          <w:p>
            <w:pPr>
              <w:spacing w:after="0"/>
              <w:rPr>
                <w:sz w:val="24"/>
                <w:szCs w:val="24"/>
                <w:color w:val="auto"/>
              </w:rPr>
            </w:pPr>
          </w:p>
        </w:tc>
        <w:tc>
          <w:tcPr>
            <w:tcW w:w="1040" w:type="dxa"/>
            <w:vAlign w:val="bottom"/>
            <w:shd w:val="clear" w:color="auto" w:fill="051D49"/>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20" w:type="dxa"/>
            <w:vAlign w:val="bottom"/>
            <w:shd w:val="clear" w:color="auto" w:fill="051D49"/>
          </w:tcPr>
          <w:p>
            <w:pPr>
              <w:spacing w:after="0"/>
              <w:rPr>
                <w:sz w:val="7"/>
                <w:szCs w:val="7"/>
                <w:color w:val="auto"/>
              </w:rPr>
            </w:pPr>
          </w:p>
        </w:tc>
        <w:tc>
          <w:tcPr>
            <w:tcW w:w="1780" w:type="dxa"/>
            <w:vAlign w:val="bottom"/>
            <w:shd w:val="clear" w:color="auto" w:fill="051D49"/>
          </w:tcPr>
          <w:p>
            <w:pPr>
              <w:spacing w:after="0"/>
              <w:rPr>
                <w:sz w:val="7"/>
                <w:szCs w:val="7"/>
                <w:color w:val="auto"/>
              </w:rPr>
            </w:pPr>
          </w:p>
        </w:tc>
        <w:tc>
          <w:tcPr>
            <w:tcW w:w="480" w:type="dxa"/>
            <w:vAlign w:val="bottom"/>
            <w:shd w:val="clear" w:color="auto" w:fill="051D49"/>
          </w:tcPr>
          <w:p>
            <w:pPr>
              <w:spacing w:after="0"/>
              <w:rPr>
                <w:sz w:val="7"/>
                <w:szCs w:val="7"/>
                <w:color w:val="auto"/>
              </w:rPr>
            </w:pPr>
          </w:p>
        </w:tc>
        <w:tc>
          <w:tcPr>
            <w:tcW w:w="1180" w:type="dxa"/>
            <w:vAlign w:val="bottom"/>
            <w:shd w:val="clear" w:color="auto" w:fill="051D49"/>
          </w:tcPr>
          <w:p>
            <w:pPr>
              <w:spacing w:after="0"/>
              <w:rPr>
                <w:sz w:val="7"/>
                <w:szCs w:val="7"/>
                <w:color w:val="auto"/>
              </w:rPr>
            </w:pPr>
          </w:p>
        </w:tc>
        <w:tc>
          <w:tcPr>
            <w:tcW w:w="4860" w:type="dxa"/>
            <w:vAlign w:val="bottom"/>
            <w:shd w:val="clear" w:color="auto" w:fill="051D49"/>
          </w:tcPr>
          <w:p>
            <w:pPr>
              <w:spacing w:after="0"/>
              <w:rPr>
                <w:sz w:val="7"/>
                <w:szCs w:val="7"/>
                <w:color w:val="auto"/>
              </w:rPr>
            </w:pPr>
          </w:p>
        </w:tc>
        <w:tc>
          <w:tcPr>
            <w:tcW w:w="1260" w:type="dxa"/>
            <w:vAlign w:val="bottom"/>
            <w:shd w:val="clear" w:color="auto" w:fill="051D49"/>
          </w:tcPr>
          <w:p>
            <w:pPr>
              <w:spacing w:after="0"/>
              <w:rPr>
                <w:sz w:val="7"/>
                <w:szCs w:val="7"/>
                <w:color w:val="auto"/>
              </w:rPr>
            </w:pPr>
          </w:p>
        </w:tc>
        <w:tc>
          <w:tcPr>
            <w:tcW w:w="1040" w:type="dxa"/>
            <w:vAlign w:val="bottom"/>
            <w:shd w:val="clear" w:color="auto" w:fill="051D49"/>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6348095</wp:posOffset>
            </wp:positionH>
            <wp:positionV relativeFrom="paragraph">
              <wp:posOffset>-211455</wp:posOffset>
            </wp:positionV>
            <wp:extent cx="551815" cy="161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815" cy="1612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PROXY STATEMENT HIGHLIGHTS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Director Nominee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160655</wp:posOffset>
            </wp:positionV>
            <wp:extent cx="5919470" cy="3133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19470" cy="3133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EXECUTIVE COMPENSATION HIGHLIGHTS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Compensation Philosophy and Objectives</w:t>
      </w:r>
    </w:p>
    <w:p>
      <w:pPr>
        <w:spacing w:after="0" w:line="101"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color w:val="auto"/>
        </w:rPr>
        <w:t>We designed our executive compensation programs to motivate and reward business success and to increase shareholder value, based on the following core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38010" cy="1240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38010" cy="12401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051D49"/>
        </w:rPr>
        <w:t>Pay for Performance</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333333"/>
        </w:rPr>
        <w:t>Ensure plans provide reward levels that</w:t>
      </w:r>
    </w:p>
    <w:p>
      <w:pPr>
        <w:jc w:val="center"/>
        <w:ind w:right="160"/>
        <w:spacing w:after="0" w:line="232" w:lineRule="auto"/>
        <w:rPr>
          <w:sz w:val="20"/>
          <w:szCs w:val="20"/>
          <w:color w:val="auto"/>
        </w:rPr>
      </w:pPr>
      <w:r>
        <w:rPr>
          <w:rFonts w:ascii="Arial" w:cs="Arial" w:eastAsia="Arial" w:hAnsi="Arial"/>
          <w:sz w:val="18"/>
          <w:szCs w:val="18"/>
          <w:color w:val="333333"/>
        </w:rPr>
        <w:t>reflect variances between actual and</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333333"/>
        </w:rPr>
        <w:t>desired performance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599440</wp:posOffset>
            </wp:positionV>
            <wp:extent cx="3329305" cy="1240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29305" cy="124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051D49"/>
        </w:rPr>
        <w:t>Market Competitive</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333333"/>
        </w:rPr>
        <w:t>Consider compensation programs of our</w:t>
      </w:r>
    </w:p>
    <w:p>
      <w:pPr>
        <w:jc w:val="center"/>
        <w:ind w:right="20"/>
        <w:spacing w:after="0" w:line="232" w:lineRule="auto"/>
        <w:rPr>
          <w:sz w:val="20"/>
          <w:szCs w:val="20"/>
          <w:color w:val="auto"/>
        </w:rPr>
      </w:pPr>
      <w:r>
        <w:rPr>
          <w:rFonts w:ascii="Arial" w:cs="Arial" w:eastAsia="Arial" w:hAnsi="Arial"/>
          <w:sz w:val="18"/>
          <w:szCs w:val="18"/>
          <w:color w:val="333333"/>
        </w:rPr>
        <w:t>peers in order to attract and retain the</w:t>
      </w:r>
    </w:p>
    <w:p>
      <w:pPr>
        <w:spacing w:after="0" w:line="1" w:lineRule="exact"/>
        <w:rPr>
          <w:sz w:val="20"/>
          <w:szCs w:val="20"/>
          <w:color w:val="auto"/>
        </w:rPr>
      </w:pPr>
    </w:p>
    <w:p>
      <w:pPr>
        <w:jc w:val="both"/>
        <w:ind w:left="1080" w:right="1080" w:hanging="29"/>
        <w:spacing w:after="0" w:line="273" w:lineRule="auto"/>
        <w:rPr>
          <w:sz w:val="20"/>
          <w:szCs w:val="20"/>
          <w:color w:val="auto"/>
        </w:rPr>
      </w:pPr>
      <w:r>
        <w:rPr>
          <w:rFonts w:ascii="Arial" w:cs="Arial" w:eastAsia="Arial" w:hAnsi="Arial"/>
          <w:sz w:val="17"/>
          <w:szCs w:val="17"/>
          <w:color w:val="333333"/>
        </w:rPr>
        <w:t>talent needed to drive sustainable competitive advantage and deliver value to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jc w:val="center"/>
        <w:ind w:right="760"/>
        <w:spacing w:after="0"/>
        <w:rPr>
          <w:sz w:val="20"/>
          <w:szCs w:val="20"/>
          <w:color w:val="auto"/>
        </w:rPr>
      </w:pPr>
      <w:r>
        <w:rPr>
          <w:rFonts w:ascii="Arial" w:cs="Arial" w:eastAsia="Arial" w:hAnsi="Arial"/>
          <w:sz w:val="21"/>
          <w:szCs w:val="21"/>
          <w:color w:val="051D49"/>
        </w:rPr>
        <w:t>Flexible</w:t>
      </w:r>
    </w:p>
    <w:p>
      <w:pPr>
        <w:spacing w:after="0" w:line="25" w:lineRule="exact"/>
        <w:rPr>
          <w:sz w:val="20"/>
          <w:szCs w:val="20"/>
          <w:color w:val="auto"/>
        </w:rPr>
      </w:pPr>
    </w:p>
    <w:p>
      <w:pPr>
        <w:jc w:val="center"/>
        <w:ind w:left="260" w:right="760"/>
        <w:spacing w:after="0" w:line="237" w:lineRule="auto"/>
        <w:rPr>
          <w:sz w:val="20"/>
          <w:szCs w:val="20"/>
          <w:color w:val="auto"/>
        </w:rPr>
      </w:pPr>
      <w:r>
        <w:rPr>
          <w:rFonts w:ascii="Arial" w:cs="Arial" w:eastAsia="Arial" w:hAnsi="Arial"/>
          <w:sz w:val="18"/>
          <w:szCs w:val="18"/>
          <w:color w:val="333333"/>
        </w:rPr>
        <w:t>Enable management and the Board to make decisions based on the needs of the business and to recognize different levels of individual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457835</wp:posOffset>
            </wp:positionV>
            <wp:extent cx="3465195" cy="1240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65195" cy="124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60"/>
        <w:spacing w:after="0"/>
        <w:rPr>
          <w:sz w:val="20"/>
          <w:szCs w:val="20"/>
          <w:color w:val="auto"/>
        </w:rPr>
      </w:pPr>
      <w:r>
        <w:rPr>
          <w:rFonts w:ascii="Arial" w:cs="Arial" w:eastAsia="Arial" w:hAnsi="Arial"/>
          <w:sz w:val="21"/>
          <w:szCs w:val="21"/>
          <w:color w:val="051D49"/>
        </w:rPr>
        <w:t>Focused on Shareholder Value</w:t>
      </w:r>
    </w:p>
    <w:p>
      <w:pPr>
        <w:spacing w:after="0" w:line="25" w:lineRule="exact"/>
        <w:rPr>
          <w:sz w:val="20"/>
          <w:szCs w:val="20"/>
          <w:color w:val="auto"/>
        </w:rPr>
      </w:pPr>
    </w:p>
    <w:p>
      <w:pPr>
        <w:jc w:val="center"/>
        <w:ind w:right="760"/>
        <w:spacing w:after="0" w:line="237" w:lineRule="auto"/>
        <w:rPr>
          <w:sz w:val="20"/>
          <w:szCs w:val="20"/>
          <w:color w:val="auto"/>
        </w:rPr>
      </w:pPr>
      <w:r>
        <w:rPr>
          <w:rFonts w:ascii="Arial" w:cs="Arial" w:eastAsia="Arial" w:hAnsi="Arial"/>
          <w:sz w:val="18"/>
          <w:szCs w:val="18"/>
          <w:color w:val="333333"/>
        </w:rPr>
        <w:t>Align executives’ interests with shareholder interests, with particular emphasis on creating incentives that reward executives for consistently increasing the value of Paramount.</w:t>
      </w:r>
    </w:p>
    <w:p>
      <w:pPr>
        <w:spacing w:after="0" w:line="228" w:lineRule="exact"/>
        <w:rPr>
          <w:sz w:val="20"/>
          <w:szCs w:val="20"/>
          <w:color w:val="auto"/>
        </w:rPr>
      </w:pPr>
    </w:p>
    <w:p>
      <w:pPr>
        <w:sectPr>
          <w:pgSz w:w="11900" w:h="16838" w:orient="portrait"/>
          <w:cols w:equalWidth="0" w:num="2">
            <w:col w:w="5740" w:space="720"/>
            <w:col w:w="4620"/>
          </w:cols>
          <w:pgMar w:left="320" w:top="454" w:right="49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600" w:type="dxa"/>
            <w:vAlign w:val="bottom"/>
            <w:shd w:val="clear" w:color="auto" w:fill="051D49"/>
          </w:tcPr>
          <w:p>
            <w:pPr>
              <w:ind w:left="8700"/>
              <w:spacing w:after="0"/>
              <w:rPr>
                <w:sz w:val="20"/>
                <w:szCs w:val="20"/>
                <w:color w:val="auto"/>
              </w:rPr>
            </w:pPr>
            <w:r>
              <w:rPr>
                <w:rFonts w:ascii="Arial" w:cs="Arial" w:eastAsia="Arial" w:hAnsi="Arial"/>
                <w:sz w:val="14"/>
                <w:szCs w:val="14"/>
                <w:color w:val="FFFFFF"/>
              </w:rPr>
              <w:t>2022 PROXY STATEMENT</w:t>
            </w:r>
          </w:p>
        </w:tc>
        <w:tc>
          <w:tcPr>
            <w:tcW w:w="32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3</w:t>
            </w:r>
          </w:p>
        </w:tc>
      </w:tr>
      <w:tr>
        <w:trPr>
          <w:trHeight w:val="95"/>
        </w:trPr>
        <w:tc>
          <w:tcPr>
            <w:tcW w:w="10600" w:type="dxa"/>
            <w:vAlign w:val="bottom"/>
            <w:shd w:val="clear" w:color="auto" w:fill="051D49"/>
          </w:tcPr>
          <w:p>
            <w:pPr>
              <w:spacing w:after="0"/>
              <w:rPr>
                <w:sz w:val="8"/>
                <w:szCs w:val="8"/>
                <w:color w:val="auto"/>
              </w:rPr>
            </w:pPr>
          </w:p>
        </w:tc>
        <w:tc>
          <w:tcPr>
            <w:tcW w:w="32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PROXY STATEMENT HIGHLIGHTS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Pay for Performance</w:t>
      </w:r>
    </w:p>
    <w:p>
      <w:pPr>
        <w:spacing w:after="0" w:line="101" w:lineRule="exact"/>
        <w:rPr>
          <w:sz w:val="20"/>
          <w:szCs w:val="20"/>
          <w:color w:val="auto"/>
        </w:rPr>
      </w:pPr>
    </w:p>
    <w:p>
      <w:pPr>
        <w:ind w:left="160"/>
        <w:spacing w:after="0" w:line="258" w:lineRule="auto"/>
        <w:rPr>
          <w:sz w:val="20"/>
          <w:szCs w:val="20"/>
          <w:color w:val="auto"/>
        </w:rPr>
      </w:pPr>
      <w:r>
        <w:rPr>
          <w:rFonts w:ascii="Arial" w:cs="Arial" w:eastAsia="Arial" w:hAnsi="Arial"/>
          <w:sz w:val="17"/>
          <w:szCs w:val="17"/>
          <w:color w:val="auto"/>
        </w:rPr>
        <w:t>We believe that those executives with significant responsibility and a greater ability to influence our results should have a significant portion of their total compensation tied directly to business results, and we have continued to shift our executive compensation packages to further emphasize performance-based compensation that is aligned with our business and operational strategy. Accordingly, a high percentage of our senior executives’ total target compensation, including that of our named executive officers (“NEOs”), is “at risk” – meaning that we do not intend for them to receive targeted pay amounts if performance does not meet expectations.</w:t>
      </w:r>
    </w:p>
    <w:p>
      <w:pPr>
        <w:spacing w:after="0" w:line="59"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Consistent with this philosophy, our performance-based compensation programs provide for the opportunity to reward NEOs and other senior executives for contributing to annual financial and operational performance (through annual bonus programs) and stock price appreciation (through long-term equity incentives). The only fixed component of pay is annual base salary. Annual cash incentive awards and long-term equity incentive awards are subject to company performance and/or stock price performance.</w:t>
      </w:r>
    </w:p>
    <w:p>
      <w:pPr>
        <w:spacing w:after="0" w:line="71"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As illustrated below, approximately 90% of Mr. Bakish’s total target compensation as of December 31, 2021 was at risk and thus strongly linked to our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25222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9755" cy="252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40"/>
        <w:spacing w:after="0"/>
        <w:tabs>
          <w:tab w:leader="none" w:pos="620" w:val="left"/>
        </w:tabs>
        <w:rPr>
          <w:sz w:val="20"/>
          <w:szCs w:val="20"/>
          <w:color w:val="auto"/>
        </w:rPr>
      </w:pPr>
      <w:r>
        <w:rPr>
          <w:rFonts w:ascii="Arial" w:cs="Arial" w:eastAsia="Arial" w:hAnsi="Arial"/>
          <w:sz w:val="14"/>
          <w:szCs w:val="14"/>
          <w:b w:val="1"/>
          <w:bCs w:val="1"/>
          <w:color w:val="FFFFFF"/>
        </w:rPr>
        <w:t>4</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0920"/>
          </w:cols>
          <w:pgMar w:left="320" w:top="454" w:right="6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51D49"/>
        </w:rPr>
        <w:t>Voting and Solicitation of Proxies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SOLICITATION OF PROXIES</w:t>
      </w:r>
    </w:p>
    <w:p>
      <w:pPr>
        <w:spacing w:after="0" w:line="94" w:lineRule="exact"/>
        <w:rPr>
          <w:sz w:val="20"/>
          <w:szCs w:val="20"/>
          <w:color w:val="auto"/>
        </w:rPr>
      </w:pPr>
    </w:p>
    <w:p>
      <w:pPr>
        <w:ind w:left="160" w:right="160"/>
        <w:spacing w:after="0" w:line="243" w:lineRule="auto"/>
        <w:rPr>
          <w:sz w:val="20"/>
          <w:szCs w:val="20"/>
          <w:color w:val="auto"/>
        </w:rPr>
      </w:pPr>
      <w:r>
        <w:rPr>
          <w:rFonts w:ascii="Arial" w:cs="Arial" w:eastAsia="Arial" w:hAnsi="Arial"/>
          <w:sz w:val="18"/>
          <w:szCs w:val="18"/>
          <w:color w:val="auto"/>
        </w:rPr>
        <w:t>A proxy is being solicited by our Board of Directors for use at the Annual Meeting. The close of business on April 11, 2022 is the record date for determining the record holders of our Class A Common Stock, par value $0.001 per share, entitled to notice of and to vote at the Annual Meeting and any adjournment or postponement thereof. Holders of our non-voting Class B Common Stock, par value $0.001 per share, are not entitled to vote at the Annual Meeting or any adjournment or postponement thereof.</w:t>
      </w:r>
    </w:p>
    <w:p>
      <w:pPr>
        <w:spacing w:after="0" w:line="71" w:lineRule="exact"/>
        <w:rPr>
          <w:sz w:val="20"/>
          <w:szCs w:val="20"/>
          <w:color w:val="auto"/>
        </w:rPr>
      </w:pPr>
    </w:p>
    <w:p>
      <w:pPr>
        <w:ind w:left="160" w:right="100"/>
        <w:spacing w:after="0" w:line="295" w:lineRule="auto"/>
        <w:rPr>
          <w:sz w:val="20"/>
          <w:szCs w:val="20"/>
          <w:color w:val="auto"/>
        </w:rPr>
      </w:pPr>
      <w:r>
        <w:rPr>
          <w:rFonts w:ascii="Arial" w:cs="Arial" w:eastAsia="Arial" w:hAnsi="Arial"/>
          <w:sz w:val="17"/>
          <w:szCs w:val="17"/>
          <w:color w:val="auto"/>
        </w:rPr>
        <w:t>As of April 11, 2022, we had outstanding 40,707,144 shares of our Class A Common Stock, with each of such shares entitled to one vote, and 608,378,412 shares of our non-voting Class B Common Stock (together with our Class A Common Stock, our “Common Stock”).</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20"/>
          <w:szCs w:val="20"/>
          <w:color w:val="auto"/>
        </w:rPr>
        <w:t>INTERNET AVAILABILITY OF PROXY MATERIALS</w:t>
      </w:r>
    </w:p>
    <w:p>
      <w:pPr>
        <w:spacing w:after="0" w:line="94" w:lineRule="exact"/>
        <w:rPr>
          <w:sz w:val="20"/>
          <w:szCs w:val="20"/>
          <w:color w:val="auto"/>
        </w:rPr>
      </w:pPr>
    </w:p>
    <w:p>
      <w:pPr>
        <w:ind w:left="160" w:right="160"/>
        <w:spacing w:after="0" w:line="239" w:lineRule="auto"/>
        <w:rPr>
          <w:sz w:val="20"/>
          <w:szCs w:val="20"/>
          <w:color w:val="auto"/>
        </w:rPr>
      </w:pPr>
      <w:r>
        <w:rPr>
          <w:rFonts w:ascii="Arial" w:cs="Arial" w:eastAsia="Arial" w:hAnsi="Arial"/>
          <w:sz w:val="18"/>
          <w:szCs w:val="18"/>
          <w:color w:val="auto"/>
        </w:rPr>
        <w:t>In accordance with SEC rules, instead of mailing to stockholders a printed copy of our proxy statement, annual report and accompanying letter to stockholders (the “proxy materials”), we intend to mail to stockholders a Notice of Internet Availability of Proxy Materials (the “Notice of Internet Availability”), which advises that the proxy materials are available on the Internet. We intend to commence our distribution of the Notice of Internet Availability on or about April 20, 2022. Stockholders receiving a Notice of Internet Availability by mail will not receive a printed copy of proxy materials, unless they so request. Instead, the Notice of Internet Availability will instruct stockholders as to how they may access and review the proxy materials on the Internet.</w:t>
      </w:r>
    </w:p>
    <w:p>
      <w:pPr>
        <w:spacing w:after="0" w:line="74"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Stockholders who receive a Notice of Internet Availability by mail who would like to receive a printed copy of our proxy materials, including a proxy card or voting instruction card, should follow the instructions for requesting these materials included in the Notice of Internet Availability. Stockholders who currently receive printed copies of proxy materials who would like to receive future copies of these documents electronically instead of by mail should follow the instructions for requesting electronic delivery set forth in the “Other Matters” section of this proxy statement.</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SUBMISSION OF PROXIES</w:t>
      </w:r>
    </w:p>
    <w:p>
      <w:pPr>
        <w:spacing w:after="0" w:line="94"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Each of Robert M. Bakish, our President and Chief Executive Officer, and Christa A. D’Alimonte, our Executive Vice President, General Counsel and Secretary (the “proxy holders”), individually and with the power to appoint his or her substitute, has been designated by our Board of Directors to vote the shares represented by proxy at the Annual Meeting. They will vote the shares represented by each valid and timely received proxy in accordance with the stockholder’s instructions, or if no instructions are specified, in accordance with the recommendations of the Board as described in this proxy statement. If any other matter properly comes before the Annual Meeting, the proxy holders will vote on that matter in their discretion.</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Holders of record of our Class A Common Stock as of April 11, 2022 may submit a proxy in the following ways:</w:t>
      </w:r>
    </w:p>
    <w:p>
      <w:pPr>
        <w:spacing w:after="0" w:line="114" w:lineRule="exact"/>
        <w:rPr>
          <w:sz w:val="20"/>
          <w:szCs w:val="20"/>
          <w:color w:val="auto"/>
        </w:rPr>
      </w:pPr>
    </w:p>
    <w:p>
      <w:pPr>
        <w:ind w:left="480" w:right="60" w:hanging="313"/>
        <w:spacing w:after="0" w:line="249"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By Internet: Holders of record may access www.proxyvote.com and follow the online instructions. The Internet proxy must be received no later than </w:t>
      </w:r>
      <w:r>
        <w:rPr>
          <w:rFonts w:ascii="Arial" w:cs="Arial" w:eastAsia="Arial" w:hAnsi="Arial"/>
          <w:sz w:val="18"/>
          <w:szCs w:val="18"/>
          <w:u w:val="single" w:color="auto"/>
          <w:color w:val="auto"/>
        </w:rPr>
        <w:t>11:59 p.m., Eastern Daylight Time, on June 7, 2022</w:t>
      </w:r>
      <w:r>
        <w:rPr>
          <w:rFonts w:ascii="Arial" w:cs="Arial" w:eastAsia="Arial" w:hAnsi="Arial"/>
          <w:sz w:val="18"/>
          <w:szCs w:val="18"/>
          <w:color w:val="auto"/>
        </w:rPr>
        <w:t>. You will need the control number from your Notice of Internet Availability (or, if you received a printed copy of the proxy materials, the proxy card) when you access the website.</w:t>
      </w:r>
    </w:p>
    <w:p>
      <w:pPr>
        <w:spacing w:after="0" w:line="77" w:lineRule="exact"/>
        <w:rPr>
          <w:rFonts w:ascii="Arial" w:cs="Arial" w:eastAsia="Arial" w:hAnsi="Arial"/>
          <w:sz w:val="18"/>
          <w:szCs w:val="18"/>
          <w:color w:val="auto"/>
        </w:rPr>
      </w:pPr>
    </w:p>
    <w:p>
      <w:pPr>
        <w:ind w:left="480" w:right="140" w:hanging="313"/>
        <w:spacing w:after="0" w:line="243"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By Telephone: Holders of record living in the United States or Canada may use any touch-tone telephone to call 1-800-690-6903 and follow the recorded instructions. The telephone proxy must be received no later than </w:t>
      </w:r>
      <w:r>
        <w:rPr>
          <w:rFonts w:ascii="Arial" w:cs="Arial" w:eastAsia="Arial" w:hAnsi="Arial"/>
          <w:sz w:val="18"/>
          <w:szCs w:val="18"/>
          <w:u w:val="single" w:color="auto"/>
          <w:color w:val="auto"/>
        </w:rPr>
        <w:t>11:59 p.m., Eastern Daylight Time, on June 7,</w:t>
      </w:r>
      <w:r>
        <w:rPr>
          <w:rFonts w:ascii="Arial" w:cs="Arial" w:eastAsia="Arial" w:hAnsi="Arial"/>
          <w:sz w:val="18"/>
          <w:szCs w:val="18"/>
          <w:color w:val="auto"/>
        </w:rPr>
        <w:t xml:space="preserve"> </w:t>
      </w:r>
      <w:r>
        <w:rPr>
          <w:rFonts w:ascii="Arial" w:cs="Arial" w:eastAsia="Arial" w:hAnsi="Arial"/>
          <w:sz w:val="18"/>
          <w:szCs w:val="18"/>
          <w:u w:val="single" w:color="auto"/>
          <w:color w:val="auto"/>
        </w:rPr>
        <w:t>2022</w:t>
      </w:r>
      <w:r>
        <w:rPr>
          <w:rFonts w:ascii="Arial" w:cs="Arial" w:eastAsia="Arial" w:hAnsi="Arial"/>
          <w:sz w:val="18"/>
          <w:szCs w:val="18"/>
          <w:color w:val="auto"/>
        </w:rPr>
        <w:t>. You will need the control number from your Notice of Internet Availability (or, if you received a printed copy of the proxy materials, the proxy card) when you call.</w:t>
      </w:r>
    </w:p>
    <w:p>
      <w:pPr>
        <w:spacing w:after="0" w:line="84" w:lineRule="exact"/>
        <w:rPr>
          <w:rFonts w:ascii="Arial" w:cs="Arial" w:eastAsia="Arial" w:hAnsi="Arial"/>
          <w:sz w:val="18"/>
          <w:szCs w:val="18"/>
          <w:color w:val="auto"/>
        </w:rPr>
      </w:pPr>
    </w:p>
    <w:p>
      <w:pPr>
        <w:ind w:left="480" w:right="20" w:hanging="313"/>
        <w:spacing w:after="0" w:line="265"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Mail: Holders of record who received a printed copy of the proxy materials may complete, sign and date the proxy card and return it in the envelope provided, so that it is received prior to the Annual Meeting.</w:t>
      </w:r>
    </w:p>
    <w:p>
      <w:pPr>
        <w:spacing w:after="0" w:line="51" w:lineRule="exact"/>
        <w:rPr>
          <w:sz w:val="20"/>
          <w:szCs w:val="20"/>
          <w:color w:val="auto"/>
        </w:rPr>
      </w:pPr>
    </w:p>
    <w:p>
      <w:pPr>
        <w:ind w:left="160" w:right="260"/>
        <w:spacing w:after="0" w:line="265" w:lineRule="auto"/>
        <w:rPr>
          <w:sz w:val="20"/>
          <w:szCs w:val="20"/>
          <w:color w:val="auto"/>
        </w:rPr>
      </w:pPr>
      <w:r>
        <w:rPr>
          <w:rFonts w:ascii="Arial" w:cs="Arial" w:eastAsia="Arial" w:hAnsi="Arial"/>
          <w:sz w:val="18"/>
          <w:szCs w:val="18"/>
          <w:color w:val="auto"/>
        </w:rPr>
        <w:t>“Beneficial holders” (defined below) will receive voting materials, including instructions on how to vote, directly from their broker or other nominee as the holder of record.</w:t>
      </w:r>
    </w:p>
    <w:p>
      <w:pPr>
        <w:spacing w:after="0" w:line="158" w:lineRule="exact"/>
        <w:rPr>
          <w:sz w:val="20"/>
          <w:szCs w:val="20"/>
          <w:color w:val="auto"/>
        </w:rPr>
      </w:pPr>
    </w:p>
    <w:p>
      <w:pPr>
        <w:ind w:left="160" w:right="460"/>
        <w:spacing w:after="0" w:line="265" w:lineRule="auto"/>
        <w:rPr>
          <w:sz w:val="20"/>
          <w:szCs w:val="20"/>
          <w:color w:val="auto"/>
        </w:rPr>
      </w:pPr>
      <w:r>
        <w:rPr>
          <w:rFonts w:ascii="Arial" w:cs="Arial" w:eastAsia="Arial" w:hAnsi="Arial"/>
          <w:sz w:val="18"/>
          <w:szCs w:val="18"/>
          <w:b w:val="1"/>
          <w:bCs w:val="1"/>
          <w:i w:val="1"/>
          <w:iCs w:val="1"/>
          <w:color w:val="auto"/>
        </w:rPr>
        <w:t xml:space="preserve">Shares Held in our 401(k) Plan. </w:t>
      </w:r>
      <w:r>
        <w:rPr>
          <w:rFonts w:ascii="Arial" w:cs="Arial" w:eastAsia="Arial" w:hAnsi="Arial"/>
          <w:sz w:val="18"/>
          <w:szCs w:val="18"/>
          <w:color w:val="auto"/>
        </w:rPr>
        <w:t>Voting instructions relating to shares of our Class A Common Stock held in our 401(k) plan must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received no later than </w:t>
      </w:r>
      <w:r>
        <w:rPr>
          <w:rFonts w:ascii="Arial" w:cs="Arial" w:eastAsia="Arial" w:hAnsi="Arial"/>
          <w:sz w:val="18"/>
          <w:szCs w:val="18"/>
          <w:u w:val="single" w:color="auto"/>
          <w:color w:val="auto"/>
        </w:rPr>
        <w:t>11:59 p.m., Eastern Daylight Time, on June 5, 2022</w:t>
      </w:r>
      <w:r>
        <w:rPr>
          <w:rFonts w:ascii="Arial" w:cs="Arial" w:eastAsia="Arial" w:hAnsi="Arial"/>
          <w:sz w:val="18"/>
          <w:szCs w:val="18"/>
          <w:color w:val="auto"/>
        </w:rPr>
        <w:t>, so that the trustees of the plan</w:t>
      </w:r>
    </w:p>
    <w:p>
      <w:pPr>
        <w:spacing w:after="0" w:line="110"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600" w:type="dxa"/>
            <w:vAlign w:val="bottom"/>
            <w:shd w:val="clear" w:color="auto" w:fill="051D49"/>
          </w:tcPr>
          <w:p>
            <w:pPr>
              <w:ind w:left="8700"/>
              <w:spacing w:after="0"/>
              <w:rPr>
                <w:sz w:val="20"/>
                <w:szCs w:val="20"/>
                <w:color w:val="auto"/>
              </w:rPr>
            </w:pPr>
            <w:r>
              <w:rPr>
                <w:rFonts w:ascii="Arial" w:cs="Arial" w:eastAsia="Arial" w:hAnsi="Arial"/>
                <w:sz w:val="14"/>
                <w:szCs w:val="14"/>
                <w:color w:val="FFFFFF"/>
              </w:rPr>
              <w:t>2022 PROXY STATEMENT</w:t>
            </w:r>
          </w:p>
        </w:tc>
        <w:tc>
          <w:tcPr>
            <w:tcW w:w="32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5</w:t>
            </w:r>
          </w:p>
        </w:tc>
      </w:tr>
      <w:tr>
        <w:trPr>
          <w:trHeight w:val="95"/>
        </w:trPr>
        <w:tc>
          <w:tcPr>
            <w:tcW w:w="10600" w:type="dxa"/>
            <w:vAlign w:val="bottom"/>
            <w:shd w:val="clear" w:color="auto" w:fill="051D49"/>
          </w:tcPr>
          <w:p>
            <w:pPr>
              <w:spacing w:after="0"/>
              <w:rPr>
                <w:sz w:val="8"/>
                <w:szCs w:val="8"/>
                <w:color w:val="auto"/>
              </w:rPr>
            </w:pPr>
          </w:p>
        </w:tc>
        <w:tc>
          <w:tcPr>
            <w:tcW w:w="32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VOTING AND SOLICITATION OF PROXIES</w:t>
      </w:r>
    </w:p>
    <w:p>
      <w:pPr>
        <w:spacing w:after="0" w:line="146"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color w:val="auto"/>
        </w:rPr>
        <w:t>(who vote the shares on behalf of the respective plan participants) have adequate time to tabulate the voting instructions. Shares held in the 401(k) plan that are not voted or for which the trustees do not receive timely voting instructions will be voted by the trustees in the same proportion as the shares held in the plan that are timely voted.</w:t>
      </w:r>
    </w:p>
    <w:p>
      <w:pPr>
        <w:spacing w:after="0" w:line="65" w:lineRule="exact"/>
        <w:rPr>
          <w:sz w:val="20"/>
          <w:szCs w:val="20"/>
          <w:color w:val="auto"/>
        </w:rPr>
      </w:pPr>
    </w:p>
    <w:p>
      <w:pPr>
        <w:ind w:left="160" w:right="40"/>
        <w:spacing w:after="0"/>
        <w:rPr>
          <w:sz w:val="20"/>
          <w:szCs w:val="20"/>
          <w:color w:val="auto"/>
        </w:rPr>
      </w:pPr>
      <w:r>
        <w:rPr>
          <w:rFonts w:ascii="Arial" w:cs="Arial" w:eastAsia="Arial" w:hAnsi="Arial"/>
          <w:sz w:val="18"/>
          <w:szCs w:val="18"/>
          <w:b w:val="1"/>
          <w:bCs w:val="1"/>
          <w:i w:val="1"/>
          <w:iCs w:val="1"/>
          <w:color w:val="auto"/>
        </w:rPr>
        <w:t xml:space="preserve">Voting Other than by Proxy. </w:t>
      </w:r>
      <w:r>
        <w:rPr>
          <w:rFonts w:ascii="Arial" w:cs="Arial" w:eastAsia="Arial" w:hAnsi="Arial"/>
          <w:sz w:val="18"/>
          <w:szCs w:val="18"/>
          <w:color w:val="auto"/>
        </w:rPr>
        <w:t>While we encourage holders of our Class A Common Stock to vote by proxy, holders of our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(other than shares held in the 401(k) plan) also have the option of voting their shares during the Annual Meeting by following the instructions on the Annual Meeting website once they enter the meeting. Some holders of our Class A Common Stock hold their shares in “street name” through a broker or other nominee and are therefore known as “beneficial holders.” Beneficial holders should follow the voting instructions provided to them by their broker or other nominee in order to vote during the Annual Meeting.</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REVOCATION OF PROXIES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A proxy may be revoked before the voting deadline (i) by sending written notice to Proxy Services, P.O. Box 9111, Farmingdale, NY 11735-9543, (ii) by timely submission (including telephonic or Internet submission as described above) of a proxy bearing a later date than the proxy being revoked or (iii) by voting during the Annual Meeting. Revocations made by telephone or through the Internet must be received by </w:t>
      </w:r>
      <w:r>
        <w:rPr>
          <w:rFonts w:ascii="Arial" w:cs="Arial" w:eastAsia="Arial" w:hAnsi="Arial"/>
          <w:sz w:val="18"/>
          <w:szCs w:val="18"/>
          <w:u w:val="single" w:color="auto"/>
          <w:color w:val="auto"/>
        </w:rPr>
        <w:t>11:59 p.m., Eastern Daylight Time, on June 7, 2022</w:t>
      </w:r>
      <w:r>
        <w:rPr>
          <w:rFonts w:ascii="Arial" w:cs="Arial" w:eastAsia="Arial" w:hAnsi="Arial"/>
          <w:sz w:val="18"/>
          <w:szCs w:val="18"/>
          <w:color w:val="auto"/>
        </w:rPr>
        <w:t>. Beneficial holders should follow the voting instructions provided to them by their broker or other nominee in order to revoke their proxy or change their vote.</w:t>
      </w:r>
    </w:p>
    <w:p>
      <w:pPr>
        <w:spacing w:after="0" w:line="75"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b w:val="1"/>
          <w:bCs w:val="1"/>
          <w:i w:val="1"/>
          <w:iCs w:val="1"/>
          <w:color w:val="auto"/>
        </w:rPr>
        <w:t xml:space="preserve">Shares Held in our 401(k) Plan. </w:t>
      </w:r>
      <w:r>
        <w:rPr>
          <w:rFonts w:ascii="Arial" w:cs="Arial" w:eastAsia="Arial" w:hAnsi="Arial"/>
          <w:sz w:val="18"/>
          <w:szCs w:val="18"/>
          <w:color w:val="auto"/>
        </w:rPr>
        <w:t>Voting instructions relating to shares of our Class A Common Stock held in our 401(k) plan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revoked prior to </w:t>
      </w:r>
      <w:r>
        <w:rPr>
          <w:rFonts w:ascii="Arial" w:cs="Arial" w:eastAsia="Arial" w:hAnsi="Arial"/>
          <w:sz w:val="18"/>
          <w:szCs w:val="18"/>
          <w:u w:val="single" w:color="auto"/>
          <w:color w:val="auto"/>
        </w:rPr>
        <w:t>11:59 p.m., Eastern Daylight Time, on June 5, 2022</w:t>
      </w:r>
      <w:r>
        <w:rPr>
          <w:rFonts w:ascii="Arial" w:cs="Arial" w:eastAsia="Arial" w:hAnsi="Arial"/>
          <w:sz w:val="18"/>
          <w:szCs w:val="18"/>
          <w:color w:val="auto"/>
        </w:rPr>
        <w:t>, by timely submission (including telephonic or Internet submission as described above) of revocation or of voting instructions bearing a later date than the voting instructions being revoked to Proxy Services, P.O. Box 9111, Farmingdale, NY 11735-9543.</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QUORUM</w:t>
      </w:r>
    </w:p>
    <w:p>
      <w:pPr>
        <w:spacing w:after="0" w:line="94" w:lineRule="exact"/>
        <w:rPr>
          <w:sz w:val="20"/>
          <w:szCs w:val="20"/>
          <w:color w:val="auto"/>
        </w:rPr>
      </w:pPr>
    </w:p>
    <w:p>
      <w:pPr>
        <w:ind w:left="160" w:right="280"/>
        <w:spacing w:after="0" w:line="249" w:lineRule="auto"/>
        <w:rPr>
          <w:sz w:val="20"/>
          <w:szCs w:val="20"/>
          <w:color w:val="auto"/>
        </w:rPr>
      </w:pPr>
      <w:r>
        <w:rPr>
          <w:rFonts w:ascii="Arial" w:cs="Arial" w:eastAsia="Arial" w:hAnsi="Arial"/>
          <w:sz w:val="18"/>
          <w:szCs w:val="18"/>
          <w:color w:val="auto"/>
        </w:rPr>
        <w:t>Under our Amended and Restated Bylaws, the holders of a majority of the aggregate voting power of our Class A Common Stock outstanding on the record date, present in person or represented by proxy at the Annual Meeting, will constitute a quorum. Abstentions and broker non-votes will be treated as present for purposes of determining the presence of a quorum.</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MATTERS TO BE CONSIDERED AT THE ANNUAL MEETING</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principal business of the Annual Meeting will be the consideration of the following matters:</w:t>
      </w:r>
    </w:p>
    <w:p>
      <w:pPr>
        <w:spacing w:after="0" w:line="114" w:lineRule="exact"/>
        <w:rPr>
          <w:sz w:val="20"/>
          <w:szCs w:val="20"/>
          <w:color w:val="auto"/>
        </w:rPr>
      </w:pPr>
    </w:p>
    <w:p>
      <w:pPr>
        <w:ind w:left="480" w:hanging="313"/>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election of each of the 12 nominated directors;</w:t>
      </w:r>
    </w:p>
    <w:p>
      <w:pPr>
        <w:spacing w:after="0" w:line="113" w:lineRule="exact"/>
        <w:rPr>
          <w:rFonts w:ascii="Arial" w:cs="Arial" w:eastAsia="Arial" w:hAnsi="Arial"/>
          <w:sz w:val="18"/>
          <w:szCs w:val="18"/>
          <w:color w:val="auto"/>
        </w:rPr>
      </w:pPr>
    </w:p>
    <w:p>
      <w:pPr>
        <w:ind w:left="480" w:right="360" w:hanging="313"/>
        <w:spacing w:after="0" w:line="265"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to serve as our independent registered public accounting firm (“independent auditor”) for fiscal year 2022; and</w:t>
      </w:r>
    </w:p>
    <w:p>
      <w:pPr>
        <w:spacing w:after="0" w:line="64" w:lineRule="exact"/>
        <w:rPr>
          <w:rFonts w:ascii="Arial" w:cs="Arial" w:eastAsia="Arial" w:hAnsi="Arial"/>
          <w:sz w:val="18"/>
          <w:szCs w:val="18"/>
          <w:color w:val="auto"/>
        </w:rPr>
      </w:pPr>
    </w:p>
    <w:p>
      <w:pPr>
        <w:ind w:left="480" w:right="20" w:hanging="313"/>
        <w:spacing w:after="0" w:line="265" w:lineRule="auto"/>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stockholder proposal requesting that our Board of Directors take steps to reduce the threshold at which Company stockholders may call a special meeting, if properly presented at the Annual Meeting.</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Board recommends a vote FOR matters 1 and 2, and AGAINST matter 3.</w:t>
      </w:r>
    </w:p>
    <w:p>
      <w:pPr>
        <w:spacing w:after="0" w:line="101" w:lineRule="exact"/>
        <w:rPr>
          <w:sz w:val="20"/>
          <w:szCs w:val="20"/>
          <w:color w:val="auto"/>
        </w:rPr>
      </w:pPr>
    </w:p>
    <w:p>
      <w:pPr>
        <w:ind w:left="160" w:right="120"/>
        <w:spacing w:after="0" w:line="270" w:lineRule="auto"/>
        <w:rPr>
          <w:sz w:val="20"/>
          <w:szCs w:val="20"/>
          <w:color w:val="auto"/>
        </w:rPr>
      </w:pPr>
      <w:r>
        <w:rPr>
          <w:rFonts w:ascii="Arial" w:cs="Arial" w:eastAsia="Arial" w:hAnsi="Arial"/>
          <w:sz w:val="17"/>
          <w:szCs w:val="17"/>
          <w:color w:val="auto"/>
        </w:rPr>
        <w:t>The affirmative vote of the holders of a majority of the aggregate voting power of our Class A Common Stock entitled to vote and present in person or represented by proxy at the Annual Meeting (“majority vote”) is required to elect each of the 12 nominated directors and to determine Items 2 and 3 above. An abstention with respect to any matter will have the effect of a vote against such matter.</w:t>
      </w:r>
    </w:p>
    <w:p>
      <w:pPr>
        <w:spacing w:after="0" w:line="49" w:lineRule="exact"/>
        <w:rPr>
          <w:sz w:val="20"/>
          <w:szCs w:val="20"/>
          <w:color w:val="auto"/>
        </w:rPr>
      </w:pPr>
    </w:p>
    <w:p>
      <w:pPr>
        <w:ind w:left="160" w:right="120"/>
        <w:spacing w:after="0" w:line="239" w:lineRule="auto"/>
        <w:rPr>
          <w:sz w:val="20"/>
          <w:szCs w:val="20"/>
          <w:color w:val="auto"/>
        </w:rPr>
      </w:pPr>
      <w:r>
        <w:rPr>
          <w:rFonts w:ascii="Arial" w:cs="Arial" w:eastAsia="Arial" w:hAnsi="Arial"/>
          <w:sz w:val="18"/>
          <w:szCs w:val="18"/>
          <w:color w:val="auto"/>
        </w:rPr>
        <w:t>Under the Nasdaq listing standards, a broker or other nominee holding shares of our Class A Common Stock on behalf of a beneficial holder may not be permitted to exercise voting discretion with respect to some matters to be acted upon at stockholders’ meetings. Therefore, if a beneficial holder does not give the broker or nominee specific voting instructions, the holder’s shares may not be voted on those matters and a broker non-vote will occur. Under the Nasdaq listing standards, brokers or nominees may vote on Item 2, but not on Items 1 and 3, if they do not receive instructions from the beneficial holder of the shares held in street name. A broker non-vote is not treated as a vote on, and will therefore have no effect on the voting results for, Items 1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2374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11" w:lineRule="exact"/>
        <w:rPr>
          <w:sz w:val="20"/>
          <w:szCs w:val="20"/>
          <w:color w:val="auto"/>
        </w:rPr>
      </w:pPr>
    </w:p>
    <w:p>
      <w:pPr>
        <w:ind w:left="240"/>
        <w:spacing w:after="0"/>
        <w:tabs>
          <w:tab w:leader="none" w:pos="620" w:val="left"/>
        </w:tabs>
        <w:rPr>
          <w:sz w:val="20"/>
          <w:szCs w:val="20"/>
          <w:color w:val="auto"/>
        </w:rPr>
      </w:pPr>
      <w:r>
        <w:rPr>
          <w:rFonts w:ascii="Arial" w:cs="Arial" w:eastAsia="Arial" w:hAnsi="Arial"/>
          <w:sz w:val="14"/>
          <w:szCs w:val="14"/>
          <w:b w:val="1"/>
          <w:bCs w:val="1"/>
          <w:color w:val="FFFFFF"/>
        </w:rPr>
        <w:t>6</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40"/>
          </w:cols>
          <w:pgMar w:left="320" w:top="454" w:right="5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7920"/>
        <w:spacing w:after="0"/>
        <w:rPr>
          <w:sz w:val="20"/>
          <w:szCs w:val="20"/>
          <w:color w:val="auto"/>
        </w:rPr>
      </w:pPr>
      <w:r>
        <w:rPr>
          <w:rFonts w:ascii="Arial" w:cs="Arial" w:eastAsia="Arial" w:hAnsi="Arial"/>
          <w:sz w:val="15"/>
          <w:szCs w:val="15"/>
          <w:color w:val="auto"/>
        </w:rPr>
        <w:t>VOTING AND SOLICITATION OF PROXIES</w:t>
      </w:r>
    </w:p>
    <w:p>
      <w:pPr>
        <w:spacing w:after="0" w:line="157" w:lineRule="exact"/>
        <w:rPr>
          <w:sz w:val="20"/>
          <w:szCs w:val="20"/>
          <w:color w:val="auto"/>
        </w:rPr>
      </w:pPr>
    </w:p>
    <w:p>
      <w:pPr>
        <w:ind w:left="160" w:right="80"/>
        <w:spacing w:after="0" w:line="238" w:lineRule="auto"/>
        <w:rPr>
          <w:sz w:val="20"/>
          <w:szCs w:val="20"/>
          <w:color w:val="auto"/>
        </w:rPr>
      </w:pPr>
      <w:r>
        <w:rPr>
          <w:rFonts w:ascii="Arial" w:cs="Arial" w:eastAsia="Arial" w:hAnsi="Arial"/>
          <w:sz w:val="18"/>
          <w:szCs w:val="18"/>
          <w:color w:val="auto"/>
        </w:rPr>
        <w:t>As of April 11, 2022, National Amusements, Inc. (“National Amusements”) beneficially owned, directly and indirectly through a wholly-owned subsidiary, approximately 77.4% of our outstanding Class A Common Stock and approximately 9.7% of our outstanding Class A Common Stock and Class B Common Stock on a combined basis. Shari Redstone, Chairperson, Chief Executive Officer and President of National Amusements, is our non-executive Board Chair. National Amusements has advised us that it intends to vote all of its shares of our Class A Common Stock in accordance with the recommendations of the Board on Items 1, 2 and 3. Such action by National Amusements will be sufficient to constitute a quorum and to determine the outcomes of Items 1, 2 and 3 in accordance with the Board’s recommendations.</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HOW TO SUBMIT QUESTIONS</w:t>
      </w:r>
    </w:p>
    <w:p>
      <w:pPr>
        <w:spacing w:after="0" w:line="94" w:lineRule="exact"/>
        <w:rPr>
          <w:sz w:val="20"/>
          <w:szCs w:val="20"/>
          <w:color w:val="auto"/>
        </w:rPr>
      </w:pPr>
    </w:p>
    <w:p>
      <w:pPr>
        <w:ind w:left="160" w:right="80"/>
        <w:spacing w:after="0" w:line="257" w:lineRule="auto"/>
        <w:rPr>
          <w:sz w:val="20"/>
          <w:szCs w:val="20"/>
          <w:color w:val="auto"/>
        </w:rPr>
      </w:pPr>
      <w:r>
        <w:rPr>
          <w:rFonts w:ascii="Arial" w:cs="Arial" w:eastAsia="Arial" w:hAnsi="Arial"/>
          <w:sz w:val="17"/>
          <w:szCs w:val="17"/>
          <w:color w:val="auto"/>
        </w:rPr>
        <w:t>Holders of Class A Common Stock and Class B Common Stock may submit questions in advance of the meeting, from 9:00 a.m., Eastern Daylight Time, on May 30, 2022 until 5:00 p.m., Eastern Daylight Time, on June 3, 2022, by visiting www.proxyvote.com, entering their</w:t>
      </w:r>
    </w:p>
    <w:p>
      <w:pPr>
        <w:spacing w:after="0" w:line="1" w:lineRule="exact"/>
        <w:rPr>
          <w:sz w:val="20"/>
          <w:szCs w:val="20"/>
          <w:color w:val="auto"/>
        </w:rPr>
      </w:pPr>
    </w:p>
    <w:p>
      <w:pPr>
        <w:ind w:left="160" w:right="300"/>
        <w:spacing w:after="0" w:line="273" w:lineRule="auto"/>
        <w:rPr>
          <w:sz w:val="20"/>
          <w:szCs w:val="20"/>
          <w:color w:val="auto"/>
        </w:rPr>
      </w:pPr>
      <w:r>
        <w:rPr>
          <w:rFonts w:ascii="Arial" w:cs="Arial" w:eastAsia="Arial" w:hAnsi="Arial"/>
          <w:sz w:val="17"/>
          <w:szCs w:val="17"/>
          <w:color w:val="auto"/>
        </w:rPr>
        <w:t>16-digit control number and following the instructions. Holders of Class A Common Stock and Class B Common Stock may also submit questions during the meeting and will find instructions for doing so on the Annual Meeting website once they enter the meeting.</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COST OF PROXY SOLICITATION AND INSPECTOR OF ELECTION</w:t>
      </w:r>
    </w:p>
    <w:p>
      <w:pPr>
        <w:spacing w:after="0" w:line="94"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We will pay the cost of the solicitation of proxies, including the preparation, printing and mailing of the Notice of Internet Availability and the proxy materials. We will furnish copies of the Notice of Internet Availability and, if requested, the proxy materials to banks, brokers, fiduciaries and custodians that hold shares on behalf of beneficial holders so that they may forward the materials to the beneficial holders.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American Election Services, LLC will serve as the independent inspector of election for the Annual Meeting.</w:t>
      </w:r>
    </w:p>
    <w:p>
      <w:pPr>
        <w:spacing w:after="0" w:line="31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MAILING ADDRESS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mailing address is 1515 Broadway, New York, NY 10036-5794.</w:t>
      </w:r>
    </w:p>
    <w:p>
      <w:pPr>
        <w:spacing w:after="0" w:line="160"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600" w:type="dxa"/>
            <w:vAlign w:val="bottom"/>
            <w:shd w:val="clear" w:color="auto" w:fill="051D49"/>
          </w:tcPr>
          <w:p>
            <w:pPr>
              <w:ind w:left="8700"/>
              <w:spacing w:after="0"/>
              <w:rPr>
                <w:sz w:val="20"/>
                <w:szCs w:val="20"/>
                <w:color w:val="auto"/>
              </w:rPr>
            </w:pPr>
            <w:r>
              <w:rPr>
                <w:rFonts w:ascii="Arial" w:cs="Arial" w:eastAsia="Arial" w:hAnsi="Arial"/>
                <w:sz w:val="14"/>
                <w:szCs w:val="14"/>
                <w:color w:val="FFFFFF"/>
              </w:rPr>
              <w:t>2022 PROXY STATEMENT</w:t>
            </w:r>
          </w:p>
        </w:tc>
        <w:tc>
          <w:tcPr>
            <w:tcW w:w="32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7</w:t>
            </w:r>
          </w:p>
        </w:tc>
      </w:tr>
      <w:tr>
        <w:trPr>
          <w:trHeight w:val="95"/>
        </w:trPr>
        <w:tc>
          <w:tcPr>
            <w:tcW w:w="10600" w:type="dxa"/>
            <w:vAlign w:val="bottom"/>
            <w:shd w:val="clear" w:color="auto" w:fill="051D49"/>
          </w:tcPr>
          <w:p>
            <w:pPr>
              <w:spacing w:after="0"/>
              <w:rPr>
                <w:sz w:val="8"/>
                <w:szCs w:val="8"/>
                <w:color w:val="auto"/>
              </w:rPr>
            </w:pPr>
          </w:p>
        </w:tc>
        <w:tc>
          <w:tcPr>
            <w:tcW w:w="32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36"/>
          <w:szCs w:val="36"/>
          <w:b w:val="1"/>
          <w:bCs w:val="1"/>
          <w:color w:val="051D49"/>
        </w:rPr>
        <w:t>Corporate Governance</w:t>
      </w:r>
    </w:p>
    <w:p>
      <w:pPr>
        <w:spacing w:after="0" w:line="200" w:lineRule="exact"/>
        <w:rPr>
          <w:sz w:val="20"/>
          <w:szCs w:val="20"/>
          <w:color w:val="auto"/>
        </w:rPr>
      </w:pPr>
    </w:p>
    <w:p>
      <w:pPr>
        <w:spacing w:after="0" w:line="247" w:lineRule="exact"/>
        <w:rPr>
          <w:sz w:val="20"/>
          <w:szCs w:val="20"/>
          <w:color w:val="auto"/>
        </w:rPr>
      </w:pPr>
    </w:p>
    <w:p>
      <w:pPr>
        <w:ind w:left="160" w:right="140"/>
        <w:spacing w:after="0" w:line="238" w:lineRule="auto"/>
        <w:rPr>
          <w:sz w:val="20"/>
          <w:szCs w:val="20"/>
          <w:color w:val="auto"/>
        </w:rPr>
      </w:pPr>
      <w:r>
        <w:rPr>
          <w:rFonts w:ascii="Arial" w:cs="Arial" w:eastAsia="Arial" w:hAnsi="Arial"/>
          <w:sz w:val="18"/>
          <w:szCs w:val="18"/>
          <w:color w:val="auto"/>
        </w:rPr>
        <w:t>Our corporate governance practices are established and reviewed by our Board of Directors. The Board, with assistance from its Nominating and Governance Committee, regularly assesses our governance practices in light of legal and regulatory requirements, input from our stakeholders and governance best practices. In several areas, our practices go beyond the requirements of the Nasdaq listing standards. For example, despite being a “controlled company” (</w:t>
      </w:r>
      <w:r>
        <w:rPr>
          <w:rFonts w:ascii="Arial" w:cs="Arial" w:eastAsia="Arial" w:hAnsi="Arial"/>
          <w:sz w:val="18"/>
          <w:szCs w:val="18"/>
          <w:i w:val="1"/>
          <w:iCs w:val="1"/>
          <w:color w:val="auto"/>
        </w:rPr>
        <w:t>i.e.</w:t>
      </w:r>
      <w:r>
        <w:rPr>
          <w:rFonts w:ascii="Arial" w:cs="Arial" w:eastAsia="Arial" w:hAnsi="Arial"/>
          <w:sz w:val="18"/>
          <w:szCs w:val="18"/>
          <w:color w:val="auto"/>
        </w:rPr>
        <w:t>, a company of which more than 50% of the voting power is held by an individual or another company), we have a majority of independent directors on our Board and have an independent Compensation Committee and an independent Nominating and Governance Committee (along with an independent Audit Committee), which are not required for controlled companies under the Nasdaq listing standards.</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principal governance documents are as follows:</w:t>
      </w:r>
    </w:p>
    <w:p>
      <w:pPr>
        <w:spacing w:after="0" w:line="114" w:lineRule="exact"/>
        <w:rPr>
          <w:sz w:val="20"/>
          <w:szCs w:val="20"/>
          <w:color w:val="auto"/>
        </w:rPr>
      </w:pPr>
    </w:p>
    <w:p>
      <w:pPr>
        <w:ind w:left="380" w:hanging="21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Board Committee Charters:</w:t>
      </w:r>
    </w:p>
    <w:p>
      <w:pPr>
        <w:spacing w:after="0" w:line="113" w:lineRule="exact"/>
        <w:rPr>
          <w:rFonts w:ascii="Arial" w:cs="Arial" w:eastAsia="Arial" w:hAnsi="Arial"/>
          <w:sz w:val="18"/>
          <w:szCs w:val="18"/>
          <w:color w:val="auto"/>
        </w:rPr>
      </w:pPr>
    </w:p>
    <w:p>
      <w:pPr>
        <w:ind w:left="600" w:hanging="219"/>
        <w:spacing w:after="0"/>
        <w:tabs>
          <w:tab w:leader="none" w:pos="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13" w:lineRule="exact"/>
        <w:rPr>
          <w:rFonts w:ascii="Arial" w:cs="Arial" w:eastAsia="Arial" w:hAnsi="Arial"/>
          <w:sz w:val="18"/>
          <w:szCs w:val="18"/>
          <w:color w:val="auto"/>
        </w:rPr>
      </w:pPr>
    </w:p>
    <w:p>
      <w:pPr>
        <w:ind w:left="600" w:hanging="219"/>
        <w:spacing w:after="0"/>
        <w:tabs>
          <w:tab w:leader="none" w:pos="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113" w:lineRule="exact"/>
        <w:rPr>
          <w:rFonts w:ascii="Arial" w:cs="Arial" w:eastAsia="Arial" w:hAnsi="Arial"/>
          <w:sz w:val="18"/>
          <w:szCs w:val="18"/>
          <w:color w:val="auto"/>
        </w:rPr>
      </w:pPr>
    </w:p>
    <w:p>
      <w:pPr>
        <w:ind w:left="600" w:hanging="219"/>
        <w:spacing w:after="0"/>
        <w:tabs>
          <w:tab w:leader="none" w:pos="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Nominating and Governance Committee Charter</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Global Business Conduct Statement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Supplemental Code of Ethics for Senior Financial Officers</w:t>
      </w:r>
    </w:p>
    <w:p>
      <w:pPr>
        <w:spacing w:after="0" w:line="101"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These documents are available on the “Investors—Corporate Governance &amp; ESG” page of our website at ir.paramount.com, and copies of these documents may be requested by writing to Investor Relations, Paramount Global, 1515 Broadway, New York, New York 10036. We encourage our stockholders to read these documents, as we believe they illustrate our commitment to good governance practices. Certain key provisions of these documents are summarized below.</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CORPORATE GOVERNANCE GUIDELINES</w:t>
      </w:r>
    </w:p>
    <w:p>
      <w:pPr>
        <w:spacing w:after="0" w:line="94"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Our Corporate Governance Guidelines (the “Guidelines”) set forth our corporate governance principles and practices on a variety of topics, including the responsibilities, composition and functioning of the Board, director qualifications and the roles of the Board Committees. The Guidelines are periodically reviewed and updated as needed. The Guidelines provide, among other things, that:</w:t>
      </w:r>
    </w:p>
    <w:p>
      <w:pPr>
        <w:spacing w:after="0" w:line="78" w:lineRule="exact"/>
        <w:rPr>
          <w:sz w:val="20"/>
          <w:szCs w:val="20"/>
          <w:color w:val="auto"/>
        </w:rPr>
      </w:pPr>
    </w:p>
    <w:p>
      <w:pPr>
        <w:ind w:left="380" w:right="40" w:hanging="213"/>
        <w:spacing w:after="0" w:line="265"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majority of the members of the Board must be independent of the Company, as independence is determined under the Nasdaq listing standards and the standards set forth in the Guidelines;</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our Committees must be comprised entirely of independent directors;</w:t>
      </w:r>
    </w:p>
    <w:p>
      <w:pPr>
        <w:spacing w:after="0" w:line="113" w:lineRule="exact"/>
        <w:rPr>
          <w:rFonts w:ascii="Arial" w:cs="Arial" w:eastAsia="Arial" w:hAnsi="Arial"/>
          <w:sz w:val="18"/>
          <w:szCs w:val="18"/>
          <w:color w:val="auto"/>
        </w:rPr>
      </w:pPr>
    </w:p>
    <w:p>
      <w:pPr>
        <w:ind w:left="380" w:right="320" w:hanging="213"/>
        <w:spacing w:after="0" w:line="265"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Separate executive sessions of the non-management directors and independent directors must be held a minimum number of times each year;</w:t>
      </w:r>
    </w:p>
    <w:p>
      <w:pPr>
        <w:spacing w:after="0" w:line="64" w:lineRule="exact"/>
        <w:rPr>
          <w:rFonts w:ascii="Arial" w:cs="Arial" w:eastAsia="Arial" w:hAnsi="Arial"/>
          <w:sz w:val="18"/>
          <w:szCs w:val="18"/>
          <w:color w:val="auto"/>
        </w:rPr>
      </w:pPr>
    </w:p>
    <w:p>
      <w:pPr>
        <w:ind w:left="380" w:right="40" w:hanging="213"/>
        <w:spacing w:after="0" w:line="265"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acting on the recommendation of the Nominating and Governance Committee, will determine whether a director candidate’s service on more than three other public company boards of directors is consistent with service on our Board;</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Director compensation will be established in light of the policies set forth in the Guidelines;</w:t>
      </w:r>
    </w:p>
    <w:p>
      <w:pPr>
        <w:spacing w:after="0" w:line="113" w:lineRule="exact"/>
        <w:rPr>
          <w:rFonts w:ascii="Arial" w:cs="Arial" w:eastAsia="Arial" w:hAnsi="Arial"/>
          <w:sz w:val="18"/>
          <w:szCs w:val="18"/>
          <w:color w:val="auto"/>
        </w:rPr>
      </w:pPr>
    </w:p>
    <w:p>
      <w:pPr>
        <w:ind w:left="380" w:right="260" w:hanging="213"/>
        <w:spacing w:after="0" w:line="265"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Within three years of joining the Board, directors are expected to own shares of our Common Stock having a market value of at least five times the annual cash retainer paid to them, in accordance with the Guidelines;</w:t>
      </w:r>
    </w:p>
    <w:p>
      <w:pPr>
        <w:spacing w:after="0" w:line="64" w:lineRule="exact"/>
        <w:rPr>
          <w:rFonts w:ascii="Arial" w:cs="Arial" w:eastAsia="Arial" w:hAnsi="Arial"/>
          <w:sz w:val="18"/>
          <w:szCs w:val="18"/>
          <w:color w:val="auto"/>
        </w:rPr>
      </w:pPr>
    </w:p>
    <w:p>
      <w:pPr>
        <w:ind w:left="380" w:right="60" w:hanging="213"/>
        <w:spacing w:after="0" w:line="265"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Director tenure and retirement will be considered on a case-by-case basis depending on factors such as the director’s age, experience, qualifications, performance and history of service on the Board;</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the Board and its Committees will hold an annual self-evaluation to assess its effectiveness; and</w:t>
      </w:r>
    </w:p>
    <w:p>
      <w:pPr>
        <w:spacing w:after="0" w:line="113" w:lineRule="exact"/>
        <w:rPr>
          <w:rFonts w:ascii="Arial" w:cs="Arial" w:eastAsia="Arial" w:hAnsi="Arial"/>
          <w:sz w:val="18"/>
          <w:szCs w:val="18"/>
          <w:color w:val="auto"/>
        </w:rPr>
      </w:pPr>
    </w:p>
    <w:p>
      <w:pPr>
        <w:ind w:left="380" w:right="340" w:hanging="213"/>
        <w:spacing w:after="0" w:line="265"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Compensation Committee and the Nominating and Governance Committee will together review, at least annually, management succession planning and report to the non-management directors on these reviews.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374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188" w:lineRule="exact"/>
        <w:rPr>
          <w:sz w:val="20"/>
          <w:szCs w:val="20"/>
          <w:color w:val="auto"/>
        </w:rPr>
      </w:pPr>
    </w:p>
    <w:p>
      <w:pPr>
        <w:ind w:left="240"/>
        <w:spacing w:after="0"/>
        <w:tabs>
          <w:tab w:leader="none" w:pos="620" w:val="left"/>
        </w:tabs>
        <w:rPr>
          <w:sz w:val="20"/>
          <w:szCs w:val="20"/>
          <w:color w:val="auto"/>
        </w:rPr>
      </w:pPr>
      <w:r>
        <w:rPr>
          <w:rFonts w:ascii="Arial" w:cs="Arial" w:eastAsia="Arial" w:hAnsi="Arial"/>
          <w:sz w:val="14"/>
          <w:szCs w:val="14"/>
          <w:b w:val="1"/>
          <w:bCs w:val="1"/>
          <w:color w:val="FFFFFF"/>
        </w:rPr>
        <w:t>8</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80"/>
          </w:cols>
          <w:pgMar w:left="320" w:top="454" w:right="4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CORPORATE GOVERNANCE</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BOARD COMMITTEE CHARTERS</w:t>
      </w:r>
    </w:p>
    <w:p>
      <w:pPr>
        <w:spacing w:after="0" w:line="94"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Each standing Board Committee operates under a written charter that has been adopted by the Board. We have three standing Committees: the Audit Committee, the Compensation Committee and the Nominating and Governance Committee. The Committee charters set forth the purpose, objectives and responsibilities of the respective Committee and discuss matters such as Committee membership requirements, number of meetings and the setting of meeting agendas. The charters are required to be assessed annually, in accordance with the Guidelines, and are updated as needed. More information on the Committees, their respective roles and responsibilities and their charters can be found under “Our Board of Directors — Board Committees.”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GLOBAL BUSINESS CONDUCT STATEMENT</w:t>
      </w:r>
    </w:p>
    <w:p>
      <w:pPr>
        <w:spacing w:after="0" w:line="94" w:lineRule="exact"/>
        <w:rPr>
          <w:sz w:val="20"/>
          <w:szCs w:val="20"/>
          <w:color w:val="auto"/>
        </w:rPr>
      </w:pPr>
    </w:p>
    <w:p>
      <w:pPr>
        <w:ind w:left="160" w:right="140"/>
        <w:spacing w:after="0"/>
        <w:rPr>
          <w:sz w:val="20"/>
          <w:szCs w:val="20"/>
          <w:color w:val="auto"/>
        </w:rPr>
      </w:pPr>
      <w:r>
        <w:rPr>
          <w:rFonts w:ascii="Arial" w:cs="Arial" w:eastAsia="Arial" w:hAnsi="Arial"/>
          <w:sz w:val="18"/>
          <w:szCs w:val="18"/>
          <w:color w:val="auto"/>
        </w:rPr>
        <w:t>Our Global Business Conduct Statement (“BCS”) sets forth our standards for ethical conduct required of all of our directors and employees. The BCS is available on the “Investors—Corporate Governance &amp; ESG” page of our website at ir.paramount.com and on our intranet sites. As part of our compliance and ethics program, we distribute the BCS to our employees and directors and administer an online BCS training program. Directors and full-time employees are required to certify as to their compliance with the BCS and, on an ongoing basis, disclose any potential conflicts of interest. The BCS addresses, among other things, topics such as:</w:t>
      </w:r>
    </w:p>
    <w:p>
      <w:pPr>
        <w:spacing w:after="0" w:line="88" w:lineRule="exact"/>
        <w:rPr>
          <w:sz w:val="20"/>
          <w:szCs w:val="20"/>
          <w:color w:val="auto"/>
        </w:rPr>
      </w:pPr>
    </w:p>
    <w:p>
      <w:pPr>
        <w:ind w:left="380" w:hanging="213"/>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laws, rules and regulations, including the Foreign Corrupt Practices Act;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Conflicts of interest, including the disclosure of potential conflicts to the Company;</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Confidentiality, insider information and trading, and fair disclosure;</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accounting and improper payments;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commitment to providing equal employment opportunities and a discrimination- and harassment-free workplace environment;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Fair dealing and relations with competitors, customers and suppliers;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Health, safety and the environment;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contributions and payments.</w:t>
      </w:r>
    </w:p>
    <w:p>
      <w:pPr>
        <w:spacing w:after="0" w:line="101"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The BCS provides numerous avenues for employees to report violations of the BCS or matters of concern, whether anonymously or with attribution. These avenues include a telephone hotline, a website and direct communication with our compliance officers and lawyers. The BCS also provides that we will protect anyone who makes a good faith report of a violation of the BCS and that retaliation against an employee who makes a good faith report will not be tolerated.</w:t>
      </w:r>
    </w:p>
    <w:p>
      <w:pPr>
        <w:spacing w:after="0" w:line="71" w:lineRule="exact"/>
        <w:rPr>
          <w:sz w:val="20"/>
          <w:szCs w:val="20"/>
          <w:color w:val="auto"/>
        </w:rPr>
      </w:pPr>
    </w:p>
    <w:p>
      <w:pPr>
        <w:ind w:left="160" w:right="280"/>
        <w:spacing w:after="0" w:line="265" w:lineRule="auto"/>
        <w:rPr>
          <w:sz w:val="20"/>
          <w:szCs w:val="20"/>
          <w:color w:val="auto"/>
        </w:rPr>
      </w:pPr>
      <w:r>
        <w:rPr>
          <w:rFonts w:ascii="Arial" w:cs="Arial" w:eastAsia="Arial" w:hAnsi="Arial"/>
          <w:sz w:val="18"/>
          <w:szCs w:val="18"/>
          <w:color w:val="auto"/>
        </w:rPr>
        <w:t>Waivers of the BCS for our executive officers or directors will be disclosed on our website at ir.paramount.com or by Form 8-K filed with the SEC.</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SUPPLEMENTAL CODE OF ETHICS FOR SENIOR FINANCIAL OFFICERS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Supplemental Code of Ethics is applicable to our President and Chief Executive Officer, our Chief Financial Officer and our Chief Accounting Officer. The Supplemental Code of Ethics addresses matters specific to those senior financial positions in the Company, including responsibility for the disclosures made in our filings with the SEC, reporting obligations with respect to certain matters and a general obligation to promote honest and ethical conduct within the Company. The senior financial officers are also required to comply with the BCS.</w:t>
      </w:r>
    </w:p>
    <w:p>
      <w:pPr>
        <w:spacing w:after="0" w:line="75"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Amendments to or waivers of the Supplemental Code of Ethics for these officers will be disclosed on our website at ir.paramount.com or by Form 8-K filed with the SEC.</w:t>
      </w:r>
    </w:p>
    <w:p>
      <w:pPr>
        <w:spacing w:after="0" w:line="110"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600" w:type="dxa"/>
            <w:vAlign w:val="bottom"/>
            <w:shd w:val="clear" w:color="auto" w:fill="051D49"/>
          </w:tcPr>
          <w:p>
            <w:pPr>
              <w:ind w:left="8700"/>
              <w:spacing w:after="0"/>
              <w:rPr>
                <w:sz w:val="20"/>
                <w:szCs w:val="20"/>
                <w:color w:val="auto"/>
              </w:rPr>
            </w:pPr>
            <w:r>
              <w:rPr>
                <w:rFonts w:ascii="Arial" w:cs="Arial" w:eastAsia="Arial" w:hAnsi="Arial"/>
                <w:sz w:val="14"/>
                <w:szCs w:val="14"/>
                <w:color w:val="FFFFFF"/>
              </w:rPr>
              <w:t>2022 PROXY STATEMENT</w:t>
            </w:r>
          </w:p>
        </w:tc>
        <w:tc>
          <w:tcPr>
            <w:tcW w:w="32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9</w:t>
            </w:r>
          </w:p>
        </w:tc>
      </w:tr>
      <w:tr>
        <w:trPr>
          <w:trHeight w:val="95"/>
        </w:trPr>
        <w:tc>
          <w:tcPr>
            <w:tcW w:w="10600" w:type="dxa"/>
            <w:vAlign w:val="bottom"/>
            <w:shd w:val="clear" w:color="auto" w:fill="051D49"/>
          </w:tcPr>
          <w:p>
            <w:pPr>
              <w:spacing w:after="0"/>
              <w:rPr>
                <w:sz w:val="8"/>
                <w:szCs w:val="8"/>
                <w:color w:val="auto"/>
              </w:rPr>
            </w:pPr>
          </w:p>
        </w:tc>
        <w:tc>
          <w:tcPr>
            <w:tcW w:w="32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ind w:left="640"/>
        <w:spacing w:after="0"/>
        <w:rPr>
          <w:sz w:val="20"/>
          <w:szCs w:val="20"/>
          <w:color w:val="auto"/>
        </w:rPr>
      </w:pPr>
      <w:r>
        <w:rPr>
          <w:rFonts w:ascii="Arial" w:cs="Arial" w:eastAsia="Arial" w:hAnsi="Arial"/>
          <w:sz w:val="36"/>
          <w:szCs w:val="36"/>
          <w:b w:val="1"/>
          <w:bCs w:val="1"/>
          <w:color w:val="051D49"/>
        </w:rPr>
        <w:t>Our Environmental, Social and Governance (ESG) Strategy</w:t>
      </w:r>
    </w:p>
    <w:p>
      <w:pPr>
        <w:spacing w:after="0" w:line="200" w:lineRule="exact"/>
        <w:rPr>
          <w:sz w:val="20"/>
          <w:szCs w:val="20"/>
          <w:color w:val="auto"/>
        </w:rPr>
      </w:pPr>
    </w:p>
    <w:p>
      <w:pPr>
        <w:spacing w:after="0" w:line="247" w:lineRule="exact"/>
        <w:rPr>
          <w:sz w:val="20"/>
          <w:szCs w:val="20"/>
          <w:color w:val="auto"/>
        </w:rPr>
      </w:pPr>
    </w:p>
    <w:p>
      <w:pPr>
        <w:ind w:left="160" w:right="140"/>
        <w:spacing w:after="0" w:line="249" w:lineRule="auto"/>
        <w:rPr>
          <w:sz w:val="20"/>
          <w:szCs w:val="20"/>
          <w:color w:val="auto"/>
        </w:rPr>
      </w:pPr>
      <w:r>
        <w:rPr>
          <w:rFonts w:ascii="Arial" w:cs="Arial" w:eastAsia="Arial" w:hAnsi="Arial"/>
          <w:sz w:val="18"/>
          <w:szCs w:val="18"/>
          <w:color w:val="auto"/>
        </w:rPr>
        <w:t>Paramount is committed to responsible and sustainable business practices, which strengthen our ability to innovate and better serve our partners, audiences and shareholders. We are building our environmental, social and governance (“ESG”) strategy and unifying our messages, with the goal of transparently communicating about our most material ESG impacts and initiatives.</w:t>
      </w:r>
    </w:p>
    <w:p>
      <w:pPr>
        <w:spacing w:after="0" w:line="65" w:lineRule="exact"/>
        <w:rPr>
          <w:sz w:val="20"/>
          <w:szCs w:val="20"/>
          <w:color w:val="auto"/>
        </w:rPr>
      </w:pPr>
    </w:p>
    <w:p>
      <w:pPr>
        <w:ind w:left="160" w:right="180"/>
        <w:spacing w:after="0" w:line="249" w:lineRule="auto"/>
        <w:rPr>
          <w:sz w:val="20"/>
          <w:szCs w:val="20"/>
          <w:color w:val="auto"/>
        </w:rPr>
      </w:pPr>
      <w:r>
        <w:rPr>
          <w:rFonts w:ascii="Arial" w:cs="Arial" w:eastAsia="Arial" w:hAnsi="Arial"/>
          <w:sz w:val="18"/>
          <w:szCs w:val="18"/>
          <w:color w:val="auto"/>
        </w:rPr>
        <w:t>We are committed to implementing and tracking progress against goals that will position us as a leader in ESG and sustainability. This commitment informs our work to integrate ESG into the way we do business and better understand our ESG impacts as a company and across our global brands.</w:t>
      </w:r>
    </w:p>
    <w:p>
      <w:pPr>
        <w:spacing w:after="0" w:line="31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HOW WE MANAGE 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-131445</wp:posOffset>
            </wp:positionV>
            <wp:extent cx="2403475" cy="2717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03475" cy="2717800"/>
                    </a:xfrm>
                    <a:prstGeom prst="rect">
                      <a:avLst/>
                    </a:prstGeom>
                    <a:noFill/>
                  </pic:spPr>
                </pic:pic>
              </a:graphicData>
            </a:graphic>
          </wp:anchor>
        </w:drawing>
      </w:r>
    </w:p>
    <w:p>
      <w:pPr>
        <w:spacing w:after="0" w:line="100" w:lineRule="exact"/>
        <w:rPr>
          <w:sz w:val="20"/>
          <w:szCs w:val="20"/>
          <w:color w:val="auto"/>
        </w:rPr>
      </w:pPr>
    </w:p>
    <w:p>
      <w:pPr>
        <w:ind w:left="160" w:right="6360"/>
        <w:spacing w:after="0" w:line="243" w:lineRule="auto"/>
        <w:rPr>
          <w:sz w:val="20"/>
          <w:szCs w:val="20"/>
          <w:color w:val="auto"/>
        </w:rPr>
      </w:pPr>
      <w:r>
        <w:rPr>
          <w:rFonts w:ascii="Arial" w:cs="Arial" w:eastAsia="Arial" w:hAnsi="Arial"/>
          <w:sz w:val="18"/>
          <w:szCs w:val="18"/>
          <w:color w:val="auto"/>
        </w:rPr>
        <w:t>Our commitment to ESG starts at the top, with our Board of Directors and senior leadership. The Nominating and Governance Committee of the Board has direct oversight of our handling of ESG matters.</w:t>
      </w:r>
    </w:p>
    <w:p>
      <w:pPr>
        <w:spacing w:after="0" w:line="98" w:lineRule="exact"/>
        <w:rPr>
          <w:sz w:val="20"/>
          <w:szCs w:val="20"/>
          <w:color w:val="auto"/>
        </w:rPr>
      </w:pPr>
    </w:p>
    <w:p>
      <w:pPr>
        <w:ind w:left="160" w:right="6320"/>
        <w:spacing w:after="0"/>
        <w:rPr>
          <w:sz w:val="20"/>
          <w:szCs w:val="20"/>
          <w:color w:val="auto"/>
        </w:rPr>
      </w:pPr>
      <w:r>
        <w:rPr>
          <w:rFonts w:ascii="Arial" w:cs="Arial" w:eastAsia="Arial" w:hAnsi="Arial"/>
          <w:sz w:val="18"/>
          <w:szCs w:val="18"/>
          <w:color w:val="auto"/>
        </w:rPr>
        <w:t>We have assembled a team dedicated to driving our ESG strategy forward and overseeing our annual reporting and responses to ESG inquiries and assessments. We have prioritized transparency and disclosure, particularly of our most material impacts.</w:t>
      </w:r>
    </w:p>
    <w:p>
      <w:pPr>
        <w:spacing w:after="0" w:line="102" w:lineRule="exact"/>
        <w:rPr>
          <w:sz w:val="20"/>
          <w:szCs w:val="20"/>
          <w:color w:val="auto"/>
        </w:rPr>
      </w:pPr>
    </w:p>
    <w:p>
      <w:pPr>
        <w:ind w:left="160" w:right="6300"/>
        <w:spacing w:after="0" w:line="237" w:lineRule="auto"/>
        <w:rPr>
          <w:sz w:val="20"/>
          <w:szCs w:val="20"/>
          <w:color w:val="auto"/>
        </w:rPr>
      </w:pPr>
      <w:r>
        <w:rPr>
          <w:rFonts w:ascii="Arial" w:cs="Arial" w:eastAsia="Arial" w:hAnsi="Arial"/>
          <w:sz w:val="18"/>
          <w:szCs w:val="18"/>
          <w:color w:val="auto"/>
        </w:rPr>
        <w:t>Our ESG strategy consists of three pillars: On-Screen Content and Social Impact; Workforce and Culture; and Sustainable Production and Operations. Each of these pillars captures important parts of our business and the way we operate. As we develop and publish ESG goals in each area, we will continue to ensure the goals are relevant to our business, audiences and shareholders while being ambitious and proactive.</w:t>
      </w:r>
    </w:p>
    <w:p>
      <w:pPr>
        <w:spacing w:after="0" w:line="200" w:lineRule="exact"/>
        <w:rPr>
          <w:sz w:val="20"/>
          <w:szCs w:val="20"/>
          <w:color w:val="auto"/>
        </w:rPr>
      </w:pPr>
    </w:p>
    <w:p>
      <w:pPr>
        <w:spacing w:after="0" w:line="38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OUR ESG COMMUNICATIONS</w:t>
      </w:r>
    </w:p>
    <w:p>
      <w:pPr>
        <w:spacing w:after="0" w:line="94"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In 2020, we conducted and published the results of our first Company-wide ESG materiality assessment to identify the most important risks and opportunities across our business globally. The results of this ESG materiality assessment informed our ESG strategy, which we also launched in 2020 as part of our first annual comprehensive ESG Report. In that report, we provided the public with more detail about our commitment and approach to managing ESG strategically across the Company. Our materiality assessment and ESG Report are available on our website at www.paramount.com/sustainability.</w:t>
      </w:r>
    </w:p>
    <w:p>
      <w:pPr>
        <w:spacing w:after="0" w:line="75"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In 2021, we continued to make diversity, equity, inclusion and belonging cornerstones of our culture and business. As part of our efforts to build a culture of transparency and accountability, we reported on gender and ethnic diversity across all levels of our organization. More information about these efforts is available on our website at www.paramount.com/inclusion. We also continued to develop ambitious, measurable and time-bound ESG goals that align with the future of our business and the unique power of our Company and its brands. We published an update to our ESG Report, sharing qualitative and quantitative data across our most relevant topic areas, including diversity and inclusion, our culture, and our efforts to elevate the importance of sustainable production across the industry.</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2022, we are driving progress on our newly published company-wide ESG goals. We are tracking against key metrics and developing additional targets to integrate these goals into our brand- and division-level business priorities. These goals and targets will help us to further sharpen our focus and drive progress on what matters most to our business. We are continuing to report transparently on our most material topics and progress against our goals, including our climate change-related disclosures and our approach to understanding and developing a plan to mitigate any impacts from climate change on or from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29755" cy="2374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12"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10</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20"/>
          </w:cols>
          <w:pgMar w:left="320" w:top="454" w:right="5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51D49"/>
        </w:rPr>
        <w:t>Our Board of Directors</w:t>
      </w:r>
    </w:p>
    <w:p>
      <w:pPr>
        <w:spacing w:after="0" w:line="200" w:lineRule="exact"/>
        <w:rPr>
          <w:sz w:val="20"/>
          <w:szCs w:val="20"/>
          <w:color w:val="auto"/>
        </w:rPr>
      </w:pPr>
    </w:p>
    <w:p>
      <w:pPr>
        <w:spacing w:after="0" w:line="247" w:lineRule="exact"/>
        <w:rPr>
          <w:sz w:val="20"/>
          <w:szCs w:val="20"/>
          <w:color w:val="auto"/>
        </w:rPr>
      </w:pPr>
    </w:p>
    <w:p>
      <w:pPr>
        <w:jc w:val="both"/>
        <w:ind w:left="160" w:right="60"/>
        <w:spacing w:after="0" w:line="249" w:lineRule="auto"/>
        <w:rPr>
          <w:sz w:val="20"/>
          <w:szCs w:val="20"/>
          <w:color w:val="auto"/>
        </w:rPr>
      </w:pPr>
      <w:r>
        <w:rPr>
          <w:rFonts w:ascii="Arial" w:cs="Arial" w:eastAsia="Arial" w:hAnsi="Arial"/>
          <w:sz w:val="18"/>
          <w:szCs w:val="18"/>
          <w:color w:val="auto"/>
        </w:rPr>
        <w:t>Our Board is currently comprised of 12 members: Robert M. Bakish, Candace K. Beinecke, Barbara M. Byrne, Linda M. Griego, Robert N. Klieger, Judith A. McHale, Ronald L. Nelson, Charles E. Phillips, Jr., Shari E. Redstone, Susan Schuman, Nicole Seligman and Frederick O. Terrell.</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MEETINGS OF THE BOARD</w:t>
      </w:r>
    </w:p>
    <w:p>
      <w:pPr>
        <w:spacing w:after="0" w:line="94" w:lineRule="exact"/>
        <w:rPr>
          <w:sz w:val="20"/>
          <w:szCs w:val="20"/>
          <w:color w:val="auto"/>
        </w:rPr>
      </w:pPr>
    </w:p>
    <w:p>
      <w:pPr>
        <w:ind w:left="160" w:right="400"/>
        <w:spacing w:after="0" w:line="265" w:lineRule="auto"/>
        <w:rPr>
          <w:sz w:val="20"/>
          <w:szCs w:val="20"/>
          <w:color w:val="auto"/>
        </w:rPr>
      </w:pPr>
      <w:r>
        <w:rPr>
          <w:rFonts w:ascii="Arial" w:cs="Arial" w:eastAsia="Arial" w:hAnsi="Arial"/>
          <w:sz w:val="18"/>
          <w:szCs w:val="18"/>
          <w:color w:val="auto"/>
        </w:rPr>
        <w:t>During 2021, the Board held 11 meetings, and each incumbent director attended at least 75% of the meetings of the Board and Board Committees on which such director served.</w:t>
      </w:r>
    </w:p>
    <w:p>
      <w:pPr>
        <w:spacing w:after="0" w:line="51"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In addition to Board and Committee meetings, directors are expected to attend the Annual Meeting and all of the directors who stood for election in 2021 attended our 2021 Annual Meeting of Stockholders.</w:t>
      </w:r>
    </w:p>
    <w:p>
      <w:pPr>
        <w:spacing w:after="0" w:line="51"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In accordance with the Guidelines and, with respect to the independent director sessions, the Nasdaq listing standards, the non-management directors meet separately without directors who are Company employees, and the independent directors meet separately without directors who are not independent as determined by the Board – in each case, at least two times each year and at such other times as they deem appropriate. The independent Chair of the Nominating and Governance Committee presides at meetings of the independent directors. During 2021, the non-management directors held four executive sessions, and the independent directors held four separate executive sessions.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DIRECTOR INDEPENDENCE</w:t>
      </w:r>
    </w:p>
    <w:p>
      <w:pPr>
        <w:spacing w:after="0" w:line="94" w:lineRule="exact"/>
        <w:rPr>
          <w:sz w:val="20"/>
          <w:szCs w:val="20"/>
          <w:color w:val="auto"/>
        </w:rPr>
      </w:pPr>
    </w:p>
    <w:p>
      <w:pPr>
        <w:ind w:left="160" w:right="40"/>
        <w:spacing w:after="0" w:line="270" w:lineRule="auto"/>
        <w:rPr>
          <w:sz w:val="20"/>
          <w:szCs w:val="20"/>
          <w:color w:val="auto"/>
        </w:rPr>
      </w:pPr>
      <w:r>
        <w:rPr>
          <w:rFonts w:ascii="Arial" w:cs="Arial" w:eastAsia="Arial" w:hAnsi="Arial"/>
          <w:sz w:val="17"/>
          <w:szCs w:val="17"/>
          <w:color w:val="auto"/>
        </w:rPr>
        <w:t>Our Guidelines provide that a majority of our directors must be independent of the Company, as “independence” is defined in the Nasdaq listing standards and in the Guidelines. The Nasdaq listing standards set forth six “bright-line” tests that require a finding that a director is not independent if the director fails any of the tests. A Paramount director will not be independent if any of the following relationships exist:</w:t>
      </w:r>
    </w:p>
    <w:p>
      <w:pPr>
        <w:spacing w:after="0" w:line="62" w:lineRule="exact"/>
        <w:rPr>
          <w:sz w:val="20"/>
          <w:szCs w:val="20"/>
          <w:color w:val="auto"/>
        </w:rPr>
      </w:pPr>
    </w:p>
    <w:p>
      <w:pPr>
        <w:ind w:left="380" w:hanging="213"/>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director is, or has been within the last three years, an employee of Paramount;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family member of the director is, or has been within the last three years, an executive officer of Paramount;</w:t>
      </w:r>
    </w:p>
    <w:p>
      <w:pPr>
        <w:spacing w:after="0" w:line="113" w:lineRule="exact"/>
        <w:rPr>
          <w:rFonts w:ascii="Arial" w:cs="Arial" w:eastAsia="Arial" w:hAnsi="Arial"/>
          <w:sz w:val="18"/>
          <w:szCs w:val="18"/>
          <w:color w:val="auto"/>
        </w:rPr>
      </w:pPr>
    </w:p>
    <w:p>
      <w:pPr>
        <w:ind w:left="380" w:hanging="213"/>
        <w:spacing w:after="0" w:line="243"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director has received, or a family member of the director has received, during any 12-month period within the last three years, more than $120,000 in compensation from Paramount, other than compensation for Board or Committee service, compensation paid to a family member of the director who is an employee (other than an executive officer) of Paramount, or benefits under a tax-qualified retirement plan, or non-discretionary compensation;</w:t>
      </w:r>
    </w:p>
    <w:p>
      <w:pPr>
        <w:spacing w:after="0" w:line="84" w:lineRule="exact"/>
        <w:rPr>
          <w:rFonts w:ascii="Arial" w:cs="Arial" w:eastAsia="Arial" w:hAnsi="Arial"/>
          <w:sz w:val="18"/>
          <w:szCs w:val="18"/>
          <w:color w:val="auto"/>
        </w:rPr>
      </w:pPr>
    </w:p>
    <w:p>
      <w:pPr>
        <w:ind w:left="380" w:right="380" w:hanging="213"/>
        <w:spacing w:after="0" w:line="265"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director is, or has a family member who is, a current partner of our outside auditor, or was a partner or employee of our outside auditor who worked on Paramount’s audit at any time during any of the past three years;</w:t>
      </w:r>
    </w:p>
    <w:p>
      <w:pPr>
        <w:spacing w:after="0" w:line="64" w:lineRule="exact"/>
        <w:rPr>
          <w:rFonts w:ascii="Arial" w:cs="Arial" w:eastAsia="Arial" w:hAnsi="Arial"/>
          <w:sz w:val="18"/>
          <w:szCs w:val="18"/>
          <w:color w:val="auto"/>
        </w:rPr>
      </w:pPr>
    </w:p>
    <w:p>
      <w:pPr>
        <w:ind w:left="380" w:right="340" w:hanging="213"/>
        <w:spacing w:after="0" w:line="265"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director is, or has a family member who is, employed as an executive officer of another entity where at any time during the past three years any of the executive officers of Paramount have served on the compensation committee of such other entity; or</w:t>
      </w:r>
    </w:p>
    <w:p>
      <w:pPr>
        <w:spacing w:after="0" w:line="64" w:lineRule="exact"/>
        <w:rPr>
          <w:rFonts w:ascii="Arial" w:cs="Arial" w:eastAsia="Arial" w:hAnsi="Arial"/>
          <w:sz w:val="18"/>
          <w:szCs w:val="18"/>
          <w:color w:val="auto"/>
        </w:rPr>
      </w:pPr>
    </w:p>
    <w:p>
      <w:pPr>
        <w:ind w:left="380" w:right="200" w:hanging="213"/>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director is, or has a family member who is, a partner in, or a controlling shareholder or an executive officer of, any organization to which Paramount made, or from which Paramount received, payments for property or services in the current or any of the past three fiscal years that exceed 5% of the recipient’s consolidated gross revenues for that year, or $200,000, whichever is more, other than payments arising solely from investments in Paramount’s securities or payments under non-discretionary charitable contribution matching programs.</w:t>
      </w:r>
    </w:p>
    <w:p>
      <w:pPr>
        <w:spacing w:after="0" w:line="75" w:lineRule="exact"/>
        <w:rPr>
          <w:sz w:val="20"/>
          <w:szCs w:val="20"/>
          <w:color w:val="auto"/>
        </w:rPr>
      </w:pPr>
    </w:p>
    <w:p>
      <w:pPr>
        <w:ind w:left="160" w:right="440"/>
        <w:spacing w:after="0" w:line="249" w:lineRule="auto"/>
        <w:rPr>
          <w:sz w:val="20"/>
          <w:szCs w:val="20"/>
          <w:color w:val="auto"/>
        </w:rPr>
      </w:pPr>
      <w:r>
        <w:rPr>
          <w:rFonts w:ascii="Arial" w:cs="Arial" w:eastAsia="Arial" w:hAnsi="Arial"/>
          <w:sz w:val="18"/>
          <w:szCs w:val="18"/>
          <w:color w:val="auto"/>
        </w:rPr>
        <w:t>For this purpose, “family member” means the director’s spouse, parents, children (other than stepchildren who do not reside in the director’s home) and siblings, whether by blood, marriage or adoption, or anyone residing in the director’s home (other than domestic employees).</w:t>
      </w:r>
    </w:p>
    <w:p>
      <w:pPr>
        <w:spacing w:after="0" w:line="65" w:lineRule="exact"/>
        <w:rPr>
          <w:sz w:val="20"/>
          <w:szCs w:val="20"/>
          <w:color w:val="auto"/>
        </w:rPr>
      </w:pPr>
    </w:p>
    <w:p>
      <w:pPr>
        <w:ind w:left="160" w:right="500"/>
        <w:spacing w:after="0" w:line="265" w:lineRule="auto"/>
        <w:rPr>
          <w:sz w:val="20"/>
          <w:szCs w:val="20"/>
          <w:color w:val="auto"/>
        </w:rPr>
      </w:pPr>
      <w:r>
        <w:rPr>
          <w:rFonts w:ascii="Arial" w:cs="Arial" w:eastAsia="Arial" w:hAnsi="Arial"/>
          <w:sz w:val="18"/>
          <w:szCs w:val="18"/>
          <w:color w:val="auto"/>
        </w:rPr>
        <w:t>In addition, the Nasdaq listing standards provide that a director is not independent unless the Board affirmatively determines that the director has no relationship that would impair his or her independence, which we refer to as a “material relationship.”</w:t>
      </w:r>
    </w:p>
    <w:p>
      <w:pPr>
        <w:spacing w:after="0" w:line="110"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40" w:type="dxa"/>
            <w:vAlign w:val="bottom"/>
            <w:shd w:val="clear" w:color="auto" w:fill="051D49"/>
          </w:tcPr>
          <w:p>
            <w:pPr>
              <w:ind w:left="8640"/>
              <w:spacing w:after="0"/>
              <w:rPr>
                <w:sz w:val="20"/>
                <w:szCs w:val="20"/>
                <w:color w:val="auto"/>
              </w:rPr>
            </w:pPr>
            <w:r>
              <w:rPr>
                <w:rFonts w:ascii="Arial" w:cs="Arial" w:eastAsia="Arial" w:hAnsi="Arial"/>
                <w:sz w:val="14"/>
                <w:szCs w:val="14"/>
                <w:color w:val="FFFFFF"/>
              </w:rPr>
              <w:t>2022 PROXY STATEMENT</w:t>
            </w:r>
          </w:p>
        </w:tc>
        <w:tc>
          <w:tcPr>
            <w:tcW w:w="38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11</w:t>
            </w:r>
          </w:p>
        </w:tc>
      </w:tr>
      <w:tr>
        <w:trPr>
          <w:trHeight w:val="95"/>
        </w:trPr>
        <w:tc>
          <w:tcPr>
            <w:tcW w:w="10540" w:type="dxa"/>
            <w:vAlign w:val="bottom"/>
            <w:shd w:val="clear" w:color="auto" w:fill="051D49"/>
          </w:tcPr>
          <w:p>
            <w:pPr>
              <w:spacing w:after="0"/>
              <w:rPr>
                <w:sz w:val="8"/>
                <w:szCs w:val="8"/>
                <w:color w:val="auto"/>
              </w:rPr>
            </w:pPr>
          </w:p>
        </w:tc>
        <w:tc>
          <w:tcPr>
            <w:tcW w:w="38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BOARD OF DIRECTORS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Guidelines set forth categorical standards to assist the Board in determining what constitutes a “material relationship” with the</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Company. Generally, under these categorical standards, the following relationships are deemed not to be material:</w:t>
      </w:r>
    </w:p>
    <w:p>
      <w:pPr>
        <w:spacing w:after="0" w:line="96" w:lineRule="exact"/>
        <w:rPr>
          <w:sz w:val="20"/>
          <w:szCs w:val="20"/>
          <w:color w:val="auto"/>
        </w:rPr>
      </w:pPr>
    </w:p>
    <w:p>
      <w:pPr>
        <w:ind w:left="380" w:right="240" w:hanging="213"/>
        <w:spacing w:after="0" w:line="265"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types of relationships identified by the Nasdaq listing standards’ “bright-line” tests, if they occurred more than five years ago (the Board will review any such relationship if it occurred more than three but fewer than five years ago);</w:t>
      </w:r>
    </w:p>
    <w:p>
      <w:pPr>
        <w:spacing w:after="0" w:line="64" w:lineRule="exact"/>
        <w:rPr>
          <w:rFonts w:ascii="Arial" w:cs="Arial" w:eastAsia="Arial" w:hAnsi="Arial"/>
          <w:sz w:val="18"/>
          <w:szCs w:val="18"/>
          <w:color w:val="auto"/>
        </w:rPr>
      </w:pPr>
    </w:p>
    <w:p>
      <w:pPr>
        <w:jc w:val="both"/>
        <w:ind w:left="380" w:right="260" w:hanging="213"/>
        <w:spacing w:after="0" w:line="249"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relationship whereby the director has received, or a family member of the director has received for service as an executive officer, $120,000 or less in direct compensation from us during any 12-month period within the last three years, absent other circumstances; and</w:t>
      </w:r>
    </w:p>
    <w:p>
      <w:pPr>
        <w:spacing w:after="0" w:line="77" w:lineRule="exact"/>
        <w:rPr>
          <w:rFonts w:ascii="Arial" w:cs="Arial" w:eastAsia="Arial" w:hAnsi="Arial"/>
          <w:sz w:val="18"/>
          <w:szCs w:val="18"/>
          <w:color w:val="auto"/>
        </w:rPr>
      </w:pPr>
    </w:p>
    <w:p>
      <w:pPr>
        <w:ind w:left="380" w:right="360" w:hanging="213"/>
        <w:spacing w:after="0" w:line="265"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relationship where the director is an executive officer or employee, or an immediate family member of the director is an executive officer, of the following:</w:t>
      </w:r>
    </w:p>
    <w:p>
      <w:pPr>
        <w:spacing w:after="0" w:line="64" w:lineRule="exact"/>
        <w:rPr>
          <w:rFonts w:ascii="Arial" w:cs="Arial" w:eastAsia="Arial" w:hAnsi="Arial"/>
          <w:sz w:val="18"/>
          <w:szCs w:val="18"/>
          <w:color w:val="auto"/>
        </w:rPr>
      </w:pPr>
    </w:p>
    <w:p>
      <w:pPr>
        <w:ind w:left="1140" w:right="220" w:hanging="545"/>
        <w:spacing w:after="0" w:line="265"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company that made payments to, or received payments from, us for property or services in an amount that, in each of the last three fiscal years, is less than 2% of such company’s annual consolidated gross revenues;</w:t>
      </w:r>
    </w:p>
    <w:p>
      <w:pPr>
        <w:spacing w:after="0" w:line="64" w:lineRule="exact"/>
        <w:rPr>
          <w:rFonts w:ascii="Arial" w:cs="Arial" w:eastAsia="Arial" w:hAnsi="Arial"/>
          <w:sz w:val="18"/>
          <w:szCs w:val="18"/>
          <w:color w:val="auto"/>
        </w:rPr>
      </w:pPr>
    </w:p>
    <w:p>
      <w:pPr>
        <w:ind w:left="1140" w:right="680" w:hanging="545"/>
        <w:spacing w:after="0" w:line="265"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company that is either indebted to us or a creditor of ours in an amount that is less than 2% of such company’s total consolidated assets; and</w:t>
      </w:r>
    </w:p>
    <w:p>
      <w:pPr>
        <w:spacing w:after="0" w:line="64" w:lineRule="exact"/>
        <w:rPr>
          <w:rFonts w:ascii="Arial" w:cs="Arial" w:eastAsia="Arial" w:hAnsi="Arial"/>
          <w:sz w:val="18"/>
          <w:szCs w:val="18"/>
          <w:color w:val="auto"/>
        </w:rPr>
      </w:pPr>
    </w:p>
    <w:p>
      <w:pPr>
        <w:ind w:left="1140" w:right="400" w:hanging="545"/>
        <w:spacing w:after="0" w:line="265"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tax-exempt organization that received contributions from us in the prior fiscal year in an amount less than the greater of $1,000,000 or 2% of that organization’s consolidated gross revenues.</w:t>
      </w:r>
    </w:p>
    <w:p>
      <w:pPr>
        <w:spacing w:after="0" w:line="51" w:lineRule="exact"/>
        <w:rPr>
          <w:sz w:val="20"/>
          <w:szCs w:val="20"/>
          <w:color w:val="auto"/>
        </w:rPr>
      </w:pPr>
    </w:p>
    <w:p>
      <w:pPr>
        <w:ind w:left="160" w:right="220"/>
        <w:spacing w:after="0"/>
        <w:rPr>
          <w:sz w:val="20"/>
          <w:szCs w:val="20"/>
          <w:color w:val="auto"/>
        </w:rPr>
      </w:pPr>
      <w:r>
        <w:rPr>
          <w:rFonts w:ascii="Arial" w:cs="Arial" w:eastAsia="Arial" w:hAnsi="Arial"/>
          <w:sz w:val="18"/>
          <w:szCs w:val="18"/>
          <w:color w:val="auto"/>
        </w:rPr>
        <w:t>For relationships that exceed the thresholds in (ii) and (iii) described above, the determination of whether the relationship is material or not, and therefore whether the director would be independent or not, is made by the directors who are independent. In addition, the Guidelines state that, generally, the types of relationships not addressed by the Nasdaq listing standards or described in the Guidelines will not, by themselves, cause an otherwise independent director to be considered not independent. However, the Board may determine that a director is not independent for any reason it deems appropriate.</w:t>
      </w:r>
    </w:p>
    <w:p>
      <w:pPr>
        <w:spacing w:after="0" w:line="75"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In April 2022, the Nominating and Governance Committee reviewed the independence of our 12 directors, all of whom are nominees standing for election at the Annual Meeting, to determine its recommendation regarding which of them meet the independence standards outlined above. The Board, based on its review and the recommendation of the Nominating and Governance Committee, determined that nine of the 12 directors are independent. The independent directors are Mses. Beinecke, Byrne, Griego, McHale, Schuman and Seligman and Messrs. Nelson, Phillips and Terrell.</w:t>
      </w:r>
    </w:p>
    <w:p>
      <w:pPr>
        <w:spacing w:after="0" w:line="75" w:lineRule="exact"/>
        <w:rPr>
          <w:sz w:val="20"/>
          <w:szCs w:val="20"/>
          <w:color w:val="auto"/>
        </w:rPr>
      </w:pPr>
    </w:p>
    <w:p>
      <w:pPr>
        <w:ind w:left="160" w:right="140"/>
        <w:spacing w:after="0"/>
        <w:rPr>
          <w:sz w:val="20"/>
          <w:szCs w:val="20"/>
          <w:color w:val="auto"/>
        </w:rPr>
      </w:pPr>
      <w:r>
        <w:rPr>
          <w:rFonts w:ascii="Arial" w:cs="Arial" w:eastAsia="Arial" w:hAnsi="Arial"/>
          <w:sz w:val="18"/>
          <w:szCs w:val="18"/>
          <w:color w:val="auto"/>
        </w:rPr>
        <w:t>During its review, in determining that the directors named above are independent, the Board considered that we have, in the ordinary course of business, during the past three years, sold products and services to, and/or purchased products and services from, companies and other entities, of which certain directors are executive officers or principals, and made contributions to a tax-exempt organization of which a director’s immediate family member is an executive officer; the Board determined that all of these transactions met the threshold for relationships deemed to be immaterial under the Guidelines.</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BOARD LEADERSHIP STRUCTURE</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Board of Directors is currently comprised of the following:</w:t>
      </w:r>
    </w:p>
    <w:p>
      <w:pPr>
        <w:spacing w:after="0" w:line="114" w:lineRule="exact"/>
        <w:rPr>
          <w:sz w:val="20"/>
          <w:szCs w:val="20"/>
          <w:color w:val="auto"/>
        </w:rPr>
      </w:pPr>
    </w:p>
    <w:p>
      <w:pPr>
        <w:ind w:left="380" w:hanging="21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non-executive Chair of the Board;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President and Chief Executive Officer;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 other directors, nine of whom are independent.</w:t>
      </w:r>
    </w:p>
    <w:p>
      <w:pPr>
        <w:spacing w:after="0" w:line="101"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In addition to having a majority independent Board, the Audit, Compensation and Nominating and Governance Committees are composed entirely of independent directors. In support of the independent oversight of management, the non-management directors and, separately, the independent directors routinely hold executive sessions without management present, and Board members have regular access to management across the Company between meetings.</w:t>
      </w:r>
    </w:p>
    <w:p>
      <w:pPr>
        <w:spacing w:after="0" w:line="71"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Our Non-Executive Chair of the Board, Shari E. Redstone, presides at all meetings of the Board. Under the Guidelines, her responsibilities also include, together with the Chief Executive Officer and the independent Chair of the Nominating and Governance Committee, developing and approving agendas for Board meetings. The Board believes that Ms. Redstone’s role appropriately reflects both her breadth of experience in the entertainment industry and her ownership position in and role at National Amusements.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2374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08"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12</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60"/>
          </w:cols>
          <w:pgMar w:left="320" w:top="454" w:right="5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OUR BOARD OF DIRECTORS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BOARD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171450</wp:posOffset>
            </wp:positionV>
            <wp:extent cx="6899910" cy="127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99910" cy="127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051D49"/>
        </w:rPr>
        <w:t>Board of Directors</w:t>
      </w:r>
    </w:p>
    <w:p>
      <w:pPr>
        <w:spacing w:after="0" w:line="223" w:lineRule="exact"/>
        <w:rPr>
          <w:sz w:val="20"/>
          <w:szCs w:val="20"/>
          <w:color w:val="auto"/>
        </w:rPr>
      </w:pPr>
    </w:p>
    <w:p>
      <w:pPr>
        <w:ind w:left="460" w:right="540"/>
        <w:spacing w:after="0" w:line="249" w:lineRule="auto"/>
        <w:rPr>
          <w:sz w:val="20"/>
          <w:szCs w:val="20"/>
          <w:color w:val="auto"/>
        </w:rPr>
      </w:pPr>
      <w:r>
        <w:rPr>
          <w:rFonts w:ascii="Arial" w:cs="Arial" w:eastAsia="Arial" w:hAnsi="Arial"/>
          <w:sz w:val="18"/>
          <w:szCs w:val="18"/>
          <w:color w:val="auto"/>
        </w:rPr>
        <w:t>Our Board of Directors has overall responsibility for the oversight of our risk management processes. The Board carries out its oversight responsibility directly and through the delegation to its Committees of responsibilities related to the oversight of certain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137795</wp:posOffset>
            </wp:positionV>
            <wp:extent cx="6929755" cy="4330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9755" cy="43307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4660"/>
        <w:spacing w:after="0"/>
        <w:rPr>
          <w:sz w:val="20"/>
          <w:szCs w:val="20"/>
          <w:color w:val="auto"/>
        </w:rPr>
      </w:pPr>
      <w:r>
        <w:rPr>
          <w:rFonts w:ascii="Arial" w:cs="Arial" w:eastAsia="Arial" w:hAnsi="Arial"/>
          <w:sz w:val="21"/>
          <w:szCs w:val="21"/>
          <w:b w:val="1"/>
          <w:bCs w:val="1"/>
          <w:color w:val="FFFFFF"/>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-134620</wp:posOffset>
            </wp:positionV>
            <wp:extent cx="6938010" cy="5613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38010" cy="561340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-134620</wp:posOffset>
            </wp:positionV>
            <wp:extent cx="6938010" cy="5613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38010" cy="56134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051D49"/>
        </w:rPr>
        <w:t>Audit Committee</w:t>
      </w:r>
    </w:p>
    <w:p>
      <w:pPr>
        <w:spacing w:after="0" w:line="114" w:lineRule="exact"/>
        <w:rPr>
          <w:sz w:val="20"/>
          <w:szCs w:val="20"/>
          <w:color w:val="auto"/>
        </w:rPr>
      </w:pPr>
    </w:p>
    <w:p>
      <w:pPr>
        <w:ind w:left="480" w:right="180"/>
        <w:spacing w:after="0" w:line="248" w:lineRule="auto"/>
        <w:rPr>
          <w:sz w:val="20"/>
          <w:szCs w:val="20"/>
          <w:color w:val="auto"/>
        </w:rPr>
      </w:pPr>
      <w:r>
        <w:rPr>
          <w:rFonts w:ascii="Arial" w:cs="Arial" w:eastAsia="Arial" w:hAnsi="Arial"/>
          <w:sz w:val="17"/>
          <w:szCs w:val="17"/>
          <w:color w:val="auto"/>
        </w:rPr>
        <w:t>The Audit Committee is responsible for reviewing our processes and policies with respect to risk assessment, risk management and risk acceptance and receives reports from our Chief Audit Executive and Chief Accounting Officer on the Company’s strategic risk management program. The Committee regularly discusses risks as they relate to its review of our financial statements, the evaluation of the effectiveness of internal control over financial reporting, compliance with legal and regulatory requirements, and the performance of the internal audit function, among other responsibilities set forth in the Committee’s charter. The Audit Committee receives regular reports:</w:t>
      </w:r>
    </w:p>
    <w:p>
      <w:pPr>
        <w:spacing w:after="0" w:line="89" w:lineRule="exact"/>
        <w:rPr>
          <w:sz w:val="20"/>
          <w:szCs w:val="20"/>
          <w:color w:val="auto"/>
        </w:rPr>
      </w:pPr>
    </w:p>
    <w:p>
      <w:pPr>
        <w:ind w:left="640" w:right="200" w:hanging="152"/>
        <w:spacing w:after="0"/>
        <w:tabs>
          <w:tab w:leader="none" w:pos="5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from our Chief Financial Officer and the Chief Accounting Officer on the integrity of internal control over financial reporting;</w:t>
      </w:r>
    </w:p>
    <w:p>
      <w:pPr>
        <w:spacing w:after="0" w:line="88" w:lineRule="exact"/>
        <w:rPr>
          <w:rFonts w:ascii="Arial" w:cs="Arial" w:eastAsia="Arial" w:hAnsi="Arial"/>
          <w:sz w:val="18"/>
          <w:szCs w:val="18"/>
          <w:color w:val="auto"/>
        </w:rPr>
      </w:pPr>
    </w:p>
    <w:p>
      <w:pPr>
        <w:ind w:left="640" w:right="200" w:hanging="152"/>
        <w:spacing w:after="0" w:line="256" w:lineRule="auto"/>
        <w:tabs>
          <w:tab w:leader="none" w:pos="589" w:val="left"/>
        </w:tabs>
        <w:numPr>
          <w:ilvl w:val="0"/>
          <w:numId w:val="22"/>
        </w:numPr>
        <w:rPr>
          <w:rFonts w:ascii="Arial" w:cs="Arial" w:eastAsia="Arial" w:hAnsi="Arial"/>
          <w:sz w:val="17"/>
          <w:szCs w:val="17"/>
          <w:color w:val="auto"/>
        </w:rPr>
      </w:pPr>
      <w:r>
        <w:rPr>
          <w:rFonts w:ascii="Arial" w:cs="Arial" w:eastAsia="Arial" w:hAnsi="Arial"/>
          <w:sz w:val="17"/>
          <w:szCs w:val="17"/>
          <w:color w:val="auto"/>
        </w:rPr>
        <w:t>from our Chief Technology Officer and our Chief Information Security Officer on our information security program and the management of cybersecurity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51D49"/>
        </w:rPr>
        <w:t>Compensation Committee</w:t>
      </w:r>
    </w:p>
    <w:p>
      <w:pPr>
        <w:spacing w:after="0" w:line="114"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The Compensation Committee adopts and periodically assesses the Company’s compensation philosophy, strategy and principles, and monitors risks associated with the design and administration, of our performance-based and other compensation programs, to promote an environment that does not encourage unnecessary and excessive risk-taking by our employees. The Committee also reviews risks related to human capital resources, including pay equity, management succession planning (in conjunction with the Nominating and Governance Committee) and the depth of our senior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051D49"/>
        </w:rPr>
        <w:t>Nominating and</w:t>
      </w:r>
    </w:p>
    <w:p>
      <w:pPr>
        <w:spacing w:after="0" w:line="12"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051D49"/>
        </w:rPr>
        <w:t>Governance Committee</w:t>
      </w:r>
    </w:p>
    <w:p>
      <w:pPr>
        <w:spacing w:after="0" w:line="96" w:lineRule="exact"/>
        <w:rPr>
          <w:sz w:val="20"/>
          <w:szCs w:val="20"/>
          <w:color w:val="auto"/>
        </w:rPr>
      </w:pPr>
    </w:p>
    <w:p>
      <w:pPr>
        <w:ind w:right="340"/>
        <w:spacing w:after="0" w:line="249" w:lineRule="auto"/>
        <w:rPr>
          <w:sz w:val="20"/>
          <w:szCs w:val="20"/>
          <w:color w:val="auto"/>
        </w:rPr>
      </w:pPr>
      <w:r>
        <w:rPr>
          <w:rFonts w:ascii="Arial" w:cs="Arial" w:eastAsia="Arial" w:hAnsi="Arial"/>
          <w:sz w:val="17"/>
          <w:szCs w:val="17"/>
          <w:color w:val="auto"/>
        </w:rPr>
        <w:t>The Nominating and Governance Committee is responsible for the review of the following risk management processes at the Company: business continuity planning, disaster recovery, crisis management, management succession planning (in conjunction with the Compensation Committee), significant issues impacting our culture and reputation and the Company’s handling of ESG matters. The Committee also oversees risk as it relates to monitoring developments in law and practice with respect to our corporate governance processes and in reviewing related person transactions.</w:t>
      </w:r>
    </w:p>
    <w:p>
      <w:pPr>
        <w:spacing w:after="0" w:line="3457" w:lineRule="exact"/>
        <w:rPr>
          <w:sz w:val="20"/>
          <w:szCs w:val="20"/>
          <w:color w:val="auto"/>
        </w:rPr>
      </w:pPr>
    </w:p>
    <w:p>
      <w:pPr>
        <w:sectPr>
          <w:pgSz w:w="11900" w:h="16838" w:orient="portrait"/>
          <w:cols w:equalWidth="0" w:num="3">
            <w:col w:w="3260" w:space="720"/>
            <w:col w:w="3120" w:space="720"/>
            <w:col w:w="3260"/>
          </w:cols>
          <w:pgMar w:left="320" w:top="454" w:right="499" w:bottom="1440" w:gutter="0" w:footer="0" w:header="0"/>
          <w:type w:val="continuous"/>
        </w:sectPr>
      </w:pPr>
    </w:p>
    <w:p>
      <w:pPr>
        <w:spacing w:after="0" w:line="66"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13</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38010" cy="19869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38010" cy="1986915"/>
                    </a:xfrm>
                    <a:prstGeom prst="rect">
                      <a:avLst/>
                    </a:prstGeom>
                    <a:noFill/>
                  </pic:spPr>
                </pic:pic>
              </a:graphicData>
            </a:graphic>
          </wp:anchor>
        </w:drawing>
      </w:r>
    </w:p>
    <w:p>
      <w:pPr>
        <w:spacing w:after="0" w:line="259" w:lineRule="exact"/>
        <w:rPr>
          <w:sz w:val="20"/>
          <w:szCs w:val="20"/>
          <w:color w:val="auto"/>
        </w:rPr>
      </w:pPr>
    </w:p>
    <w:p>
      <w:pPr>
        <w:ind w:left="480" w:right="7600" w:hanging="157"/>
        <w:spacing w:after="0" w:line="238" w:lineRule="auto"/>
        <w:tabs>
          <w:tab w:leader="none" w:pos="429"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from our Chief Audit Executive on internal audit activities and our internal audit plan for the upcoming fiscal year, the scope of which is to determine the adequacy and function of our risk management, control and governance processes;</w:t>
      </w:r>
    </w:p>
    <w:p>
      <w:pPr>
        <w:spacing w:after="0" w:line="87" w:lineRule="exact"/>
        <w:rPr>
          <w:rFonts w:ascii="Arial" w:cs="Arial" w:eastAsia="Arial" w:hAnsi="Arial"/>
          <w:sz w:val="18"/>
          <w:szCs w:val="18"/>
          <w:color w:val="auto"/>
        </w:rPr>
      </w:pPr>
    </w:p>
    <w:p>
      <w:pPr>
        <w:ind w:left="480" w:right="7980" w:hanging="157"/>
        <w:spacing w:after="0" w:line="243" w:lineRule="auto"/>
        <w:tabs>
          <w:tab w:leader="none" w:pos="429"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from our General Counsel on employee relations and investigations and our insurance program; and</w:t>
      </w:r>
    </w:p>
    <w:p>
      <w:pPr>
        <w:spacing w:after="0" w:line="84" w:lineRule="exact"/>
        <w:rPr>
          <w:rFonts w:ascii="Arial" w:cs="Arial" w:eastAsia="Arial" w:hAnsi="Arial"/>
          <w:sz w:val="18"/>
          <w:szCs w:val="18"/>
          <w:color w:val="auto"/>
        </w:rPr>
      </w:pPr>
    </w:p>
    <w:p>
      <w:pPr>
        <w:ind w:left="480" w:right="7640" w:hanging="157"/>
        <w:spacing w:after="0" w:line="265" w:lineRule="auto"/>
        <w:tabs>
          <w:tab w:leader="none" w:pos="429"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from our Chief Compliance Officer on compliance activities.</w:t>
      </w:r>
    </w:p>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additional information on the Committees’ functions, see “Board Committees.”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Each of these Committees reports regularly to the Board on these risk-related matters, among other items within its purview.</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On a regular basis, the Board engages in discussions (which include both internal and external experts) that assist the Board and management in preparing and implementing strategic initiatives. The Board receives regular reports from management that include matters affecting our risk profile, including operations reports from the Chief Executive Officer and from division heads, all of which include strategic and operational risks; reports from the Chief Financial Officer on financial results and projections, credit and liquidity risks and investor relations matters; and reports from the General Counsel on legal and regulatory risk and material litigation.</w:t>
      </w:r>
    </w:p>
    <w:p>
      <w:pPr>
        <w:spacing w:after="0" w:line="75"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Outside of formal meetings, Board members have regular access to executives, including the Chief Executive Officer, the Chief Financial Officer, the Chief Accounting Officer, the General Counsel and the Chief People Officer. The Committee and management reports and real-time management access collectively provide the Board with integrated insight on our management of risks.</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INFORMATION SECURITY AND CYBERSECURITY</w:t>
      </w:r>
    </w:p>
    <w:p>
      <w:pPr>
        <w:spacing w:after="0" w:line="94"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The Audit Committee has oversight of our processes and policies with respect to information security and cybersecurity and, as described above, receives regular reports from the Chief Technology Officer and Chief Information Security Officer. We also maintain a Cyber Liability insurance program. Additional information about our information security program and the management of cybersecurity risk is available in our ESG Report on our website at www.paramount.com/sustainability.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2374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08"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14</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20"/>
          </w:cols>
          <w:pgMar w:left="320" w:top="454" w:right="5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OUR BOARD OF DIRECTORS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BOARD COMMITTEES</w:t>
      </w:r>
    </w:p>
    <w:p>
      <w:pPr>
        <w:spacing w:after="0" w:line="94" w:lineRule="exact"/>
        <w:rPr>
          <w:sz w:val="20"/>
          <w:szCs w:val="20"/>
          <w:color w:val="auto"/>
        </w:rPr>
      </w:pPr>
    </w:p>
    <w:p>
      <w:pPr>
        <w:ind w:left="160" w:right="600"/>
        <w:spacing w:after="0" w:line="265" w:lineRule="auto"/>
        <w:rPr>
          <w:sz w:val="20"/>
          <w:szCs w:val="20"/>
          <w:color w:val="auto"/>
        </w:rPr>
      </w:pPr>
      <w:r>
        <w:rPr>
          <w:rFonts w:ascii="Arial" w:cs="Arial" w:eastAsia="Arial" w:hAnsi="Arial"/>
          <w:sz w:val="18"/>
          <w:szCs w:val="18"/>
          <w:color w:val="auto"/>
        </w:rPr>
        <w:t>The following chart sets forth the membership of each standing Board Committee as of the date of this proxy statement. The Board reviews and determines the membership of the Committees at least annually.</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5680" w:type="dxa"/>
            <w:vAlign w:val="bottom"/>
            <w:shd w:val="clear" w:color="auto" w:fill="E5E5E5"/>
          </w:tcPr>
          <w:p>
            <w:pPr>
              <w:ind w:left="80"/>
              <w:spacing w:after="0"/>
              <w:rPr>
                <w:sz w:val="20"/>
                <w:szCs w:val="20"/>
                <w:color w:val="auto"/>
              </w:rPr>
            </w:pPr>
            <w:r>
              <w:rPr>
                <w:rFonts w:ascii="Arial" w:cs="Arial" w:eastAsia="Arial" w:hAnsi="Arial"/>
                <w:sz w:val="16"/>
                <w:szCs w:val="16"/>
                <w:color w:val="051D49"/>
              </w:rPr>
              <w:t>Committee</w:t>
            </w:r>
          </w:p>
        </w:tc>
        <w:tc>
          <w:tcPr>
            <w:tcW w:w="5240" w:type="dxa"/>
            <w:vAlign w:val="bottom"/>
            <w:shd w:val="clear" w:color="auto" w:fill="E5E5E5"/>
          </w:tcPr>
          <w:p>
            <w:pPr>
              <w:ind w:left="100"/>
              <w:spacing w:after="0"/>
              <w:rPr>
                <w:sz w:val="20"/>
                <w:szCs w:val="20"/>
                <w:color w:val="auto"/>
              </w:rPr>
            </w:pPr>
            <w:r>
              <w:rPr>
                <w:rFonts w:ascii="Arial" w:cs="Arial" w:eastAsia="Arial" w:hAnsi="Arial"/>
                <w:sz w:val="16"/>
                <w:szCs w:val="16"/>
                <w:color w:val="051D49"/>
              </w:rPr>
              <w:t>Members</w:t>
            </w:r>
          </w:p>
        </w:tc>
      </w:tr>
      <w:tr>
        <w:trPr>
          <w:trHeight w:val="249"/>
        </w:trPr>
        <w:tc>
          <w:tcPr>
            <w:tcW w:w="5680" w:type="dxa"/>
            <w:vAlign w:val="bottom"/>
          </w:tcPr>
          <w:p>
            <w:pPr>
              <w:ind w:left="80"/>
              <w:spacing w:after="0"/>
              <w:rPr>
                <w:sz w:val="20"/>
                <w:szCs w:val="20"/>
                <w:color w:val="auto"/>
              </w:rPr>
            </w:pPr>
            <w:r>
              <w:rPr>
                <w:rFonts w:ascii="Arial" w:cs="Arial" w:eastAsia="Arial" w:hAnsi="Arial"/>
                <w:sz w:val="18"/>
                <w:szCs w:val="18"/>
                <w:color w:val="auto"/>
              </w:rPr>
              <w:t>Audit Committee</w:t>
            </w:r>
          </w:p>
        </w:tc>
        <w:tc>
          <w:tcPr>
            <w:tcW w:w="5240" w:type="dxa"/>
            <w:vAlign w:val="bottom"/>
          </w:tcPr>
          <w:p>
            <w:pPr>
              <w:ind w:left="100"/>
              <w:spacing w:after="0"/>
              <w:rPr>
                <w:sz w:val="20"/>
                <w:szCs w:val="20"/>
                <w:color w:val="auto"/>
              </w:rPr>
            </w:pPr>
            <w:r>
              <w:rPr>
                <w:rFonts w:ascii="Arial" w:cs="Arial" w:eastAsia="Arial" w:hAnsi="Arial"/>
                <w:sz w:val="18"/>
                <w:szCs w:val="18"/>
                <w:color w:val="auto"/>
              </w:rPr>
              <w:t>Barbara M. Byrne, Chair</w:t>
            </w:r>
          </w:p>
        </w:tc>
      </w:tr>
      <w:tr>
        <w:trPr>
          <w:trHeight w:val="201"/>
        </w:trPr>
        <w:tc>
          <w:tcPr>
            <w:tcW w:w="5680" w:type="dxa"/>
            <w:vAlign w:val="bottom"/>
          </w:tcPr>
          <w:p>
            <w:pPr>
              <w:spacing w:after="0"/>
              <w:rPr>
                <w:sz w:val="17"/>
                <w:szCs w:val="17"/>
                <w:color w:val="auto"/>
              </w:rPr>
            </w:pPr>
          </w:p>
        </w:tc>
        <w:tc>
          <w:tcPr>
            <w:tcW w:w="5240" w:type="dxa"/>
            <w:vAlign w:val="bottom"/>
          </w:tcPr>
          <w:p>
            <w:pPr>
              <w:ind w:left="100"/>
              <w:spacing w:after="0" w:line="201" w:lineRule="exact"/>
              <w:rPr>
                <w:sz w:val="20"/>
                <w:szCs w:val="20"/>
                <w:color w:val="auto"/>
              </w:rPr>
            </w:pPr>
            <w:r>
              <w:rPr>
                <w:rFonts w:ascii="Arial" w:cs="Arial" w:eastAsia="Arial" w:hAnsi="Arial"/>
                <w:sz w:val="18"/>
                <w:szCs w:val="18"/>
                <w:color w:val="auto"/>
              </w:rPr>
              <w:t>Judith A. McHale</w:t>
            </w:r>
          </w:p>
        </w:tc>
      </w:tr>
      <w:tr>
        <w:trPr>
          <w:trHeight w:val="201"/>
        </w:trPr>
        <w:tc>
          <w:tcPr>
            <w:tcW w:w="5680" w:type="dxa"/>
            <w:vAlign w:val="bottom"/>
          </w:tcPr>
          <w:p>
            <w:pPr>
              <w:spacing w:after="0"/>
              <w:rPr>
                <w:sz w:val="17"/>
                <w:szCs w:val="17"/>
                <w:color w:val="auto"/>
              </w:rPr>
            </w:pPr>
          </w:p>
        </w:tc>
        <w:tc>
          <w:tcPr>
            <w:tcW w:w="5240" w:type="dxa"/>
            <w:vAlign w:val="bottom"/>
          </w:tcPr>
          <w:p>
            <w:pPr>
              <w:ind w:left="100"/>
              <w:spacing w:after="0" w:line="201" w:lineRule="exact"/>
              <w:rPr>
                <w:sz w:val="20"/>
                <w:szCs w:val="20"/>
                <w:color w:val="auto"/>
              </w:rPr>
            </w:pPr>
            <w:r>
              <w:rPr>
                <w:rFonts w:ascii="Arial" w:cs="Arial" w:eastAsia="Arial" w:hAnsi="Arial"/>
                <w:sz w:val="18"/>
                <w:szCs w:val="18"/>
                <w:color w:val="auto"/>
              </w:rPr>
              <w:t>Ronald L. Nelson</w:t>
            </w:r>
          </w:p>
        </w:tc>
      </w:tr>
      <w:tr>
        <w:trPr>
          <w:trHeight w:val="233"/>
        </w:trPr>
        <w:tc>
          <w:tcPr>
            <w:tcW w:w="5680" w:type="dxa"/>
            <w:vAlign w:val="bottom"/>
            <w:tcBorders>
              <w:bottom w:val="single" w:sz="8" w:color="051D49"/>
            </w:tcBorders>
          </w:tcPr>
          <w:p>
            <w:pPr>
              <w:spacing w:after="0"/>
              <w:rPr>
                <w:sz w:val="20"/>
                <w:szCs w:val="20"/>
                <w:color w:val="auto"/>
              </w:rPr>
            </w:pPr>
          </w:p>
        </w:tc>
        <w:tc>
          <w:tcPr>
            <w:tcW w:w="5240" w:type="dxa"/>
            <w:vAlign w:val="bottom"/>
            <w:tcBorders>
              <w:bottom w:val="single" w:sz="8" w:color="051D49"/>
            </w:tcBorders>
          </w:tcPr>
          <w:p>
            <w:pPr>
              <w:ind w:left="100"/>
              <w:spacing w:after="0"/>
              <w:rPr>
                <w:sz w:val="20"/>
                <w:szCs w:val="20"/>
                <w:color w:val="auto"/>
              </w:rPr>
            </w:pPr>
            <w:r>
              <w:rPr>
                <w:rFonts w:ascii="Arial" w:cs="Arial" w:eastAsia="Arial" w:hAnsi="Arial"/>
                <w:sz w:val="18"/>
                <w:szCs w:val="18"/>
                <w:color w:val="auto"/>
              </w:rPr>
              <w:t>Frederick O. Terrell</w:t>
            </w:r>
          </w:p>
        </w:tc>
      </w:tr>
      <w:tr>
        <w:trPr>
          <w:trHeight w:val="229"/>
        </w:trPr>
        <w:tc>
          <w:tcPr>
            <w:tcW w:w="5680" w:type="dxa"/>
            <w:vAlign w:val="bottom"/>
          </w:tcPr>
          <w:p>
            <w:pPr>
              <w:ind w:left="80"/>
              <w:spacing w:after="0"/>
              <w:rPr>
                <w:sz w:val="20"/>
                <w:szCs w:val="20"/>
                <w:color w:val="auto"/>
              </w:rPr>
            </w:pPr>
            <w:r>
              <w:rPr>
                <w:rFonts w:ascii="Arial" w:cs="Arial" w:eastAsia="Arial" w:hAnsi="Arial"/>
                <w:sz w:val="18"/>
                <w:szCs w:val="18"/>
                <w:color w:val="auto"/>
              </w:rPr>
              <w:t>Compensation Committee</w:t>
            </w:r>
          </w:p>
        </w:tc>
        <w:tc>
          <w:tcPr>
            <w:tcW w:w="5240" w:type="dxa"/>
            <w:vAlign w:val="bottom"/>
          </w:tcPr>
          <w:p>
            <w:pPr>
              <w:ind w:left="100"/>
              <w:spacing w:after="0"/>
              <w:rPr>
                <w:sz w:val="20"/>
                <w:szCs w:val="20"/>
                <w:color w:val="auto"/>
              </w:rPr>
            </w:pPr>
            <w:r>
              <w:rPr>
                <w:rFonts w:ascii="Arial" w:cs="Arial" w:eastAsia="Arial" w:hAnsi="Arial"/>
                <w:sz w:val="18"/>
                <w:szCs w:val="18"/>
                <w:color w:val="auto"/>
              </w:rPr>
              <w:t>Judith A. McHale, Chair</w:t>
            </w:r>
          </w:p>
        </w:tc>
      </w:tr>
      <w:tr>
        <w:trPr>
          <w:trHeight w:val="201"/>
        </w:trPr>
        <w:tc>
          <w:tcPr>
            <w:tcW w:w="5680" w:type="dxa"/>
            <w:vAlign w:val="bottom"/>
          </w:tcPr>
          <w:p>
            <w:pPr>
              <w:spacing w:after="0"/>
              <w:rPr>
                <w:sz w:val="17"/>
                <w:szCs w:val="17"/>
                <w:color w:val="auto"/>
              </w:rPr>
            </w:pPr>
          </w:p>
        </w:tc>
        <w:tc>
          <w:tcPr>
            <w:tcW w:w="5240" w:type="dxa"/>
            <w:vAlign w:val="bottom"/>
          </w:tcPr>
          <w:p>
            <w:pPr>
              <w:ind w:left="100"/>
              <w:spacing w:after="0" w:line="201" w:lineRule="exact"/>
              <w:rPr>
                <w:sz w:val="20"/>
                <w:szCs w:val="20"/>
                <w:color w:val="auto"/>
              </w:rPr>
            </w:pPr>
            <w:r>
              <w:rPr>
                <w:rFonts w:ascii="Arial" w:cs="Arial" w:eastAsia="Arial" w:hAnsi="Arial"/>
                <w:sz w:val="18"/>
                <w:szCs w:val="18"/>
                <w:color w:val="auto"/>
              </w:rPr>
              <w:t>Linda M. Griego</w:t>
            </w:r>
          </w:p>
        </w:tc>
      </w:tr>
      <w:tr>
        <w:trPr>
          <w:trHeight w:val="233"/>
        </w:trPr>
        <w:tc>
          <w:tcPr>
            <w:tcW w:w="5680" w:type="dxa"/>
            <w:vAlign w:val="bottom"/>
            <w:tcBorders>
              <w:bottom w:val="single" w:sz="8" w:color="051D49"/>
            </w:tcBorders>
          </w:tcPr>
          <w:p>
            <w:pPr>
              <w:spacing w:after="0"/>
              <w:rPr>
                <w:sz w:val="20"/>
                <w:szCs w:val="20"/>
                <w:color w:val="auto"/>
              </w:rPr>
            </w:pPr>
          </w:p>
        </w:tc>
        <w:tc>
          <w:tcPr>
            <w:tcW w:w="5240" w:type="dxa"/>
            <w:vAlign w:val="bottom"/>
            <w:tcBorders>
              <w:bottom w:val="single" w:sz="8" w:color="051D49"/>
            </w:tcBorders>
          </w:tcPr>
          <w:p>
            <w:pPr>
              <w:ind w:left="100"/>
              <w:spacing w:after="0"/>
              <w:rPr>
                <w:sz w:val="20"/>
                <w:szCs w:val="20"/>
                <w:color w:val="auto"/>
              </w:rPr>
            </w:pPr>
            <w:r>
              <w:rPr>
                <w:rFonts w:ascii="Arial" w:cs="Arial" w:eastAsia="Arial" w:hAnsi="Arial"/>
                <w:sz w:val="18"/>
                <w:szCs w:val="18"/>
                <w:color w:val="auto"/>
              </w:rPr>
              <w:t>Ronald L. Nelson</w:t>
            </w:r>
          </w:p>
        </w:tc>
      </w:tr>
      <w:tr>
        <w:trPr>
          <w:trHeight w:val="229"/>
        </w:trPr>
        <w:tc>
          <w:tcPr>
            <w:tcW w:w="5680" w:type="dxa"/>
            <w:vAlign w:val="bottom"/>
          </w:tcPr>
          <w:p>
            <w:pPr>
              <w:ind w:left="80"/>
              <w:spacing w:after="0"/>
              <w:rPr>
                <w:sz w:val="20"/>
                <w:szCs w:val="20"/>
                <w:color w:val="auto"/>
              </w:rPr>
            </w:pPr>
            <w:r>
              <w:rPr>
                <w:rFonts w:ascii="Arial" w:cs="Arial" w:eastAsia="Arial" w:hAnsi="Arial"/>
                <w:sz w:val="18"/>
                <w:szCs w:val="18"/>
                <w:color w:val="auto"/>
              </w:rPr>
              <w:t>Nominating and Governance Committee</w:t>
            </w:r>
          </w:p>
        </w:tc>
        <w:tc>
          <w:tcPr>
            <w:tcW w:w="5240" w:type="dxa"/>
            <w:vAlign w:val="bottom"/>
          </w:tcPr>
          <w:p>
            <w:pPr>
              <w:ind w:left="100"/>
              <w:spacing w:after="0"/>
              <w:rPr>
                <w:sz w:val="20"/>
                <w:szCs w:val="20"/>
                <w:color w:val="auto"/>
              </w:rPr>
            </w:pPr>
            <w:r>
              <w:rPr>
                <w:rFonts w:ascii="Arial" w:cs="Arial" w:eastAsia="Arial" w:hAnsi="Arial"/>
                <w:sz w:val="18"/>
                <w:szCs w:val="18"/>
                <w:color w:val="auto"/>
              </w:rPr>
              <w:t>Nicole Seligman, Chair</w:t>
            </w:r>
          </w:p>
        </w:tc>
      </w:tr>
      <w:tr>
        <w:trPr>
          <w:trHeight w:val="201"/>
        </w:trPr>
        <w:tc>
          <w:tcPr>
            <w:tcW w:w="5680" w:type="dxa"/>
            <w:vAlign w:val="bottom"/>
          </w:tcPr>
          <w:p>
            <w:pPr>
              <w:spacing w:after="0"/>
              <w:rPr>
                <w:sz w:val="17"/>
                <w:szCs w:val="17"/>
                <w:color w:val="auto"/>
              </w:rPr>
            </w:pPr>
          </w:p>
        </w:tc>
        <w:tc>
          <w:tcPr>
            <w:tcW w:w="5240" w:type="dxa"/>
            <w:vAlign w:val="bottom"/>
          </w:tcPr>
          <w:p>
            <w:pPr>
              <w:ind w:left="100"/>
              <w:spacing w:after="0" w:line="201" w:lineRule="exact"/>
              <w:rPr>
                <w:sz w:val="20"/>
                <w:szCs w:val="20"/>
                <w:color w:val="auto"/>
              </w:rPr>
            </w:pPr>
            <w:r>
              <w:rPr>
                <w:rFonts w:ascii="Arial" w:cs="Arial" w:eastAsia="Arial" w:hAnsi="Arial"/>
                <w:sz w:val="18"/>
                <w:szCs w:val="18"/>
                <w:color w:val="auto"/>
              </w:rPr>
              <w:t>Candace K. Beinecke</w:t>
            </w:r>
          </w:p>
        </w:tc>
      </w:tr>
      <w:tr>
        <w:trPr>
          <w:trHeight w:val="201"/>
        </w:trPr>
        <w:tc>
          <w:tcPr>
            <w:tcW w:w="5680" w:type="dxa"/>
            <w:vAlign w:val="bottom"/>
          </w:tcPr>
          <w:p>
            <w:pPr>
              <w:spacing w:after="0"/>
              <w:rPr>
                <w:sz w:val="17"/>
                <w:szCs w:val="17"/>
                <w:color w:val="auto"/>
              </w:rPr>
            </w:pPr>
          </w:p>
        </w:tc>
        <w:tc>
          <w:tcPr>
            <w:tcW w:w="5240" w:type="dxa"/>
            <w:vAlign w:val="bottom"/>
          </w:tcPr>
          <w:p>
            <w:pPr>
              <w:ind w:left="100"/>
              <w:spacing w:after="0" w:line="201" w:lineRule="exact"/>
              <w:rPr>
                <w:sz w:val="20"/>
                <w:szCs w:val="20"/>
                <w:color w:val="auto"/>
              </w:rPr>
            </w:pPr>
            <w:r>
              <w:rPr>
                <w:rFonts w:ascii="Arial" w:cs="Arial" w:eastAsia="Arial" w:hAnsi="Arial"/>
                <w:sz w:val="18"/>
                <w:szCs w:val="18"/>
                <w:color w:val="auto"/>
              </w:rPr>
              <w:t>Charles E. Phillips, Jr.</w:t>
            </w:r>
          </w:p>
        </w:tc>
      </w:tr>
      <w:tr>
        <w:trPr>
          <w:trHeight w:val="233"/>
        </w:trPr>
        <w:tc>
          <w:tcPr>
            <w:tcW w:w="5680" w:type="dxa"/>
            <w:vAlign w:val="bottom"/>
            <w:tcBorders>
              <w:bottom w:val="single" w:sz="8" w:color="051D49"/>
            </w:tcBorders>
          </w:tcPr>
          <w:p>
            <w:pPr>
              <w:spacing w:after="0"/>
              <w:rPr>
                <w:sz w:val="20"/>
                <w:szCs w:val="20"/>
                <w:color w:val="auto"/>
              </w:rPr>
            </w:pPr>
          </w:p>
        </w:tc>
        <w:tc>
          <w:tcPr>
            <w:tcW w:w="5240" w:type="dxa"/>
            <w:vAlign w:val="bottom"/>
            <w:tcBorders>
              <w:bottom w:val="single" w:sz="8" w:color="051D49"/>
            </w:tcBorders>
          </w:tcPr>
          <w:p>
            <w:pPr>
              <w:ind w:left="100"/>
              <w:spacing w:after="0"/>
              <w:rPr>
                <w:sz w:val="20"/>
                <w:szCs w:val="20"/>
                <w:color w:val="auto"/>
              </w:rPr>
            </w:pPr>
            <w:r>
              <w:rPr>
                <w:rFonts w:ascii="Arial" w:cs="Arial" w:eastAsia="Arial" w:hAnsi="Arial"/>
                <w:sz w:val="18"/>
                <w:szCs w:val="18"/>
                <w:color w:val="auto"/>
              </w:rPr>
              <w:t>Susan Schuman</w:t>
            </w:r>
          </w:p>
        </w:tc>
      </w:tr>
    </w:tbl>
    <w:p>
      <w:pPr>
        <w:spacing w:after="0" w:line="195" w:lineRule="exact"/>
        <w:rPr>
          <w:sz w:val="20"/>
          <w:szCs w:val="20"/>
          <w:color w:val="auto"/>
        </w:rPr>
      </w:pPr>
    </w:p>
    <w:p>
      <w:pPr>
        <w:ind w:left="160" w:right="220"/>
        <w:spacing w:after="0" w:line="249" w:lineRule="auto"/>
        <w:rPr>
          <w:sz w:val="20"/>
          <w:szCs w:val="20"/>
          <w:color w:val="auto"/>
        </w:rPr>
      </w:pPr>
      <w:r>
        <w:rPr>
          <w:rFonts w:ascii="Arial" w:cs="Arial" w:eastAsia="Arial" w:hAnsi="Arial"/>
          <w:sz w:val="18"/>
          <w:szCs w:val="18"/>
          <w:color w:val="auto"/>
        </w:rPr>
        <w:t>During 2021, the Audit Committee held nine meetings, the Compensation Committee held seven meetings and the Nominating and Governance Committee held six meetings. Information about these Committees, including their respective roles and responsibilities and charters, is set forth below.</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Audit Committee</w:t>
      </w:r>
    </w:p>
    <w:p>
      <w:pPr>
        <w:spacing w:after="0" w:line="101" w:lineRule="exact"/>
        <w:rPr>
          <w:sz w:val="20"/>
          <w:szCs w:val="20"/>
          <w:color w:val="auto"/>
        </w:rPr>
      </w:pPr>
    </w:p>
    <w:p>
      <w:pPr>
        <w:ind w:left="160"/>
        <w:spacing w:after="0" w:line="238" w:lineRule="auto"/>
        <w:rPr>
          <w:sz w:val="20"/>
          <w:szCs w:val="20"/>
          <w:color w:val="auto"/>
        </w:rPr>
      </w:pPr>
      <w:r>
        <w:rPr>
          <w:rFonts w:ascii="Arial" w:cs="Arial" w:eastAsia="Arial" w:hAnsi="Arial"/>
          <w:sz w:val="18"/>
          <w:szCs w:val="18"/>
          <w:color w:val="auto"/>
        </w:rPr>
        <w:t>The Audit Committee Charter provides that the Audit Committee will be comprised of at least three members, except that the Committee is deemed to be properly constituted with at least two members in the event of a vacancy until the Board fills the vacancy. The Charter also provides that all of the members on the Committee must be independent directors. The Committee must have at least one “audit committee financial expert” and one member who is “financially sophisticated” (each as described below), and all Committee members must be able to read and understand fundamental financial statements. The Committee holds at least five regular meetings each year, and it regularly meets separately at these meetings with the independent auditor, our Chief Financial Officer, our Chief Accounting Officer, our General Counsel, our Chief Compliance Officer and our Chief Audit Executive.</w:t>
      </w:r>
    </w:p>
    <w:p>
      <w:pPr>
        <w:spacing w:after="0" w:line="74"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The Committee has the power to delegate its authority and duties to subcommittees or individual members of the Committee, as well as to retain outside advisors, in its sole discretion. The Committee has the sole authority to retain and terminate any such advisors and to review and approve such advisors’ fees and other retention terms.</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Committee is responsible for the following, among other things:</w:t>
      </w:r>
    </w:p>
    <w:p>
      <w:pPr>
        <w:spacing w:after="0" w:line="114" w:lineRule="exact"/>
        <w:rPr>
          <w:sz w:val="20"/>
          <w:szCs w:val="20"/>
          <w:color w:val="auto"/>
        </w:rPr>
      </w:pPr>
    </w:p>
    <w:p>
      <w:pPr>
        <w:ind w:left="380" w:hanging="21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our processes and policies with respect to risk assessment, risk management and risk acceptance;</w:t>
      </w:r>
    </w:p>
    <w:p>
      <w:pPr>
        <w:spacing w:after="0" w:line="113" w:lineRule="exact"/>
        <w:rPr>
          <w:rFonts w:ascii="Arial" w:cs="Arial" w:eastAsia="Arial" w:hAnsi="Arial"/>
          <w:sz w:val="18"/>
          <w:szCs w:val="18"/>
          <w:color w:val="auto"/>
        </w:rPr>
      </w:pPr>
    </w:p>
    <w:p>
      <w:pPr>
        <w:ind w:left="380" w:right="860" w:hanging="213"/>
        <w:spacing w:after="0" w:line="265"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appointment, retention, termination, compensation and oversight of our independent auditor, including reviewing with the independent auditor and management the scope of the audit plan and audit fees;</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our financial statements and related disclosures, including with respect to internal control over financial reporting;</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Oversight of our internal audit function;</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Oversight of our process and policies with respect to information security and cybersecurity;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Oversight of our compliance with legal and regulatory requirements.</w:t>
      </w:r>
    </w:p>
    <w:p>
      <w:pPr>
        <w:spacing w:after="0" w:line="101" w:lineRule="exact"/>
        <w:rPr>
          <w:sz w:val="20"/>
          <w:szCs w:val="20"/>
          <w:color w:val="auto"/>
        </w:rPr>
      </w:pPr>
    </w:p>
    <w:p>
      <w:pPr>
        <w:ind w:left="160" w:right="540"/>
        <w:spacing w:after="0" w:line="265" w:lineRule="auto"/>
        <w:rPr>
          <w:sz w:val="20"/>
          <w:szCs w:val="20"/>
          <w:color w:val="auto"/>
        </w:rPr>
      </w:pPr>
      <w:r>
        <w:rPr>
          <w:rFonts w:ascii="Arial" w:cs="Arial" w:eastAsia="Arial" w:hAnsi="Arial"/>
          <w:sz w:val="18"/>
          <w:szCs w:val="18"/>
          <w:color w:val="auto"/>
        </w:rPr>
        <w:t>For additional information on the Committee’s role and its oversight of the independent auditor during 2021, see “Report of the Audit Committee.”</w:t>
      </w:r>
    </w:p>
    <w:p>
      <w:pPr>
        <w:spacing w:after="0" w:line="51" w:lineRule="exact"/>
        <w:rPr>
          <w:sz w:val="20"/>
          <w:szCs w:val="20"/>
          <w:color w:val="auto"/>
        </w:rPr>
      </w:pPr>
    </w:p>
    <w:p>
      <w:pPr>
        <w:jc w:val="both"/>
        <w:ind w:left="160" w:right="120"/>
        <w:spacing w:after="0" w:line="249" w:lineRule="auto"/>
        <w:rPr>
          <w:sz w:val="20"/>
          <w:szCs w:val="20"/>
          <w:color w:val="auto"/>
        </w:rPr>
      </w:pPr>
      <w:r>
        <w:rPr>
          <w:rFonts w:ascii="Arial" w:cs="Arial" w:eastAsia="Arial" w:hAnsi="Arial"/>
          <w:sz w:val="18"/>
          <w:szCs w:val="18"/>
          <w:i w:val="1"/>
          <w:iCs w:val="1"/>
          <w:color w:val="auto"/>
        </w:rPr>
        <w:t>Audit Committee Financial Experts</w:t>
      </w:r>
      <w:r>
        <w:rPr>
          <w:rFonts w:ascii="Arial" w:cs="Arial" w:eastAsia="Arial" w:hAnsi="Arial"/>
          <w:sz w:val="18"/>
          <w:szCs w:val="18"/>
          <w:color w:val="auto"/>
        </w:rPr>
        <w:t>. The Board has determined that each member of the Audit Committee, including Ms. Byrne, the Chair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Audit Committee, is “financially sophisticated” under Nasdaq listing standards and qualifies as an “audit committee financial expert” as that term is defined in the regulations promulgated under the Securities Act of 1933, as amended (the “Securities Act”).</w:t>
      </w:r>
    </w:p>
    <w:p>
      <w:pPr>
        <w:spacing w:after="0" w:line="124"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15</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BOARD OF DIRECTORS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Compensation Committee</w:t>
      </w:r>
    </w:p>
    <w:p>
      <w:pPr>
        <w:spacing w:after="0" w:line="101" w:lineRule="exact"/>
        <w:rPr>
          <w:sz w:val="20"/>
          <w:szCs w:val="20"/>
          <w:color w:val="auto"/>
        </w:rPr>
      </w:pPr>
    </w:p>
    <w:p>
      <w:pPr>
        <w:ind w:left="160" w:right="120"/>
        <w:spacing w:after="0" w:line="239" w:lineRule="auto"/>
        <w:rPr>
          <w:sz w:val="20"/>
          <w:szCs w:val="20"/>
          <w:color w:val="auto"/>
        </w:rPr>
      </w:pPr>
      <w:r>
        <w:rPr>
          <w:rFonts w:ascii="Arial" w:cs="Arial" w:eastAsia="Arial" w:hAnsi="Arial"/>
          <w:sz w:val="18"/>
          <w:szCs w:val="18"/>
          <w:color w:val="auto"/>
        </w:rPr>
        <w:t>The Compensation Committee Charter provides that the Compensation Committee will be comprised of at least three members, except that the Committee is deemed to be properly constituted with at least two members in the event of a vacancy until the Board fills the vacancy. The Charter also provides that all of the members on the Committee must be independent directors and also “non-employee directors” pursuant to Rule 16b-3 of the Securities Exchange Act of 1934 (the “Exchange Act”). The Committee holds at least four regular meetings each year, and it regularly meets separately at these meetings with its independent compensation consultant and our Chief People Officer.</w:t>
      </w:r>
    </w:p>
    <w:p>
      <w:pPr>
        <w:spacing w:after="0" w:line="74"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The Committee has the power to delegate its authority and duties to subcommittees or individual members of the Committee, as well as to retain a compensation consultant and other outside advisors, as it deems appropriate and in accordance with applicable laws and regulations. The Committee has the sole authority to retain and terminate any such advisors and to review and approve such advisors’ fees and other retention terms.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Committee is responsible for the following, among other things:</w:t>
      </w:r>
    </w:p>
    <w:p>
      <w:pPr>
        <w:spacing w:after="0" w:line="114" w:lineRule="exact"/>
        <w:rPr>
          <w:sz w:val="20"/>
          <w:szCs w:val="20"/>
          <w:color w:val="auto"/>
        </w:rPr>
      </w:pPr>
    </w:p>
    <w:p>
      <w:pPr>
        <w:ind w:left="380" w:right="280" w:hanging="213"/>
        <w:spacing w:after="0" w:line="265"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Adopting and periodically reviewing our compensation philosophy, strategy and principles regarding the design and administration of our compensation programs;</w:t>
      </w:r>
    </w:p>
    <w:p>
      <w:pPr>
        <w:spacing w:after="0" w:line="64" w:lineRule="exact"/>
        <w:rPr>
          <w:rFonts w:ascii="Arial" w:cs="Arial" w:eastAsia="Arial" w:hAnsi="Arial"/>
          <w:sz w:val="18"/>
          <w:szCs w:val="18"/>
          <w:color w:val="auto"/>
        </w:rPr>
      </w:pPr>
    </w:p>
    <w:p>
      <w:pPr>
        <w:ind w:left="380" w:right="220" w:hanging="213"/>
        <w:spacing w:after="0" w:line="249"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approving the total compensation packages and the material terms of any new employment, consulting, supplemental retirement and severance arrangements for our executive officers and other senior executives identified by the Committee at least annually after consultation with members of management (collectively, the “specified employees”);</w:t>
      </w:r>
    </w:p>
    <w:p>
      <w:pPr>
        <w:spacing w:after="0" w:line="77" w:lineRule="exact"/>
        <w:rPr>
          <w:rFonts w:ascii="Arial" w:cs="Arial" w:eastAsia="Arial" w:hAnsi="Arial"/>
          <w:sz w:val="18"/>
          <w:szCs w:val="18"/>
          <w:color w:val="auto"/>
        </w:rPr>
      </w:pPr>
    </w:p>
    <w:p>
      <w:pPr>
        <w:ind w:left="380" w:hanging="213"/>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Overseeing the administration of our incentive compensation plans and equity-based compensation plans;</w:t>
      </w:r>
    </w:p>
    <w:p>
      <w:pPr>
        <w:spacing w:after="0" w:line="113" w:lineRule="exact"/>
        <w:rPr>
          <w:rFonts w:ascii="Arial" w:cs="Arial" w:eastAsia="Arial" w:hAnsi="Arial"/>
          <w:sz w:val="18"/>
          <w:szCs w:val="18"/>
          <w:color w:val="auto"/>
        </w:rPr>
      </w:pPr>
    </w:p>
    <w:p>
      <w:pPr>
        <w:ind w:left="380" w:right="60" w:hanging="213"/>
        <w:spacing w:after="0" w:line="265"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key management succession planning (in conjunction with the Nominating and Governance Committee) as contemplated by the Guidelines; and</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Overseeing periodic risk assessments of our compensation programs.</w:t>
      </w:r>
    </w:p>
    <w:p>
      <w:pPr>
        <w:spacing w:after="0" w:line="101" w:lineRule="exact"/>
        <w:rPr>
          <w:sz w:val="20"/>
          <w:szCs w:val="20"/>
          <w:color w:val="auto"/>
        </w:rPr>
      </w:pPr>
    </w:p>
    <w:p>
      <w:pPr>
        <w:ind w:left="160" w:right="60"/>
        <w:spacing w:after="0"/>
        <w:rPr>
          <w:sz w:val="20"/>
          <w:szCs w:val="20"/>
          <w:color w:val="auto"/>
        </w:rPr>
      </w:pPr>
      <w:r>
        <w:rPr>
          <w:rFonts w:ascii="Arial" w:cs="Arial" w:eastAsia="Arial" w:hAnsi="Arial"/>
          <w:sz w:val="18"/>
          <w:szCs w:val="18"/>
          <w:i w:val="1"/>
          <w:iCs w:val="1"/>
          <w:color w:val="auto"/>
        </w:rPr>
        <w:t>Consideration and Determination of Executive Compensation</w:t>
      </w:r>
      <w:r>
        <w:rPr>
          <w:rFonts w:ascii="Arial" w:cs="Arial" w:eastAsia="Arial" w:hAnsi="Arial"/>
          <w:sz w:val="18"/>
          <w:szCs w:val="18"/>
          <w:color w:val="auto"/>
        </w:rPr>
        <w:t>. The Compensation Committee reviews all components of the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compensation, including base salary, annual and long-term incentives and other compensatory arrangements. In approving compensation for the specified employees, the Committee considers the input and recommendations of the Chief Executive Officer, the Chief People Officer and any other executive officers to whom those executives report. As described below, the Compensation Committee also considers the input from its independent compensation consultant in making decisions on compensation matters.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Committee reviews and approves goals and objectives relevant to the compensation of the President and Chief Executive Officer and, together with the Nominating and Governance Committee, annually evaluates his performance in light of those goals and objectives, after considering the input of the non-management directors. The results of this evaluation are then reported to the non-management directors. The Compensation Committee sets the compensation of our President and Chief Executive Officer, taking this evaluation into account, and reports to the Board on this process.</w:t>
      </w:r>
    </w:p>
    <w:p>
      <w:pPr>
        <w:spacing w:after="0" w:line="75" w:lineRule="exact"/>
        <w:rPr>
          <w:sz w:val="20"/>
          <w:szCs w:val="20"/>
          <w:color w:val="auto"/>
        </w:rPr>
      </w:pPr>
    </w:p>
    <w:p>
      <w:pPr>
        <w:ind w:left="160" w:right="40"/>
        <w:spacing w:after="0"/>
        <w:rPr>
          <w:sz w:val="20"/>
          <w:szCs w:val="20"/>
          <w:color w:val="auto"/>
        </w:rPr>
      </w:pPr>
      <w:r>
        <w:rPr>
          <w:rFonts w:ascii="Arial" w:cs="Arial" w:eastAsia="Arial" w:hAnsi="Arial"/>
          <w:sz w:val="18"/>
          <w:szCs w:val="18"/>
          <w:color w:val="auto"/>
        </w:rPr>
        <w:t>As authorized by its Charter, the Committee has delegated to the President and Chief Executive Officer limited authority to grant long-term incentive awards under our long-term incentive plan to executives who are not specified employees, in connection with their hiring, promotion or contract renewal and to modify certain terms of outstanding equity grants in some post-termination scenarios, as discussed in the “Compensation Discussion and Analysis” section. Any use of this delegated authority is reported to the Committee at its next regularly-scheduled meeting.</w:t>
      </w:r>
    </w:p>
    <w:p>
      <w:pPr>
        <w:spacing w:after="0" w:line="75" w:lineRule="exact"/>
        <w:rPr>
          <w:sz w:val="20"/>
          <w:szCs w:val="20"/>
          <w:color w:val="auto"/>
        </w:rPr>
      </w:pPr>
    </w:p>
    <w:p>
      <w:pPr>
        <w:jc w:val="both"/>
        <w:ind w:left="160" w:right="300"/>
        <w:spacing w:after="0" w:line="249" w:lineRule="auto"/>
        <w:rPr>
          <w:sz w:val="20"/>
          <w:szCs w:val="20"/>
          <w:color w:val="auto"/>
        </w:rPr>
      </w:pPr>
      <w:r>
        <w:rPr>
          <w:rFonts w:ascii="Arial" w:cs="Arial" w:eastAsia="Arial" w:hAnsi="Arial"/>
          <w:sz w:val="18"/>
          <w:szCs w:val="18"/>
          <w:color w:val="auto"/>
        </w:rPr>
        <w:t>Our processes and procedures for the consideration of executive compensation and the role of our executive officers in determining or recommending the amount or form of executive compensation are more fully described in the “Compensation Discussion and Analysis” section.</w:t>
      </w:r>
    </w:p>
    <w:p>
      <w:pPr>
        <w:spacing w:after="0" w:line="65"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The Committee currently retains independent compensation consulting firm ClearBridge Compensation Group LLC (“ClearBridge”) to provide expert compensation advice to the Committee in its review of senior executive and other employees compensation. The Committee has a policy providing that the independent compensation consulting firm will not be considered as a provider of any other services to us and ClearBridge does not perform any such services. In furtherance of the Committee’s review of senior executive compensation, the independent consultant examines the compensation practices at companies with which we compete for senior executive talent, including those companies engaged in similar business activities and other publicly traded U.S. companies, and provides other analysis, as more fully described in the “Compensation Discussion and Analysis” section. In April 2022, the Compensation Committee assessed the independence of ClearBridge and determined that the firm’s work for the Committee did not raise any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83820</wp:posOffset>
            </wp:positionV>
            <wp:extent cx="6929755" cy="2374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10"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16</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80"/>
          </w:cols>
          <w:pgMar w:left="320" w:top="454" w:right="4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OUR BOARD OF DIRECTORS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Nominating and Governance Committee</w:t>
      </w:r>
    </w:p>
    <w:p>
      <w:pPr>
        <w:spacing w:after="0" w:line="101"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The Nominating and Governance Committee’s Charter provides that the Nominating and Governance Committee will be comprised of at least three members, except that the Committee is deemed to be properly constituted with at least two members in the event of a vacancy until the Board fills the vacancy. The Charter also provides that all of the members on the Committee must be independent directors. The Committee holds at least three regular meetings each year.</w:t>
      </w:r>
    </w:p>
    <w:p>
      <w:pPr>
        <w:spacing w:after="0" w:line="71"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The Committee has the power to delegate its authority and duties to subcommittees or individual members of the Committee, as well as to retain outside advisors, in its sole discretion. The Committee has the sole authority to retain and terminate any such advisors and to review and approve such advisors’ fees and other retention terms.</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Committee is responsible for the following, among other things:</w:t>
      </w:r>
    </w:p>
    <w:p>
      <w:pPr>
        <w:spacing w:after="0" w:line="114" w:lineRule="exact"/>
        <w:rPr>
          <w:sz w:val="20"/>
          <w:szCs w:val="20"/>
          <w:color w:val="auto"/>
        </w:rPr>
      </w:pPr>
    </w:p>
    <w:p>
      <w:pPr>
        <w:ind w:left="380" w:right="260" w:hanging="213"/>
        <w:spacing w:after="0" w:line="265"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Identifying and recommending to the Board nominees for election to the Board and reviewing the composition of the Board as part of this process;</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Overseeing all aspects of our corporate governance initiatives, including regular assessments of our principal governance documents;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Establishing criteria and processes for the annual self-evaluations of the Board and its Committees;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Making recommendations to the Board on director compensation matters;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Monitoring developments in the law and practice of corporate governance;</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Developing and recommending items for Board meeting agendas;</w:t>
      </w:r>
    </w:p>
    <w:p>
      <w:pPr>
        <w:spacing w:after="0" w:line="113" w:lineRule="exact"/>
        <w:rPr>
          <w:rFonts w:ascii="Arial" w:cs="Arial" w:eastAsia="Arial" w:hAnsi="Arial"/>
          <w:sz w:val="18"/>
          <w:szCs w:val="18"/>
          <w:color w:val="auto"/>
        </w:rPr>
      </w:pPr>
    </w:p>
    <w:p>
      <w:pPr>
        <w:ind w:left="380" w:right="880" w:hanging="213"/>
        <w:spacing w:after="0" w:line="265"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key management succession planning (in conjunction with the Compensation Committee) as contemplated by the Guidelines;</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transactions between us and related persons;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Overseeing and monitoring significant issues impacting our culture and reputation, as well as our handling of ESG matters; and</w:t>
      </w:r>
    </w:p>
    <w:p>
      <w:pPr>
        <w:spacing w:after="0" w:line="113" w:lineRule="exact"/>
        <w:rPr>
          <w:rFonts w:ascii="Arial" w:cs="Arial" w:eastAsia="Arial" w:hAnsi="Arial"/>
          <w:sz w:val="18"/>
          <w:szCs w:val="18"/>
          <w:color w:val="auto"/>
        </w:rPr>
      </w:pPr>
    </w:p>
    <w:p>
      <w:pPr>
        <w:ind w:left="380" w:right="120" w:hanging="213"/>
        <w:spacing w:after="0" w:line="265"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the following risk management processes and policies at the Company: business continuity planning, disaster recovery and crisis management.</w:t>
      </w:r>
    </w:p>
    <w:p>
      <w:pPr>
        <w:spacing w:after="0" w:line="51" w:lineRule="exact"/>
        <w:rPr>
          <w:sz w:val="20"/>
          <w:szCs w:val="20"/>
          <w:color w:val="auto"/>
        </w:rPr>
      </w:pPr>
    </w:p>
    <w:p>
      <w:pPr>
        <w:ind w:left="160" w:right="160"/>
        <w:spacing w:after="0" w:line="243" w:lineRule="auto"/>
        <w:rPr>
          <w:sz w:val="20"/>
          <w:szCs w:val="20"/>
          <w:color w:val="auto"/>
        </w:rPr>
      </w:pPr>
      <w:r>
        <w:rPr>
          <w:rFonts w:ascii="Arial" w:cs="Arial" w:eastAsia="Arial" w:hAnsi="Arial"/>
          <w:sz w:val="18"/>
          <w:szCs w:val="18"/>
          <w:i w:val="1"/>
          <w:iCs w:val="1"/>
          <w:color w:val="auto"/>
        </w:rPr>
        <w:t xml:space="preserve">Consideration and Determination of Director Compensation. </w:t>
      </w:r>
      <w:r>
        <w:rPr>
          <w:rFonts w:ascii="Arial" w:cs="Arial" w:eastAsia="Arial" w:hAnsi="Arial"/>
          <w:sz w:val="18"/>
          <w:szCs w:val="18"/>
          <w:color w:val="auto"/>
        </w:rPr>
        <w:t>The Committee annually reviews and recommends for the Board’s</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the form and amount of compensation for “Outside Directors,” who are directors who are not employees of us or any of our subsidiaries. Only Outside Directors are eligible to receive compensation for serving on the Board, as more fully described in “Director Compensation.”</w:t>
      </w:r>
    </w:p>
    <w:p>
      <w:pPr>
        <w:spacing w:after="0" w:line="71"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In accordance with the Guidelines and its Charter, the Committee is guided by three principles in its review of Outside Director compensation: Outside Directors should be fairly compensated for the services they provide to us, taking into account, among other things, the size and complexity of our business and compensation paid to directors of comparable companies; Outside Directors’ interests should be aligned with the interests of stockholders; and Outside Directors’ compensation should be easy for stockholders to understand. Final director compensation determinations are made by the Board.</w:t>
      </w:r>
    </w:p>
    <w:p>
      <w:pPr>
        <w:spacing w:after="0" w:line="75" w:lineRule="exact"/>
        <w:rPr>
          <w:sz w:val="20"/>
          <w:szCs w:val="20"/>
          <w:color w:val="auto"/>
        </w:rPr>
      </w:pPr>
    </w:p>
    <w:p>
      <w:pPr>
        <w:ind w:left="160" w:right="100"/>
        <w:spacing w:after="0" w:line="239" w:lineRule="auto"/>
        <w:rPr>
          <w:sz w:val="20"/>
          <w:szCs w:val="20"/>
          <w:color w:val="auto"/>
        </w:rPr>
      </w:pPr>
      <w:r>
        <w:rPr>
          <w:rFonts w:ascii="Arial" w:cs="Arial" w:eastAsia="Arial" w:hAnsi="Arial"/>
          <w:sz w:val="18"/>
          <w:szCs w:val="18"/>
          <w:i w:val="1"/>
          <w:iCs w:val="1"/>
          <w:color w:val="auto"/>
        </w:rPr>
        <w:t xml:space="preserve">2022 Director Nomination Process. </w:t>
      </w:r>
      <w:r>
        <w:rPr>
          <w:rFonts w:ascii="Arial" w:cs="Arial" w:eastAsia="Arial" w:hAnsi="Arial"/>
          <w:sz w:val="18"/>
          <w:szCs w:val="18"/>
          <w:color w:val="auto"/>
        </w:rPr>
        <w:t>In connection with the 2022 director nomination process, the Nominating and Governance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the current composition of the Board in light of the considerations set forth in its Charter and our Guidelines related to Board composition. In addition, the Committee considered input received from the Board members on Board composition, the directors’ qualifications and any special circumstances that the Committee deemed to be important in its determination. After taking these considerations into account, the Committee determined to recommend to the Board that each of our current directors, as set forth in “Item 1 — Election of Directors,” be nominated to stand for election at the 2022 Annual Meeting.</w:t>
      </w:r>
    </w:p>
    <w:p>
      <w:pPr>
        <w:spacing w:after="0" w:line="74" w:lineRule="exact"/>
        <w:rPr>
          <w:sz w:val="20"/>
          <w:szCs w:val="20"/>
          <w:color w:val="auto"/>
        </w:rPr>
      </w:pPr>
    </w:p>
    <w:p>
      <w:pPr>
        <w:ind w:left="160" w:right="140"/>
        <w:spacing w:after="0" w:line="237" w:lineRule="auto"/>
        <w:rPr>
          <w:sz w:val="20"/>
          <w:szCs w:val="20"/>
          <w:color w:val="auto"/>
        </w:rPr>
      </w:pPr>
      <w:r>
        <w:rPr>
          <w:rFonts w:ascii="Arial" w:cs="Arial" w:eastAsia="Arial" w:hAnsi="Arial"/>
          <w:sz w:val="18"/>
          <w:szCs w:val="18"/>
          <w:i w:val="1"/>
          <w:iCs w:val="1"/>
          <w:color w:val="auto"/>
        </w:rPr>
        <w:t xml:space="preserve">Board Diversity. </w:t>
      </w:r>
      <w:r>
        <w:rPr>
          <w:rFonts w:ascii="Arial" w:cs="Arial" w:eastAsia="Arial" w:hAnsi="Arial"/>
          <w:sz w:val="18"/>
          <w:szCs w:val="18"/>
          <w:color w:val="auto"/>
        </w:rPr>
        <w:t>The Committee considers diversity as part of its review of the composition of the Board. The Committee considers</w:t>
      </w:r>
      <w:r>
        <w:rPr>
          <w:rFonts w:ascii="Arial" w:cs="Arial" w:eastAsia="Arial" w:hAnsi="Arial"/>
          <w:sz w:val="18"/>
          <w:szCs w:val="18"/>
          <w:i w:val="1"/>
          <w:iCs w:val="1"/>
          <w:color w:val="auto"/>
        </w:rPr>
        <w:t xml:space="preserve"> </w:t>
      </w:r>
      <w:r>
        <w:rPr>
          <w:rFonts w:ascii="Arial" w:cs="Arial" w:eastAsia="Arial" w:hAnsi="Arial"/>
          <w:sz w:val="18"/>
          <w:szCs w:val="18"/>
          <w:color w:val="auto"/>
        </w:rPr>
        <w:t>diversity to be a broadly defined concept that takes into account professional experience, gender and ethnicity, among other characteristics. Multiple industries and areas of expertise are represented on the Board, including entertainment and media, banking, legal, technology, information security and management consulting. Additionally, distinguished contributors to governmental and not-for-profit organizations also serve on the Board. Multiple professions are represented among the directors, including current and past experience as principal executive officers, principal financial officers, attorneys, high-ranking government officials, entrepreneurs and television and film executives. The Committee assesses the effectiveness of its consideration of diversity as part of its annual nomination process when it reviews the composition of the Board as a whole.</w:t>
      </w:r>
    </w:p>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17</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BOARD OF DIRECTORS</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certain diversity statistics relating to our Board members, as required by Nasdaq listing standards:</w:t>
      </w:r>
    </w:p>
    <w:p>
      <w:pPr>
        <w:spacing w:after="0" w:line="26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051D49"/>
        </w:rPr>
        <w:t>Board Diversity Matrix (As of April 15, 2022)</w:t>
      </w:r>
    </w:p>
    <w:p>
      <w:pPr>
        <w:spacing w:after="0" w:line="12" w:lineRule="exact"/>
        <w:rPr>
          <w:sz w:val="20"/>
          <w:szCs w:val="20"/>
          <w:color w:val="auto"/>
        </w:rPr>
      </w:pPr>
    </w:p>
    <w:tbl>
      <w:tblPr>
        <w:tblLayout w:type="fixed"/>
        <w:tblInd w:w="160" w:type="dxa"/>
        <w:tblCellMar>
          <w:top w:w="0" w:type="dxa"/>
          <w:left w:w="0" w:type="dxa"/>
          <w:bottom w:w="0" w:type="dxa"/>
          <w:right w:w="0" w:type="dxa"/>
        </w:tblCellMar>
      </w:tblPr>
      <w:tr>
        <w:trPr>
          <w:trHeight w:val="154"/>
        </w:trPr>
        <w:tc>
          <w:tcPr>
            <w:tcW w:w="5600" w:type="dxa"/>
            <w:vAlign w:val="bottom"/>
            <w:tcBorders>
              <w:top w:val="single" w:sz="8" w:color="051D49"/>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Total Number of Directors</w:t>
            </w:r>
          </w:p>
        </w:tc>
        <w:tc>
          <w:tcPr>
            <w:tcW w:w="1120" w:type="dxa"/>
            <w:vAlign w:val="bottom"/>
            <w:tcBorders>
              <w:top w:val="single" w:sz="8" w:color="051D49"/>
              <w:bottom w:val="single" w:sz="8" w:color="051D49"/>
            </w:tcBorders>
          </w:tcPr>
          <w:p>
            <w:pPr>
              <w:spacing w:after="0"/>
              <w:rPr>
                <w:sz w:val="13"/>
                <w:szCs w:val="13"/>
                <w:color w:val="auto"/>
              </w:rPr>
            </w:pPr>
          </w:p>
        </w:tc>
        <w:tc>
          <w:tcPr>
            <w:tcW w:w="1080" w:type="dxa"/>
            <w:vAlign w:val="bottom"/>
            <w:tcBorders>
              <w:top w:val="single" w:sz="8" w:color="051D49"/>
              <w:bottom w:val="single" w:sz="8" w:color="051D49"/>
            </w:tcBorders>
          </w:tcPr>
          <w:p>
            <w:pPr>
              <w:spacing w:after="0"/>
              <w:rPr>
                <w:sz w:val="13"/>
                <w:szCs w:val="13"/>
                <w:color w:val="auto"/>
              </w:rPr>
            </w:pPr>
          </w:p>
        </w:tc>
        <w:tc>
          <w:tcPr>
            <w:tcW w:w="1220" w:type="dxa"/>
            <w:vAlign w:val="bottom"/>
            <w:tcBorders>
              <w:top w:val="single" w:sz="8" w:color="051D49"/>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12</w:t>
            </w:r>
          </w:p>
        </w:tc>
        <w:tc>
          <w:tcPr>
            <w:tcW w:w="1900" w:type="dxa"/>
            <w:vAlign w:val="bottom"/>
            <w:tcBorders>
              <w:top w:val="single" w:sz="8" w:color="051D49"/>
              <w:bottom w:val="single" w:sz="8" w:color="051D49"/>
            </w:tcBorders>
          </w:tcPr>
          <w:p>
            <w:pPr>
              <w:spacing w:after="0"/>
              <w:rPr>
                <w:sz w:val="13"/>
                <w:szCs w:val="13"/>
                <w:color w:val="auto"/>
              </w:rPr>
            </w:pPr>
          </w:p>
        </w:tc>
      </w:tr>
      <w:tr>
        <w:trPr>
          <w:trHeight w:val="158"/>
        </w:trPr>
        <w:tc>
          <w:tcPr>
            <w:tcW w:w="560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1080" w:type="dxa"/>
            <w:vAlign w:val="bottom"/>
            <w:shd w:val="clear" w:color="auto" w:fill="EAEAEA"/>
          </w:tcPr>
          <w:p>
            <w:pPr>
              <w:spacing w:after="0"/>
              <w:rPr>
                <w:sz w:val="13"/>
                <w:szCs w:val="13"/>
                <w:color w:val="auto"/>
              </w:rPr>
            </w:pPr>
          </w:p>
        </w:tc>
        <w:tc>
          <w:tcPr>
            <w:tcW w:w="1220" w:type="dxa"/>
            <w:vAlign w:val="bottom"/>
            <w:shd w:val="clear" w:color="auto" w:fill="EAEAEA"/>
          </w:tcPr>
          <w:p>
            <w:pPr>
              <w:jc w:val="right"/>
              <w:ind w:right="385"/>
              <w:spacing w:after="0" w:line="158" w:lineRule="exact"/>
              <w:rPr>
                <w:sz w:val="20"/>
                <w:szCs w:val="20"/>
                <w:color w:val="auto"/>
              </w:rPr>
            </w:pPr>
            <w:r>
              <w:rPr>
                <w:rFonts w:ascii="Arial" w:cs="Arial" w:eastAsia="Arial" w:hAnsi="Arial"/>
                <w:sz w:val="14"/>
                <w:szCs w:val="14"/>
                <w:color w:val="051D49"/>
              </w:rPr>
              <w:t>Non-</w:t>
            </w:r>
          </w:p>
        </w:tc>
        <w:tc>
          <w:tcPr>
            <w:tcW w:w="1900" w:type="dxa"/>
            <w:vAlign w:val="bottom"/>
            <w:shd w:val="clear" w:color="auto" w:fill="EAEAEA"/>
          </w:tcPr>
          <w:p>
            <w:pPr>
              <w:jc w:val="right"/>
              <w:ind w:right="365"/>
              <w:spacing w:after="0" w:line="158" w:lineRule="exact"/>
              <w:rPr>
                <w:sz w:val="20"/>
                <w:szCs w:val="20"/>
                <w:color w:val="auto"/>
              </w:rPr>
            </w:pPr>
            <w:r>
              <w:rPr>
                <w:rFonts w:ascii="Arial" w:cs="Arial" w:eastAsia="Arial" w:hAnsi="Arial"/>
                <w:sz w:val="14"/>
                <w:szCs w:val="14"/>
                <w:color w:val="051D49"/>
              </w:rPr>
              <w:t>Did Not Disclose</w:t>
            </w:r>
          </w:p>
        </w:tc>
      </w:tr>
      <w:tr>
        <w:trPr>
          <w:trHeight w:val="170"/>
        </w:trPr>
        <w:tc>
          <w:tcPr>
            <w:tcW w:w="5600" w:type="dxa"/>
            <w:vAlign w:val="bottom"/>
            <w:tcBorders>
              <w:bottom w:val="single" w:sz="8" w:color="051D49"/>
            </w:tcBorders>
            <w:shd w:val="clear" w:color="auto" w:fill="EAEAEA"/>
          </w:tcPr>
          <w:p>
            <w:pPr>
              <w:spacing w:after="0"/>
              <w:rPr>
                <w:sz w:val="14"/>
                <w:szCs w:val="14"/>
                <w:color w:val="auto"/>
              </w:rPr>
            </w:pPr>
          </w:p>
        </w:tc>
        <w:tc>
          <w:tcPr>
            <w:tcW w:w="1120" w:type="dxa"/>
            <w:vAlign w:val="bottom"/>
            <w:tcBorders>
              <w:bottom w:val="single" w:sz="8" w:color="051D49"/>
            </w:tcBorders>
            <w:shd w:val="clear" w:color="auto" w:fill="EAEAEA"/>
          </w:tcPr>
          <w:p>
            <w:pPr>
              <w:jc w:val="right"/>
              <w:ind w:right="285"/>
              <w:spacing w:after="0"/>
              <w:rPr>
                <w:sz w:val="20"/>
                <w:szCs w:val="20"/>
                <w:color w:val="auto"/>
              </w:rPr>
            </w:pPr>
            <w:r>
              <w:rPr>
                <w:rFonts w:ascii="Arial" w:cs="Arial" w:eastAsia="Arial" w:hAnsi="Arial"/>
                <w:sz w:val="14"/>
                <w:szCs w:val="14"/>
                <w:color w:val="051D49"/>
              </w:rPr>
              <w:t>Female</w:t>
            </w:r>
          </w:p>
        </w:tc>
        <w:tc>
          <w:tcPr>
            <w:tcW w:w="1080" w:type="dxa"/>
            <w:vAlign w:val="bottom"/>
            <w:tcBorders>
              <w:bottom w:val="single" w:sz="8" w:color="051D49"/>
            </w:tcBorders>
            <w:shd w:val="clear" w:color="auto" w:fill="EAEAEA"/>
          </w:tcPr>
          <w:p>
            <w:pPr>
              <w:jc w:val="right"/>
              <w:ind w:right="325"/>
              <w:spacing w:after="0"/>
              <w:rPr>
                <w:sz w:val="20"/>
                <w:szCs w:val="20"/>
                <w:color w:val="auto"/>
              </w:rPr>
            </w:pPr>
            <w:r>
              <w:rPr>
                <w:rFonts w:ascii="Arial" w:cs="Arial" w:eastAsia="Arial" w:hAnsi="Arial"/>
                <w:sz w:val="14"/>
                <w:szCs w:val="14"/>
                <w:color w:val="051D49"/>
              </w:rPr>
              <w:t>Male</w:t>
            </w:r>
          </w:p>
        </w:tc>
        <w:tc>
          <w:tcPr>
            <w:tcW w:w="1220" w:type="dxa"/>
            <w:vAlign w:val="bottom"/>
            <w:tcBorders>
              <w:bottom w:val="single" w:sz="8" w:color="051D49"/>
            </w:tcBorders>
            <w:shd w:val="clear" w:color="auto" w:fill="EAEAEA"/>
          </w:tcPr>
          <w:p>
            <w:pPr>
              <w:jc w:val="right"/>
              <w:ind w:right="325"/>
              <w:spacing w:after="0"/>
              <w:rPr>
                <w:sz w:val="20"/>
                <w:szCs w:val="20"/>
                <w:color w:val="auto"/>
              </w:rPr>
            </w:pPr>
            <w:r>
              <w:rPr>
                <w:rFonts w:ascii="Arial" w:cs="Arial" w:eastAsia="Arial" w:hAnsi="Arial"/>
                <w:sz w:val="14"/>
                <w:szCs w:val="14"/>
                <w:color w:val="051D49"/>
              </w:rPr>
              <w:t>Binary</w:t>
            </w:r>
          </w:p>
        </w:tc>
        <w:tc>
          <w:tcPr>
            <w:tcW w:w="1900" w:type="dxa"/>
            <w:vAlign w:val="bottom"/>
            <w:tcBorders>
              <w:bottom w:val="single" w:sz="8" w:color="051D49"/>
            </w:tcBorders>
            <w:shd w:val="clear" w:color="auto" w:fill="EAEAEA"/>
          </w:tcPr>
          <w:p>
            <w:pPr>
              <w:jc w:val="right"/>
              <w:ind w:right="665"/>
              <w:spacing w:after="0"/>
              <w:rPr>
                <w:sz w:val="20"/>
                <w:szCs w:val="20"/>
                <w:color w:val="auto"/>
              </w:rPr>
            </w:pPr>
            <w:r>
              <w:rPr>
                <w:rFonts w:ascii="Arial" w:cs="Arial" w:eastAsia="Arial" w:hAnsi="Arial"/>
                <w:sz w:val="14"/>
                <w:szCs w:val="14"/>
                <w:color w:val="051D49"/>
              </w:rPr>
              <w:t>Gender</w:t>
            </w:r>
          </w:p>
        </w:tc>
      </w:tr>
      <w:tr>
        <w:trPr>
          <w:trHeight w:val="154"/>
        </w:trPr>
        <w:tc>
          <w:tcPr>
            <w:tcW w:w="5600" w:type="dxa"/>
            <w:vAlign w:val="bottom"/>
            <w:tcBorders>
              <w:bottom w:val="single" w:sz="8" w:color="051D49"/>
            </w:tcBorders>
            <w:shd w:val="clear" w:color="auto" w:fill="EAEAEA"/>
          </w:tcPr>
          <w:p>
            <w:pPr>
              <w:ind w:left="60"/>
              <w:spacing w:after="0" w:line="154" w:lineRule="exact"/>
              <w:rPr>
                <w:sz w:val="20"/>
                <w:szCs w:val="20"/>
                <w:color w:val="auto"/>
              </w:rPr>
            </w:pPr>
            <w:r>
              <w:rPr>
                <w:rFonts w:ascii="Arial" w:cs="Arial" w:eastAsia="Arial" w:hAnsi="Arial"/>
                <w:sz w:val="15"/>
                <w:szCs w:val="15"/>
                <w:color w:val="auto"/>
              </w:rPr>
              <w:t>Part I: Gender Identity</w:t>
            </w:r>
          </w:p>
        </w:tc>
        <w:tc>
          <w:tcPr>
            <w:tcW w:w="1120" w:type="dxa"/>
            <w:vAlign w:val="bottom"/>
            <w:tcBorders>
              <w:bottom w:val="single" w:sz="8" w:color="051D49"/>
            </w:tcBorders>
            <w:shd w:val="clear" w:color="auto" w:fill="EAEAEA"/>
          </w:tcPr>
          <w:p>
            <w:pPr>
              <w:spacing w:after="0"/>
              <w:rPr>
                <w:sz w:val="13"/>
                <w:szCs w:val="13"/>
                <w:color w:val="auto"/>
              </w:rPr>
            </w:pPr>
          </w:p>
        </w:tc>
        <w:tc>
          <w:tcPr>
            <w:tcW w:w="1080" w:type="dxa"/>
            <w:vAlign w:val="bottom"/>
            <w:tcBorders>
              <w:bottom w:val="single" w:sz="8" w:color="051D49"/>
            </w:tcBorders>
            <w:shd w:val="clear" w:color="auto" w:fill="EAEAEA"/>
          </w:tcPr>
          <w:p>
            <w:pPr>
              <w:spacing w:after="0"/>
              <w:rPr>
                <w:sz w:val="13"/>
                <w:szCs w:val="13"/>
                <w:color w:val="auto"/>
              </w:rPr>
            </w:pPr>
          </w:p>
        </w:tc>
        <w:tc>
          <w:tcPr>
            <w:tcW w:w="1220" w:type="dxa"/>
            <w:vAlign w:val="bottom"/>
            <w:tcBorders>
              <w:bottom w:val="single" w:sz="8" w:color="051D49"/>
            </w:tcBorders>
            <w:shd w:val="clear" w:color="auto" w:fill="EAEAEA"/>
          </w:tcPr>
          <w:p>
            <w:pPr>
              <w:spacing w:after="0"/>
              <w:rPr>
                <w:sz w:val="13"/>
                <w:szCs w:val="13"/>
                <w:color w:val="auto"/>
              </w:rPr>
            </w:pPr>
          </w:p>
        </w:tc>
        <w:tc>
          <w:tcPr>
            <w:tcW w:w="1900" w:type="dxa"/>
            <w:vAlign w:val="bottom"/>
            <w:tcBorders>
              <w:bottom w:val="single" w:sz="8" w:color="051D49"/>
            </w:tcBorders>
            <w:shd w:val="clear" w:color="auto" w:fill="EAEAEA"/>
          </w:tcPr>
          <w:p>
            <w:pPr>
              <w:spacing w:after="0"/>
              <w:rPr>
                <w:sz w:val="13"/>
                <w:szCs w:val="13"/>
                <w:color w:val="auto"/>
              </w:rPr>
            </w:pPr>
          </w:p>
        </w:tc>
      </w:tr>
      <w:tr>
        <w:trPr>
          <w:trHeight w:val="154"/>
        </w:trPr>
        <w:tc>
          <w:tcPr>
            <w:tcW w:w="5600" w:type="dxa"/>
            <w:vAlign w:val="bottom"/>
            <w:tcBorders>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Directors</w:t>
            </w:r>
          </w:p>
        </w:tc>
        <w:tc>
          <w:tcPr>
            <w:tcW w:w="1120" w:type="dxa"/>
            <w:vAlign w:val="bottom"/>
            <w:tcBorders>
              <w:bottom w:val="single" w:sz="8" w:color="051D49"/>
            </w:tcBorders>
          </w:tcPr>
          <w:p>
            <w:pPr>
              <w:jc w:val="right"/>
              <w:ind w:right="285"/>
              <w:spacing w:after="0" w:line="154" w:lineRule="exact"/>
              <w:rPr>
                <w:sz w:val="20"/>
                <w:szCs w:val="20"/>
                <w:color w:val="auto"/>
              </w:rPr>
            </w:pPr>
            <w:r>
              <w:rPr>
                <w:rFonts w:ascii="Arial" w:cs="Arial" w:eastAsia="Arial" w:hAnsi="Arial"/>
                <w:sz w:val="15"/>
                <w:szCs w:val="15"/>
                <w:color w:val="auto"/>
              </w:rPr>
              <w:t>7</w:t>
            </w:r>
          </w:p>
        </w:tc>
        <w:tc>
          <w:tcPr>
            <w:tcW w:w="1080" w:type="dxa"/>
            <w:vAlign w:val="bottom"/>
            <w:tcBorders>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5</w:t>
            </w:r>
          </w:p>
        </w:tc>
        <w:tc>
          <w:tcPr>
            <w:tcW w:w="1220" w:type="dxa"/>
            <w:vAlign w:val="bottom"/>
            <w:tcBorders>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0</w:t>
            </w:r>
          </w:p>
        </w:tc>
        <w:tc>
          <w:tcPr>
            <w:tcW w:w="1900" w:type="dxa"/>
            <w:vAlign w:val="bottom"/>
            <w:tcBorders>
              <w:bottom w:val="single" w:sz="8" w:color="051D49"/>
            </w:tcBorders>
          </w:tcPr>
          <w:p>
            <w:pPr>
              <w:jc w:val="right"/>
              <w:ind w:right="365"/>
              <w:spacing w:after="0" w:line="154" w:lineRule="exact"/>
              <w:rPr>
                <w:sz w:val="20"/>
                <w:szCs w:val="20"/>
                <w:color w:val="auto"/>
              </w:rPr>
            </w:pPr>
            <w:r>
              <w:rPr>
                <w:rFonts w:ascii="Arial" w:cs="Arial" w:eastAsia="Arial" w:hAnsi="Arial"/>
                <w:sz w:val="15"/>
                <w:szCs w:val="15"/>
                <w:color w:val="auto"/>
              </w:rPr>
              <w:t>0</w:t>
            </w:r>
          </w:p>
        </w:tc>
      </w:tr>
      <w:tr>
        <w:trPr>
          <w:trHeight w:val="154"/>
        </w:trPr>
        <w:tc>
          <w:tcPr>
            <w:tcW w:w="5600" w:type="dxa"/>
            <w:vAlign w:val="bottom"/>
            <w:tcBorders>
              <w:bottom w:val="single" w:sz="8" w:color="051D49"/>
            </w:tcBorders>
            <w:shd w:val="clear" w:color="auto" w:fill="EAEAEA"/>
          </w:tcPr>
          <w:p>
            <w:pPr>
              <w:ind w:left="60"/>
              <w:spacing w:after="0" w:line="154" w:lineRule="exact"/>
              <w:rPr>
                <w:sz w:val="20"/>
                <w:szCs w:val="20"/>
                <w:color w:val="auto"/>
              </w:rPr>
            </w:pPr>
            <w:r>
              <w:rPr>
                <w:rFonts w:ascii="Arial" w:cs="Arial" w:eastAsia="Arial" w:hAnsi="Arial"/>
                <w:sz w:val="15"/>
                <w:szCs w:val="15"/>
                <w:color w:val="auto"/>
              </w:rPr>
              <w:t>Part II: Demographic Background</w:t>
            </w:r>
          </w:p>
        </w:tc>
        <w:tc>
          <w:tcPr>
            <w:tcW w:w="1120" w:type="dxa"/>
            <w:vAlign w:val="bottom"/>
            <w:tcBorders>
              <w:bottom w:val="single" w:sz="8" w:color="051D49"/>
            </w:tcBorders>
            <w:shd w:val="clear" w:color="auto" w:fill="EAEAEA"/>
          </w:tcPr>
          <w:p>
            <w:pPr>
              <w:spacing w:after="0"/>
              <w:rPr>
                <w:sz w:val="13"/>
                <w:szCs w:val="13"/>
                <w:color w:val="auto"/>
              </w:rPr>
            </w:pPr>
          </w:p>
        </w:tc>
        <w:tc>
          <w:tcPr>
            <w:tcW w:w="1080" w:type="dxa"/>
            <w:vAlign w:val="bottom"/>
            <w:tcBorders>
              <w:bottom w:val="single" w:sz="8" w:color="051D49"/>
            </w:tcBorders>
            <w:shd w:val="clear" w:color="auto" w:fill="EAEAEA"/>
          </w:tcPr>
          <w:p>
            <w:pPr>
              <w:spacing w:after="0"/>
              <w:rPr>
                <w:sz w:val="13"/>
                <w:szCs w:val="13"/>
                <w:color w:val="auto"/>
              </w:rPr>
            </w:pPr>
          </w:p>
        </w:tc>
        <w:tc>
          <w:tcPr>
            <w:tcW w:w="1220" w:type="dxa"/>
            <w:vAlign w:val="bottom"/>
            <w:tcBorders>
              <w:bottom w:val="single" w:sz="8" w:color="051D49"/>
            </w:tcBorders>
            <w:shd w:val="clear" w:color="auto" w:fill="EAEAEA"/>
          </w:tcPr>
          <w:p>
            <w:pPr>
              <w:spacing w:after="0"/>
              <w:rPr>
                <w:sz w:val="13"/>
                <w:szCs w:val="13"/>
                <w:color w:val="auto"/>
              </w:rPr>
            </w:pPr>
          </w:p>
        </w:tc>
        <w:tc>
          <w:tcPr>
            <w:tcW w:w="1900" w:type="dxa"/>
            <w:vAlign w:val="bottom"/>
            <w:tcBorders>
              <w:bottom w:val="single" w:sz="8" w:color="051D49"/>
            </w:tcBorders>
            <w:shd w:val="clear" w:color="auto" w:fill="EAEAEA"/>
          </w:tcPr>
          <w:p>
            <w:pPr>
              <w:spacing w:after="0"/>
              <w:rPr>
                <w:sz w:val="13"/>
                <w:szCs w:val="13"/>
                <w:color w:val="auto"/>
              </w:rPr>
            </w:pPr>
          </w:p>
        </w:tc>
      </w:tr>
      <w:tr>
        <w:trPr>
          <w:trHeight w:val="154"/>
        </w:trPr>
        <w:tc>
          <w:tcPr>
            <w:tcW w:w="5600" w:type="dxa"/>
            <w:vAlign w:val="bottom"/>
            <w:tcBorders>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African American or Black</w:t>
            </w:r>
          </w:p>
        </w:tc>
        <w:tc>
          <w:tcPr>
            <w:tcW w:w="1120" w:type="dxa"/>
            <w:vAlign w:val="bottom"/>
            <w:tcBorders>
              <w:bottom w:val="single" w:sz="8" w:color="051D49"/>
            </w:tcBorders>
          </w:tcPr>
          <w:p>
            <w:pPr>
              <w:jc w:val="right"/>
              <w:ind w:right="285"/>
              <w:spacing w:after="0" w:line="154" w:lineRule="exact"/>
              <w:rPr>
                <w:sz w:val="20"/>
                <w:szCs w:val="20"/>
                <w:color w:val="auto"/>
              </w:rPr>
            </w:pPr>
            <w:r>
              <w:rPr>
                <w:rFonts w:ascii="Arial" w:cs="Arial" w:eastAsia="Arial" w:hAnsi="Arial"/>
                <w:sz w:val="15"/>
                <w:szCs w:val="15"/>
                <w:color w:val="auto"/>
              </w:rPr>
              <w:t>0</w:t>
            </w:r>
          </w:p>
        </w:tc>
        <w:tc>
          <w:tcPr>
            <w:tcW w:w="1080" w:type="dxa"/>
            <w:vAlign w:val="bottom"/>
            <w:tcBorders>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2</w:t>
            </w:r>
          </w:p>
        </w:tc>
        <w:tc>
          <w:tcPr>
            <w:tcW w:w="1220" w:type="dxa"/>
            <w:vAlign w:val="bottom"/>
            <w:tcBorders>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0</w:t>
            </w:r>
          </w:p>
        </w:tc>
        <w:tc>
          <w:tcPr>
            <w:tcW w:w="1900" w:type="dxa"/>
            <w:vAlign w:val="bottom"/>
            <w:tcBorders>
              <w:bottom w:val="single" w:sz="8" w:color="051D49"/>
            </w:tcBorders>
          </w:tcPr>
          <w:p>
            <w:pPr>
              <w:jc w:val="right"/>
              <w:ind w:right="365"/>
              <w:spacing w:after="0" w:line="154" w:lineRule="exact"/>
              <w:rPr>
                <w:sz w:val="20"/>
                <w:szCs w:val="20"/>
                <w:color w:val="auto"/>
              </w:rPr>
            </w:pPr>
            <w:r>
              <w:rPr>
                <w:rFonts w:ascii="Arial" w:cs="Arial" w:eastAsia="Arial" w:hAnsi="Arial"/>
                <w:sz w:val="15"/>
                <w:szCs w:val="15"/>
                <w:color w:val="auto"/>
              </w:rPr>
              <w:t>0</w:t>
            </w:r>
          </w:p>
        </w:tc>
      </w:tr>
      <w:tr>
        <w:trPr>
          <w:trHeight w:val="154"/>
        </w:trPr>
        <w:tc>
          <w:tcPr>
            <w:tcW w:w="5600" w:type="dxa"/>
            <w:vAlign w:val="bottom"/>
            <w:tcBorders>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Alaskan Native or Native American</w:t>
            </w:r>
          </w:p>
        </w:tc>
        <w:tc>
          <w:tcPr>
            <w:tcW w:w="1120" w:type="dxa"/>
            <w:vAlign w:val="bottom"/>
            <w:tcBorders>
              <w:bottom w:val="single" w:sz="8" w:color="051D49"/>
            </w:tcBorders>
          </w:tcPr>
          <w:p>
            <w:pPr>
              <w:jc w:val="right"/>
              <w:ind w:right="285"/>
              <w:spacing w:after="0" w:line="154" w:lineRule="exact"/>
              <w:rPr>
                <w:sz w:val="20"/>
                <w:szCs w:val="20"/>
                <w:color w:val="auto"/>
              </w:rPr>
            </w:pPr>
            <w:r>
              <w:rPr>
                <w:rFonts w:ascii="Arial" w:cs="Arial" w:eastAsia="Arial" w:hAnsi="Arial"/>
                <w:sz w:val="15"/>
                <w:szCs w:val="15"/>
                <w:color w:val="auto"/>
              </w:rPr>
              <w:t>0</w:t>
            </w:r>
          </w:p>
        </w:tc>
        <w:tc>
          <w:tcPr>
            <w:tcW w:w="1080" w:type="dxa"/>
            <w:vAlign w:val="bottom"/>
            <w:tcBorders>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0</w:t>
            </w:r>
          </w:p>
        </w:tc>
        <w:tc>
          <w:tcPr>
            <w:tcW w:w="1220" w:type="dxa"/>
            <w:vAlign w:val="bottom"/>
            <w:tcBorders>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0</w:t>
            </w:r>
          </w:p>
        </w:tc>
        <w:tc>
          <w:tcPr>
            <w:tcW w:w="1900" w:type="dxa"/>
            <w:vAlign w:val="bottom"/>
            <w:tcBorders>
              <w:bottom w:val="single" w:sz="8" w:color="051D49"/>
            </w:tcBorders>
          </w:tcPr>
          <w:p>
            <w:pPr>
              <w:jc w:val="right"/>
              <w:ind w:right="365"/>
              <w:spacing w:after="0" w:line="154" w:lineRule="exact"/>
              <w:rPr>
                <w:sz w:val="20"/>
                <w:szCs w:val="20"/>
                <w:color w:val="auto"/>
              </w:rPr>
            </w:pPr>
            <w:r>
              <w:rPr>
                <w:rFonts w:ascii="Arial" w:cs="Arial" w:eastAsia="Arial" w:hAnsi="Arial"/>
                <w:sz w:val="15"/>
                <w:szCs w:val="15"/>
                <w:color w:val="auto"/>
              </w:rPr>
              <w:t>0</w:t>
            </w:r>
          </w:p>
        </w:tc>
      </w:tr>
      <w:tr>
        <w:trPr>
          <w:trHeight w:val="154"/>
        </w:trPr>
        <w:tc>
          <w:tcPr>
            <w:tcW w:w="5600" w:type="dxa"/>
            <w:vAlign w:val="bottom"/>
            <w:tcBorders>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Asian</w:t>
            </w:r>
          </w:p>
        </w:tc>
        <w:tc>
          <w:tcPr>
            <w:tcW w:w="1120" w:type="dxa"/>
            <w:vAlign w:val="bottom"/>
            <w:tcBorders>
              <w:bottom w:val="single" w:sz="8" w:color="051D49"/>
            </w:tcBorders>
          </w:tcPr>
          <w:p>
            <w:pPr>
              <w:jc w:val="right"/>
              <w:ind w:right="285"/>
              <w:spacing w:after="0" w:line="154" w:lineRule="exact"/>
              <w:rPr>
                <w:sz w:val="20"/>
                <w:szCs w:val="20"/>
                <w:color w:val="auto"/>
              </w:rPr>
            </w:pPr>
            <w:r>
              <w:rPr>
                <w:rFonts w:ascii="Arial" w:cs="Arial" w:eastAsia="Arial" w:hAnsi="Arial"/>
                <w:sz w:val="15"/>
                <w:szCs w:val="15"/>
                <w:color w:val="auto"/>
              </w:rPr>
              <w:t>0</w:t>
            </w:r>
          </w:p>
        </w:tc>
        <w:tc>
          <w:tcPr>
            <w:tcW w:w="1080" w:type="dxa"/>
            <w:vAlign w:val="bottom"/>
            <w:tcBorders>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0</w:t>
            </w:r>
          </w:p>
        </w:tc>
        <w:tc>
          <w:tcPr>
            <w:tcW w:w="1220" w:type="dxa"/>
            <w:vAlign w:val="bottom"/>
            <w:tcBorders>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0</w:t>
            </w:r>
          </w:p>
        </w:tc>
        <w:tc>
          <w:tcPr>
            <w:tcW w:w="1900" w:type="dxa"/>
            <w:vAlign w:val="bottom"/>
            <w:tcBorders>
              <w:bottom w:val="single" w:sz="8" w:color="051D49"/>
            </w:tcBorders>
          </w:tcPr>
          <w:p>
            <w:pPr>
              <w:jc w:val="right"/>
              <w:ind w:right="365"/>
              <w:spacing w:after="0" w:line="154" w:lineRule="exact"/>
              <w:rPr>
                <w:sz w:val="20"/>
                <w:szCs w:val="20"/>
                <w:color w:val="auto"/>
              </w:rPr>
            </w:pPr>
            <w:r>
              <w:rPr>
                <w:rFonts w:ascii="Arial" w:cs="Arial" w:eastAsia="Arial" w:hAnsi="Arial"/>
                <w:sz w:val="15"/>
                <w:szCs w:val="15"/>
                <w:color w:val="auto"/>
              </w:rPr>
              <w:t>0</w:t>
            </w:r>
          </w:p>
        </w:tc>
      </w:tr>
      <w:tr>
        <w:trPr>
          <w:trHeight w:val="154"/>
        </w:trPr>
        <w:tc>
          <w:tcPr>
            <w:tcW w:w="5600" w:type="dxa"/>
            <w:vAlign w:val="bottom"/>
            <w:tcBorders>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Hispanic or Latinx</w:t>
            </w:r>
          </w:p>
        </w:tc>
        <w:tc>
          <w:tcPr>
            <w:tcW w:w="1120" w:type="dxa"/>
            <w:vAlign w:val="bottom"/>
            <w:tcBorders>
              <w:bottom w:val="single" w:sz="8" w:color="051D49"/>
            </w:tcBorders>
          </w:tcPr>
          <w:p>
            <w:pPr>
              <w:jc w:val="right"/>
              <w:ind w:right="285"/>
              <w:spacing w:after="0" w:line="154" w:lineRule="exact"/>
              <w:rPr>
                <w:sz w:val="20"/>
                <w:szCs w:val="20"/>
                <w:color w:val="auto"/>
              </w:rPr>
            </w:pPr>
            <w:r>
              <w:rPr>
                <w:rFonts w:ascii="Arial" w:cs="Arial" w:eastAsia="Arial" w:hAnsi="Arial"/>
                <w:sz w:val="15"/>
                <w:szCs w:val="15"/>
                <w:color w:val="auto"/>
              </w:rPr>
              <w:t>1</w:t>
            </w:r>
          </w:p>
        </w:tc>
        <w:tc>
          <w:tcPr>
            <w:tcW w:w="1080" w:type="dxa"/>
            <w:vAlign w:val="bottom"/>
            <w:tcBorders>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0</w:t>
            </w:r>
          </w:p>
        </w:tc>
        <w:tc>
          <w:tcPr>
            <w:tcW w:w="1220" w:type="dxa"/>
            <w:vAlign w:val="bottom"/>
            <w:tcBorders>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0</w:t>
            </w:r>
          </w:p>
        </w:tc>
        <w:tc>
          <w:tcPr>
            <w:tcW w:w="1900" w:type="dxa"/>
            <w:vAlign w:val="bottom"/>
            <w:tcBorders>
              <w:bottom w:val="single" w:sz="8" w:color="051D49"/>
            </w:tcBorders>
          </w:tcPr>
          <w:p>
            <w:pPr>
              <w:jc w:val="right"/>
              <w:ind w:right="365"/>
              <w:spacing w:after="0" w:line="154" w:lineRule="exact"/>
              <w:rPr>
                <w:sz w:val="20"/>
                <w:szCs w:val="20"/>
                <w:color w:val="auto"/>
              </w:rPr>
            </w:pPr>
            <w:r>
              <w:rPr>
                <w:rFonts w:ascii="Arial" w:cs="Arial" w:eastAsia="Arial" w:hAnsi="Arial"/>
                <w:sz w:val="15"/>
                <w:szCs w:val="15"/>
                <w:color w:val="auto"/>
              </w:rPr>
              <w:t>0</w:t>
            </w:r>
          </w:p>
        </w:tc>
      </w:tr>
      <w:tr>
        <w:trPr>
          <w:trHeight w:val="154"/>
        </w:trPr>
        <w:tc>
          <w:tcPr>
            <w:tcW w:w="5600" w:type="dxa"/>
            <w:vAlign w:val="bottom"/>
            <w:tcBorders>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Native Hawaiian or Pacific Islander</w:t>
            </w:r>
          </w:p>
        </w:tc>
        <w:tc>
          <w:tcPr>
            <w:tcW w:w="1120" w:type="dxa"/>
            <w:vAlign w:val="bottom"/>
            <w:tcBorders>
              <w:bottom w:val="single" w:sz="8" w:color="051D49"/>
            </w:tcBorders>
          </w:tcPr>
          <w:p>
            <w:pPr>
              <w:jc w:val="right"/>
              <w:ind w:right="285"/>
              <w:spacing w:after="0" w:line="154" w:lineRule="exact"/>
              <w:rPr>
                <w:sz w:val="20"/>
                <w:szCs w:val="20"/>
                <w:color w:val="auto"/>
              </w:rPr>
            </w:pPr>
            <w:r>
              <w:rPr>
                <w:rFonts w:ascii="Arial" w:cs="Arial" w:eastAsia="Arial" w:hAnsi="Arial"/>
                <w:sz w:val="15"/>
                <w:szCs w:val="15"/>
                <w:color w:val="auto"/>
              </w:rPr>
              <w:t>0</w:t>
            </w:r>
          </w:p>
        </w:tc>
        <w:tc>
          <w:tcPr>
            <w:tcW w:w="1080" w:type="dxa"/>
            <w:vAlign w:val="bottom"/>
            <w:tcBorders>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0</w:t>
            </w:r>
          </w:p>
        </w:tc>
        <w:tc>
          <w:tcPr>
            <w:tcW w:w="1220" w:type="dxa"/>
            <w:vAlign w:val="bottom"/>
            <w:tcBorders>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0</w:t>
            </w:r>
          </w:p>
        </w:tc>
        <w:tc>
          <w:tcPr>
            <w:tcW w:w="1900" w:type="dxa"/>
            <w:vAlign w:val="bottom"/>
            <w:tcBorders>
              <w:bottom w:val="single" w:sz="8" w:color="051D49"/>
            </w:tcBorders>
          </w:tcPr>
          <w:p>
            <w:pPr>
              <w:jc w:val="right"/>
              <w:ind w:right="365"/>
              <w:spacing w:after="0" w:line="154" w:lineRule="exact"/>
              <w:rPr>
                <w:sz w:val="20"/>
                <w:szCs w:val="20"/>
                <w:color w:val="auto"/>
              </w:rPr>
            </w:pPr>
            <w:r>
              <w:rPr>
                <w:rFonts w:ascii="Arial" w:cs="Arial" w:eastAsia="Arial" w:hAnsi="Arial"/>
                <w:sz w:val="15"/>
                <w:szCs w:val="15"/>
                <w:color w:val="auto"/>
              </w:rPr>
              <w:t>0</w:t>
            </w:r>
          </w:p>
        </w:tc>
      </w:tr>
      <w:tr>
        <w:trPr>
          <w:trHeight w:val="154"/>
        </w:trPr>
        <w:tc>
          <w:tcPr>
            <w:tcW w:w="5600" w:type="dxa"/>
            <w:vAlign w:val="bottom"/>
            <w:tcBorders>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White</w:t>
            </w:r>
          </w:p>
        </w:tc>
        <w:tc>
          <w:tcPr>
            <w:tcW w:w="1120" w:type="dxa"/>
            <w:vAlign w:val="bottom"/>
            <w:tcBorders>
              <w:bottom w:val="single" w:sz="8" w:color="051D49"/>
            </w:tcBorders>
          </w:tcPr>
          <w:p>
            <w:pPr>
              <w:jc w:val="right"/>
              <w:ind w:right="285"/>
              <w:spacing w:after="0" w:line="154" w:lineRule="exact"/>
              <w:rPr>
                <w:sz w:val="20"/>
                <w:szCs w:val="20"/>
                <w:color w:val="auto"/>
              </w:rPr>
            </w:pPr>
            <w:r>
              <w:rPr>
                <w:rFonts w:ascii="Arial" w:cs="Arial" w:eastAsia="Arial" w:hAnsi="Arial"/>
                <w:sz w:val="15"/>
                <w:szCs w:val="15"/>
                <w:color w:val="auto"/>
              </w:rPr>
              <w:t>6</w:t>
            </w:r>
          </w:p>
        </w:tc>
        <w:tc>
          <w:tcPr>
            <w:tcW w:w="1080" w:type="dxa"/>
            <w:vAlign w:val="bottom"/>
            <w:tcBorders>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3</w:t>
            </w:r>
          </w:p>
        </w:tc>
        <w:tc>
          <w:tcPr>
            <w:tcW w:w="1220" w:type="dxa"/>
            <w:vAlign w:val="bottom"/>
            <w:tcBorders>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0</w:t>
            </w:r>
          </w:p>
        </w:tc>
        <w:tc>
          <w:tcPr>
            <w:tcW w:w="1900" w:type="dxa"/>
            <w:vAlign w:val="bottom"/>
            <w:tcBorders>
              <w:bottom w:val="single" w:sz="8" w:color="051D49"/>
            </w:tcBorders>
          </w:tcPr>
          <w:p>
            <w:pPr>
              <w:jc w:val="right"/>
              <w:ind w:right="365"/>
              <w:spacing w:after="0" w:line="154" w:lineRule="exact"/>
              <w:rPr>
                <w:sz w:val="20"/>
                <w:szCs w:val="20"/>
                <w:color w:val="auto"/>
              </w:rPr>
            </w:pPr>
            <w:r>
              <w:rPr>
                <w:rFonts w:ascii="Arial" w:cs="Arial" w:eastAsia="Arial" w:hAnsi="Arial"/>
                <w:sz w:val="15"/>
                <w:szCs w:val="15"/>
                <w:color w:val="auto"/>
              </w:rPr>
              <w:t>0</w:t>
            </w:r>
          </w:p>
        </w:tc>
      </w:tr>
      <w:tr>
        <w:trPr>
          <w:trHeight w:val="154"/>
        </w:trPr>
        <w:tc>
          <w:tcPr>
            <w:tcW w:w="5600" w:type="dxa"/>
            <w:vAlign w:val="bottom"/>
            <w:tcBorders>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Two or More Races or Ethnicities</w:t>
            </w:r>
          </w:p>
        </w:tc>
        <w:tc>
          <w:tcPr>
            <w:tcW w:w="1120" w:type="dxa"/>
            <w:vAlign w:val="bottom"/>
            <w:tcBorders>
              <w:bottom w:val="single" w:sz="8" w:color="051D49"/>
            </w:tcBorders>
          </w:tcPr>
          <w:p>
            <w:pPr>
              <w:jc w:val="right"/>
              <w:ind w:right="285"/>
              <w:spacing w:after="0" w:line="154" w:lineRule="exact"/>
              <w:rPr>
                <w:sz w:val="20"/>
                <w:szCs w:val="20"/>
                <w:color w:val="auto"/>
              </w:rPr>
            </w:pPr>
            <w:r>
              <w:rPr>
                <w:rFonts w:ascii="Arial" w:cs="Arial" w:eastAsia="Arial" w:hAnsi="Arial"/>
                <w:sz w:val="15"/>
                <w:szCs w:val="15"/>
                <w:color w:val="auto"/>
              </w:rPr>
              <w:t>0</w:t>
            </w:r>
          </w:p>
        </w:tc>
        <w:tc>
          <w:tcPr>
            <w:tcW w:w="1080" w:type="dxa"/>
            <w:vAlign w:val="bottom"/>
            <w:tcBorders>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0</w:t>
            </w:r>
          </w:p>
        </w:tc>
        <w:tc>
          <w:tcPr>
            <w:tcW w:w="1220" w:type="dxa"/>
            <w:vAlign w:val="bottom"/>
            <w:tcBorders>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0</w:t>
            </w:r>
          </w:p>
        </w:tc>
        <w:tc>
          <w:tcPr>
            <w:tcW w:w="1900" w:type="dxa"/>
            <w:vAlign w:val="bottom"/>
            <w:tcBorders>
              <w:bottom w:val="single" w:sz="8" w:color="051D49"/>
            </w:tcBorders>
          </w:tcPr>
          <w:p>
            <w:pPr>
              <w:jc w:val="right"/>
              <w:ind w:right="365"/>
              <w:spacing w:after="0" w:line="154" w:lineRule="exact"/>
              <w:rPr>
                <w:sz w:val="20"/>
                <w:szCs w:val="20"/>
                <w:color w:val="auto"/>
              </w:rPr>
            </w:pPr>
            <w:r>
              <w:rPr>
                <w:rFonts w:ascii="Arial" w:cs="Arial" w:eastAsia="Arial" w:hAnsi="Arial"/>
                <w:sz w:val="15"/>
                <w:szCs w:val="15"/>
                <w:color w:val="auto"/>
              </w:rPr>
              <w:t>0</w:t>
            </w:r>
          </w:p>
        </w:tc>
      </w:tr>
      <w:tr>
        <w:trPr>
          <w:trHeight w:val="154"/>
        </w:trPr>
        <w:tc>
          <w:tcPr>
            <w:tcW w:w="5600" w:type="dxa"/>
            <w:vAlign w:val="bottom"/>
            <w:tcBorders>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LGBTQ+</w:t>
            </w:r>
          </w:p>
        </w:tc>
        <w:tc>
          <w:tcPr>
            <w:tcW w:w="1120" w:type="dxa"/>
            <w:vAlign w:val="bottom"/>
            <w:tcBorders>
              <w:bottom w:val="single" w:sz="8" w:color="051D49"/>
            </w:tcBorders>
          </w:tcPr>
          <w:p>
            <w:pPr>
              <w:jc w:val="right"/>
              <w:ind w:right="285"/>
              <w:spacing w:after="0" w:line="154" w:lineRule="exact"/>
              <w:rPr>
                <w:sz w:val="20"/>
                <w:szCs w:val="20"/>
                <w:color w:val="auto"/>
              </w:rPr>
            </w:pPr>
            <w:r>
              <w:rPr>
                <w:rFonts w:ascii="Arial" w:cs="Arial" w:eastAsia="Arial" w:hAnsi="Arial"/>
                <w:sz w:val="15"/>
                <w:szCs w:val="15"/>
                <w:color w:val="auto"/>
              </w:rPr>
              <w:t>1</w:t>
            </w:r>
          </w:p>
        </w:tc>
        <w:tc>
          <w:tcPr>
            <w:tcW w:w="1080" w:type="dxa"/>
            <w:vAlign w:val="bottom"/>
            <w:tcBorders>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1</w:t>
            </w:r>
          </w:p>
        </w:tc>
        <w:tc>
          <w:tcPr>
            <w:tcW w:w="1220" w:type="dxa"/>
            <w:vAlign w:val="bottom"/>
            <w:tcBorders>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0</w:t>
            </w:r>
          </w:p>
        </w:tc>
        <w:tc>
          <w:tcPr>
            <w:tcW w:w="1900" w:type="dxa"/>
            <w:vAlign w:val="bottom"/>
            <w:tcBorders>
              <w:bottom w:val="single" w:sz="8" w:color="051D49"/>
            </w:tcBorders>
          </w:tcPr>
          <w:p>
            <w:pPr>
              <w:jc w:val="right"/>
              <w:ind w:right="365"/>
              <w:spacing w:after="0" w:line="154" w:lineRule="exact"/>
              <w:rPr>
                <w:sz w:val="20"/>
                <w:szCs w:val="20"/>
                <w:color w:val="auto"/>
              </w:rPr>
            </w:pPr>
            <w:r>
              <w:rPr>
                <w:rFonts w:ascii="Arial" w:cs="Arial" w:eastAsia="Arial" w:hAnsi="Arial"/>
                <w:sz w:val="15"/>
                <w:szCs w:val="15"/>
                <w:color w:val="auto"/>
              </w:rPr>
              <w:t>0</w:t>
            </w:r>
          </w:p>
        </w:tc>
      </w:tr>
      <w:tr>
        <w:trPr>
          <w:trHeight w:val="154"/>
        </w:trPr>
        <w:tc>
          <w:tcPr>
            <w:tcW w:w="5600" w:type="dxa"/>
            <w:vAlign w:val="bottom"/>
            <w:tcBorders>
              <w:bottom w:val="single" w:sz="8" w:color="051D49"/>
            </w:tcBorders>
          </w:tcPr>
          <w:p>
            <w:pPr>
              <w:ind w:left="60"/>
              <w:spacing w:after="0" w:line="154" w:lineRule="exact"/>
              <w:rPr>
                <w:sz w:val="20"/>
                <w:szCs w:val="20"/>
                <w:color w:val="auto"/>
              </w:rPr>
            </w:pPr>
            <w:r>
              <w:rPr>
                <w:rFonts w:ascii="Arial" w:cs="Arial" w:eastAsia="Arial" w:hAnsi="Arial"/>
                <w:sz w:val="15"/>
                <w:szCs w:val="15"/>
                <w:color w:val="auto"/>
              </w:rPr>
              <w:t>Did Not Disclose Demographic Background</w:t>
            </w:r>
          </w:p>
        </w:tc>
        <w:tc>
          <w:tcPr>
            <w:tcW w:w="1120" w:type="dxa"/>
            <w:vAlign w:val="bottom"/>
            <w:tcBorders>
              <w:bottom w:val="single" w:sz="8" w:color="051D49"/>
            </w:tcBorders>
          </w:tcPr>
          <w:p>
            <w:pPr>
              <w:jc w:val="right"/>
              <w:ind w:right="285"/>
              <w:spacing w:after="0" w:line="154" w:lineRule="exact"/>
              <w:rPr>
                <w:sz w:val="20"/>
                <w:szCs w:val="20"/>
                <w:color w:val="auto"/>
              </w:rPr>
            </w:pPr>
            <w:r>
              <w:rPr>
                <w:rFonts w:ascii="Arial" w:cs="Arial" w:eastAsia="Arial" w:hAnsi="Arial"/>
                <w:sz w:val="15"/>
                <w:szCs w:val="15"/>
                <w:color w:val="auto"/>
              </w:rPr>
              <w:t>0</w:t>
            </w:r>
          </w:p>
        </w:tc>
        <w:tc>
          <w:tcPr>
            <w:tcW w:w="1080" w:type="dxa"/>
            <w:vAlign w:val="bottom"/>
            <w:tcBorders>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0</w:t>
            </w:r>
          </w:p>
        </w:tc>
        <w:tc>
          <w:tcPr>
            <w:tcW w:w="1220" w:type="dxa"/>
            <w:vAlign w:val="bottom"/>
            <w:tcBorders>
              <w:bottom w:val="single" w:sz="8" w:color="051D49"/>
            </w:tcBorders>
          </w:tcPr>
          <w:p>
            <w:pPr>
              <w:jc w:val="right"/>
              <w:ind w:right="325"/>
              <w:spacing w:after="0" w:line="154" w:lineRule="exact"/>
              <w:rPr>
                <w:sz w:val="20"/>
                <w:szCs w:val="20"/>
                <w:color w:val="auto"/>
              </w:rPr>
            </w:pPr>
            <w:r>
              <w:rPr>
                <w:rFonts w:ascii="Arial" w:cs="Arial" w:eastAsia="Arial" w:hAnsi="Arial"/>
                <w:sz w:val="15"/>
                <w:szCs w:val="15"/>
                <w:color w:val="auto"/>
              </w:rPr>
              <w:t>0</w:t>
            </w:r>
          </w:p>
        </w:tc>
        <w:tc>
          <w:tcPr>
            <w:tcW w:w="1900" w:type="dxa"/>
            <w:vAlign w:val="bottom"/>
            <w:tcBorders>
              <w:bottom w:val="single" w:sz="8" w:color="051D49"/>
            </w:tcBorders>
          </w:tcPr>
          <w:p>
            <w:pPr>
              <w:jc w:val="right"/>
              <w:ind w:right="365"/>
              <w:spacing w:after="0" w:line="154" w:lineRule="exact"/>
              <w:rPr>
                <w:sz w:val="20"/>
                <w:szCs w:val="20"/>
                <w:color w:val="auto"/>
              </w:rPr>
            </w:pPr>
            <w:r>
              <w:rPr>
                <w:rFonts w:ascii="Arial" w:cs="Arial" w:eastAsia="Arial" w:hAnsi="Arial"/>
                <w:sz w:val="15"/>
                <w:szCs w:val="15"/>
                <w:color w:val="auto"/>
              </w:rPr>
              <w:t>0</w:t>
            </w:r>
          </w:p>
        </w:tc>
      </w:tr>
    </w:tbl>
    <w:p>
      <w:pPr>
        <w:spacing w:after="0" w:line="195"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i w:val="1"/>
          <w:iCs w:val="1"/>
          <w:color w:val="auto"/>
        </w:rPr>
        <w:t xml:space="preserve">Stockholder Recommendations for Director. </w:t>
      </w:r>
      <w:r>
        <w:rPr>
          <w:rFonts w:ascii="Arial" w:cs="Arial" w:eastAsia="Arial" w:hAnsi="Arial"/>
          <w:sz w:val="18"/>
          <w:szCs w:val="18"/>
          <w:color w:val="auto"/>
        </w:rPr>
        <w:t>The Committee will consider candidates for director recommended by our stockholders. All</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recommendations by stockholders for potential director candidates must include written materials with respect to the potential candidate and be sent to Christa A. D’Alimonte, Executive Vice President, General Counsel and Secretary, Paramount Global, 1515 Broadway, New York, NY 10036-5794. Our Guidelines and Nominating and Governance Committee Charter set forth certain criteria for director qualifications and Board composition that stockholders should consider when making a recommendation. These criteria include an expectation that directors have substantial accomplishments in their professional backgrounds, are able to make independent, analytical inquiries, and exhibit practical wisdom and mature judgment. Our directors should also possess the highest personal and professional ethics, integrity and values and be committed to promoting the long-term interests of our stockholders. Director candidates recommended by stockholders who meet the director qualifications, which are described more fully in our Guidelines and Nominating and Governance Committee Charter, will be considered by the Chair of the Committee, who will present the information on the candidate to the entire Committee. Director candidates recommended by stockholders will be considered by the Committee in the same manner as any other candidate.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STOCKHOLDER OUTREACH</w:t>
      </w:r>
    </w:p>
    <w:p>
      <w:pPr>
        <w:spacing w:after="0" w:line="94"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color w:val="auto"/>
        </w:rPr>
        <w:t>Our management, including through its investor relations program, conducts stockholder outreach throughout the year to inform our management and Board about the issues that matter most to stockholders. The stockholder outreach efforts include in person and virtual meetings between management and individual and group investors and management presentations at investor and industry conferences, including question-and-answer sessions, on a regular basis. The investor relations group also responds to retail investor email and telephone inquiries, providing access to our representatives and a forum for providing feedback. Our investor relations team, certain NEOs and/or other members of management and operating executives meet with our largest investors throughout the year, and management reports to the Board regularly on stockholder engagement efforts.</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COMMUNICATIONS WITH DIRECTORS</w:t>
      </w:r>
    </w:p>
    <w:p>
      <w:pPr>
        <w:spacing w:after="0" w:line="94" w:lineRule="exact"/>
        <w:rPr>
          <w:sz w:val="20"/>
          <w:szCs w:val="20"/>
          <w:color w:val="auto"/>
        </w:rPr>
      </w:pPr>
    </w:p>
    <w:p>
      <w:pPr>
        <w:ind w:left="160" w:right="540"/>
        <w:spacing w:after="0"/>
        <w:rPr>
          <w:sz w:val="20"/>
          <w:szCs w:val="20"/>
          <w:color w:val="auto"/>
        </w:rPr>
      </w:pPr>
      <w:r>
        <w:rPr>
          <w:rFonts w:ascii="Arial" w:cs="Arial" w:eastAsia="Arial" w:hAnsi="Arial"/>
          <w:sz w:val="18"/>
          <w:szCs w:val="18"/>
          <w:color w:val="auto"/>
        </w:rPr>
        <w:t>Stockholders and other parties interested in contacting our non-management directors may send an email to nonmanagementdirectors@viacomcbs.com or write to Paramount Global, 1515 Broadway, New York, NY 10036-5794, Attention: Non-Management Directors – 52</w:t>
      </w:r>
      <w:r>
        <w:rPr>
          <w:rFonts w:ascii="Arial" w:cs="Arial" w:eastAsia="Arial" w:hAnsi="Arial"/>
          <w:sz w:val="15"/>
          <w:szCs w:val="15"/>
          <w:color w:val="auto"/>
        </w:rPr>
        <w:t>nd</w:t>
      </w:r>
      <w:r>
        <w:rPr>
          <w:rFonts w:ascii="Arial" w:cs="Arial" w:eastAsia="Arial" w:hAnsi="Arial"/>
          <w:sz w:val="18"/>
          <w:szCs w:val="18"/>
          <w:color w:val="auto"/>
        </w:rPr>
        <w:t xml:space="preserve"> Floor. The non-management directors’ contact information is also available on the “Investors— Shareholder Services, Alerts, &amp; FAQs” page of our website at ir.paramount.com. The non-management directors have approved the process for handling communications received in this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29755" cy="2374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12"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18</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80"/>
          </w:cols>
          <w:pgMar w:left="320" w:top="454" w:right="4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8860"/>
        <w:spacing w:after="0"/>
        <w:rPr>
          <w:sz w:val="20"/>
          <w:szCs w:val="20"/>
          <w:color w:val="auto"/>
        </w:rPr>
      </w:pPr>
      <w:r>
        <w:rPr>
          <w:rFonts w:ascii="Arial" w:cs="Arial" w:eastAsia="Arial" w:hAnsi="Arial"/>
          <w:sz w:val="15"/>
          <w:szCs w:val="15"/>
          <w:color w:val="auto"/>
        </w:rPr>
        <w:t>OUR BOARD OF DIRECTORS</w:t>
      </w:r>
    </w:p>
    <w:p>
      <w:pPr>
        <w:spacing w:after="0" w:line="157"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Stockholders should also use the email and mailing address for the non-management directors to send communications to the Board. The process for handling stockholder communications to the Board received in this manner has been approved by the independent directors of the Board. Correspondence relating to accounting or auditing matters will be handled in accordance with procedures established by the Audit Committee for such matters.</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COMPENSATION COMMITTEE INTERLOCKS AND INSIDER PARTICIPATION</w:t>
      </w:r>
    </w:p>
    <w:p>
      <w:pPr>
        <w:spacing w:after="0" w:line="94" w:lineRule="exact"/>
        <w:rPr>
          <w:sz w:val="20"/>
          <w:szCs w:val="20"/>
          <w:color w:val="auto"/>
        </w:rPr>
      </w:pPr>
    </w:p>
    <w:p>
      <w:pPr>
        <w:ind w:left="160" w:right="180"/>
        <w:spacing w:after="0" w:line="249" w:lineRule="auto"/>
        <w:rPr>
          <w:sz w:val="20"/>
          <w:szCs w:val="20"/>
          <w:color w:val="auto"/>
        </w:rPr>
      </w:pPr>
      <w:r>
        <w:rPr>
          <w:rFonts w:ascii="Arial" w:cs="Arial" w:eastAsia="Arial" w:hAnsi="Arial"/>
          <w:sz w:val="18"/>
          <w:szCs w:val="18"/>
          <w:color w:val="auto"/>
        </w:rPr>
        <w:t>None of the members of the Compensation Committee during fiscal year 2021 was, or has ever been, an officer or employee of the Company, and, during fiscal year 2021, no executive officer of the Company served on the board and/or compensation committee of any company that employed as an executive officer any member of our Board and/or Compensation Committee.</w:t>
      </w:r>
    </w:p>
    <w:p>
      <w:pPr>
        <w:spacing w:after="0" w:line="124"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19</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jc w:val="center"/>
        <w:ind w:left="480" w:right="940"/>
        <w:spacing w:after="0" w:line="284" w:lineRule="auto"/>
        <w:rPr>
          <w:sz w:val="20"/>
          <w:szCs w:val="20"/>
          <w:color w:val="auto"/>
        </w:rPr>
      </w:pPr>
      <w:r>
        <w:rPr>
          <w:rFonts w:ascii="Arial" w:cs="Arial" w:eastAsia="Arial" w:hAnsi="Arial"/>
          <w:sz w:val="36"/>
          <w:szCs w:val="36"/>
          <w:b w:val="1"/>
          <w:bCs w:val="1"/>
          <w:color w:val="051D49"/>
        </w:rPr>
        <w:t>Security Ownership of Certain Beneficial Owners and Management</w:t>
      </w:r>
    </w:p>
    <w:p>
      <w:pPr>
        <w:spacing w:after="0" w:line="82" w:lineRule="exact"/>
        <w:rPr>
          <w:sz w:val="20"/>
          <w:szCs w:val="20"/>
          <w:color w:val="auto"/>
        </w:rPr>
      </w:pPr>
    </w:p>
    <w:p>
      <w:pPr>
        <w:ind w:left="160" w:right="140"/>
        <w:spacing w:after="0" w:line="239" w:lineRule="auto"/>
        <w:rPr>
          <w:sz w:val="20"/>
          <w:szCs w:val="20"/>
          <w:color w:val="auto"/>
        </w:rPr>
      </w:pPr>
      <w:r>
        <w:rPr>
          <w:rFonts w:ascii="Arial" w:cs="Arial" w:eastAsia="Arial" w:hAnsi="Arial"/>
          <w:sz w:val="18"/>
          <w:szCs w:val="18"/>
          <w:color w:val="auto"/>
        </w:rPr>
        <w:t>The table below sets forth as of March 15, 2022 information concerning the beneficial ownership of our Class A and Class B Common Stock by (i) each current director and director nominee, (ii) each NEO and (iii) our current directors and executive officers as a group. Each person has sole voting and investment power over the shares reported, except as noted. Also set forth below is information concerning the beneficial ownership by each person, or group of affiliated persons, who is known by us to beneficially own more than 5% of our Class A Common Stock. As of March 15, 2022, there were 40,707,144 shares of our Class A Common Stock outstanding and 608,219,814 shares of our Class B Common Stock outstanding.</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259"/>
        </w:trPr>
        <w:tc>
          <w:tcPr>
            <w:tcW w:w="520" w:type="dxa"/>
            <w:vAlign w:val="bottom"/>
            <w:tcBorders>
              <w:bottom w:val="single" w:sz="8" w:color="EAEAEA"/>
            </w:tcBorders>
            <w:shd w:val="clear" w:color="auto" w:fill="EAEAEA"/>
          </w:tcPr>
          <w:p>
            <w:pPr>
              <w:spacing w:after="0"/>
              <w:rPr>
                <w:sz w:val="22"/>
                <w:szCs w:val="22"/>
                <w:color w:val="auto"/>
              </w:rPr>
            </w:pPr>
          </w:p>
        </w:tc>
        <w:tc>
          <w:tcPr>
            <w:tcW w:w="5960" w:type="dxa"/>
            <w:vAlign w:val="bottom"/>
            <w:tcBorders>
              <w:bottom w:val="single" w:sz="8" w:color="EAEAEA"/>
            </w:tcBorders>
            <w:shd w:val="clear" w:color="auto" w:fill="EAEAEA"/>
          </w:tcPr>
          <w:p>
            <w:pPr>
              <w:spacing w:after="0"/>
              <w:rPr>
                <w:sz w:val="22"/>
                <w:szCs w:val="22"/>
                <w:color w:val="auto"/>
              </w:rPr>
            </w:pPr>
          </w:p>
        </w:tc>
        <w:tc>
          <w:tcPr>
            <w:tcW w:w="3660" w:type="dxa"/>
            <w:vAlign w:val="bottom"/>
            <w:tcBorders>
              <w:bottom w:val="single" w:sz="8" w:color="EAEAEA"/>
            </w:tcBorders>
            <w:gridSpan w:val="3"/>
            <w:shd w:val="clear" w:color="auto" w:fill="EAEAEA"/>
          </w:tcPr>
          <w:p>
            <w:pPr>
              <w:jc w:val="right"/>
              <w:ind w:right="16"/>
              <w:spacing w:after="0"/>
              <w:rPr>
                <w:sz w:val="20"/>
                <w:szCs w:val="20"/>
                <w:color w:val="auto"/>
              </w:rPr>
            </w:pPr>
            <w:r>
              <w:rPr>
                <w:rFonts w:ascii="Arial" w:cs="Arial" w:eastAsia="Arial" w:hAnsi="Arial"/>
                <w:sz w:val="14"/>
                <w:szCs w:val="14"/>
                <w:color w:val="051D49"/>
              </w:rPr>
              <w:t>Beneficial Ownership of Equity Securities</w:t>
            </w:r>
          </w:p>
        </w:tc>
        <w:tc>
          <w:tcPr>
            <w:tcW w:w="78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520" w:type="dxa"/>
            <w:vAlign w:val="bottom"/>
            <w:tcBorders>
              <w:top w:val="single" w:sz="8" w:color="EAEAEA"/>
            </w:tcBorders>
            <w:shd w:val="clear" w:color="auto" w:fill="EAEAEA"/>
          </w:tcPr>
          <w:p>
            <w:pPr>
              <w:spacing w:after="0"/>
              <w:rPr>
                <w:sz w:val="13"/>
                <w:szCs w:val="13"/>
                <w:color w:val="auto"/>
              </w:rPr>
            </w:pPr>
          </w:p>
        </w:tc>
        <w:tc>
          <w:tcPr>
            <w:tcW w:w="5960" w:type="dxa"/>
            <w:vAlign w:val="bottom"/>
            <w:tcBorders>
              <w:top w:val="single" w:sz="8" w:color="EAEAEA"/>
            </w:tcBorders>
            <w:shd w:val="clear" w:color="auto" w:fill="EAEAEA"/>
          </w:tcPr>
          <w:p>
            <w:pPr>
              <w:spacing w:after="0"/>
              <w:rPr>
                <w:sz w:val="13"/>
                <w:szCs w:val="13"/>
                <w:color w:val="auto"/>
              </w:rPr>
            </w:pPr>
          </w:p>
        </w:tc>
        <w:tc>
          <w:tcPr>
            <w:tcW w:w="1500" w:type="dxa"/>
            <w:vAlign w:val="bottom"/>
            <w:tcBorders>
              <w:top w:val="single" w:sz="8" w:color="051D49"/>
            </w:tcBorders>
            <w:shd w:val="clear" w:color="auto" w:fill="EAEAEA"/>
          </w:tcPr>
          <w:p>
            <w:pPr>
              <w:spacing w:after="0"/>
              <w:rPr>
                <w:sz w:val="13"/>
                <w:szCs w:val="13"/>
                <w:color w:val="auto"/>
              </w:rPr>
            </w:pPr>
          </w:p>
        </w:tc>
        <w:tc>
          <w:tcPr>
            <w:tcW w:w="1300" w:type="dxa"/>
            <w:vAlign w:val="bottom"/>
            <w:tcBorders>
              <w:top w:val="single" w:sz="8" w:color="051D49"/>
            </w:tcBorders>
            <w:shd w:val="clear" w:color="auto" w:fill="EAEAEA"/>
          </w:tcPr>
          <w:p>
            <w:pPr>
              <w:spacing w:after="0"/>
              <w:rPr>
                <w:sz w:val="13"/>
                <w:szCs w:val="13"/>
                <w:color w:val="auto"/>
              </w:rPr>
            </w:pPr>
          </w:p>
        </w:tc>
        <w:tc>
          <w:tcPr>
            <w:tcW w:w="860" w:type="dxa"/>
            <w:vAlign w:val="bottom"/>
            <w:tcBorders>
              <w:top w:val="single" w:sz="8" w:color="051D49"/>
            </w:tcBorders>
            <w:shd w:val="clear" w:color="auto" w:fill="EAEAEA"/>
          </w:tcPr>
          <w:p>
            <w:pPr>
              <w:spacing w:after="0"/>
              <w:rPr>
                <w:sz w:val="13"/>
                <w:szCs w:val="13"/>
                <w:color w:val="auto"/>
              </w:rPr>
            </w:pPr>
          </w:p>
        </w:tc>
        <w:tc>
          <w:tcPr>
            <w:tcW w:w="780" w:type="dxa"/>
            <w:vAlign w:val="bottom"/>
            <w:tcBorders>
              <w:top w:val="single" w:sz="8" w:color="051D49"/>
            </w:tcBorders>
            <w:shd w:val="clear" w:color="auto" w:fill="EAEAEA"/>
          </w:tcPr>
          <w:p>
            <w:pPr>
              <w:ind w:left="80"/>
              <w:spacing w:after="0" w:line="158" w:lineRule="exact"/>
              <w:rPr>
                <w:sz w:val="20"/>
                <w:szCs w:val="20"/>
                <w:color w:val="auto"/>
              </w:rPr>
            </w:pPr>
            <w:r>
              <w:rPr>
                <w:rFonts w:ascii="Arial" w:cs="Arial" w:eastAsia="Arial" w:hAnsi="Arial"/>
                <w:sz w:val="14"/>
                <w:szCs w:val="14"/>
                <w:color w:val="051D49"/>
              </w:rPr>
              <w:t>Percent</w:t>
            </w:r>
          </w:p>
        </w:tc>
        <w:tc>
          <w:tcPr>
            <w:tcW w:w="0" w:type="dxa"/>
            <w:vAlign w:val="bottom"/>
          </w:tcPr>
          <w:p>
            <w:pPr>
              <w:spacing w:after="0"/>
              <w:rPr>
                <w:sz w:val="1"/>
                <w:szCs w:val="1"/>
                <w:color w:val="auto"/>
              </w:rPr>
            </w:pPr>
          </w:p>
        </w:tc>
      </w:tr>
      <w:tr>
        <w:trPr>
          <w:trHeight w:val="217"/>
        </w:trPr>
        <w:tc>
          <w:tcPr>
            <w:tcW w:w="5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color w:val="051D49"/>
              </w:rPr>
              <w:t>Name</w:t>
            </w:r>
          </w:p>
        </w:tc>
        <w:tc>
          <w:tcPr>
            <w:tcW w:w="5960" w:type="dxa"/>
            <w:vAlign w:val="bottom"/>
            <w:tcBorders>
              <w:bottom w:val="single" w:sz="8" w:color="EAEAEA"/>
            </w:tcBorders>
            <w:shd w:val="clear" w:color="auto" w:fill="EAEAEA"/>
          </w:tcPr>
          <w:p>
            <w:pPr>
              <w:spacing w:after="0"/>
              <w:rPr>
                <w:sz w:val="18"/>
                <w:szCs w:val="18"/>
                <w:color w:val="auto"/>
              </w:rPr>
            </w:pPr>
          </w:p>
        </w:tc>
        <w:tc>
          <w:tcPr>
            <w:tcW w:w="1500" w:type="dxa"/>
            <w:vAlign w:val="bottom"/>
            <w:tcBorders>
              <w:bottom w:val="single" w:sz="8" w:color="EAEAEA"/>
            </w:tcBorders>
            <w:shd w:val="clear" w:color="auto" w:fill="EAEAEA"/>
          </w:tcPr>
          <w:p>
            <w:pPr>
              <w:jc w:val="right"/>
              <w:ind w:right="206"/>
              <w:spacing w:after="0"/>
              <w:rPr>
                <w:sz w:val="20"/>
                <w:szCs w:val="20"/>
                <w:color w:val="auto"/>
              </w:rPr>
            </w:pPr>
            <w:r>
              <w:rPr>
                <w:rFonts w:ascii="Arial" w:cs="Arial" w:eastAsia="Arial" w:hAnsi="Arial"/>
                <w:sz w:val="14"/>
                <w:szCs w:val="14"/>
                <w:color w:val="051D49"/>
              </w:rPr>
              <w:t>Title of Security</w:t>
            </w:r>
          </w:p>
        </w:tc>
        <w:tc>
          <w:tcPr>
            <w:tcW w:w="13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051D49"/>
              </w:rPr>
              <w:t>Number of Shares</w:t>
            </w:r>
          </w:p>
        </w:tc>
        <w:tc>
          <w:tcPr>
            <w:tcW w:w="860" w:type="dxa"/>
            <w:vAlign w:val="bottom"/>
            <w:tcBorders>
              <w:bottom w:val="single" w:sz="8" w:color="EAEAEA"/>
            </w:tcBorders>
            <w:shd w:val="clear" w:color="auto" w:fill="EAEAEA"/>
          </w:tcPr>
          <w:p>
            <w:pPr>
              <w:spacing w:after="0"/>
              <w:rPr>
                <w:sz w:val="18"/>
                <w:szCs w:val="18"/>
                <w:color w:val="auto"/>
              </w:rPr>
            </w:pPr>
          </w:p>
        </w:tc>
        <w:tc>
          <w:tcPr>
            <w:tcW w:w="78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color w:val="051D49"/>
              </w:rPr>
              <w:t>of Class</w:t>
            </w:r>
          </w:p>
        </w:tc>
        <w:tc>
          <w:tcPr>
            <w:tcW w:w="0" w:type="dxa"/>
            <w:vAlign w:val="bottom"/>
          </w:tcPr>
          <w:p>
            <w:pPr>
              <w:spacing w:after="0"/>
              <w:rPr>
                <w:sz w:val="1"/>
                <w:szCs w:val="1"/>
                <w:color w:val="auto"/>
              </w:rPr>
            </w:pPr>
          </w:p>
        </w:tc>
      </w:tr>
      <w:tr>
        <w:trPr>
          <w:trHeight w:val="208"/>
        </w:trPr>
        <w:tc>
          <w:tcPr>
            <w:tcW w:w="6480" w:type="dxa"/>
            <w:vAlign w:val="bottom"/>
            <w:gridSpan w:val="2"/>
          </w:tcPr>
          <w:p>
            <w:pPr>
              <w:ind w:left="60"/>
              <w:spacing w:after="0"/>
              <w:rPr>
                <w:sz w:val="20"/>
                <w:szCs w:val="20"/>
                <w:color w:val="auto"/>
              </w:rPr>
            </w:pPr>
            <w:r>
              <w:rPr>
                <w:rFonts w:ascii="Arial" w:cs="Arial" w:eastAsia="Arial" w:hAnsi="Arial"/>
                <w:sz w:val="15"/>
                <w:szCs w:val="15"/>
                <w:color w:val="auto"/>
              </w:rPr>
              <w:t>Robert M. Bakish</w:t>
            </w:r>
          </w:p>
        </w:tc>
        <w:tc>
          <w:tcPr>
            <w:tcW w:w="1500" w:type="dxa"/>
            <w:vAlign w:val="bottom"/>
          </w:tcPr>
          <w:p>
            <w:pPr>
              <w:jc w:val="right"/>
              <w:ind w:right="66"/>
              <w:spacing w:after="0"/>
              <w:rPr>
                <w:sz w:val="20"/>
                <w:szCs w:val="20"/>
                <w:color w:val="auto"/>
              </w:rPr>
            </w:pPr>
            <w:r>
              <w:rPr>
                <w:rFonts w:ascii="Arial" w:cs="Arial" w:eastAsia="Arial" w:hAnsi="Arial"/>
                <w:sz w:val="15"/>
                <w:szCs w:val="15"/>
                <w:color w:val="auto"/>
              </w:rPr>
              <w:t>Class A Common</w:t>
            </w:r>
          </w:p>
        </w:tc>
        <w:tc>
          <w:tcPr>
            <w:tcW w:w="1300" w:type="dxa"/>
            <w:vAlign w:val="bottom"/>
          </w:tcPr>
          <w:p>
            <w:pPr>
              <w:jc w:val="right"/>
              <w:spacing w:after="0"/>
              <w:rPr>
                <w:sz w:val="20"/>
                <w:szCs w:val="20"/>
                <w:color w:val="auto"/>
              </w:rPr>
            </w:pPr>
            <w:r>
              <w:rPr>
                <w:rFonts w:ascii="Arial" w:cs="Arial" w:eastAsia="Arial" w:hAnsi="Arial"/>
                <w:sz w:val="15"/>
                <w:szCs w:val="15"/>
                <w:color w:val="auto"/>
              </w:rPr>
              <w:t>0</w:t>
            </w:r>
          </w:p>
        </w:tc>
        <w:tc>
          <w:tcPr>
            <w:tcW w:w="8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0" w:type="dxa"/>
            <w:vAlign w:val="bottom"/>
          </w:tcPr>
          <w:p>
            <w:pPr>
              <w:spacing w:after="0"/>
              <w:rPr>
                <w:sz w:val="1"/>
                <w:szCs w:val="1"/>
                <w:color w:val="auto"/>
              </w:rPr>
            </w:pPr>
          </w:p>
        </w:tc>
      </w:tr>
      <w:tr>
        <w:trPr>
          <w:trHeight w:val="217"/>
        </w:trPr>
        <w:tc>
          <w:tcPr>
            <w:tcW w:w="520" w:type="dxa"/>
            <w:vAlign w:val="bottom"/>
            <w:tcBorders>
              <w:bottom w:val="single" w:sz="8" w:color="051D49"/>
            </w:tcBorders>
          </w:tcPr>
          <w:p>
            <w:pPr>
              <w:spacing w:after="0"/>
              <w:rPr>
                <w:sz w:val="18"/>
                <w:szCs w:val="18"/>
                <w:color w:val="auto"/>
              </w:rPr>
            </w:pPr>
          </w:p>
        </w:tc>
        <w:tc>
          <w:tcPr>
            <w:tcW w:w="5960" w:type="dxa"/>
            <w:vAlign w:val="bottom"/>
            <w:tcBorders>
              <w:bottom w:val="single" w:sz="8" w:color="051D49"/>
            </w:tcBorders>
          </w:tcPr>
          <w:p>
            <w:pPr>
              <w:spacing w:after="0"/>
              <w:rPr>
                <w:sz w:val="18"/>
                <w:szCs w:val="18"/>
                <w:color w:val="auto"/>
              </w:rPr>
            </w:pPr>
          </w:p>
        </w:tc>
        <w:tc>
          <w:tcPr>
            <w:tcW w:w="150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Class B Common</w:t>
            </w:r>
          </w:p>
        </w:tc>
        <w:tc>
          <w:tcPr>
            <w:tcW w:w="2160" w:type="dxa"/>
            <w:vAlign w:val="bottom"/>
            <w:tcBorders>
              <w:bottom w:val="single" w:sz="8" w:color="051D49"/>
            </w:tcBorders>
            <w:gridSpan w:val="2"/>
          </w:tcPr>
          <w:p>
            <w:pPr>
              <w:ind w:left="620"/>
              <w:spacing w:after="0"/>
              <w:rPr>
                <w:sz w:val="20"/>
                <w:szCs w:val="20"/>
                <w:color w:val="auto"/>
              </w:rPr>
            </w:pPr>
            <w:r>
              <w:rPr>
                <w:rFonts w:ascii="Arial" w:cs="Arial" w:eastAsia="Arial" w:hAnsi="Arial"/>
                <w:sz w:val="15"/>
                <w:szCs w:val="15"/>
                <w:color w:val="auto"/>
              </w:rPr>
              <w:t>1,691,424</w:t>
            </w:r>
            <w:r>
              <w:rPr>
                <w:rFonts w:ascii="Arial" w:cs="Arial" w:eastAsia="Arial" w:hAnsi="Arial"/>
                <w:sz w:val="12"/>
                <w:szCs w:val="12"/>
                <w:color w:val="auto"/>
              </w:rPr>
              <w:t>(1)(2)(3)(4)</w:t>
            </w:r>
          </w:p>
        </w:tc>
        <w:tc>
          <w:tcPr>
            <w:tcW w:w="780" w:type="dxa"/>
            <w:vAlign w:val="bottom"/>
            <w:tcBorders>
              <w:bottom w:val="single" w:sz="8" w:color="051D49"/>
            </w:tcBorders>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5"/>
        </w:trPr>
        <w:tc>
          <w:tcPr>
            <w:tcW w:w="6480" w:type="dxa"/>
            <w:vAlign w:val="bottom"/>
            <w:gridSpan w:val="2"/>
          </w:tcPr>
          <w:p>
            <w:pPr>
              <w:ind w:left="60"/>
              <w:spacing w:after="0"/>
              <w:rPr>
                <w:sz w:val="20"/>
                <w:szCs w:val="20"/>
                <w:color w:val="auto"/>
              </w:rPr>
            </w:pPr>
            <w:r>
              <w:rPr>
                <w:rFonts w:ascii="Arial" w:cs="Arial" w:eastAsia="Arial" w:hAnsi="Arial"/>
                <w:sz w:val="15"/>
                <w:szCs w:val="15"/>
                <w:color w:val="auto"/>
              </w:rPr>
              <w:t>Candace K. Beinecke</w:t>
            </w:r>
          </w:p>
        </w:tc>
        <w:tc>
          <w:tcPr>
            <w:tcW w:w="1500" w:type="dxa"/>
            <w:vAlign w:val="bottom"/>
          </w:tcPr>
          <w:p>
            <w:pPr>
              <w:jc w:val="right"/>
              <w:ind w:right="66"/>
              <w:spacing w:after="0"/>
              <w:rPr>
                <w:sz w:val="20"/>
                <w:szCs w:val="20"/>
                <w:color w:val="auto"/>
              </w:rPr>
            </w:pPr>
            <w:r>
              <w:rPr>
                <w:rFonts w:ascii="Arial" w:cs="Arial" w:eastAsia="Arial" w:hAnsi="Arial"/>
                <w:sz w:val="15"/>
                <w:szCs w:val="15"/>
                <w:color w:val="auto"/>
              </w:rPr>
              <w:t>Class A Common</w:t>
            </w:r>
          </w:p>
        </w:tc>
        <w:tc>
          <w:tcPr>
            <w:tcW w:w="2160" w:type="dxa"/>
            <w:vAlign w:val="bottom"/>
            <w:gridSpan w:val="2"/>
          </w:tcPr>
          <w:p>
            <w:pPr>
              <w:jc w:val="right"/>
              <w:ind w:right="636"/>
              <w:spacing w:after="0"/>
              <w:rPr>
                <w:sz w:val="20"/>
                <w:szCs w:val="20"/>
                <w:color w:val="auto"/>
              </w:rPr>
            </w:pPr>
            <w:r>
              <w:rPr>
                <w:rFonts w:ascii="Arial" w:cs="Arial" w:eastAsia="Arial" w:hAnsi="Arial"/>
                <w:sz w:val="15"/>
                <w:szCs w:val="15"/>
                <w:color w:val="auto"/>
              </w:rPr>
              <w:t>7,663</w:t>
            </w:r>
            <w:r>
              <w:rPr>
                <w:rFonts w:ascii="Arial" w:cs="Arial" w:eastAsia="Arial" w:hAnsi="Arial"/>
                <w:sz w:val="12"/>
                <w:szCs w:val="12"/>
                <w:color w:val="auto"/>
              </w:rPr>
              <w:t>(5)</w:t>
            </w: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13"/>
        </w:trPr>
        <w:tc>
          <w:tcPr>
            <w:tcW w:w="520" w:type="dxa"/>
            <w:vAlign w:val="bottom"/>
            <w:tcBorders>
              <w:bottom w:val="single" w:sz="8" w:color="051D49"/>
            </w:tcBorders>
          </w:tcPr>
          <w:p>
            <w:pPr>
              <w:spacing w:after="0"/>
              <w:rPr>
                <w:sz w:val="18"/>
                <w:szCs w:val="18"/>
                <w:color w:val="auto"/>
              </w:rPr>
            </w:pPr>
          </w:p>
        </w:tc>
        <w:tc>
          <w:tcPr>
            <w:tcW w:w="5960" w:type="dxa"/>
            <w:vAlign w:val="bottom"/>
            <w:tcBorders>
              <w:bottom w:val="single" w:sz="8" w:color="051D49"/>
            </w:tcBorders>
          </w:tcPr>
          <w:p>
            <w:pPr>
              <w:spacing w:after="0"/>
              <w:rPr>
                <w:sz w:val="18"/>
                <w:szCs w:val="18"/>
                <w:color w:val="auto"/>
              </w:rPr>
            </w:pPr>
          </w:p>
        </w:tc>
        <w:tc>
          <w:tcPr>
            <w:tcW w:w="150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Class B Common</w:t>
            </w:r>
          </w:p>
        </w:tc>
        <w:tc>
          <w:tcPr>
            <w:tcW w:w="2160" w:type="dxa"/>
            <w:vAlign w:val="bottom"/>
            <w:tcBorders>
              <w:bottom w:val="single" w:sz="8" w:color="051D49"/>
            </w:tcBorders>
            <w:gridSpan w:val="2"/>
          </w:tcPr>
          <w:p>
            <w:pPr>
              <w:jc w:val="right"/>
              <w:ind w:right="636"/>
              <w:spacing w:after="0"/>
              <w:rPr>
                <w:sz w:val="20"/>
                <w:szCs w:val="20"/>
                <w:color w:val="auto"/>
              </w:rPr>
            </w:pPr>
            <w:r>
              <w:rPr>
                <w:rFonts w:ascii="Arial" w:cs="Arial" w:eastAsia="Arial" w:hAnsi="Arial"/>
                <w:sz w:val="15"/>
                <w:szCs w:val="15"/>
                <w:color w:val="auto"/>
              </w:rPr>
              <w:t>23,302</w:t>
            </w:r>
            <w:r>
              <w:rPr>
                <w:rFonts w:ascii="Arial" w:cs="Arial" w:eastAsia="Arial" w:hAnsi="Arial"/>
                <w:sz w:val="12"/>
                <w:szCs w:val="12"/>
                <w:color w:val="auto"/>
              </w:rPr>
              <w:t>(5)</w:t>
            </w:r>
          </w:p>
        </w:tc>
        <w:tc>
          <w:tcPr>
            <w:tcW w:w="780" w:type="dxa"/>
            <w:vAlign w:val="bottom"/>
            <w:tcBorders>
              <w:bottom w:val="single" w:sz="8" w:color="051D49"/>
            </w:tcBorders>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5"/>
        </w:trPr>
        <w:tc>
          <w:tcPr>
            <w:tcW w:w="6480" w:type="dxa"/>
            <w:vAlign w:val="bottom"/>
            <w:gridSpan w:val="2"/>
          </w:tcPr>
          <w:p>
            <w:pPr>
              <w:ind w:left="60"/>
              <w:spacing w:after="0"/>
              <w:rPr>
                <w:sz w:val="20"/>
                <w:szCs w:val="20"/>
                <w:color w:val="auto"/>
              </w:rPr>
            </w:pPr>
            <w:r>
              <w:rPr>
                <w:rFonts w:ascii="Arial" w:cs="Arial" w:eastAsia="Arial" w:hAnsi="Arial"/>
                <w:sz w:val="15"/>
                <w:szCs w:val="15"/>
                <w:color w:val="auto"/>
              </w:rPr>
              <w:t>Barbara M. Byrne</w:t>
            </w:r>
          </w:p>
        </w:tc>
        <w:tc>
          <w:tcPr>
            <w:tcW w:w="1500" w:type="dxa"/>
            <w:vAlign w:val="bottom"/>
          </w:tcPr>
          <w:p>
            <w:pPr>
              <w:jc w:val="right"/>
              <w:ind w:right="66"/>
              <w:spacing w:after="0"/>
              <w:rPr>
                <w:sz w:val="20"/>
                <w:szCs w:val="20"/>
                <w:color w:val="auto"/>
              </w:rPr>
            </w:pPr>
            <w:r>
              <w:rPr>
                <w:rFonts w:ascii="Arial" w:cs="Arial" w:eastAsia="Arial" w:hAnsi="Arial"/>
                <w:sz w:val="15"/>
                <w:szCs w:val="15"/>
                <w:color w:val="auto"/>
              </w:rPr>
              <w:t>Class A Common</w:t>
            </w:r>
          </w:p>
        </w:tc>
        <w:tc>
          <w:tcPr>
            <w:tcW w:w="1300" w:type="dxa"/>
            <w:vAlign w:val="bottom"/>
          </w:tcPr>
          <w:p>
            <w:pPr>
              <w:jc w:val="right"/>
              <w:spacing w:after="0"/>
              <w:rPr>
                <w:sz w:val="20"/>
                <w:szCs w:val="20"/>
                <w:color w:val="auto"/>
              </w:rPr>
            </w:pPr>
            <w:r>
              <w:rPr>
                <w:rFonts w:ascii="Arial" w:cs="Arial" w:eastAsia="Arial" w:hAnsi="Arial"/>
                <w:sz w:val="15"/>
                <w:szCs w:val="15"/>
                <w:color w:val="auto"/>
              </w:rPr>
              <w:t>0</w:t>
            </w:r>
          </w:p>
        </w:tc>
        <w:tc>
          <w:tcPr>
            <w:tcW w:w="8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0" w:type="dxa"/>
            <w:vAlign w:val="bottom"/>
          </w:tcPr>
          <w:p>
            <w:pPr>
              <w:spacing w:after="0"/>
              <w:rPr>
                <w:sz w:val="1"/>
                <w:szCs w:val="1"/>
                <w:color w:val="auto"/>
              </w:rPr>
            </w:pPr>
          </w:p>
        </w:tc>
      </w:tr>
      <w:tr>
        <w:trPr>
          <w:trHeight w:val="213"/>
        </w:trPr>
        <w:tc>
          <w:tcPr>
            <w:tcW w:w="520" w:type="dxa"/>
            <w:vAlign w:val="bottom"/>
            <w:tcBorders>
              <w:bottom w:val="single" w:sz="8" w:color="051D49"/>
            </w:tcBorders>
          </w:tcPr>
          <w:p>
            <w:pPr>
              <w:spacing w:after="0"/>
              <w:rPr>
                <w:sz w:val="18"/>
                <w:szCs w:val="18"/>
                <w:color w:val="auto"/>
              </w:rPr>
            </w:pPr>
          </w:p>
        </w:tc>
        <w:tc>
          <w:tcPr>
            <w:tcW w:w="5960" w:type="dxa"/>
            <w:vAlign w:val="bottom"/>
            <w:tcBorders>
              <w:bottom w:val="single" w:sz="8" w:color="051D49"/>
            </w:tcBorders>
          </w:tcPr>
          <w:p>
            <w:pPr>
              <w:spacing w:after="0"/>
              <w:rPr>
                <w:sz w:val="18"/>
                <w:szCs w:val="18"/>
                <w:color w:val="auto"/>
              </w:rPr>
            </w:pPr>
          </w:p>
        </w:tc>
        <w:tc>
          <w:tcPr>
            <w:tcW w:w="150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Class B Common</w:t>
            </w:r>
          </w:p>
        </w:tc>
        <w:tc>
          <w:tcPr>
            <w:tcW w:w="2160" w:type="dxa"/>
            <w:vAlign w:val="bottom"/>
            <w:tcBorders>
              <w:bottom w:val="single" w:sz="8" w:color="051D49"/>
            </w:tcBorders>
            <w:gridSpan w:val="2"/>
          </w:tcPr>
          <w:p>
            <w:pPr>
              <w:jc w:val="right"/>
              <w:ind w:right="636"/>
              <w:spacing w:after="0"/>
              <w:rPr>
                <w:sz w:val="20"/>
                <w:szCs w:val="20"/>
                <w:color w:val="auto"/>
              </w:rPr>
            </w:pPr>
            <w:r>
              <w:rPr>
                <w:rFonts w:ascii="Arial" w:cs="Arial" w:eastAsia="Arial" w:hAnsi="Arial"/>
                <w:sz w:val="15"/>
                <w:szCs w:val="15"/>
                <w:color w:val="auto"/>
              </w:rPr>
              <w:t>24,694</w:t>
            </w:r>
            <w:r>
              <w:rPr>
                <w:rFonts w:ascii="Arial" w:cs="Arial" w:eastAsia="Arial" w:hAnsi="Arial"/>
                <w:sz w:val="12"/>
                <w:szCs w:val="12"/>
                <w:color w:val="auto"/>
              </w:rPr>
              <w:t>(4)</w:t>
            </w:r>
          </w:p>
        </w:tc>
        <w:tc>
          <w:tcPr>
            <w:tcW w:w="780" w:type="dxa"/>
            <w:vAlign w:val="bottom"/>
            <w:tcBorders>
              <w:bottom w:val="single" w:sz="8" w:color="051D49"/>
            </w:tcBorders>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5"/>
        </w:trPr>
        <w:tc>
          <w:tcPr>
            <w:tcW w:w="6480" w:type="dxa"/>
            <w:vAlign w:val="bottom"/>
            <w:gridSpan w:val="2"/>
          </w:tcPr>
          <w:p>
            <w:pPr>
              <w:ind w:left="60"/>
              <w:spacing w:after="0"/>
              <w:rPr>
                <w:sz w:val="20"/>
                <w:szCs w:val="20"/>
                <w:color w:val="auto"/>
              </w:rPr>
            </w:pPr>
            <w:r>
              <w:rPr>
                <w:rFonts w:ascii="Arial" w:cs="Arial" w:eastAsia="Arial" w:hAnsi="Arial"/>
                <w:sz w:val="15"/>
                <w:szCs w:val="15"/>
                <w:color w:val="auto"/>
              </w:rPr>
              <w:t>Naveen Chopra</w:t>
            </w:r>
          </w:p>
        </w:tc>
        <w:tc>
          <w:tcPr>
            <w:tcW w:w="1500" w:type="dxa"/>
            <w:vAlign w:val="bottom"/>
          </w:tcPr>
          <w:p>
            <w:pPr>
              <w:jc w:val="right"/>
              <w:ind w:right="66"/>
              <w:spacing w:after="0"/>
              <w:rPr>
                <w:sz w:val="20"/>
                <w:szCs w:val="20"/>
                <w:color w:val="auto"/>
              </w:rPr>
            </w:pPr>
            <w:r>
              <w:rPr>
                <w:rFonts w:ascii="Arial" w:cs="Arial" w:eastAsia="Arial" w:hAnsi="Arial"/>
                <w:sz w:val="15"/>
                <w:szCs w:val="15"/>
                <w:color w:val="auto"/>
              </w:rPr>
              <w:t>Class A Common</w:t>
            </w:r>
          </w:p>
        </w:tc>
        <w:tc>
          <w:tcPr>
            <w:tcW w:w="1300" w:type="dxa"/>
            <w:vAlign w:val="bottom"/>
          </w:tcPr>
          <w:p>
            <w:pPr>
              <w:jc w:val="right"/>
              <w:spacing w:after="0"/>
              <w:rPr>
                <w:sz w:val="20"/>
                <w:szCs w:val="20"/>
                <w:color w:val="auto"/>
              </w:rPr>
            </w:pPr>
            <w:r>
              <w:rPr>
                <w:rFonts w:ascii="Arial" w:cs="Arial" w:eastAsia="Arial" w:hAnsi="Arial"/>
                <w:sz w:val="15"/>
                <w:szCs w:val="15"/>
                <w:color w:val="auto"/>
              </w:rPr>
              <w:t>0</w:t>
            </w:r>
          </w:p>
        </w:tc>
        <w:tc>
          <w:tcPr>
            <w:tcW w:w="8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0" w:type="dxa"/>
            <w:vAlign w:val="bottom"/>
          </w:tcPr>
          <w:p>
            <w:pPr>
              <w:spacing w:after="0"/>
              <w:rPr>
                <w:sz w:val="1"/>
                <w:szCs w:val="1"/>
                <w:color w:val="auto"/>
              </w:rPr>
            </w:pPr>
          </w:p>
        </w:tc>
      </w:tr>
      <w:tr>
        <w:trPr>
          <w:trHeight w:val="213"/>
        </w:trPr>
        <w:tc>
          <w:tcPr>
            <w:tcW w:w="520" w:type="dxa"/>
            <w:vAlign w:val="bottom"/>
            <w:tcBorders>
              <w:bottom w:val="single" w:sz="8" w:color="051D49"/>
            </w:tcBorders>
          </w:tcPr>
          <w:p>
            <w:pPr>
              <w:spacing w:after="0"/>
              <w:rPr>
                <w:sz w:val="18"/>
                <w:szCs w:val="18"/>
                <w:color w:val="auto"/>
              </w:rPr>
            </w:pPr>
          </w:p>
        </w:tc>
        <w:tc>
          <w:tcPr>
            <w:tcW w:w="5960" w:type="dxa"/>
            <w:vAlign w:val="bottom"/>
            <w:tcBorders>
              <w:bottom w:val="single" w:sz="8" w:color="051D49"/>
            </w:tcBorders>
          </w:tcPr>
          <w:p>
            <w:pPr>
              <w:spacing w:after="0"/>
              <w:rPr>
                <w:sz w:val="18"/>
                <w:szCs w:val="18"/>
                <w:color w:val="auto"/>
              </w:rPr>
            </w:pPr>
          </w:p>
        </w:tc>
        <w:tc>
          <w:tcPr>
            <w:tcW w:w="150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Class B Common</w:t>
            </w:r>
          </w:p>
        </w:tc>
        <w:tc>
          <w:tcPr>
            <w:tcW w:w="130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44,448</w:t>
            </w:r>
          </w:p>
        </w:tc>
        <w:tc>
          <w:tcPr>
            <w:tcW w:w="860" w:type="dxa"/>
            <w:vAlign w:val="bottom"/>
            <w:tcBorders>
              <w:bottom w:val="single" w:sz="8" w:color="051D49"/>
            </w:tcBorders>
          </w:tcPr>
          <w:p>
            <w:pPr>
              <w:spacing w:after="0"/>
              <w:rPr>
                <w:sz w:val="18"/>
                <w:szCs w:val="18"/>
                <w:color w:val="auto"/>
              </w:rPr>
            </w:pPr>
          </w:p>
        </w:tc>
        <w:tc>
          <w:tcPr>
            <w:tcW w:w="780" w:type="dxa"/>
            <w:vAlign w:val="bottom"/>
            <w:tcBorders>
              <w:bottom w:val="single" w:sz="8" w:color="051D49"/>
            </w:tcBorders>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5"/>
        </w:trPr>
        <w:tc>
          <w:tcPr>
            <w:tcW w:w="6480" w:type="dxa"/>
            <w:vAlign w:val="bottom"/>
            <w:gridSpan w:val="2"/>
          </w:tcPr>
          <w:p>
            <w:pPr>
              <w:ind w:left="60"/>
              <w:spacing w:after="0"/>
              <w:rPr>
                <w:sz w:val="20"/>
                <w:szCs w:val="20"/>
                <w:color w:val="auto"/>
              </w:rPr>
            </w:pPr>
            <w:r>
              <w:rPr>
                <w:rFonts w:ascii="Arial" w:cs="Arial" w:eastAsia="Arial" w:hAnsi="Arial"/>
                <w:sz w:val="15"/>
                <w:szCs w:val="15"/>
                <w:color w:val="auto"/>
              </w:rPr>
              <w:t>Christa A. D’Alimonte</w:t>
            </w:r>
          </w:p>
        </w:tc>
        <w:tc>
          <w:tcPr>
            <w:tcW w:w="1500" w:type="dxa"/>
            <w:vAlign w:val="bottom"/>
          </w:tcPr>
          <w:p>
            <w:pPr>
              <w:jc w:val="right"/>
              <w:ind w:right="66"/>
              <w:spacing w:after="0"/>
              <w:rPr>
                <w:sz w:val="20"/>
                <w:szCs w:val="20"/>
                <w:color w:val="auto"/>
              </w:rPr>
            </w:pPr>
            <w:r>
              <w:rPr>
                <w:rFonts w:ascii="Arial" w:cs="Arial" w:eastAsia="Arial" w:hAnsi="Arial"/>
                <w:sz w:val="15"/>
                <w:szCs w:val="15"/>
                <w:color w:val="auto"/>
              </w:rPr>
              <w:t>Class A Common</w:t>
            </w:r>
          </w:p>
        </w:tc>
        <w:tc>
          <w:tcPr>
            <w:tcW w:w="1300" w:type="dxa"/>
            <w:vAlign w:val="bottom"/>
          </w:tcPr>
          <w:p>
            <w:pPr>
              <w:jc w:val="right"/>
              <w:spacing w:after="0"/>
              <w:rPr>
                <w:sz w:val="20"/>
                <w:szCs w:val="20"/>
                <w:color w:val="auto"/>
              </w:rPr>
            </w:pPr>
            <w:r>
              <w:rPr>
                <w:rFonts w:ascii="Arial" w:cs="Arial" w:eastAsia="Arial" w:hAnsi="Arial"/>
                <w:sz w:val="15"/>
                <w:szCs w:val="15"/>
                <w:color w:val="auto"/>
              </w:rPr>
              <w:t>0</w:t>
            </w:r>
          </w:p>
        </w:tc>
        <w:tc>
          <w:tcPr>
            <w:tcW w:w="8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0" w:type="dxa"/>
            <w:vAlign w:val="bottom"/>
          </w:tcPr>
          <w:p>
            <w:pPr>
              <w:spacing w:after="0"/>
              <w:rPr>
                <w:sz w:val="1"/>
                <w:szCs w:val="1"/>
                <w:color w:val="auto"/>
              </w:rPr>
            </w:pPr>
          </w:p>
        </w:tc>
      </w:tr>
      <w:tr>
        <w:trPr>
          <w:trHeight w:val="213"/>
        </w:trPr>
        <w:tc>
          <w:tcPr>
            <w:tcW w:w="520" w:type="dxa"/>
            <w:vAlign w:val="bottom"/>
            <w:tcBorders>
              <w:bottom w:val="single" w:sz="8" w:color="051D49"/>
            </w:tcBorders>
          </w:tcPr>
          <w:p>
            <w:pPr>
              <w:spacing w:after="0"/>
              <w:rPr>
                <w:sz w:val="18"/>
                <w:szCs w:val="18"/>
                <w:color w:val="auto"/>
              </w:rPr>
            </w:pPr>
          </w:p>
        </w:tc>
        <w:tc>
          <w:tcPr>
            <w:tcW w:w="5960" w:type="dxa"/>
            <w:vAlign w:val="bottom"/>
            <w:tcBorders>
              <w:bottom w:val="single" w:sz="8" w:color="051D49"/>
            </w:tcBorders>
          </w:tcPr>
          <w:p>
            <w:pPr>
              <w:spacing w:after="0"/>
              <w:rPr>
                <w:sz w:val="18"/>
                <w:szCs w:val="18"/>
                <w:color w:val="auto"/>
              </w:rPr>
            </w:pPr>
          </w:p>
        </w:tc>
        <w:tc>
          <w:tcPr>
            <w:tcW w:w="150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Class B Common</w:t>
            </w:r>
          </w:p>
        </w:tc>
        <w:tc>
          <w:tcPr>
            <w:tcW w:w="2160" w:type="dxa"/>
            <w:vAlign w:val="bottom"/>
            <w:tcBorders>
              <w:bottom w:val="single" w:sz="8" w:color="051D49"/>
            </w:tcBorders>
            <w:gridSpan w:val="2"/>
          </w:tcPr>
          <w:p>
            <w:pPr>
              <w:jc w:val="right"/>
              <w:ind w:right="636"/>
              <w:spacing w:after="0"/>
              <w:rPr>
                <w:sz w:val="20"/>
                <w:szCs w:val="20"/>
                <w:color w:val="auto"/>
              </w:rPr>
            </w:pPr>
            <w:r>
              <w:rPr>
                <w:rFonts w:ascii="Arial" w:cs="Arial" w:eastAsia="Arial" w:hAnsi="Arial"/>
                <w:sz w:val="15"/>
                <w:szCs w:val="15"/>
                <w:color w:val="auto"/>
              </w:rPr>
              <w:t>137,475</w:t>
            </w:r>
            <w:r>
              <w:rPr>
                <w:rFonts w:ascii="Arial" w:cs="Arial" w:eastAsia="Arial" w:hAnsi="Arial"/>
                <w:sz w:val="12"/>
                <w:szCs w:val="12"/>
                <w:color w:val="auto"/>
              </w:rPr>
              <w:t>(1)</w:t>
            </w:r>
          </w:p>
        </w:tc>
        <w:tc>
          <w:tcPr>
            <w:tcW w:w="780" w:type="dxa"/>
            <w:vAlign w:val="bottom"/>
            <w:tcBorders>
              <w:bottom w:val="single" w:sz="8" w:color="051D49"/>
            </w:tcBorders>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5"/>
        </w:trPr>
        <w:tc>
          <w:tcPr>
            <w:tcW w:w="6480" w:type="dxa"/>
            <w:vAlign w:val="bottom"/>
            <w:gridSpan w:val="2"/>
          </w:tcPr>
          <w:p>
            <w:pPr>
              <w:ind w:left="60"/>
              <w:spacing w:after="0"/>
              <w:rPr>
                <w:sz w:val="20"/>
                <w:szCs w:val="20"/>
                <w:color w:val="auto"/>
              </w:rPr>
            </w:pPr>
            <w:r>
              <w:rPr>
                <w:rFonts w:ascii="Arial" w:cs="Arial" w:eastAsia="Arial" w:hAnsi="Arial"/>
                <w:sz w:val="15"/>
                <w:szCs w:val="15"/>
                <w:color w:val="auto"/>
              </w:rPr>
              <w:t>Linda M. Griego</w:t>
            </w:r>
          </w:p>
        </w:tc>
        <w:tc>
          <w:tcPr>
            <w:tcW w:w="1500" w:type="dxa"/>
            <w:vAlign w:val="bottom"/>
          </w:tcPr>
          <w:p>
            <w:pPr>
              <w:jc w:val="right"/>
              <w:ind w:right="66"/>
              <w:spacing w:after="0"/>
              <w:rPr>
                <w:sz w:val="20"/>
                <w:szCs w:val="20"/>
                <w:color w:val="auto"/>
              </w:rPr>
            </w:pPr>
            <w:r>
              <w:rPr>
                <w:rFonts w:ascii="Arial" w:cs="Arial" w:eastAsia="Arial" w:hAnsi="Arial"/>
                <w:sz w:val="15"/>
                <w:szCs w:val="15"/>
                <w:color w:val="auto"/>
              </w:rPr>
              <w:t>Class A Common</w:t>
            </w:r>
          </w:p>
        </w:tc>
        <w:tc>
          <w:tcPr>
            <w:tcW w:w="1300" w:type="dxa"/>
            <w:vAlign w:val="bottom"/>
          </w:tcPr>
          <w:p>
            <w:pPr>
              <w:jc w:val="right"/>
              <w:spacing w:after="0"/>
              <w:rPr>
                <w:sz w:val="20"/>
                <w:szCs w:val="20"/>
                <w:color w:val="auto"/>
              </w:rPr>
            </w:pPr>
            <w:r>
              <w:rPr>
                <w:rFonts w:ascii="Arial" w:cs="Arial" w:eastAsia="Arial" w:hAnsi="Arial"/>
                <w:sz w:val="15"/>
                <w:szCs w:val="15"/>
                <w:color w:val="auto"/>
              </w:rPr>
              <w:t>0</w:t>
            </w:r>
          </w:p>
        </w:tc>
        <w:tc>
          <w:tcPr>
            <w:tcW w:w="8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0" w:type="dxa"/>
            <w:vAlign w:val="bottom"/>
          </w:tcPr>
          <w:p>
            <w:pPr>
              <w:spacing w:after="0"/>
              <w:rPr>
                <w:sz w:val="1"/>
                <w:szCs w:val="1"/>
                <w:color w:val="auto"/>
              </w:rPr>
            </w:pPr>
          </w:p>
        </w:tc>
      </w:tr>
      <w:tr>
        <w:trPr>
          <w:trHeight w:val="213"/>
        </w:trPr>
        <w:tc>
          <w:tcPr>
            <w:tcW w:w="520" w:type="dxa"/>
            <w:vAlign w:val="bottom"/>
            <w:tcBorders>
              <w:bottom w:val="single" w:sz="8" w:color="051D49"/>
            </w:tcBorders>
          </w:tcPr>
          <w:p>
            <w:pPr>
              <w:spacing w:after="0"/>
              <w:rPr>
                <w:sz w:val="18"/>
                <w:szCs w:val="18"/>
                <w:color w:val="auto"/>
              </w:rPr>
            </w:pPr>
          </w:p>
        </w:tc>
        <w:tc>
          <w:tcPr>
            <w:tcW w:w="5960" w:type="dxa"/>
            <w:vAlign w:val="bottom"/>
            <w:tcBorders>
              <w:bottom w:val="single" w:sz="8" w:color="051D49"/>
            </w:tcBorders>
          </w:tcPr>
          <w:p>
            <w:pPr>
              <w:spacing w:after="0"/>
              <w:rPr>
                <w:sz w:val="18"/>
                <w:szCs w:val="18"/>
                <w:color w:val="auto"/>
              </w:rPr>
            </w:pPr>
          </w:p>
        </w:tc>
        <w:tc>
          <w:tcPr>
            <w:tcW w:w="150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Class B Common</w:t>
            </w:r>
          </w:p>
        </w:tc>
        <w:tc>
          <w:tcPr>
            <w:tcW w:w="2160" w:type="dxa"/>
            <w:vAlign w:val="bottom"/>
            <w:tcBorders>
              <w:bottom w:val="single" w:sz="8" w:color="051D49"/>
            </w:tcBorders>
            <w:gridSpan w:val="2"/>
          </w:tcPr>
          <w:p>
            <w:pPr>
              <w:jc w:val="right"/>
              <w:ind w:right="636"/>
              <w:spacing w:after="0"/>
              <w:rPr>
                <w:sz w:val="20"/>
                <w:szCs w:val="20"/>
                <w:color w:val="auto"/>
              </w:rPr>
            </w:pPr>
            <w:r>
              <w:rPr>
                <w:rFonts w:ascii="Arial" w:cs="Arial" w:eastAsia="Arial" w:hAnsi="Arial"/>
                <w:sz w:val="15"/>
                <w:szCs w:val="15"/>
                <w:color w:val="auto"/>
              </w:rPr>
              <w:t>43,848</w:t>
            </w:r>
            <w:r>
              <w:rPr>
                <w:rFonts w:ascii="Arial" w:cs="Arial" w:eastAsia="Arial" w:hAnsi="Arial"/>
                <w:sz w:val="12"/>
                <w:szCs w:val="12"/>
                <w:color w:val="auto"/>
              </w:rPr>
              <w:t>(5)</w:t>
            </w:r>
          </w:p>
        </w:tc>
        <w:tc>
          <w:tcPr>
            <w:tcW w:w="780" w:type="dxa"/>
            <w:vAlign w:val="bottom"/>
            <w:tcBorders>
              <w:bottom w:val="single" w:sz="8" w:color="051D49"/>
            </w:tcBorders>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5"/>
        </w:trPr>
        <w:tc>
          <w:tcPr>
            <w:tcW w:w="6480" w:type="dxa"/>
            <w:vAlign w:val="bottom"/>
            <w:gridSpan w:val="2"/>
          </w:tcPr>
          <w:p>
            <w:pPr>
              <w:ind w:left="60"/>
              <w:spacing w:after="0"/>
              <w:rPr>
                <w:sz w:val="20"/>
                <w:szCs w:val="20"/>
                <w:color w:val="auto"/>
              </w:rPr>
            </w:pPr>
            <w:r>
              <w:rPr>
                <w:rFonts w:ascii="Arial" w:cs="Arial" w:eastAsia="Arial" w:hAnsi="Arial"/>
                <w:sz w:val="15"/>
                <w:szCs w:val="15"/>
                <w:color w:val="auto"/>
              </w:rPr>
              <w:t>Robert N. Klieger</w:t>
            </w:r>
          </w:p>
        </w:tc>
        <w:tc>
          <w:tcPr>
            <w:tcW w:w="1500" w:type="dxa"/>
            <w:vAlign w:val="bottom"/>
          </w:tcPr>
          <w:p>
            <w:pPr>
              <w:jc w:val="right"/>
              <w:ind w:right="66"/>
              <w:spacing w:after="0"/>
              <w:rPr>
                <w:sz w:val="20"/>
                <w:szCs w:val="20"/>
                <w:color w:val="auto"/>
              </w:rPr>
            </w:pPr>
            <w:r>
              <w:rPr>
                <w:rFonts w:ascii="Arial" w:cs="Arial" w:eastAsia="Arial" w:hAnsi="Arial"/>
                <w:sz w:val="15"/>
                <w:szCs w:val="15"/>
                <w:color w:val="auto"/>
              </w:rPr>
              <w:t>Class A Common</w:t>
            </w:r>
          </w:p>
        </w:tc>
        <w:tc>
          <w:tcPr>
            <w:tcW w:w="2160" w:type="dxa"/>
            <w:vAlign w:val="bottom"/>
            <w:gridSpan w:val="2"/>
          </w:tcPr>
          <w:p>
            <w:pPr>
              <w:jc w:val="right"/>
              <w:ind w:right="636"/>
              <w:spacing w:after="0"/>
              <w:rPr>
                <w:sz w:val="20"/>
                <w:szCs w:val="20"/>
                <w:color w:val="auto"/>
              </w:rPr>
            </w:pPr>
            <w:r>
              <w:rPr>
                <w:rFonts w:ascii="Arial" w:cs="Arial" w:eastAsia="Arial" w:hAnsi="Arial"/>
                <w:sz w:val="15"/>
                <w:szCs w:val="15"/>
                <w:color w:val="auto"/>
              </w:rPr>
              <w:t>5,921</w:t>
            </w:r>
            <w:r>
              <w:rPr>
                <w:rFonts w:ascii="Arial" w:cs="Arial" w:eastAsia="Arial" w:hAnsi="Arial"/>
                <w:sz w:val="12"/>
                <w:szCs w:val="12"/>
                <w:color w:val="auto"/>
              </w:rPr>
              <w:t>(5)</w:t>
            </w: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13"/>
        </w:trPr>
        <w:tc>
          <w:tcPr>
            <w:tcW w:w="520" w:type="dxa"/>
            <w:vAlign w:val="bottom"/>
            <w:tcBorders>
              <w:bottom w:val="single" w:sz="8" w:color="051D49"/>
            </w:tcBorders>
          </w:tcPr>
          <w:p>
            <w:pPr>
              <w:spacing w:after="0"/>
              <w:rPr>
                <w:sz w:val="18"/>
                <w:szCs w:val="18"/>
                <w:color w:val="auto"/>
              </w:rPr>
            </w:pPr>
          </w:p>
        </w:tc>
        <w:tc>
          <w:tcPr>
            <w:tcW w:w="5960" w:type="dxa"/>
            <w:vAlign w:val="bottom"/>
            <w:tcBorders>
              <w:bottom w:val="single" w:sz="8" w:color="051D49"/>
            </w:tcBorders>
          </w:tcPr>
          <w:p>
            <w:pPr>
              <w:spacing w:after="0"/>
              <w:rPr>
                <w:sz w:val="18"/>
                <w:szCs w:val="18"/>
                <w:color w:val="auto"/>
              </w:rPr>
            </w:pPr>
          </w:p>
        </w:tc>
        <w:tc>
          <w:tcPr>
            <w:tcW w:w="150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Class B Common</w:t>
            </w:r>
          </w:p>
        </w:tc>
        <w:tc>
          <w:tcPr>
            <w:tcW w:w="2160" w:type="dxa"/>
            <w:vAlign w:val="bottom"/>
            <w:tcBorders>
              <w:bottom w:val="single" w:sz="8" w:color="051D49"/>
            </w:tcBorders>
            <w:gridSpan w:val="2"/>
          </w:tcPr>
          <w:p>
            <w:pPr>
              <w:jc w:val="right"/>
              <w:ind w:right="636"/>
              <w:spacing w:after="0"/>
              <w:rPr>
                <w:sz w:val="20"/>
                <w:szCs w:val="20"/>
                <w:color w:val="auto"/>
              </w:rPr>
            </w:pPr>
            <w:r>
              <w:rPr>
                <w:rFonts w:ascii="Arial" w:cs="Arial" w:eastAsia="Arial" w:hAnsi="Arial"/>
                <w:sz w:val="15"/>
                <w:szCs w:val="15"/>
                <w:color w:val="auto"/>
              </w:rPr>
              <w:t>25,599</w:t>
            </w:r>
            <w:r>
              <w:rPr>
                <w:rFonts w:ascii="Arial" w:cs="Arial" w:eastAsia="Arial" w:hAnsi="Arial"/>
                <w:sz w:val="12"/>
                <w:szCs w:val="12"/>
                <w:color w:val="auto"/>
              </w:rPr>
              <w:t>(5)</w:t>
            </w:r>
          </w:p>
        </w:tc>
        <w:tc>
          <w:tcPr>
            <w:tcW w:w="780" w:type="dxa"/>
            <w:vAlign w:val="bottom"/>
            <w:tcBorders>
              <w:bottom w:val="single" w:sz="8" w:color="051D49"/>
            </w:tcBorders>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5"/>
        </w:trPr>
        <w:tc>
          <w:tcPr>
            <w:tcW w:w="6480" w:type="dxa"/>
            <w:vAlign w:val="bottom"/>
            <w:gridSpan w:val="2"/>
          </w:tcPr>
          <w:p>
            <w:pPr>
              <w:ind w:left="60"/>
              <w:spacing w:after="0"/>
              <w:rPr>
                <w:sz w:val="20"/>
                <w:szCs w:val="20"/>
                <w:color w:val="auto"/>
              </w:rPr>
            </w:pPr>
            <w:r>
              <w:rPr>
                <w:rFonts w:ascii="Arial" w:cs="Arial" w:eastAsia="Arial" w:hAnsi="Arial"/>
                <w:sz w:val="15"/>
                <w:szCs w:val="15"/>
                <w:color w:val="auto"/>
              </w:rPr>
              <w:t>Doretha (DeDe) Lea</w:t>
            </w:r>
          </w:p>
        </w:tc>
        <w:tc>
          <w:tcPr>
            <w:tcW w:w="1500" w:type="dxa"/>
            <w:vAlign w:val="bottom"/>
          </w:tcPr>
          <w:p>
            <w:pPr>
              <w:jc w:val="right"/>
              <w:ind w:right="66"/>
              <w:spacing w:after="0"/>
              <w:rPr>
                <w:sz w:val="20"/>
                <w:szCs w:val="20"/>
                <w:color w:val="auto"/>
              </w:rPr>
            </w:pPr>
            <w:r>
              <w:rPr>
                <w:rFonts w:ascii="Arial" w:cs="Arial" w:eastAsia="Arial" w:hAnsi="Arial"/>
                <w:sz w:val="15"/>
                <w:szCs w:val="15"/>
                <w:color w:val="auto"/>
              </w:rPr>
              <w:t>Class A Common</w:t>
            </w:r>
          </w:p>
        </w:tc>
        <w:tc>
          <w:tcPr>
            <w:tcW w:w="1300" w:type="dxa"/>
            <w:vAlign w:val="bottom"/>
          </w:tcPr>
          <w:p>
            <w:pPr>
              <w:jc w:val="right"/>
              <w:spacing w:after="0"/>
              <w:rPr>
                <w:sz w:val="20"/>
                <w:szCs w:val="20"/>
                <w:color w:val="auto"/>
              </w:rPr>
            </w:pPr>
            <w:r>
              <w:rPr>
                <w:rFonts w:ascii="Arial" w:cs="Arial" w:eastAsia="Arial" w:hAnsi="Arial"/>
                <w:sz w:val="15"/>
                <w:szCs w:val="15"/>
                <w:color w:val="auto"/>
              </w:rPr>
              <w:t>0</w:t>
            </w:r>
          </w:p>
        </w:tc>
        <w:tc>
          <w:tcPr>
            <w:tcW w:w="8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0" w:type="dxa"/>
            <w:vAlign w:val="bottom"/>
          </w:tcPr>
          <w:p>
            <w:pPr>
              <w:spacing w:after="0"/>
              <w:rPr>
                <w:sz w:val="1"/>
                <w:szCs w:val="1"/>
                <w:color w:val="auto"/>
              </w:rPr>
            </w:pPr>
          </w:p>
        </w:tc>
      </w:tr>
      <w:tr>
        <w:trPr>
          <w:trHeight w:val="213"/>
        </w:trPr>
        <w:tc>
          <w:tcPr>
            <w:tcW w:w="520" w:type="dxa"/>
            <w:vAlign w:val="bottom"/>
            <w:tcBorders>
              <w:bottom w:val="single" w:sz="8" w:color="051D49"/>
            </w:tcBorders>
          </w:tcPr>
          <w:p>
            <w:pPr>
              <w:spacing w:after="0"/>
              <w:rPr>
                <w:sz w:val="18"/>
                <w:szCs w:val="18"/>
                <w:color w:val="auto"/>
              </w:rPr>
            </w:pPr>
          </w:p>
        </w:tc>
        <w:tc>
          <w:tcPr>
            <w:tcW w:w="5960" w:type="dxa"/>
            <w:vAlign w:val="bottom"/>
            <w:tcBorders>
              <w:bottom w:val="single" w:sz="8" w:color="051D49"/>
            </w:tcBorders>
          </w:tcPr>
          <w:p>
            <w:pPr>
              <w:spacing w:after="0"/>
              <w:rPr>
                <w:sz w:val="18"/>
                <w:szCs w:val="18"/>
                <w:color w:val="auto"/>
              </w:rPr>
            </w:pPr>
          </w:p>
        </w:tc>
        <w:tc>
          <w:tcPr>
            <w:tcW w:w="150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Class B Common</w:t>
            </w:r>
          </w:p>
        </w:tc>
        <w:tc>
          <w:tcPr>
            <w:tcW w:w="2160" w:type="dxa"/>
            <w:vAlign w:val="bottom"/>
            <w:tcBorders>
              <w:bottom w:val="single" w:sz="8" w:color="051D49"/>
            </w:tcBorders>
            <w:gridSpan w:val="2"/>
          </w:tcPr>
          <w:p>
            <w:pPr>
              <w:jc w:val="right"/>
              <w:ind w:right="336"/>
              <w:spacing w:after="0"/>
              <w:rPr>
                <w:sz w:val="20"/>
                <w:szCs w:val="20"/>
                <w:color w:val="auto"/>
              </w:rPr>
            </w:pPr>
            <w:r>
              <w:rPr>
                <w:rFonts w:ascii="Arial" w:cs="Arial" w:eastAsia="Arial" w:hAnsi="Arial"/>
                <w:sz w:val="15"/>
                <w:szCs w:val="15"/>
                <w:color w:val="auto"/>
              </w:rPr>
              <w:t>109,082</w:t>
            </w:r>
            <w:r>
              <w:rPr>
                <w:rFonts w:ascii="Arial" w:cs="Arial" w:eastAsia="Arial" w:hAnsi="Arial"/>
                <w:sz w:val="12"/>
                <w:szCs w:val="12"/>
                <w:color w:val="auto"/>
              </w:rPr>
              <w:t>(1)(2)(3)</w:t>
            </w:r>
          </w:p>
        </w:tc>
        <w:tc>
          <w:tcPr>
            <w:tcW w:w="780" w:type="dxa"/>
            <w:vAlign w:val="bottom"/>
            <w:tcBorders>
              <w:bottom w:val="single" w:sz="8" w:color="051D49"/>
            </w:tcBorders>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5"/>
        </w:trPr>
        <w:tc>
          <w:tcPr>
            <w:tcW w:w="6480" w:type="dxa"/>
            <w:vAlign w:val="bottom"/>
            <w:gridSpan w:val="2"/>
          </w:tcPr>
          <w:p>
            <w:pPr>
              <w:ind w:left="60"/>
              <w:spacing w:after="0"/>
              <w:rPr>
                <w:sz w:val="20"/>
                <w:szCs w:val="20"/>
                <w:color w:val="auto"/>
              </w:rPr>
            </w:pPr>
            <w:r>
              <w:rPr>
                <w:rFonts w:ascii="Arial" w:cs="Arial" w:eastAsia="Arial" w:hAnsi="Arial"/>
                <w:sz w:val="15"/>
                <w:szCs w:val="15"/>
                <w:color w:val="auto"/>
              </w:rPr>
              <w:t>Judith A. McHale</w:t>
            </w:r>
          </w:p>
        </w:tc>
        <w:tc>
          <w:tcPr>
            <w:tcW w:w="1500" w:type="dxa"/>
            <w:vAlign w:val="bottom"/>
          </w:tcPr>
          <w:p>
            <w:pPr>
              <w:jc w:val="right"/>
              <w:ind w:right="66"/>
              <w:spacing w:after="0"/>
              <w:rPr>
                <w:sz w:val="20"/>
                <w:szCs w:val="20"/>
                <w:color w:val="auto"/>
              </w:rPr>
            </w:pPr>
            <w:r>
              <w:rPr>
                <w:rFonts w:ascii="Arial" w:cs="Arial" w:eastAsia="Arial" w:hAnsi="Arial"/>
                <w:sz w:val="15"/>
                <w:szCs w:val="15"/>
                <w:color w:val="auto"/>
              </w:rPr>
              <w:t>Class A Common</w:t>
            </w:r>
          </w:p>
        </w:tc>
        <w:tc>
          <w:tcPr>
            <w:tcW w:w="2160" w:type="dxa"/>
            <w:vAlign w:val="bottom"/>
            <w:gridSpan w:val="2"/>
          </w:tcPr>
          <w:p>
            <w:pPr>
              <w:jc w:val="right"/>
              <w:ind w:right="636"/>
              <w:spacing w:after="0"/>
              <w:rPr>
                <w:sz w:val="20"/>
                <w:szCs w:val="20"/>
                <w:color w:val="auto"/>
              </w:rPr>
            </w:pPr>
            <w:r>
              <w:rPr>
                <w:rFonts w:ascii="Arial" w:cs="Arial" w:eastAsia="Arial" w:hAnsi="Arial"/>
                <w:sz w:val="15"/>
                <w:szCs w:val="15"/>
                <w:color w:val="auto"/>
              </w:rPr>
              <w:t>2,778</w:t>
            </w:r>
            <w:r>
              <w:rPr>
                <w:rFonts w:ascii="Arial" w:cs="Arial" w:eastAsia="Arial" w:hAnsi="Arial"/>
                <w:sz w:val="12"/>
                <w:szCs w:val="12"/>
                <w:color w:val="auto"/>
              </w:rPr>
              <w:t>(5)</w:t>
            </w: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13"/>
        </w:trPr>
        <w:tc>
          <w:tcPr>
            <w:tcW w:w="520" w:type="dxa"/>
            <w:vAlign w:val="bottom"/>
            <w:tcBorders>
              <w:bottom w:val="single" w:sz="8" w:color="051D49"/>
            </w:tcBorders>
          </w:tcPr>
          <w:p>
            <w:pPr>
              <w:spacing w:after="0"/>
              <w:rPr>
                <w:sz w:val="18"/>
                <w:szCs w:val="18"/>
                <w:color w:val="auto"/>
              </w:rPr>
            </w:pPr>
          </w:p>
        </w:tc>
        <w:tc>
          <w:tcPr>
            <w:tcW w:w="5960" w:type="dxa"/>
            <w:vAlign w:val="bottom"/>
            <w:tcBorders>
              <w:bottom w:val="single" w:sz="8" w:color="051D49"/>
            </w:tcBorders>
          </w:tcPr>
          <w:p>
            <w:pPr>
              <w:spacing w:after="0"/>
              <w:rPr>
                <w:sz w:val="18"/>
                <w:szCs w:val="18"/>
                <w:color w:val="auto"/>
              </w:rPr>
            </w:pPr>
          </w:p>
        </w:tc>
        <w:tc>
          <w:tcPr>
            <w:tcW w:w="150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Class B Common</w:t>
            </w:r>
          </w:p>
        </w:tc>
        <w:tc>
          <w:tcPr>
            <w:tcW w:w="2160" w:type="dxa"/>
            <w:vAlign w:val="bottom"/>
            <w:tcBorders>
              <w:bottom w:val="single" w:sz="8" w:color="051D49"/>
            </w:tcBorders>
            <w:gridSpan w:val="2"/>
          </w:tcPr>
          <w:p>
            <w:pPr>
              <w:jc w:val="right"/>
              <w:ind w:right="636"/>
              <w:spacing w:after="0"/>
              <w:rPr>
                <w:sz w:val="20"/>
                <w:szCs w:val="20"/>
                <w:color w:val="auto"/>
              </w:rPr>
            </w:pPr>
            <w:r>
              <w:rPr>
                <w:rFonts w:ascii="Arial" w:cs="Arial" w:eastAsia="Arial" w:hAnsi="Arial"/>
                <w:sz w:val="15"/>
                <w:szCs w:val="15"/>
                <w:color w:val="auto"/>
              </w:rPr>
              <w:t>26,443</w:t>
            </w:r>
            <w:r>
              <w:rPr>
                <w:rFonts w:ascii="Arial" w:cs="Arial" w:eastAsia="Arial" w:hAnsi="Arial"/>
                <w:sz w:val="12"/>
                <w:szCs w:val="12"/>
                <w:color w:val="auto"/>
              </w:rPr>
              <w:t>(5)</w:t>
            </w:r>
          </w:p>
        </w:tc>
        <w:tc>
          <w:tcPr>
            <w:tcW w:w="780" w:type="dxa"/>
            <w:vAlign w:val="bottom"/>
            <w:tcBorders>
              <w:bottom w:val="single" w:sz="8" w:color="051D49"/>
            </w:tcBorders>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5"/>
        </w:trPr>
        <w:tc>
          <w:tcPr>
            <w:tcW w:w="6480" w:type="dxa"/>
            <w:vAlign w:val="bottom"/>
            <w:gridSpan w:val="2"/>
          </w:tcPr>
          <w:p>
            <w:pPr>
              <w:ind w:left="60"/>
              <w:spacing w:after="0"/>
              <w:rPr>
                <w:sz w:val="20"/>
                <w:szCs w:val="20"/>
                <w:color w:val="auto"/>
              </w:rPr>
            </w:pPr>
            <w:r>
              <w:rPr>
                <w:rFonts w:ascii="Arial" w:cs="Arial" w:eastAsia="Arial" w:hAnsi="Arial"/>
                <w:sz w:val="15"/>
                <w:szCs w:val="15"/>
                <w:color w:val="auto"/>
              </w:rPr>
              <w:t>Ronald L. Nelson</w:t>
            </w:r>
          </w:p>
        </w:tc>
        <w:tc>
          <w:tcPr>
            <w:tcW w:w="1500" w:type="dxa"/>
            <w:vAlign w:val="bottom"/>
          </w:tcPr>
          <w:p>
            <w:pPr>
              <w:jc w:val="right"/>
              <w:ind w:right="66"/>
              <w:spacing w:after="0"/>
              <w:rPr>
                <w:sz w:val="20"/>
                <w:szCs w:val="20"/>
                <w:color w:val="auto"/>
              </w:rPr>
            </w:pPr>
            <w:r>
              <w:rPr>
                <w:rFonts w:ascii="Arial" w:cs="Arial" w:eastAsia="Arial" w:hAnsi="Arial"/>
                <w:sz w:val="15"/>
                <w:szCs w:val="15"/>
                <w:color w:val="auto"/>
              </w:rPr>
              <w:t>Class A Common</w:t>
            </w:r>
          </w:p>
        </w:tc>
        <w:tc>
          <w:tcPr>
            <w:tcW w:w="1300" w:type="dxa"/>
            <w:vAlign w:val="bottom"/>
          </w:tcPr>
          <w:p>
            <w:pPr>
              <w:jc w:val="right"/>
              <w:spacing w:after="0"/>
              <w:rPr>
                <w:sz w:val="20"/>
                <w:szCs w:val="20"/>
                <w:color w:val="auto"/>
              </w:rPr>
            </w:pPr>
            <w:r>
              <w:rPr>
                <w:rFonts w:ascii="Arial" w:cs="Arial" w:eastAsia="Arial" w:hAnsi="Arial"/>
                <w:sz w:val="15"/>
                <w:szCs w:val="15"/>
                <w:color w:val="auto"/>
              </w:rPr>
              <w:t>0</w:t>
            </w:r>
          </w:p>
        </w:tc>
        <w:tc>
          <w:tcPr>
            <w:tcW w:w="8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0" w:type="dxa"/>
            <w:vAlign w:val="bottom"/>
          </w:tcPr>
          <w:p>
            <w:pPr>
              <w:spacing w:after="0"/>
              <w:rPr>
                <w:sz w:val="1"/>
                <w:szCs w:val="1"/>
                <w:color w:val="auto"/>
              </w:rPr>
            </w:pPr>
          </w:p>
        </w:tc>
      </w:tr>
      <w:tr>
        <w:trPr>
          <w:trHeight w:val="213"/>
        </w:trPr>
        <w:tc>
          <w:tcPr>
            <w:tcW w:w="520" w:type="dxa"/>
            <w:vAlign w:val="bottom"/>
            <w:tcBorders>
              <w:bottom w:val="single" w:sz="8" w:color="051D49"/>
            </w:tcBorders>
          </w:tcPr>
          <w:p>
            <w:pPr>
              <w:spacing w:after="0"/>
              <w:rPr>
                <w:sz w:val="18"/>
                <w:szCs w:val="18"/>
                <w:color w:val="auto"/>
              </w:rPr>
            </w:pPr>
          </w:p>
        </w:tc>
        <w:tc>
          <w:tcPr>
            <w:tcW w:w="5960" w:type="dxa"/>
            <w:vAlign w:val="bottom"/>
            <w:tcBorders>
              <w:bottom w:val="single" w:sz="8" w:color="051D49"/>
            </w:tcBorders>
          </w:tcPr>
          <w:p>
            <w:pPr>
              <w:spacing w:after="0"/>
              <w:rPr>
                <w:sz w:val="18"/>
                <w:szCs w:val="18"/>
                <w:color w:val="auto"/>
              </w:rPr>
            </w:pPr>
          </w:p>
        </w:tc>
        <w:tc>
          <w:tcPr>
            <w:tcW w:w="150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Class B Common</w:t>
            </w:r>
          </w:p>
        </w:tc>
        <w:tc>
          <w:tcPr>
            <w:tcW w:w="2160" w:type="dxa"/>
            <w:vAlign w:val="bottom"/>
            <w:tcBorders>
              <w:bottom w:val="single" w:sz="8" w:color="051D49"/>
            </w:tcBorders>
            <w:gridSpan w:val="2"/>
          </w:tcPr>
          <w:p>
            <w:pPr>
              <w:jc w:val="right"/>
              <w:ind w:right="636"/>
              <w:spacing w:after="0"/>
              <w:rPr>
                <w:sz w:val="20"/>
                <w:szCs w:val="20"/>
                <w:color w:val="auto"/>
              </w:rPr>
            </w:pPr>
            <w:r>
              <w:rPr>
                <w:rFonts w:ascii="Arial" w:cs="Arial" w:eastAsia="Arial" w:hAnsi="Arial"/>
                <w:sz w:val="15"/>
                <w:szCs w:val="15"/>
                <w:color w:val="auto"/>
              </w:rPr>
              <w:t>32,190</w:t>
            </w:r>
            <w:r>
              <w:rPr>
                <w:rFonts w:ascii="Arial" w:cs="Arial" w:eastAsia="Arial" w:hAnsi="Arial"/>
                <w:sz w:val="12"/>
                <w:szCs w:val="12"/>
                <w:color w:val="auto"/>
              </w:rPr>
              <w:t>(5)</w:t>
            </w:r>
          </w:p>
        </w:tc>
        <w:tc>
          <w:tcPr>
            <w:tcW w:w="780" w:type="dxa"/>
            <w:vAlign w:val="bottom"/>
            <w:tcBorders>
              <w:bottom w:val="single" w:sz="8" w:color="051D49"/>
            </w:tcBorders>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5"/>
        </w:trPr>
        <w:tc>
          <w:tcPr>
            <w:tcW w:w="6480" w:type="dxa"/>
            <w:vAlign w:val="bottom"/>
            <w:gridSpan w:val="2"/>
          </w:tcPr>
          <w:p>
            <w:pPr>
              <w:ind w:left="60"/>
              <w:spacing w:after="0"/>
              <w:rPr>
                <w:sz w:val="20"/>
                <w:szCs w:val="20"/>
                <w:color w:val="auto"/>
              </w:rPr>
            </w:pPr>
            <w:r>
              <w:rPr>
                <w:rFonts w:ascii="Arial" w:cs="Arial" w:eastAsia="Arial" w:hAnsi="Arial"/>
                <w:sz w:val="15"/>
                <w:szCs w:val="15"/>
                <w:color w:val="auto"/>
              </w:rPr>
              <w:t>Charles E. Phillips, Jr.</w:t>
            </w:r>
          </w:p>
        </w:tc>
        <w:tc>
          <w:tcPr>
            <w:tcW w:w="1500" w:type="dxa"/>
            <w:vAlign w:val="bottom"/>
          </w:tcPr>
          <w:p>
            <w:pPr>
              <w:jc w:val="right"/>
              <w:ind w:right="66"/>
              <w:spacing w:after="0"/>
              <w:rPr>
                <w:sz w:val="20"/>
                <w:szCs w:val="20"/>
                <w:color w:val="auto"/>
              </w:rPr>
            </w:pPr>
            <w:r>
              <w:rPr>
                <w:rFonts w:ascii="Arial" w:cs="Arial" w:eastAsia="Arial" w:hAnsi="Arial"/>
                <w:sz w:val="15"/>
                <w:szCs w:val="15"/>
                <w:color w:val="auto"/>
              </w:rPr>
              <w:t>Class A Common</w:t>
            </w:r>
          </w:p>
        </w:tc>
        <w:tc>
          <w:tcPr>
            <w:tcW w:w="2160" w:type="dxa"/>
            <w:vAlign w:val="bottom"/>
            <w:gridSpan w:val="2"/>
          </w:tcPr>
          <w:p>
            <w:pPr>
              <w:jc w:val="right"/>
              <w:ind w:right="636"/>
              <w:spacing w:after="0"/>
              <w:rPr>
                <w:sz w:val="20"/>
                <w:szCs w:val="20"/>
                <w:color w:val="auto"/>
              </w:rPr>
            </w:pPr>
            <w:r>
              <w:rPr>
                <w:rFonts w:ascii="Arial" w:cs="Arial" w:eastAsia="Arial" w:hAnsi="Arial"/>
                <w:sz w:val="15"/>
                <w:szCs w:val="15"/>
                <w:color w:val="auto"/>
              </w:rPr>
              <w:t>374</w:t>
            </w:r>
            <w:r>
              <w:rPr>
                <w:rFonts w:ascii="Arial" w:cs="Arial" w:eastAsia="Arial" w:hAnsi="Arial"/>
                <w:sz w:val="12"/>
                <w:szCs w:val="12"/>
                <w:color w:val="auto"/>
              </w:rPr>
              <w:t>(5)</w:t>
            </w: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13"/>
        </w:trPr>
        <w:tc>
          <w:tcPr>
            <w:tcW w:w="520" w:type="dxa"/>
            <w:vAlign w:val="bottom"/>
            <w:tcBorders>
              <w:bottom w:val="single" w:sz="8" w:color="051D49"/>
            </w:tcBorders>
          </w:tcPr>
          <w:p>
            <w:pPr>
              <w:spacing w:after="0"/>
              <w:rPr>
                <w:sz w:val="18"/>
                <w:szCs w:val="18"/>
                <w:color w:val="auto"/>
              </w:rPr>
            </w:pPr>
          </w:p>
        </w:tc>
        <w:tc>
          <w:tcPr>
            <w:tcW w:w="5960" w:type="dxa"/>
            <w:vAlign w:val="bottom"/>
            <w:tcBorders>
              <w:bottom w:val="single" w:sz="8" w:color="051D49"/>
            </w:tcBorders>
          </w:tcPr>
          <w:p>
            <w:pPr>
              <w:spacing w:after="0"/>
              <w:rPr>
                <w:sz w:val="18"/>
                <w:szCs w:val="18"/>
                <w:color w:val="auto"/>
              </w:rPr>
            </w:pPr>
          </w:p>
        </w:tc>
        <w:tc>
          <w:tcPr>
            <w:tcW w:w="150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Class B Common</w:t>
            </w:r>
          </w:p>
        </w:tc>
        <w:tc>
          <w:tcPr>
            <w:tcW w:w="2160" w:type="dxa"/>
            <w:vAlign w:val="bottom"/>
            <w:tcBorders>
              <w:bottom w:val="single" w:sz="8" w:color="051D49"/>
            </w:tcBorders>
            <w:gridSpan w:val="2"/>
          </w:tcPr>
          <w:p>
            <w:pPr>
              <w:jc w:val="right"/>
              <w:ind w:right="636"/>
              <w:spacing w:after="0"/>
              <w:rPr>
                <w:sz w:val="20"/>
                <w:szCs w:val="20"/>
                <w:color w:val="auto"/>
              </w:rPr>
            </w:pPr>
            <w:r>
              <w:rPr>
                <w:rFonts w:ascii="Arial" w:cs="Arial" w:eastAsia="Arial" w:hAnsi="Arial"/>
                <w:sz w:val="15"/>
                <w:szCs w:val="15"/>
                <w:color w:val="auto"/>
              </w:rPr>
              <w:t>79,063</w:t>
            </w:r>
            <w:r>
              <w:rPr>
                <w:rFonts w:ascii="Arial" w:cs="Arial" w:eastAsia="Arial" w:hAnsi="Arial"/>
                <w:sz w:val="12"/>
                <w:szCs w:val="12"/>
                <w:color w:val="auto"/>
              </w:rPr>
              <w:t>(5)</w:t>
            </w:r>
          </w:p>
        </w:tc>
        <w:tc>
          <w:tcPr>
            <w:tcW w:w="780" w:type="dxa"/>
            <w:vAlign w:val="bottom"/>
            <w:tcBorders>
              <w:bottom w:val="single" w:sz="8" w:color="051D49"/>
            </w:tcBorders>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5"/>
        </w:trPr>
        <w:tc>
          <w:tcPr>
            <w:tcW w:w="6480" w:type="dxa"/>
            <w:vAlign w:val="bottom"/>
            <w:gridSpan w:val="2"/>
          </w:tcPr>
          <w:p>
            <w:pPr>
              <w:ind w:left="60"/>
              <w:spacing w:after="0"/>
              <w:rPr>
                <w:sz w:val="20"/>
                <w:szCs w:val="20"/>
                <w:color w:val="auto"/>
              </w:rPr>
            </w:pPr>
            <w:r>
              <w:rPr>
                <w:rFonts w:ascii="Arial" w:cs="Arial" w:eastAsia="Arial" w:hAnsi="Arial"/>
                <w:sz w:val="15"/>
                <w:szCs w:val="15"/>
                <w:color w:val="auto"/>
              </w:rPr>
              <w:t>Nancy Phillips</w:t>
            </w:r>
          </w:p>
        </w:tc>
        <w:tc>
          <w:tcPr>
            <w:tcW w:w="1500" w:type="dxa"/>
            <w:vAlign w:val="bottom"/>
          </w:tcPr>
          <w:p>
            <w:pPr>
              <w:jc w:val="right"/>
              <w:ind w:right="66"/>
              <w:spacing w:after="0"/>
              <w:rPr>
                <w:sz w:val="20"/>
                <w:szCs w:val="20"/>
                <w:color w:val="auto"/>
              </w:rPr>
            </w:pPr>
            <w:r>
              <w:rPr>
                <w:rFonts w:ascii="Arial" w:cs="Arial" w:eastAsia="Arial" w:hAnsi="Arial"/>
                <w:sz w:val="15"/>
                <w:szCs w:val="15"/>
                <w:color w:val="auto"/>
              </w:rPr>
              <w:t>Class A Common</w:t>
            </w:r>
          </w:p>
        </w:tc>
        <w:tc>
          <w:tcPr>
            <w:tcW w:w="1300" w:type="dxa"/>
            <w:vAlign w:val="bottom"/>
          </w:tcPr>
          <w:p>
            <w:pPr>
              <w:jc w:val="right"/>
              <w:spacing w:after="0"/>
              <w:rPr>
                <w:sz w:val="20"/>
                <w:szCs w:val="20"/>
                <w:color w:val="auto"/>
              </w:rPr>
            </w:pPr>
            <w:r>
              <w:rPr>
                <w:rFonts w:ascii="Arial" w:cs="Arial" w:eastAsia="Arial" w:hAnsi="Arial"/>
                <w:sz w:val="15"/>
                <w:szCs w:val="15"/>
                <w:color w:val="auto"/>
              </w:rPr>
              <w:t>0</w:t>
            </w:r>
          </w:p>
        </w:tc>
        <w:tc>
          <w:tcPr>
            <w:tcW w:w="8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0" w:type="dxa"/>
            <w:vAlign w:val="bottom"/>
          </w:tcPr>
          <w:p>
            <w:pPr>
              <w:spacing w:after="0"/>
              <w:rPr>
                <w:sz w:val="1"/>
                <w:szCs w:val="1"/>
                <w:color w:val="auto"/>
              </w:rPr>
            </w:pPr>
          </w:p>
        </w:tc>
      </w:tr>
      <w:tr>
        <w:trPr>
          <w:trHeight w:val="213"/>
        </w:trPr>
        <w:tc>
          <w:tcPr>
            <w:tcW w:w="520" w:type="dxa"/>
            <w:vAlign w:val="bottom"/>
            <w:tcBorders>
              <w:bottom w:val="single" w:sz="8" w:color="051D49"/>
            </w:tcBorders>
          </w:tcPr>
          <w:p>
            <w:pPr>
              <w:spacing w:after="0"/>
              <w:rPr>
                <w:sz w:val="18"/>
                <w:szCs w:val="18"/>
                <w:color w:val="auto"/>
              </w:rPr>
            </w:pPr>
          </w:p>
        </w:tc>
        <w:tc>
          <w:tcPr>
            <w:tcW w:w="5960" w:type="dxa"/>
            <w:vAlign w:val="bottom"/>
            <w:tcBorders>
              <w:bottom w:val="single" w:sz="8" w:color="051D49"/>
            </w:tcBorders>
          </w:tcPr>
          <w:p>
            <w:pPr>
              <w:spacing w:after="0"/>
              <w:rPr>
                <w:sz w:val="18"/>
                <w:szCs w:val="18"/>
                <w:color w:val="auto"/>
              </w:rPr>
            </w:pPr>
          </w:p>
        </w:tc>
        <w:tc>
          <w:tcPr>
            <w:tcW w:w="150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Class B Common</w:t>
            </w:r>
          </w:p>
        </w:tc>
        <w:tc>
          <w:tcPr>
            <w:tcW w:w="130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24,178</w:t>
            </w:r>
          </w:p>
        </w:tc>
        <w:tc>
          <w:tcPr>
            <w:tcW w:w="860" w:type="dxa"/>
            <w:vAlign w:val="bottom"/>
            <w:tcBorders>
              <w:bottom w:val="single" w:sz="8" w:color="051D49"/>
            </w:tcBorders>
          </w:tcPr>
          <w:p>
            <w:pPr>
              <w:spacing w:after="0"/>
              <w:rPr>
                <w:sz w:val="18"/>
                <w:szCs w:val="18"/>
                <w:color w:val="auto"/>
              </w:rPr>
            </w:pPr>
          </w:p>
        </w:tc>
        <w:tc>
          <w:tcPr>
            <w:tcW w:w="780" w:type="dxa"/>
            <w:vAlign w:val="bottom"/>
            <w:tcBorders>
              <w:bottom w:val="single" w:sz="8" w:color="051D49"/>
            </w:tcBorders>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3"/>
        </w:trPr>
        <w:tc>
          <w:tcPr>
            <w:tcW w:w="6480" w:type="dxa"/>
            <w:vAlign w:val="bottom"/>
            <w:gridSpan w:val="2"/>
          </w:tcPr>
          <w:p>
            <w:pPr>
              <w:ind w:left="60"/>
              <w:spacing w:after="0"/>
              <w:rPr>
                <w:sz w:val="20"/>
                <w:szCs w:val="20"/>
                <w:color w:val="auto"/>
              </w:rPr>
            </w:pPr>
            <w:r>
              <w:rPr>
                <w:rFonts w:ascii="Arial" w:cs="Arial" w:eastAsia="Arial" w:hAnsi="Arial"/>
                <w:sz w:val="1"/>
                <w:szCs w:val="1"/>
                <w:color w:val="auto"/>
              </w:rPr>
              <w:t>Shari E. Redstone</w:t>
            </w:r>
          </w:p>
        </w:tc>
        <w:tc>
          <w:tcPr>
            <w:tcW w:w="1500" w:type="dxa"/>
            <w:vAlign w:val="bottom"/>
          </w:tcPr>
          <w:p>
            <w:pPr>
              <w:jc w:val="right"/>
              <w:ind w:right="66"/>
              <w:spacing w:after="0"/>
              <w:rPr>
                <w:sz w:val="20"/>
                <w:szCs w:val="20"/>
                <w:color w:val="auto"/>
              </w:rPr>
            </w:pPr>
            <w:r>
              <w:rPr>
                <w:rFonts w:ascii="Arial" w:cs="Arial" w:eastAsia="Arial" w:hAnsi="Arial"/>
                <w:sz w:val="1"/>
                <w:szCs w:val="1"/>
                <w:color w:val="auto"/>
              </w:rPr>
              <w:t>Class A Common</w:t>
            </w:r>
          </w:p>
        </w:tc>
        <w:tc>
          <w:tcPr>
            <w:tcW w:w="1300" w:type="dxa"/>
            <w:vAlign w:val="bottom"/>
          </w:tcPr>
          <w:p>
            <w:pPr>
              <w:jc w:val="right"/>
              <w:spacing w:after="0"/>
              <w:rPr>
                <w:sz w:val="20"/>
                <w:szCs w:val="20"/>
                <w:color w:val="auto"/>
              </w:rPr>
            </w:pPr>
            <w:r>
              <w:rPr>
                <w:rFonts w:ascii="Arial" w:cs="Arial" w:eastAsia="Arial" w:hAnsi="Arial"/>
                <w:sz w:val="1"/>
                <w:szCs w:val="1"/>
                <w:color w:val="auto"/>
              </w:rPr>
              <w:t>30,167</w:t>
            </w:r>
          </w:p>
        </w:tc>
        <w:tc>
          <w:tcPr>
            <w:tcW w:w="860" w:type="dxa"/>
            <w:vAlign w:val="bottom"/>
            <w:vMerge w:val="restart"/>
          </w:tcPr>
          <w:p>
            <w:pPr>
              <w:jc w:val="right"/>
              <w:ind w:right="636"/>
              <w:spacing w:after="0"/>
              <w:rPr>
                <w:sz w:val="20"/>
                <w:szCs w:val="20"/>
                <w:color w:val="auto"/>
              </w:rPr>
            </w:pPr>
            <w:r>
              <w:rPr>
                <w:rFonts w:ascii="Arial" w:cs="Arial" w:eastAsia="Arial" w:hAnsi="Arial"/>
                <w:sz w:val="13"/>
                <w:szCs w:val="13"/>
                <w:color w:val="auto"/>
                <w:w w:val="87"/>
              </w:rPr>
              <w:t>(5)</w:t>
            </w:r>
          </w:p>
        </w:tc>
        <w:tc>
          <w:tcPr>
            <w:tcW w:w="780" w:type="dxa"/>
            <w:vAlign w:val="bottom"/>
          </w:tcPr>
          <w:p>
            <w:pPr>
              <w:jc w:val="center"/>
              <w:spacing w:after="0"/>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rPr>
                <w:sz w:val="14"/>
                <w:szCs w:val="14"/>
                <w:color w:val="auto"/>
              </w:rPr>
            </w:pPr>
          </w:p>
        </w:tc>
        <w:tc>
          <w:tcPr>
            <w:tcW w:w="5960" w:type="dxa"/>
            <w:vAlign w:val="bottom"/>
          </w:tcPr>
          <w:p>
            <w:pPr>
              <w:jc w:val="right"/>
              <w:ind w:right="4952"/>
              <w:spacing w:after="0"/>
              <w:rPr>
                <w:sz w:val="20"/>
                <w:szCs w:val="20"/>
                <w:color w:val="auto"/>
              </w:rPr>
            </w:pPr>
            <w:r>
              <w:rPr>
                <w:rFonts w:ascii="Arial" w:cs="Arial" w:eastAsia="Arial" w:hAnsi="Arial"/>
                <w:sz w:val="13"/>
                <w:szCs w:val="13"/>
                <w:color w:val="auto"/>
              </w:rPr>
              <w:t>(6)</w:t>
            </w: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20" w:type="dxa"/>
            <w:vAlign w:val="bottom"/>
            <w:tcBorders>
              <w:bottom w:val="single" w:sz="8" w:color="051D49"/>
            </w:tcBorders>
          </w:tcPr>
          <w:p>
            <w:pPr>
              <w:spacing w:after="0"/>
              <w:rPr>
                <w:sz w:val="19"/>
                <w:szCs w:val="19"/>
                <w:color w:val="auto"/>
              </w:rPr>
            </w:pPr>
          </w:p>
        </w:tc>
        <w:tc>
          <w:tcPr>
            <w:tcW w:w="5960" w:type="dxa"/>
            <w:vAlign w:val="bottom"/>
            <w:tcBorders>
              <w:bottom w:val="single" w:sz="8" w:color="051D49"/>
            </w:tcBorders>
          </w:tcPr>
          <w:p>
            <w:pPr>
              <w:spacing w:after="0"/>
              <w:rPr>
                <w:sz w:val="19"/>
                <w:szCs w:val="19"/>
                <w:color w:val="auto"/>
              </w:rPr>
            </w:pPr>
          </w:p>
        </w:tc>
        <w:tc>
          <w:tcPr>
            <w:tcW w:w="150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Class B Common</w:t>
            </w:r>
          </w:p>
        </w:tc>
        <w:tc>
          <w:tcPr>
            <w:tcW w:w="2160" w:type="dxa"/>
            <w:vAlign w:val="bottom"/>
            <w:tcBorders>
              <w:bottom w:val="single" w:sz="8" w:color="051D49"/>
            </w:tcBorders>
            <w:gridSpan w:val="2"/>
          </w:tcPr>
          <w:p>
            <w:pPr>
              <w:jc w:val="right"/>
              <w:ind w:right="476"/>
              <w:spacing w:after="0"/>
              <w:rPr>
                <w:sz w:val="20"/>
                <w:szCs w:val="20"/>
                <w:color w:val="auto"/>
              </w:rPr>
            </w:pPr>
            <w:r>
              <w:rPr>
                <w:rFonts w:ascii="Arial" w:cs="Arial" w:eastAsia="Arial" w:hAnsi="Arial"/>
                <w:sz w:val="15"/>
                <w:szCs w:val="15"/>
                <w:color w:val="auto"/>
              </w:rPr>
              <w:t>452,874</w:t>
            </w:r>
            <w:r>
              <w:rPr>
                <w:rFonts w:ascii="Arial" w:cs="Arial" w:eastAsia="Arial" w:hAnsi="Arial"/>
                <w:sz w:val="12"/>
                <w:szCs w:val="12"/>
                <w:color w:val="auto"/>
              </w:rPr>
              <w:t>(4)(5)</w:t>
            </w:r>
          </w:p>
        </w:tc>
        <w:tc>
          <w:tcPr>
            <w:tcW w:w="780" w:type="dxa"/>
            <w:vAlign w:val="bottom"/>
            <w:tcBorders>
              <w:bottom w:val="single" w:sz="8" w:color="051D49"/>
            </w:tcBorders>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5"/>
        </w:trPr>
        <w:tc>
          <w:tcPr>
            <w:tcW w:w="6480" w:type="dxa"/>
            <w:vAlign w:val="bottom"/>
            <w:gridSpan w:val="2"/>
          </w:tcPr>
          <w:p>
            <w:pPr>
              <w:ind w:left="60"/>
              <w:spacing w:after="0"/>
              <w:rPr>
                <w:sz w:val="20"/>
                <w:szCs w:val="20"/>
                <w:color w:val="auto"/>
              </w:rPr>
            </w:pPr>
            <w:r>
              <w:rPr>
                <w:rFonts w:ascii="Arial" w:cs="Arial" w:eastAsia="Arial" w:hAnsi="Arial"/>
                <w:sz w:val="15"/>
                <w:szCs w:val="15"/>
                <w:color w:val="auto"/>
              </w:rPr>
              <w:t>Susan Schuman</w:t>
            </w:r>
          </w:p>
        </w:tc>
        <w:tc>
          <w:tcPr>
            <w:tcW w:w="1500" w:type="dxa"/>
            <w:vAlign w:val="bottom"/>
          </w:tcPr>
          <w:p>
            <w:pPr>
              <w:jc w:val="right"/>
              <w:ind w:right="66"/>
              <w:spacing w:after="0"/>
              <w:rPr>
                <w:sz w:val="20"/>
                <w:szCs w:val="20"/>
                <w:color w:val="auto"/>
              </w:rPr>
            </w:pPr>
            <w:r>
              <w:rPr>
                <w:rFonts w:ascii="Arial" w:cs="Arial" w:eastAsia="Arial" w:hAnsi="Arial"/>
                <w:sz w:val="15"/>
                <w:szCs w:val="15"/>
                <w:color w:val="auto"/>
              </w:rPr>
              <w:t>Class A Common</w:t>
            </w:r>
          </w:p>
        </w:tc>
        <w:tc>
          <w:tcPr>
            <w:tcW w:w="1300" w:type="dxa"/>
            <w:vAlign w:val="bottom"/>
          </w:tcPr>
          <w:p>
            <w:pPr>
              <w:jc w:val="right"/>
              <w:spacing w:after="0"/>
              <w:rPr>
                <w:sz w:val="20"/>
                <w:szCs w:val="20"/>
                <w:color w:val="auto"/>
              </w:rPr>
            </w:pPr>
            <w:r>
              <w:rPr>
                <w:rFonts w:ascii="Arial" w:cs="Arial" w:eastAsia="Arial" w:hAnsi="Arial"/>
                <w:sz w:val="15"/>
                <w:szCs w:val="15"/>
                <w:color w:val="auto"/>
              </w:rPr>
              <w:t>0</w:t>
            </w:r>
          </w:p>
        </w:tc>
        <w:tc>
          <w:tcPr>
            <w:tcW w:w="8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0" w:type="dxa"/>
            <w:vAlign w:val="bottom"/>
          </w:tcPr>
          <w:p>
            <w:pPr>
              <w:spacing w:after="0"/>
              <w:rPr>
                <w:sz w:val="1"/>
                <w:szCs w:val="1"/>
                <w:color w:val="auto"/>
              </w:rPr>
            </w:pPr>
          </w:p>
        </w:tc>
      </w:tr>
      <w:tr>
        <w:trPr>
          <w:trHeight w:val="213"/>
        </w:trPr>
        <w:tc>
          <w:tcPr>
            <w:tcW w:w="520" w:type="dxa"/>
            <w:vAlign w:val="bottom"/>
            <w:tcBorders>
              <w:bottom w:val="single" w:sz="8" w:color="051D49"/>
            </w:tcBorders>
          </w:tcPr>
          <w:p>
            <w:pPr>
              <w:spacing w:after="0"/>
              <w:rPr>
                <w:sz w:val="18"/>
                <w:szCs w:val="18"/>
                <w:color w:val="auto"/>
              </w:rPr>
            </w:pPr>
          </w:p>
        </w:tc>
        <w:tc>
          <w:tcPr>
            <w:tcW w:w="5960" w:type="dxa"/>
            <w:vAlign w:val="bottom"/>
            <w:tcBorders>
              <w:bottom w:val="single" w:sz="8" w:color="051D49"/>
            </w:tcBorders>
          </w:tcPr>
          <w:p>
            <w:pPr>
              <w:spacing w:after="0"/>
              <w:rPr>
                <w:sz w:val="18"/>
                <w:szCs w:val="18"/>
                <w:color w:val="auto"/>
              </w:rPr>
            </w:pPr>
          </w:p>
        </w:tc>
        <w:tc>
          <w:tcPr>
            <w:tcW w:w="150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Class B Common</w:t>
            </w:r>
          </w:p>
        </w:tc>
        <w:tc>
          <w:tcPr>
            <w:tcW w:w="2160" w:type="dxa"/>
            <w:vAlign w:val="bottom"/>
            <w:tcBorders>
              <w:bottom w:val="single" w:sz="8" w:color="051D49"/>
            </w:tcBorders>
            <w:gridSpan w:val="2"/>
          </w:tcPr>
          <w:p>
            <w:pPr>
              <w:jc w:val="right"/>
              <w:ind w:right="636"/>
              <w:spacing w:after="0"/>
              <w:rPr>
                <w:sz w:val="20"/>
                <w:szCs w:val="20"/>
                <w:color w:val="auto"/>
              </w:rPr>
            </w:pPr>
            <w:r>
              <w:rPr>
                <w:rFonts w:ascii="Arial" w:cs="Arial" w:eastAsia="Arial" w:hAnsi="Arial"/>
                <w:sz w:val="15"/>
                <w:szCs w:val="15"/>
                <w:color w:val="auto"/>
              </w:rPr>
              <w:t>14,990</w:t>
            </w:r>
            <w:r>
              <w:rPr>
                <w:rFonts w:ascii="Arial" w:cs="Arial" w:eastAsia="Arial" w:hAnsi="Arial"/>
                <w:sz w:val="12"/>
                <w:szCs w:val="12"/>
                <w:color w:val="auto"/>
              </w:rPr>
              <w:t>(5)</w:t>
            </w:r>
          </w:p>
        </w:tc>
        <w:tc>
          <w:tcPr>
            <w:tcW w:w="780" w:type="dxa"/>
            <w:vAlign w:val="bottom"/>
            <w:tcBorders>
              <w:bottom w:val="single" w:sz="8" w:color="051D49"/>
            </w:tcBorders>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5"/>
        </w:trPr>
        <w:tc>
          <w:tcPr>
            <w:tcW w:w="6480" w:type="dxa"/>
            <w:vAlign w:val="bottom"/>
            <w:gridSpan w:val="2"/>
          </w:tcPr>
          <w:p>
            <w:pPr>
              <w:ind w:left="60"/>
              <w:spacing w:after="0"/>
              <w:rPr>
                <w:sz w:val="20"/>
                <w:szCs w:val="20"/>
                <w:color w:val="auto"/>
              </w:rPr>
            </w:pPr>
            <w:r>
              <w:rPr>
                <w:rFonts w:ascii="Arial" w:cs="Arial" w:eastAsia="Arial" w:hAnsi="Arial"/>
                <w:sz w:val="15"/>
                <w:szCs w:val="15"/>
                <w:color w:val="auto"/>
              </w:rPr>
              <w:t>Nicole Seligman</w:t>
            </w:r>
          </w:p>
        </w:tc>
        <w:tc>
          <w:tcPr>
            <w:tcW w:w="1500" w:type="dxa"/>
            <w:vAlign w:val="bottom"/>
          </w:tcPr>
          <w:p>
            <w:pPr>
              <w:jc w:val="right"/>
              <w:ind w:right="66"/>
              <w:spacing w:after="0"/>
              <w:rPr>
                <w:sz w:val="20"/>
                <w:szCs w:val="20"/>
                <w:color w:val="auto"/>
              </w:rPr>
            </w:pPr>
            <w:r>
              <w:rPr>
                <w:rFonts w:ascii="Arial" w:cs="Arial" w:eastAsia="Arial" w:hAnsi="Arial"/>
                <w:sz w:val="15"/>
                <w:szCs w:val="15"/>
                <w:color w:val="auto"/>
              </w:rPr>
              <w:t>Class A Common</w:t>
            </w:r>
          </w:p>
        </w:tc>
        <w:tc>
          <w:tcPr>
            <w:tcW w:w="1300" w:type="dxa"/>
            <w:vAlign w:val="bottom"/>
          </w:tcPr>
          <w:p>
            <w:pPr>
              <w:jc w:val="right"/>
              <w:spacing w:after="0"/>
              <w:rPr>
                <w:sz w:val="20"/>
                <w:szCs w:val="20"/>
                <w:color w:val="auto"/>
              </w:rPr>
            </w:pPr>
            <w:r>
              <w:rPr>
                <w:rFonts w:ascii="Arial" w:cs="Arial" w:eastAsia="Arial" w:hAnsi="Arial"/>
                <w:sz w:val="15"/>
                <w:szCs w:val="15"/>
                <w:color w:val="auto"/>
              </w:rPr>
              <w:t>0</w:t>
            </w:r>
          </w:p>
        </w:tc>
        <w:tc>
          <w:tcPr>
            <w:tcW w:w="8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0" w:type="dxa"/>
            <w:vAlign w:val="bottom"/>
          </w:tcPr>
          <w:p>
            <w:pPr>
              <w:spacing w:after="0"/>
              <w:rPr>
                <w:sz w:val="1"/>
                <w:szCs w:val="1"/>
                <w:color w:val="auto"/>
              </w:rPr>
            </w:pPr>
          </w:p>
        </w:tc>
      </w:tr>
      <w:tr>
        <w:trPr>
          <w:trHeight w:val="213"/>
        </w:trPr>
        <w:tc>
          <w:tcPr>
            <w:tcW w:w="520" w:type="dxa"/>
            <w:vAlign w:val="bottom"/>
            <w:tcBorders>
              <w:bottom w:val="single" w:sz="8" w:color="051D49"/>
            </w:tcBorders>
          </w:tcPr>
          <w:p>
            <w:pPr>
              <w:spacing w:after="0"/>
              <w:rPr>
                <w:sz w:val="18"/>
                <w:szCs w:val="18"/>
                <w:color w:val="auto"/>
              </w:rPr>
            </w:pPr>
          </w:p>
        </w:tc>
        <w:tc>
          <w:tcPr>
            <w:tcW w:w="5960" w:type="dxa"/>
            <w:vAlign w:val="bottom"/>
            <w:tcBorders>
              <w:bottom w:val="single" w:sz="8" w:color="051D49"/>
            </w:tcBorders>
          </w:tcPr>
          <w:p>
            <w:pPr>
              <w:spacing w:after="0"/>
              <w:rPr>
                <w:sz w:val="18"/>
                <w:szCs w:val="18"/>
                <w:color w:val="auto"/>
              </w:rPr>
            </w:pPr>
          </w:p>
        </w:tc>
        <w:tc>
          <w:tcPr>
            <w:tcW w:w="150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Class B Common</w:t>
            </w:r>
          </w:p>
        </w:tc>
        <w:tc>
          <w:tcPr>
            <w:tcW w:w="2160" w:type="dxa"/>
            <w:vAlign w:val="bottom"/>
            <w:tcBorders>
              <w:bottom w:val="single" w:sz="8" w:color="051D49"/>
            </w:tcBorders>
            <w:gridSpan w:val="2"/>
          </w:tcPr>
          <w:p>
            <w:pPr>
              <w:jc w:val="right"/>
              <w:ind w:right="476"/>
              <w:spacing w:after="0"/>
              <w:rPr>
                <w:sz w:val="20"/>
                <w:szCs w:val="20"/>
                <w:color w:val="auto"/>
              </w:rPr>
            </w:pPr>
            <w:r>
              <w:rPr>
                <w:rFonts w:ascii="Arial" w:cs="Arial" w:eastAsia="Arial" w:hAnsi="Arial"/>
                <w:sz w:val="15"/>
                <w:szCs w:val="15"/>
                <w:color w:val="auto"/>
              </w:rPr>
              <w:t>24,579</w:t>
            </w:r>
            <w:r>
              <w:rPr>
                <w:rFonts w:ascii="Arial" w:cs="Arial" w:eastAsia="Arial" w:hAnsi="Arial"/>
                <w:sz w:val="12"/>
                <w:szCs w:val="12"/>
                <w:color w:val="auto"/>
              </w:rPr>
              <w:t>(4)(5)</w:t>
            </w:r>
          </w:p>
        </w:tc>
        <w:tc>
          <w:tcPr>
            <w:tcW w:w="780" w:type="dxa"/>
            <w:vAlign w:val="bottom"/>
            <w:tcBorders>
              <w:bottom w:val="single" w:sz="8" w:color="051D49"/>
            </w:tcBorders>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5"/>
        </w:trPr>
        <w:tc>
          <w:tcPr>
            <w:tcW w:w="6480" w:type="dxa"/>
            <w:vAlign w:val="bottom"/>
            <w:gridSpan w:val="2"/>
          </w:tcPr>
          <w:p>
            <w:pPr>
              <w:ind w:left="60"/>
              <w:spacing w:after="0"/>
              <w:rPr>
                <w:sz w:val="20"/>
                <w:szCs w:val="20"/>
                <w:color w:val="auto"/>
              </w:rPr>
            </w:pPr>
            <w:r>
              <w:rPr>
                <w:rFonts w:ascii="Arial" w:cs="Arial" w:eastAsia="Arial" w:hAnsi="Arial"/>
                <w:sz w:val="15"/>
                <w:szCs w:val="15"/>
                <w:color w:val="auto"/>
              </w:rPr>
              <w:t>Frederick O. Terrell</w:t>
            </w:r>
          </w:p>
        </w:tc>
        <w:tc>
          <w:tcPr>
            <w:tcW w:w="1500" w:type="dxa"/>
            <w:vAlign w:val="bottom"/>
          </w:tcPr>
          <w:p>
            <w:pPr>
              <w:jc w:val="right"/>
              <w:ind w:right="66"/>
              <w:spacing w:after="0"/>
              <w:rPr>
                <w:sz w:val="20"/>
                <w:szCs w:val="20"/>
                <w:color w:val="auto"/>
              </w:rPr>
            </w:pPr>
            <w:r>
              <w:rPr>
                <w:rFonts w:ascii="Arial" w:cs="Arial" w:eastAsia="Arial" w:hAnsi="Arial"/>
                <w:sz w:val="15"/>
                <w:szCs w:val="15"/>
                <w:color w:val="auto"/>
              </w:rPr>
              <w:t>Class A Common</w:t>
            </w:r>
          </w:p>
        </w:tc>
        <w:tc>
          <w:tcPr>
            <w:tcW w:w="2160" w:type="dxa"/>
            <w:vAlign w:val="bottom"/>
            <w:gridSpan w:val="2"/>
          </w:tcPr>
          <w:p>
            <w:pPr>
              <w:jc w:val="right"/>
              <w:ind w:right="636"/>
              <w:spacing w:after="0"/>
              <w:rPr>
                <w:sz w:val="20"/>
                <w:szCs w:val="20"/>
                <w:color w:val="auto"/>
              </w:rPr>
            </w:pPr>
            <w:r>
              <w:rPr>
                <w:rFonts w:ascii="Arial" w:cs="Arial" w:eastAsia="Arial" w:hAnsi="Arial"/>
                <w:sz w:val="15"/>
                <w:szCs w:val="15"/>
                <w:color w:val="auto"/>
              </w:rPr>
              <w:t>5,359</w:t>
            </w:r>
            <w:r>
              <w:rPr>
                <w:rFonts w:ascii="Arial" w:cs="Arial" w:eastAsia="Arial" w:hAnsi="Arial"/>
                <w:sz w:val="12"/>
                <w:szCs w:val="12"/>
                <w:color w:val="auto"/>
              </w:rPr>
              <w:t>(5)</w:t>
            </w: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13"/>
        </w:trPr>
        <w:tc>
          <w:tcPr>
            <w:tcW w:w="520" w:type="dxa"/>
            <w:vAlign w:val="bottom"/>
            <w:tcBorders>
              <w:bottom w:val="single" w:sz="8" w:color="051D49"/>
            </w:tcBorders>
          </w:tcPr>
          <w:p>
            <w:pPr>
              <w:spacing w:after="0"/>
              <w:rPr>
                <w:sz w:val="18"/>
                <w:szCs w:val="18"/>
                <w:color w:val="auto"/>
              </w:rPr>
            </w:pPr>
          </w:p>
        </w:tc>
        <w:tc>
          <w:tcPr>
            <w:tcW w:w="5960" w:type="dxa"/>
            <w:vAlign w:val="bottom"/>
            <w:tcBorders>
              <w:bottom w:val="single" w:sz="8" w:color="051D49"/>
            </w:tcBorders>
          </w:tcPr>
          <w:p>
            <w:pPr>
              <w:spacing w:after="0"/>
              <w:rPr>
                <w:sz w:val="18"/>
                <w:szCs w:val="18"/>
                <w:color w:val="auto"/>
              </w:rPr>
            </w:pPr>
          </w:p>
        </w:tc>
        <w:tc>
          <w:tcPr>
            <w:tcW w:w="150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Class B Common</w:t>
            </w:r>
          </w:p>
        </w:tc>
        <w:tc>
          <w:tcPr>
            <w:tcW w:w="2160" w:type="dxa"/>
            <w:vAlign w:val="bottom"/>
            <w:tcBorders>
              <w:bottom w:val="single" w:sz="8" w:color="051D49"/>
            </w:tcBorders>
            <w:gridSpan w:val="2"/>
          </w:tcPr>
          <w:p>
            <w:pPr>
              <w:jc w:val="right"/>
              <w:ind w:right="636"/>
              <w:spacing w:after="0"/>
              <w:rPr>
                <w:sz w:val="20"/>
                <w:szCs w:val="20"/>
                <w:color w:val="auto"/>
              </w:rPr>
            </w:pPr>
            <w:r>
              <w:rPr>
                <w:rFonts w:ascii="Arial" w:cs="Arial" w:eastAsia="Arial" w:hAnsi="Arial"/>
                <w:sz w:val="15"/>
                <w:szCs w:val="15"/>
                <w:color w:val="auto"/>
              </w:rPr>
              <w:t>19,984</w:t>
            </w:r>
            <w:r>
              <w:rPr>
                <w:rFonts w:ascii="Arial" w:cs="Arial" w:eastAsia="Arial" w:hAnsi="Arial"/>
                <w:sz w:val="12"/>
                <w:szCs w:val="12"/>
                <w:color w:val="auto"/>
              </w:rPr>
              <w:t>(5)</w:t>
            </w:r>
          </w:p>
        </w:tc>
        <w:tc>
          <w:tcPr>
            <w:tcW w:w="780" w:type="dxa"/>
            <w:vAlign w:val="bottom"/>
            <w:tcBorders>
              <w:bottom w:val="single" w:sz="8" w:color="051D49"/>
            </w:tcBorders>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53"/>
        </w:trPr>
        <w:tc>
          <w:tcPr>
            <w:tcW w:w="6480" w:type="dxa"/>
            <w:vAlign w:val="bottom"/>
            <w:gridSpan w:val="2"/>
          </w:tcPr>
          <w:p>
            <w:pPr>
              <w:ind w:left="60"/>
              <w:spacing w:after="0" w:line="153" w:lineRule="exact"/>
              <w:rPr>
                <w:sz w:val="20"/>
                <w:szCs w:val="20"/>
                <w:color w:val="auto"/>
              </w:rPr>
            </w:pPr>
            <w:r>
              <w:rPr>
                <w:rFonts w:ascii="Arial" w:cs="Arial" w:eastAsia="Arial" w:hAnsi="Arial"/>
                <w:sz w:val="15"/>
                <w:szCs w:val="15"/>
                <w:color w:val="auto"/>
              </w:rPr>
              <w:t>Current directors and executive officers as a</w:t>
            </w:r>
          </w:p>
        </w:tc>
        <w:tc>
          <w:tcPr>
            <w:tcW w:w="1500" w:type="dxa"/>
            <w:vAlign w:val="bottom"/>
          </w:tcPr>
          <w:p>
            <w:pPr>
              <w:jc w:val="right"/>
              <w:ind w:right="66"/>
              <w:spacing w:after="0" w:line="153" w:lineRule="exact"/>
              <w:rPr>
                <w:sz w:val="20"/>
                <w:szCs w:val="20"/>
                <w:color w:val="auto"/>
              </w:rPr>
            </w:pPr>
            <w:r>
              <w:rPr>
                <w:rFonts w:ascii="Arial" w:cs="Arial" w:eastAsia="Arial" w:hAnsi="Arial"/>
                <w:sz w:val="15"/>
                <w:szCs w:val="15"/>
                <w:color w:val="auto"/>
              </w:rPr>
              <w:t>Class A Common</w:t>
            </w:r>
          </w:p>
        </w:tc>
        <w:tc>
          <w:tcPr>
            <w:tcW w:w="2160" w:type="dxa"/>
            <w:vAlign w:val="bottom"/>
            <w:gridSpan w:val="2"/>
          </w:tcPr>
          <w:p>
            <w:pPr>
              <w:jc w:val="right"/>
              <w:ind w:right="636"/>
              <w:spacing w:after="0" w:line="153" w:lineRule="exact"/>
              <w:rPr>
                <w:sz w:val="20"/>
                <w:szCs w:val="20"/>
                <w:color w:val="auto"/>
              </w:rPr>
            </w:pPr>
            <w:r>
              <w:rPr>
                <w:rFonts w:ascii="Arial" w:cs="Arial" w:eastAsia="Arial" w:hAnsi="Arial"/>
                <w:sz w:val="15"/>
                <w:szCs w:val="15"/>
                <w:color w:val="auto"/>
              </w:rPr>
              <w:t>52,262</w:t>
            </w:r>
            <w:r>
              <w:rPr>
                <w:rFonts w:ascii="Arial" w:cs="Arial" w:eastAsia="Arial" w:hAnsi="Arial"/>
                <w:sz w:val="12"/>
                <w:szCs w:val="12"/>
                <w:color w:val="auto"/>
              </w:rPr>
              <w:t>(5)</w:t>
            </w:r>
          </w:p>
        </w:tc>
        <w:tc>
          <w:tcPr>
            <w:tcW w:w="780" w:type="dxa"/>
            <w:vAlign w:val="bottom"/>
          </w:tcPr>
          <w:p>
            <w:pPr>
              <w:jc w:val="center"/>
              <w:spacing w:after="0" w:line="153" w:lineRule="exact"/>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051D49"/>
            </w:tcBorders>
            <w:gridSpan w:val="2"/>
          </w:tcPr>
          <w:p>
            <w:pPr>
              <w:ind w:left="220"/>
              <w:spacing w:after="0"/>
              <w:rPr>
                <w:sz w:val="20"/>
                <w:szCs w:val="20"/>
                <w:color w:val="auto"/>
              </w:rPr>
            </w:pPr>
            <w:r>
              <w:rPr>
                <w:rFonts w:ascii="Arial" w:cs="Arial" w:eastAsia="Arial" w:hAnsi="Arial"/>
                <w:sz w:val="15"/>
                <w:szCs w:val="15"/>
                <w:color w:val="auto"/>
              </w:rPr>
              <w:t>group (19 persons)</w:t>
            </w:r>
          </w:p>
        </w:tc>
        <w:tc>
          <w:tcPr>
            <w:tcW w:w="150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Class B Common</w:t>
            </w:r>
          </w:p>
        </w:tc>
        <w:tc>
          <w:tcPr>
            <w:tcW w:w="2160" w:type="dxa"/>
            <w:vAlign w:val="bottom"/>
            <w:tcBorders>
              <w:bottom w:val="single" w:sz="8" w:color="051D49"/>
            </w:tcBorders>
            <w:gridSpan w:val="2"/>
          </w:tcPr>
          <w:p>
            <w:pPr>
              <w:ind w:left="620"/>
              <w:spacing w:after="0"/>
              <w:rPr>
                <w:sz w:val="20"/>
                <w:szCs w:val="20"/>
                <w:color w:val="auto"/>
              </w:rPr>
            </w:pPr>
            <w:r>
              <w:rPr>
                <w:rFonts w:ascii="Arial" w:cs="Arial" w:eastAsia="Arial" w:hAnsi="Arial"/>
                <w:sz w:val="15"/>
                <w:szCs w:val="15"/>
                <w:color w:val="auto"/>
              </w:rPr>
              <w:t>2,879,578</w:t>
            </w:r>
            <w:r>
              <w:rPr>
                <w:rFonts w:ascii="Arial" w:cs="Arial" w:eastAsia="Arial" w:hAnsi="Arial"/>
                <w:sz w:val="12"/>
                <w:szCs w:val="12"/>
                <w:color w:val="auto"/>
              </w:rPr>
              <w:t>(1)(2)(3)(4)(5)</w:t>
            </w:r>
          </w:p>
        </w:tc>
        <w:tc>
          <w:tcPr>
            <w:tcW w:w="780" w:type="dxa"/>
            <w:vAlign w:val="bottom"/>
            <w:tcBorders>
              <w:bottom w:val="single" w:sz="8" w:color="051D49"/>
            </w:tcBorders>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520" w:type="dxa"/>
            <w:vAlign w:val="bottom"/>
            <w:shd w:val="clear" w:color="auto" w:fill="051D49"/>
          </w:tcPr>
          <w:p>
            <w:pPr>
              <w:ind w:left="80"/>
              <w:spacing w:after="0"/>
              <w:rPr>
                <w:sz w:val="20"/>
                <w:szCs w:val="20"/>
                <w:color w:val="auto"/>
              </w:rPr>
            </w:pPr>
            <w:r>
              <w:rPr>
                <w:rFonts w:ascii="Arial" w:cs="Arial" w:eastAsia="Arial" w:hAnsi="Arial"/>
                <w:sz w:val="14"/>
                <w:szCs w:val="14"/>
                <w:b w:val="1"/>
                <w:bCs w:val="1"/>
                <w:color w:val="FFFFFF"/>
              </w:rPr>
              <w:t>20</w:t>
            </w:r>
          </w:p>
        </w:tc>
        <w:tc>
          <w:tcPr>
            <w:tcW w:w="5960" w:type="dxa"/>
            <w:vAlign w:val="bottom"/>
            <w:shd w:val="clear" w:color="auto" w:fill="051D49"/>
          </w:tcPr>
          <w:p>
            <w:pPr>
              <w:jc w:val="right"/>
              <w:ind w:right="4352"/>
              <w:spacing w:after="0"/>
              <w:rPr>
                <w:sz w:val="20"/>
                <w:szCs w:val="20"/>
                <w:color w:val="auto"/>
              </w:rPr>
            </w:pPr>
            <w:r>
              <w:rPr>
                <w:rFonts w:ascii="Arial" w:cs="Arial" w:eastAsia="Arial" w:hAnsi="Arial"/>
                <w:sz w:val="14"/>
                <w:szCs w:val="14"/>
                <w:color w:val="FFFFFF"/>
              </w:rPr>
              <w:t>PARAMOUNT GLOBAL</w:t>
            </w:r>
          </w:p>
        </w:tc>
        <w:tc>
          <w:tcPr>
            <w:tcW w:w="1500" w:type="dxa"/>
            <w:vAlign w:val="bottom"/>
            <w:shd w:val="clear" w:color="auto" w:fill="051D49"/>
          </w:tcPr>
          <w:p>
            <w:pPr>
              <w:spacing w:after="0"/>
              <w:rPr>
                <w:sz w:val="24"/>
                <w:szCs w:val="24"/>
                <w:color w:val="auto"/>
              </w:rPr>
            </w:pPr>
          </w:p>
        </w:tc>
        <w:tc>
          <w:tcPr>
            <w:tcW w:w="1300" w:type="dxa"/>
            <w:vAlign w:val="bottom"/>
            <w:shd w:val="clear" w:color="auto" w:fill="051D49"/>
          </w:tcPr>
          <w:p>
            <w:pPr>
              <w:spacing w:after="0"/>
              <w:rPr>
                <w:sz w:val="24"/>
                <w:szCs w:val="24"/>
                <w:color w:val="auto"/>
              </w:rPr>
            </w:pPr>
          </w:p>
        </w:tc>
        <w:tc>
          <w:tcPr>
            <w:tcW w:w="860" w:type="dxa"/>
            <w:vAlign w:val="bottom"/>
            <w:shd w:val="clear" w:color="auto" w:fill="051D49"/>
          </w:tcPr>
          <w:p>
            <w:pPr>
              <w:spacing w:after="0"/>
              <w:rPr>
                <w:sz w:val="24"/>
                <w:szCs w:val="24"/>
                <w:color w:val="auto"/>
              </w:rPr>
            </w:pPr>
          </w:p>
        </w:tc>
        <w:tc>
          <w:tcPr>
            <w:tcW w:w="780" w:type="dxa"/>
            <w:vAlign w:val="bottom"/>
            <w:shd w:val="clear" w:color="auto" w:fill="051D49"/>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520" w:type="dxa"/>
            <w:vAlign w:val="bottom"/>
            <w:shd w:val="clear" w:color="auto" w:fill="051D49"/>
          </w:tcPr>
          <w:p>
            <w:pPr>
              <w:spacing w:after="0"/>
              <w:rPr>
                <w:sz w:val="7"/>
                <w:szCs w:val="7"/>
                <w:color w:val="auto"/>
              </w:rPr>
            </w:pPr>
          </w:p>
        </w:tc>
        <w:tc>
          <w:tcPr>
            <w:tcW w:w="5960" w:type="dxa"/>
            <w:vAlign w:val="bottom"/>
            <w:shd w:val="clear" w:color="auto" w:fill="051D49"/>
          </w:tcPr>
          <w:p>
            <w:pPr>
              <w:spacing w:after="0"/>
              <w:rPr>
                <w:sz w:val="7"/>
                <w:szCs w:val="7"/>
                <w:color w:val="auto"/>
              </w:rPr>
            </w:pPr>
          </w:p>
        </w:tc>
        <w:tc>
          <w:tcPr>
            <w:tcW w:w="1500" w:type="dxa"/>
            <w:vAlign w:val="bottom"/>
            <w:shd w:val="clear" w:color="auto" w:fill="051D49"/>
          </w:tcPr>
          <w:p>
            <w:pPr>
              <w:spacing w:after="0"/>
              <w:rPr>
                <w:sz w:val="7"/>
                <w:szCs w:val="7"/>
                <w:color w:val="auto"/>
              </w:rPr>
            </w:pPr>
          </w:p>
        </w:tc>
        <w:tc>
          <w:tcPr>
            <w:tcW w:w="1300" w:type="dxa"/>
            <w:vAlign w:val="bottom"/>
            <w:shd w:val="clear" w:color="auto" w:fill="051D49"/>
          </w:tcPr>
          <w:p>
            <w:pPr>
              <w:spacing w:after="0"/>
              <w:rPr>
                <w:sz w:val="7"/>
                <w:szCs w:val="7"/>
                <w:color w:val="auto"/>
              </w:rPr>
            </w:pPr>
          </w:p>
        </w:tc>
        <w:tc>
          <w:tcPr>
            <w:tcW w:w="860" w:type="dxa"/>
            <w:vAlign w:val="bottom"/>
            <w:shd w:val="clear" w:color="auto" w:fill="051D49"/>
          </w:tcPr>
          <w:p>
            <w:pPr>
              <w:spacing w:after="0"/>
              <w:rPr>
                <w:sz w:val="7"/>
                <w:szCs w:val="7"/>
                <w:color w:val="auto"/>
              </w:rPr>
            </w:pPr>
          </w:p>
        </w:tc>
        <w:tc>
          <w:tcPr>
            <w:tcW w:w="780" w:type="dxa"/>
            <w:vAlign w:val="bottom"/>
            <w:shd w:val="clear" w:color="auto" w:fill="051D49"/>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6348095</wp:posOffset>
            </wp:positionH>
            <wp:positionV relativeFrom="paragraph">
              <wp:posOffset>-211455</wp:posOffset>
            </wp:positionV>
            <wp:extent cx="551815" cy="161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1815" cy="1612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SECURITY OWNERSHIP OF CERTAIN BENEFICIAL OWNERS AND MANAGEMENT</w:t>
      </w:r>
    </w:p>
    <w:p>
      <w:pPr>
        <w:spacing w:after="0" w:line="164" w:lineRule="exact"/>
        <w:rPr>
          <w:sz w:val="20"/>
          <w:szCs w:val="20"/>
          <w:color w:val="auto"/>
        </w:rPr>
      </w:pPr>
    </w:p>
    <w:tbl>
      <w:tblPr>
        <w:tblLayout w:type="fixed"/>
        <w:tblInd w:w="160" w:type="dxa"/>
        <w:tblCellMar>
          <w:top w:w="0" w:type="dxa"/>
          <w:left w:w="0" w:type="dxa"/>
          <w:bottom w:w="0" w:type="dxa"/>
          <w:right w:w="0" w:type="dxa"/>
        </w:tblCellMar>
      </w:tblPr>
      <w:tr>
        <w:trPr>
          <w:trHeight w:val="259"/>
        </w:trPr>
        <w:tc>
          <w:tcPr>
            <w:tcW w:w="6800" w:type="dxa"/>
            <w:vAlign w:val="bottom"/>
            <w:tcBorders>
              <w:bottom w:val="single" w:sz="8" w:color="EAEAEA"/>
            </w:tcBorders>
            <w:shd w:val="clear" w:color="auto" w:fill="EAEAEA"/>
          </w:tcPr>
          <w:p>
            <w:pPr>
              <w:spacing w:after="0"/>
              <w:rPr>
                <w:sz w:val="22"/>
                <w:szCs w:val="22"/>
                <w:color w:val="auto"/>
              </w:rPr>
            </w:pPr>
          </w:p>
        </w:tc>
        <w:tc>
          <w:tcPr>
            <w:tcW w:w="4120" w:type="dxa"/>
            <w:vAlign w:val="bottom"/>
            <w:tcBorders>
              <w:bottom w:val="single" w:sz="8" w:color="EAEAEA"/>
            </w:tcBorders>
            <w:gridSpan w:val="3"/>
            <w:shd w:val="clear" w:color="auto" w:fill="EAEAEA"/>
          </w:tcPr>
          <w:p>
            <w:pPr>
              <w:jc w:val="right"/>
              <w:ind w:right="798"/>
              <w:spacing w:after="0"/>
              <w:rPr>
                <w:sz w:val="20"/>
                <w:szCs w:val="20"/>
                <w:color w:val="auto"/>
              </w:rPr>
            </w:pPr>
            <w:r>
              <w:rPr>
                <w:rFonts w:ascii="Arial" w:cs="Arial" w:eastAsia="Arial" w:hAnsi="Arial"/>
                <w:sz w:val="14"/>
                <w:szCs w:val="14"/>
                <w:color w:val="051D49"/>
              </w:rPr>
              <w:t>Beneficial Ownership of Equity Securities</w:t>
            </w:r>
          </w:p>
        </w:tc>
      </w:tr>
      <w:tr>
        <w:trPr>
          <w:trHeight w:val="158"/>
        </w:trPr>
        <w:tc>
          <w:tcPr>
            <w:tcW w:w="6800" w:type="dxa"/>
            <w:vAlign w:val="bottom"/>
            <w:tcBorders>
              <w:top w:val="single" w:sz="8" w:color="EAEAEA"/>
            </w:tcBorders>
            <w:shd w:val="clear" w:color="auto" w:fill="EAEAEA"/>
          </w:tcPr>
          <w:p>
            <w:pPr>
              <w:spacing w:after="0"/>
              <w:rPr>
                <w:sz w:val="13"/>
                <w:szCs w:val="13"/>
                <w:color w:val="auto"/>
              </w:rPr>
            </w:pPr>
          </w:p>
        </w:tc>
        <w:tc>
          <w:tcPr>
            <w:tcW w:w="1440" w:type="dxa"/>
            <w:vAlign w:val="bottom"/>
            <w:tcBorders>
              <w:top w:val="single" w:sz="8" w:color="051D49"/>
            </w:tcBorders>
            <w:shd w:val="clear" w:color="auto" w:fill="EAEAEA"/>
          </w:tcPr>
          <w:p>
            <w:pPr>
              <w:spacing w:after="0"/>
              <w:rPr>
                <w:sz w:val="13"/>
                <w:szCs w:val="13"/>
                <w:color w:val="auto"/>
              </w:rPr>
            </w:pPr>
          </w:p>
        </w:tc>
        <w:tc>
          <w:tcPr>
            <w:tcW w:w="1460" w:type="dxa"/>
            <w:vAlign w:val="bottom"/>
            <w:tcBorders>
              <w:top w:val="single" w:sz="8" w:color="051D49"/>
            </w:tcBorders>
            <w:shd w:val="clear" w:color="auto" w:fill="EAEAEA"/>
          </w:tcPr>
          <w:p>
            <w:pPr>
              <w:spacing w:after="0"/>
              <w:rPr>
                <w:sz w:val="13"/>
                <w:szCs w:val="13"/>
                <w:color w:val="auto"/>
              </w:rPr>
            </w:pPr>
          </w:p>
        </w:tc>
        <w:tc>
          <w:tcPr>
            <w:tcW w:w="1220" w:type="dxa"/>
            <w:vAlign w:val="bottom"/>
            <w:tcBorders>
              <w:top w:val="single" w:sz="8" w:color="051D49"/>
            </w:tcBorders>
            <w:shd w:val="clear" w:color="auto" w:fill="EAEAEA"/>
          </w:tcPr>
          <w:p>
            <w:pPr>
              <w:jc w:val="right"/>
              <w:ind w:right="438"/>
              <w:spacing w:after="0" w:line="158" w:lineRule="exact"/>
              <w:rPr>
                <w:sz w:val="20"/>
                <w:szCs w:val="20"/>
                <w:color w:val="auto"/>
              </w:rPr>
            </w:pPr>
            <w:r>
              <w:rPr>
                <w:rFonts w:ascii="Arial" w:cs="Arial" w:eastAsia="Arial" w:hAnsi="Arial"/>
                <w:sz w:val="14"/>
                <w:szCs w:val="14"/>
                <w:color w:val="051D49"/>
              </w:rPr>
              <w:t>Percent</w:t>
            </w:r>
          </w:p>
        </w:tc>
      </w:tr>
      <w:tr>
        <w:trPr>
          <w:trHeight w:val="217"/>
        </w:trPr>
        <w:tc>
          <w:tcPr>
            <w:tcW w:w="68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color w:val="051D49"/>
              </w:rPr>
              <w:t>Name</w:t>
            </w:r>
          </w:p>
        </w:tc>
        <w:tc>
          <w:tcPr>
            <w:tcW w:w="1440" w:type="dxa"/>
            <w:vAlign w:val="bottom"/>
            <w:tcBorders>
              <w:bottom w:val="single" w:sz="8" w:color="EAEAEA"/>
            </w:tcBorders>
            <w:shd w:val="clear" w:color="auto" w:fill="EAEAEA"/>
          </w:tcPr>
          <w:p>
            <w:pPr>
              <w:jc w:val="right"/>
              <w:ind w:right="178"/>
              <w:spacing w:after="0"/>
              <w:rPr>
                <w:sz w:val="20"/>
                <w:szCs w:val="20"/>
                <w:color w:val="auto"/>
              </w:rPr>
            </w:pPr>
            <w:r>
              <w:rPr>
                <w:rFonts w:ascii="Arial" w:cs="Arial" w:eastAsia="Arial" w:hAnsi="Arial"/>
                <w:sz w:val="14"/>
                <w:szCs w:val="14"/>
                <w:color w:val="051D49"/>
              </w:rPr>
              <w:t>Title of Security</w:t>
            </w:r>
          </w:p>
        </w:tc>
        <w:tc>
          <w:tcPr>
            <w:tcW w:w="1460" w:type="dxa"/>
            <w:vAlign w:val="bottom"/>
            <w:tcBorders>
              <w:bottom w:val="single" w:sz="8" w:color="EAEAEA"/>
            </w:tcBorders>
            <w:shd w:val="clear" w:color="auto" w:fill="EAEAEA"/>
          </w:tcPr>
          <w:p>
            <w:pPr>
              <w:jc w:val="right"/>
              <w:ind w:right="160"/>
              <w:spacing w:after="0"/>
              <w:rPr>
                <w:sz w:val="20"/>
                <w:szCs w:val="20"/>
                <w:color w:val="auto"/>
              </w:rPr>
            </w:pPr>
            <w:r>
              <w:rPr>
                <w:rFonts w:ascii="Arial" w:cs="Arial" w:eastAsia="Arial" w:hAnsi="Arial"/>
                <w:sz w:val="14"/>
                <w:szCs w:val="14"/>
                <w:color w:val="051D49"/>
              </w:rPr>
              <w:t>Number of Shares</w:t>
            </w:r>
          </w:p>
        </w:tc>
        <w:tc>
          <w:tcPr>
            <w:tcW w:w="1220" w:type="dxa"/>
            <w:vAlign w:val="bottom"/>
            <w:tcBorders>
              <w:bottom w:val="single" w:sz="8" w:color="EAEAEA"/>
            </w:tcBorders>
            <w:shd w:val="clear" w:color="auto" w:fill="EAEAEA"/>
          </w:tcPr>
          <w:p>
            <w:pPr>
              <w:jc w:val="right"/>
              <w:ind w:right="418"/>
              <w:spacing w:after="0"/>
              <w:rPr>
                <w:sz w:val="20"/>
                <w:szCs w:val="20"/>
                <w:color w:val="auto"/>
              </w:rPr>
            </w:pPr>
            <w:r>
              <w:rPr>
                <w:rFonts w:ascii="Arial" w:cs="Arial" w:eastAsia="Arial" w:hAnsi="Arial"/>
                <w:sz w:val="14"/>
                <w:szCs w:val="14"/>
                <w:color w:val="051D49"/>
              </w:rPr>
              <w:t>of Class</w:t>
            </w:r>
          </w:p>
        </w:tc>
      </w:tr>
      <w:tr>
        <w:trPr>
          <w:trHeight w:val="170"/>
        </w:trPr>
        <w:tc>
          <w:tcPr>
            <w:tcW w:w="6800" w:type="dxa"/>
            <w:vAlign w:val="bottom"/>
          </w:tcPr>
          <w:p>
            <w:pPr>
              <w:ind w:left="60"/>
              <w:spacing w:after="0" w:line="170" w:lineRule="exact"/>
              <w:rPr>
                <w:sz w:val="20"/>
                <w:szCs w:val="20"/>
                <w:color w:val="auto"/>
              </w:rPr>
            </w:pPr>
            <w:r>
              <w:rPr>
                <w:rFonts w:ascii="Arial" w:cs="Arial" w:eastAsia="Arial" w:hAnsi="Arial"/>
                <w:sz w:val="15"/>
                <w:szCs w:val="15"/>
                <w:color w:val="auto"/>
              </w:rPr>
              <w:t>National Amusements</w:t>
            </w:r>
            <w:r>
              <w:rPr>
                <w:rFonts w:ascii="Arial" w:cs="Arial" w:eastAsia="Arial" w:hAnsi="Arial"/>
                <w:sz w:val="12"/>
                <w:szCs w:val="12"/>
                <w:color w:val="auto"/>
              </w:rPr>
              <w:t>(7)</w:t>
            </w:r>
          </w:p>
        </w:tc>
        <w:tc>
          <w:tcPr>
            <w:tcW w:w="1440" w:type="dxa"/>
            <w:vAlign w:val="bottom"/>
          </w:tcPr>
          <w:p>
            <w:pPr>
              <w:jc w:val="right"/>
              <w:ind w:right="38"/>
              <w:spacing w:after="0" w:line="170" w:lineRule="exact"/>
              <w:rPr>
                <w:sz w:val="20"/>
                <w:szCs w:val="20"/>
                <w:color w:val="auto"/>
              </w:rPr>
            </w:pPr>
            <w:r>
              <w:rPr>
                <w:rFonts w:ascii="Arial" w:cs="Arial" w:eastAsia="Arial" w:hAnsi="Arial"/>
                <w:sz w:val="15"/>
                <w:szCs w:val="15"/>
                <w:color w:val="auto"/>
              </w:rPr>
              <w:t>Class A Common</w:t>
            </w:r>
          </w:p>
        </w:tc>
        <w:tc>
          <w:tcPr>
            <w:tcW w:w="1460" w:type="dxa"/>
            <w:vAlign w:val="bottom"/>
          </w:tcPr>
          <w:p>
            <w:pPr>
              <w:jc w:val="right"/>
              <w:ind w:right="160"/>
              <w:spacing w:after="0" w:line="170" w:lineRule="exact"/>
              <w:rPr>
                <w:sz w:val="20"/>
                <w:szCs w:val="20"/>
                <w:color w:val="auto"/>
              </w:rPr>
            </w:pPr>
            <w:r>
              <w:rPr>
                <w:rFonts w:ascii="Arial" w:cs="Arial" w:eastAsia="Arial" w:hAnsi="Arial"/>
                <w:sz w:val="15"/>
                <w:szCs w:val="15"/>
                <w:color w:val="auto"/>
              </w:rPr>
              <w:t>31,500,087</w:t>
            </w:r>
          </w:p>
        </w:tc>
        <w:tc>
          <w:tcPr>
            <w:tcW w:w="1220" w:type="dxa"/>
            <w:vAlign w:val="bottom"/>
          </w:tcPr>
          <w:p>
            <w:pPr>
              <w:jc w:val="right"/>
              <w:ind w:right="78"/>
              <w:spacing w:after="0" w:line="170" w:lineRule="exact"/>
              <w:rPr>
                <w:sz w:val="20"/>
                <w:szCs w:val="20"/>
                <w:color w:val="auto"/>
              </w:rPr>
            </w:pPr>
            <w:r>
              <w:rPr>
                <w:rFonts w:ascii="Arial" w:cs="Arial" w:eastAsia="Arial" w:hAnsi="Arial"/>
                <w:sz w:val="15"/>
                <w:szCs w:val="15"/>
                <w:color w:val="auto"/>
              </w:rPr>
              <w:t>77.4%</w:t>
            </w:r>
          </w:p>
        </w:tc>
      </w:tr>
      <w:tr>
        <w:trPr>
          <w:trHeight w:val="231"/>
        </w:trPr>
        <w:tc>
          <w:tcPr>
            <w:tcW w:w="6800" w:type="dxa"/>
            <w:vAlign w:val="bottom"/>
          </w:tcPr>
          <w:p>
            <w:pPr>
              <w:ind w:left="220"/>
              <w:spacing w:after="0"/>
              <w:rPr>
                <w:sz w:val="20"/>
                <w:szCs w:val="20"/>
                <w:color w:val="auto"/>
              </w:rPr>
            </w:pPr>
            <w:r>
              <w:rPr>
                <w:rFonts w:ascii="Arial" w:cs="Arial" w:eastAsia="Arial" w:hAnsi="Arial"/>
                <w:sz w:val="15"/>
                <w:szCs w:val="15"/>
                <w:color w:val="auto"/>
              </w:rPr>
              <w:t>846 University Avenue</w:t>
            </w:r>
          </w:p>
        </w:tc>
        <w:tc>
          <w:tcPr>
            <w:tcW w:w="1440" w:type="dxa"/>
            <w:vAlign w:val="bottom"/>
          </w:tcPr>
          <w:p>
            <w:pPr>
              <w:jc w:val="right"/>
              <w:ind w:right="38"/>
              <w:spacing w:after="0"/>
              <w:rPr>
                <w:sz w:val="20"/>
                <w:szCs w:val="20"/>
                <w:color w:val="auto"/>
              </w:rPr>
            </w:pPr>
            <w:r>
              <w:rPr>
                <w:rFonts w:ascii="Arial" w:cs="Arial" w:eastAsia="Arial" w:hAnsi="Arial"/>
                <w:sz w:val="15"/>
                <w:szCs w:val="15"/>
                <w:color w:val="auto"/>
              </w:rPr>
              <w:t>Class B Common</w:t>
            </w:r>
          </w:p>
        </w:tc>
        <w:tc>
          <w:tcPr>
            <w:tcW w:w="1460" w:type="dxa"/>
            <w:vAlign w:val="bottom"/>
          </w:tcPr>
          <w:p>
            <w:pPr>
              <w:jc w:val="right"/>
              <w:ind w:right="160"/>
              <w:spacing w:after="0"/>
              <w:rPr>
                <w:sz w:val="20"/>
                <w:szCs w:val="20"/>
                <w:color w:val="auto"/>
              </w:rPr>
            </w:pPr>
            <w:r>
              <w:rPr>
                <w:rFonts w:ascii="Arial" w:cs="Arial" w:eastAsia="Arial" w:hAnsi="Arial"/>
                <w:sz w:val="15"/>
                <w:szCs w:val="15"/>
                <w:color w:val="auto"/>
              </w:rPr>
              <w:t>31,365,426</w:t>
            </w:r>
          </w:p>
        </w:tc>
        <w:tc>
          <w:tcPr>
            <w:tcW w:w="1220" w:type="dxa"/>
            <w:vAlign w:val="bottom"/>
          </w:tcPr>
          <w:p>
            <w:pPr>
              <w:jc w:val="right"/>
              <w:ind w:right="78"/>
              <w:spacing w:after="0"/>
              <w:rPr>
                <w:sz w:val="20"/>
                <w:szCs w:val="20"/>
                <w:color w:val="auto"/>
              </w:rPr>
            </w:pPr>
            <w:r>
              <w:rPr>
                <w:rFonts w:ascii="Arial" w:cs="Arial" w:eastAsia="Arial" w:hAnsi="Arial"/>
                <w:sz w:val="15"/>
                <w:szCs w:val="15"/>
                <w:color w:val="auto"/>
              </w:rPr>
              <w:t>5.2%</w:t>
            </w:r>
          </w:p>
        </w:tc>
      </w:tr>
      <w:tr>
        <w:trPr>
          <w:trHeight w:val="187"/>
        </w:trPr>
        <w:tc>
          <w:tcPr>
            <w:tcW w:w="6800" w:type="dxa"/>
            <w:vAlign w:val="bottom"/>
          </w:tcPr>
          <w:p>
            <w:pPr>
              <w:ind w:left="220"/>
              <w:spacing w:after="0"/>
              <w:rPr>
                <w:sz w:val="20"/>
                <w:szCs w:val="20"/>
                <w:color w:val="auto"/>
              </w:rPr>
            </w:pPr>
            <w:r>
              <w:rPr>
                <w:rFonts w:ascii="Arial" w:cs="Arial" w:eastAsia="Arial" w:hAnsi="Arial"/>
                <w:sz w:val="15"/>
                <w:szCs w:val="15"/>
                <w:color w:val="auto"/>
              </w:rPr>
              <w:t>Norwood, MA 02062</w:t>
            </w:r>
          </w:p>
        </w:tc>
        <w:tc>
          <w:tcPr>
            <w:tcW w:w="1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1"/>
        </w:trPr>
        <w:tc>
          <w:tcPr>
            <w:tcW w:w="6800" w:type="dxa"/>
            <w:vAlign w:val="bottom"/>
            <w:shd w:val="clear" w:color="auto" w:fill="051D49"/>
          </w:tcPr>
          <w:p>
            <w:pPr>
              <w:ind w:left="60"/>
              <w:spacing w:after="0" w:line="31" w:lineRule="exact"/>
              <w:rPr>
                <w:sz w:val="20"/>
                <w:szCs w:val="20"/>
                <w:color w:val="auto"/>
              </w:rPr>
            </w:pPr>
            <w:r>
              <w:rPr>
                <w:rFonts w:ascii="Arial" w:cs="Arial" w:eastAsia="Arial" w:hAnsi="Arial"/>
                <w:sz w:val="3"/>
                <w:szCs w:val="3"/>
                <w:color w:val="auto"/>
              </w:rPr>
              <w:t>Mario J. Gabelli et al.</w:t>
            </w:r>
          </w:p>
        </w:tc>
        <w:tc>
          <w:tcPr>
            <w:tcW w:w="1440" w:type="dxa"/>
            <w:vAlign w:val="bottom"/>
            <w:shd w:val="clear" w:color="auto" w:fill="051D49"/>
          </w:tcPr>
          <w:p>
            <w:pPr>
              <w:jc w:val="right"/>
              <w:ind w:right="38"/>
              <w:spacing w:after="0" w:line="31" w:lineRule="exact"/>
              <w:rPr>
                <w:sz w:val="20"/>
                <w:szCs w:val="20"/>
                <w:color w:val="auto"/>
              </w:rPr>
            </w:pPr>
            <w:r>
              <w:rPr>
                <w:rFonts w:ascii="Arial" w:cs="Arial" w:eastAsia="Arial" w:hAnsi="Arial"/>
                <w:sz w:val="3"/>
                <w:szCs w:val="3"/>
                <w:color w:val="auto"/>
              </w:rPr>
              <w:t>Class A Common</w:t>
            </w:r>
          </w:p>
        </w:tc>
        <w:tc>
          <w:tcPr>
            <w:tcW w:w="1460" w:type="dxa"/>
            <w:vAlign w:val="bottom"/>
            <w:shd w:val="clear" w:color="auto" w:fill="051D49"/>
          </w:tcPr>
          <w:p>
            <w:pPr>
              <w:jc w:val="right"/>
              <w:ind w:right="160"/>
              <w:spacing w:after="0" w:line="31" w:lineRule="exact"/>
              <w:rPr>
                <w:sz w:val="20"/>
                <w:szCs w:val="20"/>
                <w:color w:val="auto"/>
              </w:rPr>
            </w:pPr>
            <w:r>
              <w:rPr>
                <w:rFonts w:ascii="Arial" w:cs="Arial" w:eastAsia="Arial" w:hAnsi="Arial"/>
                <w:sz w:val="3"/>
                <w:szCs w:val="3"/>
                <w:color w:val="auto"/>
              </w:rPr>
              <w:t>3,600,796</w:t>
            </w:r>
          </w:p>
        </w:tc>
        <w:tc>
          <w:tcPr>
            <w:tcW w:w="1220" w:type="dxa"/>
            <w:vAlign w:val="bottom"/>
            <w:shd w:val="clear" w:color="auto" w:fill="051D49"/>
          </w:tcPr>
          <w:p>
            <w:pPr>
              <w:jc w:val="right"/>
              <w:ind w:right="78"/>
              <w:spacing w:after="0" w:line="31" w:lineRule="exact"/>
              <w:rPr>
                <w:sz w:val="20"/>
                <w:szCs w:val="20"/>
                <w:color w:val="auto"/>
              </w:rPr>
            </w:pPr>
            <w:r>
              <w:rPr>
                <w:rFonts w:ascii="Arial" w:cs="Arial" w:eastAsia="Arial" w:hAnsi="Arial"/>
                <w:sz w:val="3"/>
                <w:szCs w:val="3"/>
                <w:color w:val="auto"/>
              </w:rPr>
              <w:t>8.8%</w:t>
            </w:r>
          </w:p>
        </w:tc>
      </w:tr>
      <w:tr>
        <w:trPr>
          <w:trHeight w:val="169"/>
        </w:trPr>
        <w:tc>
          <w:tcPr>
            <w:tcW w:w="6800" w:type="dxa"/>
            <w:vAlign w:val="bottom"/>
          </w:tcPr>
          <w:p>
            <w:pPr>
              <w:ind w:left="1500"/>
              <w:spacing w:after="0"/>
              <w:rPr>
                <w:sz w:val="20"/>
                <w:szCs w:val="20"/>
                <w:color w:val="auto"/>
              </w:rPr>
            </w:pPr>
            <w:r>
              <w:rPr>
                <w:rFonts w:ascii="Arial" w:cs="Arial" w:eastAsia="Arial" w:hAnsi="Arial"/>
                <w:sz w:val="13"/>
                <w:szCs w:val="13"/>
                <w:color w:val="auto"/>
              </w:rPr>
              <w:t>(8)</w:t>
            </w: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ind w:left="380"/>
        <w:spacing w:after="0"/>
        <w:rPr>
          <w:sz w:val="20"/>
          <w:szCs w:val="20"/>
          <w:color w:val="auto"/>
        </w:rPr>
      </w:pPr>
      <w:r>
        <w:rPr>
          <w:rFonts w:ascii="Arial" w:cs="Arial" w:eastAsia="Arial" w:hAnsi="Arial"/>
          <w:sz w:val="15"/>
          <w:szCs w:val="15"/>
          <w:color w:val="auto"/>
        </w:rPr>
        <w:t>GAMCO Investors, Inc.</w:t>
      </w:r>
    </w:p>
    <w:p>
      <w:pPr>
        <w:ind w:left="380"/>
        <w:spacing w:after="0" w:line="223" w:lineRule="auto"/>
        <w:rPr>
          <w:sz w:val="20"/>
          <w:szCs w:val="20"/>
          <w:color w:val="auto"/>
        </w:rPr>
      </w:pPr>
      <w:r>
        <w:rPr>
          <w:rFonts w:ascii="Arial" w:cs="Arial" w:eastAsia="Arial" w:hAnsi="Arial"/>
          <w:sz w:val="15"/>
          <w:szCs w:val="15"/>
          <w:color w:val="auto"/>
        </w:rPr>
        <w:t>One Corporate Center</w:t>
      </w:r>
    </w:p>
    <w:p>
      <w:pPr>
        <w:ind w:left="380"/>
        <w:spacing w:after="0"/>
        <w:rPr>
          <w:sz w:val="20"/>
          <w:szCs w:val="20"/>
          <w:color w:val="auto"/>
        </w:rPr>
      </w:pPr>
      <w:r>
        <w:rPr>
          <w:rFonts w:ascii="Arial" w:cs="Arial" w:eastAsia="Arial" w:hAnsi="Arial"/>
          <w:sz w:val="15"/>
          <w:szCs w:val="15"/>
          <w:color w:val="auto"/>
        </w:rPr>
        <w:t>Rye, NY 10580-1435</w:t>
      </w:r>
    </w:p>
    <w:p>
      <w:pPr>
        <w:spacing w:after="0" w:line="31" w:lineRule="exact"/>
        <w:rPr>
          <w:sz w:val="20"/>
          <w:szCs w:val="20"/>
          <w:color w:val="auto"/>
        </w:rPr>
      </w:pPr>
    </w:p>
    <w:p>
      <w:pPr>
        <w:ind w:left="600" w:hanging="433"/>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less than 1% of the outstanding shares of the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-115570</wp:posOffset>
            </wp:positionV>
            <wp:extent cx="69297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3" w:lineRule="exact"/>
        <w:rPr>
          <w:sz w:val="20"/>
          <w:szCs w:val="20"/>
          <w:color w:val="auto"/>
        </w:rPr>
      </w:pPr>
    </w:p>
    <w:p>
      <w:pPr>
        <w:ind w:left="600" w:right="20" w:hanging="433"/>
        <w:spacing w:after="0" w:line="262"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the following shares of Class B Common Stock that the indicated person had the right to acquire on or within 60 days from March 15, 2022, through the exercise of stock options: Bakish, 1,155,882; D’Alimonte, 89,490; Lea, 71,594; and our current directors and executive officers as a group, 1,378,697.</w:t>
      </w:r>
    </w:p>
    <w:p>
      <w:pPr>
        <w:spacing w:after="0" w:line="39" w:lineRule="exact"/>
        <w:rPr>
          <w:rFonts w:ascii="Arial" w:cs="Arial" w:eastAsia="Arial" w:hAnsi="Arial"/>
          <w:sz w:val="16"/>
          <w:szCs w:val="16"/>
          <w:color w:val="auto"/>
        </w:rPr>
      </w:pPr>
    </w:p>
    <w:p>
      <w:pPr>
        <w:ind w:left="600" w:right="160" w:hanging="433"/>
        <w:spacing w:after="0" w:line="279"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the following shares held through our 401(k) plan as of March 15, 2022: Bakish, 2,893; Lea, 766; and our current directors and executive officers as a group, 4,199.</w:t>
      </w:r>
    </w:p>
    <w:p>
      <w:pPr>
        <w:spacing w:after="0" w:line="26" w:lineRule="exact"/>
        <w:rPr>
          <w:rFonts w:ascii="Arial" w:cs="Arial" w:eastAsia="Arial" w:hAnsi="Arial"/>
          <w:sz w:val="16"/>
          <w:szCs w:val="16"/>
          <w:color w:val="auto"/>
        </w:rPr>
      </w:pPr>
    </w:p>
    <w:p>
      <w:pPr>
        <w:ind w:left="600" w:right="160" w:hanging="433"/>
        <w:spacing w:after="0" w:line="262"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the following Class B Common Stock phantom units credited pursuant to, as applicable, our supplemental 401(k) plans or bonus deferral plans as of March 15, 2022: Bakish, 40,642; Lea, 743; and our current directors and executive officers as a group, 41,550. Pursuant to the governing plans, the phantom common stock units are payable in cash following termination of service as an employee.</w:t>
      </w:r>
    </w:p>
    <w:p>
      <w:pPr>
        <w:spacing w:after="0" w:line="39" w:lineRule="exact"/>
        <w:rPr>
          <w:rFonts w:ascii="Arial" w:cs="Arial" w:eastAsia="Arial" w:hAnsi="Arial"/>
          <w:sz w:val="16"/>
          <w:szCs w:val="16"/>
          <w:color w:val="auto"/>
        </w:rPr>
      </w:pPr>
    </w:p>
    <w:p>
      <w:pPr>
        <w:ind w:left="600" w:hanging="433"/>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the following number of shares of Class B Common Stock (a) owned by family members: Bakish, 163; and our current directors and</w:t>
      </w:r>
    </w:p>
    <w:p>
      <w:pPr>
        <w:spacing w:after="0" w:line="19" w:lineRule="exact"/>
        <w:rPr>
          <w:rFonts w:ascii="Arial" w:cs="Arial" w:eastAsia="Arial" w:hAnsi="Arial"/>
          <w:sz w:val="16"/>
          <w:szCs w:val="16"/>
          <w:color w:val="auto"/>
        </w:rPr>
      </w:pPr>
    </w:p>
    <w:p>
      <w:pPr>
        <w:ind w:left="600" w:right="400"/>
        <w:spacing w:after="0" w:line="258" w:lineRule="auto"/>
        <w:rPr>
          <w:rFonts w:ascii="Arial" w:cs="Arial" w:eastAsia="Arial" w:hAnsi="Arial"/>
          <w:sz w:val="16"/>
          <w:szCs w:val="16"/>
          <w:color w:val="auto"/>
        </w:rPr>
      </w:pPr>
      <w:r>
        <w:rPr>
          <w:rFonts w:ascii="Arial" w:cs="Arial" w:eastAsia="Arial" w:hAnsi="Arial"/>
          <w:sz w:val="16"/>
          <w:szCs w:val="16"/>
          <w:color w:val="auto"/>
        </w:rPr>
        <w:t>executive officers as a group, 163; and (b) held in family trusts, as to which the indicated person has sole voting and investment power: Byrne, 1,384; Redstone, 61,948; Seligman, 798; and our current directors and executive officers as a group, 64,130.</w:t>
      </w:r>
    </w:p>
    <w:p>
      <w:pPr>
        <w:spacing w:after="0" w:line="43" w:lineRule="exact"/>
        <w:rPr>
          <w:rFonts w:ascii="Arial" w:cs="Arial" w:eastAsia="Arial" w:hAnsi="Arial"/>
          <w:sz w:val="16"/>
          <w:szCs w:val="16"/>
          <w:color w:val="auto"/>
        </w:rPr>
      </w:pPr>
    </w:p>
    <w:p>
      <w:pPr>
        <w:ind w:left="600" w:right="20" w:hanging="433"/>
        <w:spacing w:after="0" w:line="249"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(a) the following Class A Common Stock phantom units and Class B Common Stock phantom units credited pursuant to the Director Deferred Compensation Plans (as defined below): Beinecke, 7,663 Class A and 8,312 Class B; Klieger, 5,921 Class A and 6,390 Class B; McHale, 2,778 Class A and 3,212 Class B; C. Phillips, 374 Class A and 414 Class B; Redstone, 30,167 Class A and 31,818 Class B; Terrell, 5,359 Class A and 5,890 Class B; and our current directors and executive officers as a group, 52,262 Class A and 56,036 Class B; and (b) the following shares of Class B Common Stock underlying vested Restricted Stock Units (“RSUs”) for which settlement has been deferred: Beinecke, 14,990; Griego, 34,375; Klieger, 19,209; McHale, 9,965; Nelson, 6,395; C. Phillips, 60,181; Redstone, 147,609; Schuman, 14,990; Seligman, 20,281; Terrell, 14,094; and our current directors and executive officers as a group, 342,089. Pursuant to the governing plans, the phantom common stock units are payable in cash and the RSUs are payable in shares of Class B Common Stock following termination of service as a director.</w:t>
      </w:r>
    </w:p>
    <w:p>
      <w:pPr>
        <w:spacing w:after="0" w:line="51" w:lineRule="exact"/>
        <w:rPr>
          <w:rFonts w:ascii="Arial" w:cs="Arial" w:eastAsia="Arial" w:hAnsi="Arial"/>
          <w:sz w:val="16"/>
          <w:szCs w:val="16"/>
          <w:color w:val="auto"/>
        </w:rPr>
      </w:pPr>
    </w:p>
    <w:p>
      <w:pPr>
        <w:ind w:left="600" w:hanging="433"/>
        <w:spacing w:after="0" w:line="279"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Ms. Redstone is a stockholder of National Amusements and has a minority indirect beneficial interest in the Company’s Class A Common Stock and Class B Common Stock owned by National Amusements (and a wholly-owned subsidiary).</w:t>
      </w:r>
    </w:p>
    <w:p>
      <w:pPr>
        <w:spacing w:after="0" w:line="26" w:lineRule="exact"/>
        <w:rPr>
          <w:rFonts w:ascii="Arial" w:cs="Arial" w:eastAsia="Arial" w:hAnsi="Arial"/>
          <w:sz w:val="16"/>
          <w:szCs w:val="16"/>
          <w:color w:val="auto"/>
        </w:rPr>
      </w:pPr>
    </w:p>
    <w:p>
      <w:pPr>
        <w:ind w:left="600" w:hanging="433"/>
        <w:spacing w:after="0" w:line="253"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These shares are owned by National Amusements and a wholly-owned subsidiary. National Amusements is controlled by the Sumner M. Redstone National Amusements Part B General Trust (the “General Trust”), which owns 80% of the voting interest of National Amusements and acts by majority vote of seven voting trustees (subject to certain exceptions), including with respect to the National Amusements shares held by the General Trust. Ms. Redstone is one of the seven voting trustees for the General Trust and is one of two voting trustees who are beneficiaries of the General Trust. No member of our management or other member of our Board of Directors is a trustee of the General Trust.</w:t>
      </w:r>
    </w:p>
    <w:p>
      <w:pPr>
        <w:spacing w:after="0" w:line="46" w:lineRule="exact"/>
        <w:rPr>
          <w:rFonts w:ascii="Arial" w:cs="Arial" w:eastAsia="Arial" w:hAnsi="Arial"/>
          <w:sz w:val="16"/>
          <w:szCs w:val="16"/>
          <w:color w:val="auto"/>
        </w:rPr>
      </w:pPr>
    </w:p>
    <w:p>
      <w:pPr>
        <w:ind w:left="600" w:right="60"/>
        <w:spacing w:after="0" w:line="251" w:lineRule="auto"/>
        <w:rPr>
          <w:rFonts w:ascii="Arial" w:cs="Arial" w:eastAsia="Arial" w:hAnsi="Arial"/>
          <w:sz w:val="16"/>
          <w:szCs w:val="16"/>
          <w:color w:val="auto"/>
        </w:rPr>
      </w:pPr>
      <w:r>
        <w:rPr>
          <w:rFonts w:ascii="Arial" w:cs="Arial" w:eastAsia="Arial" w:hAnsi="Arial"/>
          <w:sz w:val="16"/>
          <w:szCs w:val="16"/>
          <w:color w:val="auto"/>
        </w:rPr>
        <w:t>Based on information received from National Amusements, National Amusements has pledged to its lenders a portion of shares of our Class A Common Stock and Class B Common Stock owned directly or indirectly by National Amusements. As of March 15, 2022, the aggregate number of shares pledged by National Amusements to its lenders represented approximately 3.9% of the total outstanding shares of our Class A Common Stock and Class B Common Stock on a combined basis. In addition, as of March 15, 2022, the amount of our Class A Common Stock that National Amusements directly or indirectly owned and that was not pledged by National Amusements to its lenders represented approximately 57.6% of the total outstanding shares of our Class A Common Stock.</w:t>
      </w:r>
    </w:p>
    <w:p>
      <w:pPr>
        <w:spacing w:after="0" w:line="49" w:lineRule="exact"/>
        <w:rPr>
          <w:rFonts w:ascii="Arial" w:cs="Arial" w:eastAsia="Arial" w:hAnsi="Arial"/>
          <w:sz w:val="16"/>
          <w:szCs w:val="16"/>
          <w:color w:val="auto"/>
        </w:rPr>
      </w:pPr>
    </w:p>
    <w:p>
      <w:pPr>
        <w:ind w:left="600" w:hanging="433"/>
        <w:spacing w:after="0" w:line="247"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concerning Mario J. Gabelli et al. is based upon a Schedule 13D/A filed with the SEC on April 7, 2021. In addition to Mr. Gabelli, each of the following entities that Mr. Gabelli directly or indirectly controls, or for which he acts as chief investment officer, is a reporting person, with the following beneficial ownership of the reported shares as of April 7, 2021, on the Schedule 13D/A: Gabelli Funds, LLC (“Gabelli Funds”), 1,757,739; GAMCO Asset Management, Inc. (“GAMCO”), 1,673,153; Gabelli &amp; Company Investment Advisers, Inc., 9,992; Gabelli Foundation, Inc., 16,000; MJG Associates, Inc., 16,000; GGCP, Inc. (“GGCP”), 16,500; GAMCO Investors, Inc. (“GBL”), 0; and Associated Capital Group, Inc. (“AC”), 5.000. Mr. Gabelli is deemed to beneficially own 8,400 shares as well as the shares owned beneficially by each of the foregoing reporting persons. AC, GBL and GGCP are deemed to beneficially own the shares owned beneficially by each of the foregoing reporting persons other than</w:t>
      </w:r>
    </w:p>
    <w:p>
      <w:pPr>
        <w:spacing w:after="0" w:line="1"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Mr. Gabelli and</w:t>
      </w:r>
    </w:p>
    <w:p>
      <w:pPr>
        <w:spacing w:after="0" w:line="148"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21</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SECURITY OWNERSHIP OF CERTAIN BENEFICIAL OWNERS AND MANAGEMENT</w:t>
      </w:r>
    </w:p>
    <w:p>
      <w:pPr>
        <w:spacing w:after="0" w:line="150" w:lineRule="exact"/>
        <w:rPr>
          <w:sz w:val="20"/>
          <w:szCs w:val="20"/>
          <w:color w:val="auto"/>
        </w:rPr>
      </w:pPr>
    </w:p>
    <w:p>
      <w:pPr>
        <w:ind w:left="600"/>
        <w:spacing w:after="0" w:line="250" w:lineRule="auto"/>
        <w:rPr>
          <w:sz w:val="20"/>
          <w:szCs w:val="20"/>
          <w:color w:val="auto"/>
        </w:rPr>
      </w:pPr>
      <w:r>
        <w:rPr>
          <w:rFonts w:ascii="Arial" w:cs="Arial" w:eastAsia="Arial" w:hAnsi="Arial"/>
          <w:sz w:val="16"/>
          <w:szCs w:val="16"/>
          <w:color w:val="auto"/>
        </w:rPr>
        <w:t>the Foundation. Each of the reporting persons discloses that it has sole voting and investment power with respect to the shares it beneficially owns, except that: (a) GAMCO does not have the authority to vote 98,012 of the reported shares, (b) Gabelli Funds has sole dispositive and voting power with respect to the shares held by the Funds so long as the aggregate voting interest of all joint filers does not exceed 25% of their total voting interest in the Company and, in that event, the proxy voting committee of each Fund shall respectively vote that Fund’s shares, (c) at any time, the proxy voting committee of each such Fund may take and exercise in its sole discretion the entire voting power with respect to the shares held by such fund under special circumstances such as regulatory considerations, and (d) the power of Mr. Gabelli, AC, GBL and GGCP is indirect with respect to shares beneficially owned directly by other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2374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08"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22</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40"/>
          </w:cols>
          <w:pgMar w:left="320" w:top="454" w:right="5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51D49"/>
        </w:rPr>
        <w:t>Related Person Transactions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REVIEW, APPROVAL OR RATIFICATION OF TRANSACTIONS WITH RELATED PERSONS</w:t>
      </w:r>
    </w:p>
    <w:p>
      <w:pPr>
        <w:spacing w:after="0" w:line="94" w:lineRule="exact"/>
        <w:rPr>
          <w:sz w:val="20"/>
          <w:szCs w:val="20"/>
          <w:color w:val="auto"/>
        </w:rPr>
      </w:pPr>
    </w:p>
    <w:p>
      <w:pPr>
        <w:ind w:left="160" w:right="100"/>
        <w:spacing w:after="0" w:line="237" w:lineRule="auto"/>
        <w:rPr>
          <w:sz w:val="20"/>
          <w:szCs w:val="20"/>
          <w:color w:val="auto"/>
        </w:rPr>
      </w:pPr>
      <w:r>
        <w:rPr>
          <w:rFonts w:ascii="Arial" w:cs="Arial" w:eastAsia="Arial" w:hAnsi="Arial"/>
          <w:sz w:val="18"/>
          <w:szCs w:val="18"/>
          <w:color w:val="auto"/>
        </w:rPr>
        <w:t>The Board has a written policy whereby the Nominating and Governance Committee reviews and approves, ratifies or takes other actions it deems appropriate with respect to related person transactions, as defined under the rules of the SEC. Under the policy, the Committee shall approve only related person transactions that are in, or are not inconsistent with, the best interests of the Company and its stockholders, as the Committee determines in good faith. In its review, the Committee considers the importance of the transaction to the Company and the related person; the related person’s relationship with the Company and interest in the transaction; the terms of the transaction, including the dollar amount involved; the impact on a director’s independence if the transaction involves a director; the availability of other sources of comparable products or services; whether the transaction is on terms that are comparable to the terms available to an unrelated third party or to employees generally; and any other information the Committee deems appropriate.</w:t>
      </w:r>
    </w:p>
    <w:p>
      <w:pPr>
        <w:spacing w:after="0" w:line="77" w:lineRule="exact"/>
        <w:rPr>
          <w:sz w:val="20"/>
          <w:szCs w:val="20"/>
          <w:color w:val="auto"/>
        </w:rPr>
      </w:pPr>
    </w:p>
    <w:p>
      <w:pPr>
        <w:jc w:val="both"/>
        <w:ind w:left="160" w:right="60"/>
        <w:spacing w:after="0" w:line="249" w:lineRule="auto"/>
        <w:rPr>
          <w:sz w:val="20"/>
          <w:szCs w:val="20"/>
          <w:color w:val="auto"/>
        </w:rPr>
      </w:pPr>
      <w:r>
        <w:rPr>
          <w:rFonts w:ascii="Arial" w:cs="Arial" w:eastAsia="Arial" w:hAnsi="Arial"/>
          <w:sz w:val="18"/>
          <w:szCs w:val="18"/>
          <w:color w:val="auto"/>
        </w:rPr>
        <w:t>Any member of the Committee who is a related person with respect to a transaction under review may not participate in the review or vote respecting the transaction; however, that person may be counted in determining the presence of a quorum at a meeting of the Committee that considers the transaction.</w:t>
      </w:r>
    </w:p>
    <w:p>
      <w:pPr>
        <w:spacing w:after="0" w:line="65"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Under the policy, management is primarily responsible for determining whether a related person has a direct or indirect material interest in a transaction with the Company. The determination will be made after a review of information obtained from the related person and information available from our records. Our legal and controller’s groups are responsible for establishing and maintaining policies and procedures to ensure implementation of the policy across the Company.</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TRANSACTIONS WITH NATIONAL AMUSEMENTS</w:t>
      </w:r>
    </w:p>
    <w:p>
      <w:pPr>
        <w:spacing w:after="0" w:line="94" w:lineRule="exact"/>
        <w:rPr>
          <w:sz w:val="20"/>
          <w:szCs w:val="20"/>
          <w:color w:val="auto"/>
        </w:rPr>
      </w:pPr>
    </w:p>
    <w:p>
      <w:pPr>
        <w:ind w:left="160" w:right="120"/>
        <w:spacing w:after="0" w:line="237" w:lineRule="auto"/>
        <w:rPr>
          <w:sz w:val="20"/>
          <w:szCs w:val="20"/>
          <w:color w:val="auto"/>
        </w:rPr>
      </w:pPr>
      <w:r>
        <w:rPr>
          <w:rFonts w:ascii="Arial" w:cs="Arial" w:eastAsia="Arial" w:hAnsi="Arial"/>
          <w:sz w:val="18"/>
          <w:szCs w:val="18"/>
          <w:color w:val="auto"/>
        </w:rPr>
        <w:t>National Amusements licenses films in the ordinary course of business for its motion picture theaters from all major studios, including Paramount Pictures. Payments made to us in connection with these licenses for fiscal year 2021 amounted to approximately $2,505,423 and are continuing in fiscal year 2022 as a result of this ongoing relationship. National Amusements also licenses films from a number of unaffiliated companies, and Paramount Pictures expects to continue to license films to National Amusements on similar terms in the future. In addition, National Amusements and Paramount Pictures have had co-op advertising arrangements and occasionally engage in other ordinary course transactions (</w:t>
      </w:r>
      <w:r>
        <w:rPr>
          <w:rFonts w:ascii="Arial" w:cs="Arial" w:eastAsia="Arial" w:hAnsi="Arial"/>
          <w:sz w:val="18"/>
          <w:szCs w:val="18"/>
          <w:i w:val="1"/>
          <w:iCs w:val="1"/>
          <w:color w:val="auto"/>
        </w:rPr>
        <w:t>e.g.,</w:t>
      </w:r>
      <w:r>
        <w:rPr>
          <w:rFonts w:ascii="Arial" w:cs="Arial" w:eastAsia="Arial" w:hAnsi="Arial"/>
          <w:sz w:val="18"/>
          <w:szCs w:val="18"/>
          <w:color w:val="auto"/>
        </w:rPr>
        <w:t xml:space="preserve"> movie ticket purchases and various promotional activities) from time to time; Paramount Pictures did not pay National Amusements any amounts in connection with these arrangements in fiscal year 2021. We believe that the terms of these transactions between National Amusements and Paramount Pictures were no more or less favorable to Paramount Pictures than transactions between unaffiliated companies and National Amusements.</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OTHER TRANSACTIONS</w:t>
      </w:r>
    </w:p>
    <w:p>
      <w:pPr>
        <w:spacing w:after="0" w:line="94"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In November 1995, we entered into an agreement with GAMCO pursuant to which GAMCO manages certain assets for qualified U.S. pension plans sponsored by us. For 2021, we paid GAMCO approximately $234,372 for such investment management services. We believe that the terms of the agreement with GAMCO are no more or less favorable to us than we could have obtained from unrelated parties. Entities that are affiliated with GAMCO collectively own 3,600,796 shares of our Class A Common Stock, according to a Schedule 13D/A filed with the SEC on April 7, 2021 by such entities (the latest filing available), which shares, as of April 11, 2022, represented approximately 8.8% of the outstanding shares of the class.</w:t>
      </w:r>
    </w:p>
    <w:p>
      <w:pPr>
        <w:spacing w:after="0" w:line="74" w:lineRule="exact"/>
        <w:rPr>
          <w:sz w:val="20"/>
          <w:szCs w:val="20"/>
          <w:color w:val="auto"/>
        </w:rPr>
      </w:pPr>
    </w:p>
    <w:p>
      <w:pPr>
        <w:ind w:left="160" w:right="40"/>
        <w:spacing w:after="0"/>
        <w:rPr>
          <w:sz w:val="20"/>
          <w:szCs w:val="20"/>
          <w:color w:val="auto"/>
        </w:rPr>
      </w:pPr>
      <w:r>
        <w:rPr>
          <w:rFonts w:ascii="Arial" w:cs="Arial" w:eastAsia="Arial" w:hAnsi="Arial"/>
          <w:sz w:val="18"/>
          <w:szCs w:val="18"/>
          <w:color w:val="auto"/>
        </w:rPr>
        <w:t>Matthew Jafar, the brother-in-law of Julia Phelps, our Executive Vice President, Chief Communications and Corporate Marketing Officer, is employed by us as Director of Global Consumer Insights. Mr. Jafar served in his position prior to Ms. Phelps’ appointment to her current role, and Ms. Phelps was not involved in Mr. Jafar’s hiring. Mr. Jafar has never served in Ms. Phelps’ reporting line, and Ms. Phelps is not involved with decisions regarding Mr. Jafar’s compensation. Mr. Jafar received compensation in 2021 in an amount consistent with the compensation paid to other employees at his level.</w:t>
      </w:r>
    </w:p>
    <w:p>
      <w:pPr>
        <w:spacing w:after="0" w:line="134"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23</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36"/>
          <w:szCs w:val="36"/>
          <w:b w:val="1"/>
          <w:bCs w:val="1"/>
          <w:color w:val="051D49"/>
        </w:rPr>
        <w:t>Item 1 — Election of Directors</w:t>
      </w:r>
    </w:p>
    <w:p>
      <w:pPr>
        <w:spacing w:after="0" w:line="200" w:lineRule="exact"/>
        <w:rPr>
          <w:sz w:val="20"/>
          <w:szCs w:val="20"/>
          <w:color w:val="auto"/>
        </w:rPr>
      </w:pPr>
    </w:p>
    <w:p>
      <w:pPr>
        <w:spacing w:after="0" w:line="247"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color w:val="auto"/>
        </w:rPr>
        <w:t>The Board of Directors proposes the election of 12 directors, all of whom are current members of our Board. Each director elected at the Annual Meeting will hold office, in accordance with our Amended and Restated Certificate of Incorporation and Amended and Restated Bylaws, until the next annual meeting or until his or her successor is duly elected and qualified. The Board’s nominees for election are Robert M. Bakish, Candace K. Beinecke, Barbara M. Byrne, Linda M. Griego, Robert N. Klieger, Judith A. McHale, Ronald L. Nelson, Charles E. Phillips, Jr., Shari E. Redstone, Susan Schuman, Nicole Seligman and Frederick O. Terrell. All of the nominees were elected at our 2021 Annual Meeting of Stockholders.</w:t>
      </w:r>
    </w:p>
    <w:p>
      <w:pPr>
        <w:spacing w:after="0" w:line="74" w:lineRule="exact"/>
        <w:rPr>
          <w:sz w:val="20"/>
          <w:szCs w:val="20"/>
          <w:color w:val="auto"/>
        </w:rPr>
      </w:pPr>
    </w:p>
    <w:p>
      <w:pPr>
        <w:ind w:left="160" w:right="700"/>
        <w:spacing w:after="0" w:line="265" w:lineRule="auto"/>
        <w:rPr>
          <w:sz w:val="20"/>
          <w:szCs w:val="20"/>
          <w:color w:val="auto"/>
        </w:rPr>
      </w:pPr>
      <w:r>
        <w:rPr>
          <w:rFonts w:ascii="Arial" w:cs="Arial" w:eastAsia="Arial" w:hAnsi="Arial"/>
          <w:sz w:val="18"/>
          <w:szCs w:val="18"/>
          <w:color w:val="auto"/>
        </w:rPr>
        <w:t>For a description of certain arrangements relating to nominations of directors and the composition of the Board, see “Our Board of Directors — Board Committees — Nominating and Governance Committee.”</w:t>
      </w:r>
    </w:p>
    <w:p>
      <w:pPr>
        <w:spacing w:after="0" w:line="51"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If, for any reason, any of the director nominees becomes unavailable for election, the proxy holders may exercise discretion to vote for substitute nominees proposed by the Board. Each of the director nominees has indicated that he or she will be able to serve if elected and has agreed to do so.</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Each director nominee for our Board brings a diversity of skills and experiences to his or her service on the Board,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321945</wp:posOffset>
            </wp:positionV>
            <wp:extent cx="5732145" cy="1791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32145" cy="179197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right="300"/>
        <w:spacing w:after="0" w:line="273" w:lineRule="auto"/>
        <w:rPr>
          <w:sz w:val="20"/>
          <w:szCs w:val="20"/>
          <w:color w:val="auto"/>
        </w:rPr>
      </w:pPr>
      <w:r>
        <w:rPr>
          <w:rFonts w:ascii="Arial" w:cs="Arial" w:eastAsia="Arial" w:hAnsi="Arial"/>
          <w:sz w:val="17"/>
          <w:szCs w:val="17"/>
          <w:b w:val="1"/>
          <w:bCs w:val="1"/>
          <w:color w:val="auto"/>
        </w:rPr>
        <w:t>President and Chief Executive Officer,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-2155190</wp:posOffset>
            </wp:positionV>
            <wp:extent cx="2080895" cy="2811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80895" cy="281114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58</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b w:val="1"/>
          <w:bCs w:val="1"/>
          <w:color w:val="051D49"/>
        </w:rPr>
        <w:t>ROBERT M. BAKISH</w:t>
      </w:r>
    </w:p>
    <w:p>
      <w:pPr>
        <w:spacing w:after="0" w:line="17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Robert M. Bakish has been our President and Chief Executive Officer and a member of our Board since December 2019. Mr. Bakish served as President and Chief Executive Officer and a member of the board of Viacom Inc. (“Viacom”) from December 2016 until its merger with CBS Corporation (“CBS”) in December 2019, having served as Acting President and Chief Executive Officer of Viacom beginning in November 2016. Mr. Bakish joined Viacom’s predecessor (“Former Viacom”) in 1997 and held positions throughout the organization, including as President and Chief Executive Officer of Viacom International Media Networks and its predecessor company, MTV Networks International (“MTVNI”), from 2007 to 2016; President of MTVNI; Executive Vice President, Operations and Viacom Enterprises; Executive Vice President and Chief Operating Officer, MTV Networks Advertising Sales; and Senior Vice President, Planning, Development and Technology. Before joining Former Viacom, Mr. Bakish was a partner with Booz Allen Hamilton in its Media and Entertainment practice. Mr. Bakish has served as a director of Avid Technology, Inc. since 2009.</w:t>
      </w:r>
    </w:p>
    <w:p>
      <w:pPr>
        <w:spacing w:after="0" w:line="53" w:lineRule="exact"/>
        <w:rPr>
          <w:sz w:val="20"/>
          <w:szCs w:val="20"/>
          <w:color w:val="auto"/>
        </w:rPr>
      </w:pPr>
    </w:p>
    <w:p>
      <w:pPr>
        <w:jc w:val="both"/>
        <w:ind w:right="460"/>
        <w:spacing w:after="0" w:line="243" w:lineRule="auto"/>
        <w:rPr>
          <w:sz w:val="20"/>
          <w:szCs w:val="20"/>
          <w:color w:val="auto"/>
        </w:rPr>
      </w:pPr>
      <w:r>
        <w:rPr>
          <w:rFonts w:ascii="Arial" w:cs="Arial" w:eastAsia="Arial" w:hAnsi="Arial"/>
          <w:sz w:val="18"/>
          <w:szCs w:val="18"/>
          <w:color w:val="auto"/>
        </w:rPr>
        <w:t>Mr. Bakish has extensive knowledge and a deep understanding of our business and the entertainment industry as our current President and Chief Executive Officer and through various leadership positions at Viacom spanning approximately 20 years, and has broad expertise overseeing global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396875</wp:posOffset>
            </wp:positionV>
            <wp:extent cx="6929755" cy="2374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549" w:lineRule="exact"/>
        <w:rPr>
          <w:sz w:val="20"/>
          <w:szCs w:val="20"/>
          <w:color w:val="auto"/>
        </w:rPr>
      </w:pPr>
    </w:p>
    <w:p>
      <w:pPr>
        <w:sectPr>
          <w:pgSz w:w="11900" w:h="16838" w:orient="portrait"/>
          <w:cols w:equalWidth="0" w:num="2">
            <w:col w:w="2960" w:space="720"/>
            <w:col w:w="7400"/>
          </w:cols>
          <w:pgMar w:left="320" w:top="454" w:right="499" w:bottom="1440" w:gutter="0" w:footer="0" w:header="0"/>
          <w:type w:val="continuous"/>
        </w:sectPr>
      </w:pPr>
    </w:p>
    <w:p>
      <w:pPr>
        <w:spacing w:after="0" w:line="173" w:lineRule="exact"/>
        <w:rPr>
          <w:sz w:val="20"/>
          <w:szCs w:val="20"/>
          <w:color w:val="auto"/>
        </w:rPr>
      </w:pPr>
    </w:p>
    <w:p>
      <w:pPr>
        <w:ind w:left="720" w:hanging="473"/>
        <w:spacing w:after="0"/>
        <w:tabs>
          <w:tab w:leader="none" w:pos="720" w:val="left"/>
        </w:tabs>
        <w:numPr>
          <w:ilvl w:val="0"/>
          <w:numId w:val="29"/>
        </w:numPr>
        <w:rPr>
          <w:rFonts w:ascii="Arial" w:cs="Arial" w:eastAsia="Arial" w:hAnsi="Arial"/>
          <w:sz w:val="14"/>
          <w:szCs w:val="14"/>
          <w:b w:val="1"/>
          <w:bCs w:val="1"/>
          <w:color w:val="FFFFFF"/>
        </w:rPr>
      </w:pPr>
      <w:r>
        <w:rPr>
          <w:rFonts w:ascii="Arial" w:cs="Arial" w:eastAsia="Arial" w:hAnsi="Arial"/>
          <w:sz w:val="14"/>
          <w:szCs w:val="14"/>
          <w:color w:val="FFFFFF"/>
        </w:rPr>
        <w:t>PARAMOUNT GLOBAL</w:t>
      </w:r>
    </w:p>
    <w:p>
      <w:pPr>
        <w:sectPr>
          <w:pgSz w:w="11900" w:h="16838" w:orient="portrait"/>
          <w:cols w:equalWidth="0" w:num="1">
            <w:col w:w="11080"/>
          </w:cols>
          <w:pgMar w:left="320" w:top="454" w:right="49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415925</wp:posOffset>
            </wp:positionV>
            <wp:extent cx="2080895" cy="27940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80895" cy="279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75</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2018</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7" w:lineRule="exact"/>
        <w:rPr>
          <w:sz w:val="20"/>
          <w:szCs w:val="20"/>
          <w:color w:val="auto"/>
        </w:rPr>
      </w:pPr>
    </w:p>
    <w:p>
      <w:pPr>
        <w:ind w:left="600" w:right="140" w:hanging="183"/>
        <w:spacing w:after="0" w:line="244" w:lineRule="auto"/>
        <w:tabs>
          <w:tab w:leader="none" w:pos="556"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302260</wp:posOffset>
            </wp:positionV>
            <wp:extent cx="2080895" cy="2675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80895" cy="2675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67</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2018</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Audit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-641985</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23"/>
          <w:szCs w:val="23"/>
          <w:b w:val="1"/>
          <w:bCs w:val="1"/>
          <w:color w:val="051D49"/>
        </w:rPr>
        <w:t>CANDACE K. BEINECKE</w:t>
      </w:r>
    </w:p>
    <w:p>
      <w:pPr>
        <w:spacing w:after="0" w:line="17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Ms. Beinecke is the Senior Partner of Hughes Hubbard &amp; Reed LLP, a New York law firm, and is a practicing partner in Hughes Hubbard’s corporate department. In 1999, Ms. Beinecke became the first woman to chair a major New York law firm. Ms. Beinecke also serves as the Lead Independent Trustee of Vornado Realty Trust and as Chairperson of the Boards of First Eagle Funds (a mutual fund family) and First Eagle Credit Opportunities Fund. She previously served on the boards of ALSTOM (a public French transport company), Rockefeller &amp; Co., Inc. and Rockefeller Financial Services, Inc.</w:t>
      </w:r>
    </w:p>
    <w:p>
      <w:pPr>
        <w:spacing w:after="0" w:line="4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As the long-time head of a top-ranked international law firm, Ms. Beinecke is well-recognized in the legal profession for her corporate governance and mergers and acquisitions expertise and brings to the Board extensive legal, governance, business and risk management experience. Ms. Beinecke’s breadth of director experience, which includes service as a lead trustee and chairperson, as well as service on other nominating and governance committees, a remuneration committee and an executive committee, gives her a deep understanding of public company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3"/>
          <w:szCs w:val="23"/>
          <w:b w:val="1"/>
          <w:bCs w:val="1"/>
          <w:color w:val="051D49"/>
        </w:rPr>
        <w:t>BARBARA M. BYRNE</w:t>
      </w:r>
    </w:p>
    <w:p>
      <w:pPr>
        <w:spacing w:after="0" w:line="178"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Ms. Byrne is the former Vice Chairman, Investment Banking at Barclays PLC. Ms. Byrne has served as a director of Hennessy Capital Investment Corp. V, Slam Corp. and Carta, Inc. since 2021.</w:t>
      </w:r>
    </w:p>
    <w:p>
      <w:pPr>
        <w:spacing w:after="0" w:line="3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During her more than 35 years of financial services experience, Ms. Byrne served as team leader for some of Barclays’ most important multinational corporate clients and was the primary architect of several of Barclays’ marquee transactions. Widely recognized as a leading investment banker and strategic advisor, she is a member of various industry councils and participates as a forum leader on strategic issues and trends facing the financial services sector and global markets. With this experience, Ms. Byrne brings to the Board important business and financial expertise in its deliberations on complex transactions, risk management, strategy and other financial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1028700</wp:posOffset>
            </wp:positionV>
            <wp:extent cx="6929755" cy="2463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1900" w:type="dxa"/>
            <w:vAlign w:val="bottom"/>
          </w:tcPr>
          <w:p>
            <w:pPr>
              <w:spacing w:after="0"/>
              <w:rPr>
                <w:sz w:val="20"/>
                <w:szCs w:val="20"/>
                <w:color w:val="auto"/>
              </w:rPr>
            </w:pPr>
            <w:r>
              <w:rPr>
                <w:rFonts w:ascii="Arial" w:cs="Arial" w:eastAsia="Arial" w:hAnsi="Arial"/>
                <w:sz w:val="14"/>
                <w:szCs w:val="14"/>
                <w:color w:val="FFFFFF"/>
              </w:rPr>
              <w:t>2022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FFFFFF"/>
              </w:rPr>
              <w:t>25</w:t>
            </w:r>
          </w:p>
        </w:tc>
      </w:tr>
    </w:tbl>
    <w:p>
      <w:pPr>
        <w:sectPr>
          <w:pgSz w:w="11900" w:h="16838" w:orient="portrait"/>
          <w:cols w:equalWidth="0" w:num="2">
            <w:col w:w="2960" w:space="720"/>
            <w:col w:w="7400"/>
          </w:cols>
          <w:pgMar w:left="320" w:top="454" w:right="4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2080895" cy="26663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80895" cy="266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74</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2007</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3"/>
          <w:szCs w:val="23"/>
          <w:b w:val="1"/>
          <w:bCs w:val="1"/>
          <w:color w:val="051D49"/>
        </w:rPr>
        <w:t>LINDA M. GRIEGO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-902335</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Ms. Griego has served, since 1986, as President and Chief Executive Officer of Griego Enterprises, Inc., a business management company. For more than 20 years, she oversaw the operations of Engine Co. No. 28, a prominent restaurant in downtown Los Angeles that she founded in 1988. From 1990 to 2000, Ms. Griego held a number of government-related appointments, including Deputy Mayor of the City of Los Angeles, President and Chief Executive Officer of the Los Angeles Community Development Bank, and President and Chief Executive Officer of Rebuild LA, the agency created to jump-start inner-city economic development following the 1992 Los Angeles riots. She serves on the LA County Economic &amp; Resiliency Task Force charged with economic recovery efforts related to the COVID-19 pandemic. Over the past two decades, she has also served on a number of government commissions and boards of directors of nonprofit organizations, including current service on the boards of the MLK Health and Wellness Community Development Corporation and the National Trust for Historic Preservation. Ms. Griego has served as a director of the American Funds (9 boards) since 2012 and served as a director of AECOM from 2005 to 2019.</w:t>
      </w:r>
    </w:p>
    <w:p>
      <w:pPr>
        <w:spacing w:after="0" w:line="5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With the breadth of her leadership experience as a businesswoman, in the public sector through her multiple government appointments and extensive community-based participation in Los Angeles, an area where we have a significant presence, and on multiple not-for-profit boards, Ms. Griego provides the Board with financial and business acumen, as well as public policy expertise as it relates to business practices. Ms. Griego is also an experienced director, including through service on other audit, compensation and organization, and nominating and governance committees, with demonstrated expertise in the application of sound corporate governance principles.</w:t>
      </w:r>
    </w:p>
    <w:p>
      <w:pPr>
        <w:spacing w:after="0" w:line="200" w:lineRule="exact"/>
        <w:rPr>
          <w:sz w:val="20"/>
          <w:szCs w:val="20"/>
          <w:color w:val="auto"/>
        </w:rPr>
      </w:pPr>
    </w:p>
    <w:p>
      <w:pPr>
        <w:sectPr>
          <w:pgSz w:w="11900" w:h="16838" w:orient="portrait"/>
          <w:cols w:equalWidth="0" w:num="2">
            <w:col w:w="3000" w:space="680"/>
            <w:col w:w="7380"/>
          </w:cols>
          <w:pgMar w:left="320" w:top="454"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-1995805</wp:posOffset>
            </wp:positionV>
            <wp:extent cx="2080895" cy="2675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80895" cy="2675255"/>
                    </a:xfrm>
                    <a:prstGeom prst="rect">
                      <a:avLst/>
                    </a:prstGeom>
                    <a:noFill/>
                  </pic:spPr>
                </pic:pic>
              </a:graphicData>
            </a:graphic>
          </wp:anchor>
        </w:drawing>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50</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2017</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None</w:t>
      </w:r>
    </w:p>
    <w:p>
      <w:pPr>
        <w:spacing w:after="0" w:line="373" w:lineRule="exact"/>
        <w:rPr>
          <w:sz w:val="20"/>
          <w:szCs w:val="20"/>
          <w:color w:val="auto"/>
        </w:rPr>
      </w:pPr>
    </w:p>
    <w:p>
      <w:pPr>
        <w:ind w:left="720" w:hanging="473"/>
        <w:spacing w:after="0"/>
        <w:tabs>
          <w:tab w:leader="none" w:pos="720" w:val="left"/>
        </w:tabs>
        <w:numPr>
          <w:ilvl w:val="0"/>
          <w:numId w:val="31"/>
        </w:numPr>
        <w:rPr>
          <w:rFonts w:ascii="Arial" w:cs="Arial" w:eastAsia="Arial" w:hAnsi="Arial"/>
          <w:sz w:val="14"/>
          <w:szCs w:val="14"/>
          <w:b w:val="1"/>
          <w:bCs w:val="1"/>
          <w:color w:val="FFFFFF"/>
        </w:rPr>
      </w:pPr>
      <w:r>
        <w:rPr>
          <w:rFonts w:ascii="Arial" w:cs="Arial" w:eastAsia="Arial" w:hAnsi="Arial"/>
          <w:sz w:val="14"/>
          <w:szCs w:val="14"/>
          <w:color w:val="FFFFFF"/>
        </w:rPr>
        <w:t>PARAMOUNT GLOBAL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3"/>
          <w:szCs w:val="23"/>
          <w:b w:val="1"/>
          <w:bCs w:val="1"/>
          <w:color w:val="051D49"/>
        </w:rPr>
        <w:t>ROBERT N. KLIEGER</w:t>
      </w:r>
    </w:p>
    <w:p>
      <w:pPr>
        <w:spacing w:after="0" w:line="17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Mr. Klieger is a partner in the Los Angeles law firm Hueston Hennigan LLP. Mr. Klieger’s practice focuses on complex civil litigation and counseling in the areas of entertainment and intellectual property. Mr. Klieger represents motion picture studios, broadcast and cable television networks, production companies, video game publishers and high net worth individuals in the media and entertainment space, as well as clients in other industries including apparel, aviation and venture capital. Prior to joining Hueston Hennigan, Mr. Klieger was a partner at Irell &amp; Manella LLP and a founding partner at Kendall Brill &amp; Klieger LLP. Before beginning his career in private practice, Mr. Klieger served as a law clerk to the Honorable Cynthia Holcomb Hall of the United States Court of Appeals for the Ninth Circuit, and the Honorable William Matthew Byrne, Jr. of the United States District Court for the Central District of California.</w:t>
      </w:r>
    </w:p>
    <w:p>
      <w:pPr>
        <w:spacing w:after="0" w:line="4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Mr. Klieger is recognized as one of the most prominent attorneys in the entertainment industry, with a practice focused on complex civil litigation and counseling in the areas of media, entertainment and intellectual property and clients that include leading enterprises in television, film and digital media. With his exceptional legal acumen and distinguished reputation for his trial practice and counsel, Mr. Klieger brings to the Board legal and strategic expertise in matters germane to our businesses and complex business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253365</wp:posOffset>
            </wp:positionV>
            <wp:extent cx="6929755" cy="2374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ectPr>
          <w:pgSz w:w="11900" w:h="16838" w:orient="portrait"/>
          <w:cols w:equalWidth="0" w:num="2">
            <w:col w:w="2960" w:space="720"/>
            <w:col w:w="7380"/>
          </w:cols>
          <w:pgMar w:left="320" w:top="454" w:right="51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415925</wp:posOffset>
            </wp:positionV>
            <wp:extent cx="2080895" cy="27857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8089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75</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1" w:lineRule="exact"/>
        <w:rPr>
          <w:sz w:val="20"/>
          <w:szCs w:val="20"/>
          <w:color w:val="auto"/>
        </w:rPr>
      </w:pPr>
    </w:p>
    <w:p>
      <w:pPr>
        <w:ind w:left="540" w:hanging="123"/>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Audit Committee</w:t>
      </w:r>
    </w:p>
    <w:p>
      <w:pPr>
        <w:ind w:left="560" w:hanging="143"/>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Compensation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-641985</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23"/>
          <w:szCs w:val="23"/>
          <w:b w:val="1"/>
          <w:bCs w:val="1"/>
          <w:color w:val="051D49"/>
        </w:rPr>
        <w:t>JUDITH A. MCHALE</w:t>
      </w:r>
    </w:p>
    <w:p>
      <w:pPr>
        <w:spacing w:after="0" w:line="17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Ms. McHale is President and Chief Executive Officer of Cane Investments, LLC, a private investment company, and served as a member of the board of Viacom from August 2016 to December 2019. Prior to joining Cane Investments in 2011, Ms. McHale served as the Under Secretary of State for Public Diplomacy and Public Affairs for the U.S. Department of State from 2009 to 2011. From 2004 to 2006, Ms. McHale served as the President and Chief Executive Officer of Discovery Communications, Inc., the parent company of Discovery Channel, and served as its President and Chief Operating Officer from 1995 to 2004. In 2006, Ms. McHale worked with private equity firm Global Environment Fund to launch the GEF/Africa Growth Fund, an investment vehicle focused on supplying expansion capital to small and medium-sized enterprises that provide consumer goods and services in emerging African markets. She has served on the boards of Ralph Lauren Corporation since 2011 and Hilton Worldwide Holdings Inc. since 2013. She previously served on the boards of SeaWorld Entertainment, Inc., Host Hotel &amp; Resorts, Inc., DigitalGlobe Inc., John Hancock Financial Services, Inc. and Potomac Electric Power Company.</w:t>
      </w:r>
    </w:p>
    <w:p>
      <w:pPr>
        <w:spacing w:after="0" w:line="51"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Ms. McHale has extensive experience leading a major media conglomerate with a background in operations and financial management, expertise in global affairs, experience in government affairs and extensive public company and corporate governance experience.</w:t>
      </w:r>
    </w:p>
    <w:p>
      <w:pPr>
        <w:spacing w:after="0" w:line="491" w:lineRule="exact"/>
        <w:rPr>
          <w:sz w:val="20"/>
          <w:szCs w:val="20"/>
          <w:color w:val="auto"/>
        </w:rPr>
      </w:pPr>
    </w:p>
    <w:p>
      <w:pPr>
        <w:sectPr>
          <w:pgSz w:w="11900" w:h="16838" w:orient="portrait"/>
          <w:cols w:equalWidth="0" w:num="2">
            <w:col w:w="3140" w:space="540"/>
            <w:col w:w="740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-1995805</wp:posOffset>
            </wp:positionV>
            <wp:extent cx="2080895" cy="2802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80895" cy="2802255"/>
                    </a:xfrm>
                    <a:prstGeom prst="rect">
                      <a:avLst/>
                    </a:prstGeom>
                    <a:noFill/>
                  </pic:spPr>
                </pic:pic>
              </a:graphicData>
            </a:graphic>
          </wp:anchor>
        </w:drawing>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1" w:lineRule="exact"/>
        <w:rPr>
          <w:sz w:val="20"/>
          <w:szCs w:val="20"/>
          <w:color w:val="auto"/>
        </w:rPr>
      </w:pPr>
    </w:p>
    <w:p>
      <w:pPr>
        <w:ind w:left="540" w:hanging="123"/>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Audit Committee</w:t>
      </w:r>
    </w:p>
    <w:p>
      <w:pPr>
        <w:ind w:left="560" w:hanging="143"/>
        <w:spacing w:after="0"/>
        <w:tabs>
          <w:tab w:leader="none" w:pos="5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Compensation Committee</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b w:val="1"/>
          <w:bCs w:val="1"/>
          <w:color w:val="051D49"/>
        </w:rPr>
        <w:t>RONALD L. NELSON</w:t>
      </w:r>
    </w:p>
    <w:p>
      <w:pPr>
        <w:spacing w:after="0" w:line="17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Mr. Nelson served on the board of Viacom from August 2016 to December 2019. Mr. Nelson served as Executive Chairman of the Board of Avis Budget Group, Inc. from 2016 to 2018 and later as a consultant to Avis Budget Group until May 2019. Mr. Nelson also served as Chairman and Chief Executive Officer of Avis Budget Group from 2006 to 2015, and as Chief Operating Officer from 2010 to 2015. Prior to that, Mr. Nelson held several executive finance and operating roles, beginning in 2003 with Cendant Corporation, including as its Chief Financial Officer and President and a member of its board from 2003 to 2006. From 1994 to 2003, Mr. Nelson served as Co-Chief Operating Officer of DreamWorks SKG. From 1987 to 1994, Mr. Nelson was Executive Vice President, Chief Financial Officer and a director at Paramount Communications, Inc., formerly Gulf + Western Industries, Inc. Mr. Nelson has served on the boards of Hanesbrands Inc. since 2008 and as its Non-Executive Chairman since 2019, and Wyndham Hotels &amp; Resorts, Inc. since 2019. He previously served on the board of Convergys Corporation.</w:t>
      </w:r>
    </w:p>
    <w:p>
      <w:pPr>
        <w:spacing w:after="0" w:line="53"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Mr. Nelson has extensive experience as a chief executive officer, chief financial officer and chief operating officer of major global companies, significant financial expertise, international business experience, public company and corporate governance experience and a long-standing background in the media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388620</wp:posOffset>
            </wp:positionV>
            <wp:extent cx="6929755" cy="2463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1900" w:type="dxa"/>
            <w:vAlign w:val="bottom"/>
          </w:tcPr>
          <w:p>
            <w:pPr>
              <w:spacing w:after="0"/>
              <w:rPr>
                <w:sz w:val="20"/>
                <w:szCs w:val="20"/>
                <w:color w:val="auto"/>
              </w:rPr>
            </w:pPr>
            <w:r>
              <w:rPr>
                <w:rFonts w:ascii="Arial" w:cs="Arial" w:eastAsia="Arial" w:hAnsi="Arial"/>
                <w:sz w:val="14"/>
                <w:szCs w:val="14"/>
                <w:color w:val="FFFFFF"/>
              </w:rPr>
              <w:t>2022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FFFFFF"/>
              </w:rPr>
              <w:t>27</w:t>
            </w:r>
          </w:p>
        </w:tc>
      </w:tr>
    </w:tbl>
    <w:p>
      <w:pPr>
        <w:sectPr>
          <w:pgSz w:w="11900" w:h="16838" w:orient="portrait"/>
          <w:cols w:equalWidth="0" w:num="2">
            <w:col w:w="2960" w:space="720"/>
            <w:col w:w="7400"/>
          </w:cols>
          <w:pgMar w:left="320" w:top="454" w:right="49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2080895" cy="27940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80895" cy="279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7" w:lineRule="exact"/>
        <w:rPr>
          <w:sz w:val="20"/>
          <w:szCs w:val="20"/>
          <w:color w:val="auto"/>
        </w:rPr>
      </w:pPr>
    </w:p>
    <w:p>
      <w:pPr>
        <w:ind w:left="600" w:right="180" w:hanging="183"/>
        <w:spacing w:after="0" w:line="244" w:lineRule="auto"/>
        <w:tabs>
          <w:tab w:leader="none" w:pos="556"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Nominating and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3"/>
          <w:szCs w:val="23"/>
          <w:b w:val="1"/>
          <w:bCs w:val="1"/>
          <w:color w:val="051D49"/>
        </w:rPr>
        <w:t>CHARLES E. PHILLIPS,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-902335</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Mr. Phillips is a Co-founder and Managing Partner of Recognize, a technology investing and transformation company. Previously, he was Chief Executive Officer of Infor, Inc., a multi-billion dollar enterprise software company, from 2010 until 2019 and Chairman of Infor from 2019 until 2020. Mr. Phillips served on the board of Viacom from January 2006 to December 2019 and, prior to that, on the board of Former Viacom beginning in 2004. He was a President of Oracle Corporation from 2003 to 2010 and served as a member of its board of directors and executive management committee from 2004 to 2010. Prior to Oracle, Mr. Phillips was a managing director at Morgan Stanley in the Technology Group and served on its board of directors. He has served as a director of American Express Company and Compass, Inc. since 2020 and Oscar Health, Inc. since 2021, and serves on the boards of the Apollo Theater, the New York City Police Foundation and the Black Economic Alliance. He served on President Obama’s Economic Recovery Board, led by Paul Volcker, and is a member of the Council on Foreign Relations.</w:t>
      </w:r>
    </w:p>
    <w:p>
      <w:pPr>
        <w:spacing w:after="0" w:line="53"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Mr. Phillips has extensive experience as a senior executive in a large, multinational corporation, financial industry background and financial and analytical expertise, significant public company and corporate governance experience, expertise in technology issues and familiarity with issues facing media, new media and intellectual property-driven companies and a deep knowledge of our business.</w:t>
      </w:r>
    </w:p>
    <w:p>
      <w:pPr>
        <w:spacing w:after="0" w:line="339" w:lineRule="exact"/>
        <w:rPr>
          <w:sz w:val="20"/>
          <w:szCs w:val="20"/>
          <w:color w:val="auto"/>
        </w:rPr>
      </w:pPr>
    </w:p>
    <w:p>
      <w:pPr>
        <w:sectPr>
          <w:pgSz w:w="11900" w:h="16838" w:orient="portrait"/>
          <w:cols w:equalWidth="0" w:num="2">
            <w:col w:w="3000" w:space="680"/>
            <w:col w:w="740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Non-Executive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-2004060</wp:posOffset>
            </wp:positionV>
            <wp:extent cx="2080895" cy="2683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80895" cy="2683510"/>
                    </a:xfrm>
                    <a:prstGeom prst="rect">
                      <a:avLst/>
                    </a:prstGeom>
                    <a:noFill/>
                  </pic:spPr>
                </pic:pic>
              </a:graphicData>
            </a:graphic>
          </wp:anchor>
        </w:drawing>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67</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1994</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20" w:hanging="473"/>
        <w:spacing w:after="0"/>
        <w:tabs>
          <w:tab w:leader="none" w:pos="720" w:val="left"/>
        </w:tabs>
        <w:numPr>
          <w:ilvl w:val="0"/>
          <w:numId w:val="35"/>
        </w:numPr>
        <w:rPr>
          <w:rFonts w:ascii="Arial" w:cs="Arial" w:eastAsia="Arial" w:hAnsi="Arial"/>
          <w:sz w:val="14"/>
          <w:szCs w:val="14"/>
          <w:b w:val="1"/>
          <w:bCs w:val="1"/>
          <w:color w:val="FFFFFF"/>
        </w:rPr>
      </w:pPr>
      <w:r>
        <w:rPr>
          <w:rFonts w:ascii="Arial" w:cs="Arial" w:eastAsia="Arial" w:hAnsi="Arial"/>
          <w:sz w:val="14"/>
          <w:szCs w:val="14"/>
          <w:color w:val="FFFFFF"/>
        </w:rPr>
        <w:t>PARAMOUNT GLOBAL</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23"/>
          <w:szCs w:val="23"/>
          <w:b w:val="1"/>
          <w:bCs w:val="1"/>
          <w:color w:val="051D49"/>
        </w:rPr>
        <w:t>SHARI E. REDSTONE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Ms. Redstone has been a member of our Board since January 1994 and served on the Viacom board from January 2006 to December 2019. She has served as Non-Executive Chair of our Board since December 2019 and prior to that served as Non-Executive Vice Chair of the Board beginning in June 2005 and Non-Executive Vice Chair of the Viacom board beginning in January 2006.</w:t>
      </w:r>
    </w:p>
    <w:p>
      <w:pPr>
        <w:spacing w:after="0" w:line="4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Ms. Redstone is Co-Founder and Managing Partner of Advancit Capital, an investment firm launched in 2011 that focuses on early stage companies at the intersection of media, entertainment and technology, with investments in over 75 companies. Ms. Redstone has been President of National Amusements since 2000 and Chief Executive Officer since 2020. She also serves on the National Amusements board as its Chairperson. Ms. Redstone serves on the Board of Trustees for the Paley Center for Media and is actively involved in charitable, civic and educational organizations. She is a member of the Board of Trustees of the Dana Farber Cancer Institute. She earned a BS from Tufts University, and a JD and a Masters in Tax Law from Boston University. She practiced corporate law, estate planning and criminal law in the Boston area before joining National Amusements.</w:t>
      </w:r>
    </w:p>
    <w:p>
      <w:pPr>
        <w:spacing w:after="0" w:line="51"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Ms. Redstone brings to our Board her extensive experience in and understanding of the entertainment industry, broad experience and talent managing a large business, extensive legal experience and her experience as President of National Amusements, including as one of its significant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346075</wp:posOffset>
            </wp:positionV>
            <wp:extent cx="6929755" cy="2374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ectPr>
          <w:pgSz w:w="11900" w:h="16838" w:orient="portrait"/>
          <w:cols w:equalWidth="0" w:num="2">
            <w:col w:w="2960" w:space="720"/>
            <w:col w:w="7400"/>
          </w:cols>
          <w:pgMar w:left="320" w:top="454" w:right="49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415925</wp:posOffset>
            </wp:positionV>
            <wp:extent cx="2080895" cy="2802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80895" cy="280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2018</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7" w:lineRule="exact"/>
        <w:rPr>
          <w:sz w:val="20"/>
          <w:szCs w:val="20"/>
          <w:color w:val="auto"/>
        </w:rPr>
      </w:pPr>
    </w:p>
    <w:p>
      <w:pPr>
        <w:ind w:left="600" w:right="140" w:hanging="183"/>
        <w:spacing w:after="0" w:line="244" w:lineRule="auto"/>
        <w:tabs>
          <w:tab w:leader="none" w:pos="5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302260</wp:posOffset>
            </wp:positionV>
            <wp:extent cx="2080895" cy="2802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80895" cy="280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65</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7" w:lineRule="exact"/>
        <w:rPr>
          <w:sz w:val="20"/>
          <w:szCs w:val="20"/>
          <w:color w:val="auto"/>
        </w:rPr>
      </w:pPr>
    </w:p>
    <w:p>
      <w:pPr>
        <w:ind w:left="600" w:right="140" w:hanging="183"/>
        <w:spacing w:after="0" w:line="273" w:lineRule="auto"/>
        <w:tabs>
          <w:tab w:leader="none" w:pos="556"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Nominating and Governance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-641985</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23"/>
          <w:szCs w:val="23"/>
          <w:b w:val="1"/>
          <w:bCs w:val="1"/>
          <w:color w:val="051D49"/>
        </w:rPr>
        <w:t>SUSAN SCHUMAN</w:t>
      </w:r>
    </w:p>
    <w:p>
      <w:pPr>
        <w:spacing w:after="0" w:line="17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Ms. Schuman is the Executive Chair and Co-Founder of SYPartners LLC, a consultancy firm that partners with chief executive officers and their leadership teams undergoing business and cultural transformation, and Vice Chair of the kyu Collective. Ms. Schuman serves on the board of Wheels Up and on the advisory board of IDEO.</w:t>
      </w:r>
    </w:p>
    <w:p>
      <w:pPr>
        <w:spacing w:after="0" w:line="4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Over the past 20 years, Ms. Schuman has built and led SYPartners, working with executives at many high-profile companies and organizations. This experience in advising on business, organization and cultural transformation, including new value creation strategies, positions Ms. Schuman as a skilled advisor to the Board on the strategic and transformational direction of the Company. Ms. Schuman’s service on other public company board committees contributes to her broad understanding of public company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3"/>
          <w:szCs w:val="23"/>
          <w:b w:val="1"/>
          <w:bCs w:val="1"/>
          <w:color w:val="051D49"/>
        </w:rPr>
        <w:t>NICOLE SELIGMAN</w:t>
      </w:r>
    </w:p>
    <w:p>
      <w:pPr>
        <w:spacing w:after="0" w:line="178"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Ms. Seligman served on the board of Viacom from August 2016 to December 2019. Until March 2016, Ms. Seligman served as the President of Sony Entertainment, Inc. (beginning in 2014) and of Sony Corporation of America (beginning in 2012), and as Senior Legal Counsel of Sony Group (beginning in 2014). Ms. Seligman previously served as Executive Vice President and General Counsel of Sony Corporation from 2005 to 2014. She joined Sony in 2001 and served in a variety of other capacities during her tenure, including as a Corporate Executive Officer and Group Deputy General Counsel of Sony Corporation, and as General Counsel and an Executive Vice President at Sony Corporation of America, a subsidiary of Sony Corporation. Prior to joining Sony Corporation of America, Ms. Seligman was a partner in the litigation practice at Williams &amp; Connolly LLP in Washington, D.C., where she worked on a broad range of complex civil and criminal matters and counseled a wide range of clients, including President William Jefferson Clinton and Lt. Col. Oliver North. Ms. Seligman joined Williams &amp; Connolly in 1985. Ms. Seligman served as law clerk to Justice Thurgood Marshall on the Supreme Court of the United States from 1984 to 1985 and as law clerk to Judge Harry T. Edwards at the U.S. Court of Appeals for the District of Columbia Circuit from 1983 to 1984. Ms. Seligman has served on the boards of MeiraGTx Holdings plc since 2019 and Far Peak Acquisition Corporation since 2020, and previously served on the board of Far Point Acquisition Corporation from 2018 until 2020. She has been a Non-Executive Director of WPP plc since 2014 and its Senior Independent Director since 2016.</w:t>
      </w:r>
    </w:p>
    <w:p>
      <w:pPr>
        <w:spacing w:after="0" w:line="57" w:lineRule="exact"/>
        <w:rPr>
          <w:sz w:val="20"/>
          <w:szCs w:val="20"/>
          <w:color w:val="auto"/>
        </w:rPr>
      </w:pPr>
    </w:p>
    <w:p>
      <w:pPr>
        <w:ind w:right="420"/>
        <w:spacing w:after="0" w:line="249" w:lineRule="auto"/>
        <w:rPr>
          <w:sz w:val="20"/>
          <w:szCs w:val="20"/>
          <w:color w:val="auto"/>
        </w:rPr>
      </w:pPr>
      <w:r>
        <w:rPr>
          <w:rFonts w:ascii="Arial" w:cs="Arial" w:eastAsia="Arial" w:hAnsi="Arial"/>
          <w:sz w:val="18"/>
          <w:szCs w:val="18"/>
          <w:color w:val="auto"/>
        </w:rPr>
        <w:t>Ms. Seligman has extensive media industry experience with various leadership roles at a major media conglomerate, public company and corporate governance expertise, and exceptional achievements in the legal profession.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256540</wp:posOffset>
            </wp:positionV>
            <wp:extent cx="6929755" cy="2463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1900" w:type="dxa"/>
            <w:vAlign w:val="bottom"/>
          </w:tcPr>
          <w:p>
            <w:pPr>
              <w:spacing w:after="0"/>
              <w:rPr>
                <w:sz w:val="20"/>
                <w:szCs w:val="20"/>
                <w:color w:val="auto"/>
              </w:rPr>
            </w:pPr>
            <w:r>
              <w:rPr>
                <w:rFonts w:ascii="Arial" w:cs="Arial" w:eastAsia="Arial" w:hAnsi="Arial"/>
                <w:sz w:val="14"/>
                <w:szCs w:val="14"/>
                <w:color w:val="FFFFFF"/>
              </w:rPr>
              <w:t>2022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FFFFFF"/>
              </w:rPr>
              <w:t>29</w:t>
            </w:r>
          </w:p>
        </w:tc>
      </w:tr>
    </w:tbl>
    <w:p>
      <w:pPr>
        <w:sectPr>
          <w:pgSz w:w="11900" w:h="16838" w:orient="portrait"/>
          <w:cols w:equalWidth="0" w:num="2">
            <w:col w:w="2960" w:space="720"/>
            <w:col w:w="7400"/>
          </w:cols>
          <w:pgMar w:left="320" w:top="454" w:right="49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2080895" cy="2675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80895" cy="2675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67</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2018</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3"/>
          <w:szCs w:val="23"/>
          <w:b w:val="1"/>
          <w:bCs w:val="1"/>
          <w:color w:val="051D49"/>
        </w:rPr>
        <w:t>FREDERICK O. TERRELL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-902335</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5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Mr. Terrell is a Senior Advisor at Centerbridge Partners, L.P., a multi-strategy private investment management firm. Mr. Terrell served as Executive Vice Chairman of Investment Banking and Capital Markets at Credit Suisse and later as Senior Advisor from January 2018 to November 2018. From June 2010 to December 2017 he was Vice Chairman of Investment Banking and Capital Markets at Credit Suisse. His investment banking career began in 1983 as an associate with First Boston Corporation. During his accomplished career in the financial services sector spanning more than 25 years, Mr. Terrell was responsible for Credit Suisse’s global banking relationships with some of its most high-profile clients. From 2000 to 2008 he was the Managing Partner of Provender Capital Group, LLC, a private equity firm focusing on investments in emerging companies. Mr. Terrell currently serves as a member of the boards of directors of The Bank of New York Mellon Corporation, Mobility Capital Finance Inc. (MoCaFi) and Vroom, Inc. and is a member of the Investment Committee of the Rockefeller Foundation. He has served as a member of the board of directors of the New York Life Insurance Company, Wellchoice Inc. (formerly Empire Blue Cross Blue Shield) and Carver Bancorp, Inc. His experience also includes past and present service on multiple not-for-profit boards, including the University Council of Yale University, Yale School of Management, Partnership for New York City, Partnership Fund for New York City, Coro New York Leadership Center, Big Brothers Big Sisters of New York City and the Kaiser Family Foundation. He is a member of the Council on Foreign Relations and the Economic Club of New York.</w:t>
      </w:r>
    </w:p>
    <w:p>
      <w:pPr>
        <w:spacing w:after="0" w:line="39" w:lineRule="exact"/>
        <w:rPr>
          <w:sz w:val="20"/>
          <w:szCs w:val="20"/>
          <w:color w:val="auto"/>
        </w:rPr>
      </w:pPr>
    </w:p>
    <w:p>
      <w:pPr>
        <w:ind w:right="500"/>
        <w:spacing w:after="0" w:line="249" w:lineRule="auto"/>
        <w:rPr>
          <w:sz w:val="20"/>
          <w:szCs w:val="20"/>
          <w:color w:val="auto"/>
        </w:rPr>
      </w:pPr>
      <w:r>
        <w:rPr>
          <w:rFonts w:ascii="Arial" w:cs="Arial" w:eastAsia="Arial" w:hAnsi="Arial"/>
          <w:sz w:val="18"/>
          <w:szCs w:val="18"/>
          <w:color w:val="auto"/>
        </w:rPr>
        <w:t>Based on his extensive banking and corporate advisory experience, Mr. Terrell brings significant business and financial expertise to the Board in its deliberations on corporate strategy, complex transactions and other financial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392430</wp:posOffset>
            </wp:positionV>
            <wp:extent cx="6929755" cy="4076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680"/>
            <w:col w:w="7400"/>
          </w:cols>
          <w:pgMar w:left="320" w:top="454" w:right="49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FFFFFF"/>
        </w:rPr>
        <w:t>THE BOARD OF DIRECTORS RECOMMENDS A VOTE “FOR”</w:t>
      </w:r>
    </w:p>
    <w:p>
      <w:pPr>
        <w:spacing w:after="0" w:line="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FFFFFF"/>
        </w:rPr>
        <w:t>THE ELECTION OF EACH OF THE DIRECTOR NOMINEES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152400</wp:posOffset>
            </wp:positionV>
            <wp:extent cx="6929755" cy="2374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318" w:lineRule="exact"/>
        <w:rPr>
          <w:sz w:val="20"/>
          <w:szCs w:val="20"/>
          <w:color w:val="auto"/>
        </w:rPr>
      </w:pPr>
    </w:p>
    <w:p>
      <w:pPr>
        <w:ind w:left="720" w:hanging="473"/>
        <w:spacing w:after="0"/>
        <w:tabs>
          <w:tab w:leader="none" w:pos="720" w:val="left"/>
        </w:tabs>
        <w:numPr>
          <w:ilvl w:val="0"/>
          <w:numId w:val="38"/>
        </w:numPr>
        <w:rPr>
          <w:rFonts w:ascii="Arial" w:cs="Arial" w:eastAsia="Arial" w:hAnsi="Arial"/>
          <w:sz w:val="14"/>
          <w:szCs w:val="14"/>
          <w:b w:val="1"/>
          <w:bCs w:val="1"/>
          <w:color w:val="FFFFFF"/>
        </w:rPr>
      </w:pPr>
      <w:r>
        <w:rPr>
          <w:rFonts w:ascii="Arial" w:cs="Arial" w:eastAsia="Arial" w:hAnsi="Arial"/>
          <w:sz w:val="14"/>
          <w:szCs w:val="14"/>
          <w:color w:val="FFFFFF"/>
        </w:rPr>
        <w:t>PARAMOUNT GLOBAL</w:t>
      </w:r>
    </w:p>
    <w:p>
      <w:pPr>
        <w:sectPr>
          <w:pgSz w:w="11900" w:h="16838" w:orient="portrait"/>
          <w:cols w:equalWidth="0" w:num="1">
            <w:col w:w="11080"/>
          </w:cols>
          <w:pgMar w:left="320" w:top="454" w:right="49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51D49"/>
        </w:rPr>
        <w:t>Director Compensation</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OUTSIDE DIRECTOR COMPENSATION DURING 2021</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information concerning the compensation of our Outside Directors for 2021.</w:t>
      </w:r>
    </w:p>
    <w:p>
      <w:pPr>
        <w:spacing w:after="0" w:line="133"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3540" w:type="dxa"/>
            <w:vAlign w:val="bottom"/>
            <w:shd w:val="clear" w:color="auto" w:fill="E5E5E5"/>
          </w:tcPr>
          <w:p>
            <w:pPr>
              <w:spacing w:after="0"/>
              <w:rPr>
                <w:sz w:val="18"/>
                <w:szCs w:val="18"/>
                <w:color w:val="auto"/>
              </w:rPr>
            </w:pPr>
          </w:p>
        </w:tc>
        <w:tc>
          <w:tcPr>
            <w:tcW w:w="2040" w:type="dxa"/>
            <w:vAlign w:val="bottom"/>
            <w:shd w:val="clear" w:color="auto" w:fill="E5E5E5"/>
          </w:tcPr>
          <w:p>
            <w:pPr>
              <w:spacing w:after="0"/>
              <w:rPr>
                <w:sz w:val="18"/>
                <w:szCs w:val="18"/>
                <w:color w:val="auto"/>
              </w:rPr>
            </w:pPr>
          </w:p>
        </w:tc>
        <w:tc>
          <w:tcPr>
            <w:tcW w:w="1340" w:type="dxa"/>
            <w:vAlign w:val="bottom"/>
            <w:shd w:val="clear" w:color="auto" w:fill="E5E5E5"/>
          </w:tcPr>
          <w:p>
            <w:pPr>
              <w:spacing w:after="0"/>
              <w:rPr>
                <w:sz w:val="18"/>
                <w:szCs w:val="18"/>
                <w:color w:val="auto"/>
              </w:rPr>
            </w:pPr>
          </w:p>
        </w:tc>
        <w:tc>
          <w:tcPr>
            <w:tcW w:w="160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Change in</w:t>
            </w:r>
          </w:p>
        </w:tc>
        <w:tc>
          <w:tcPr>
            <w:tcW w:w="154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r>
      <w:tr>
        <w:trPr>
          <w:trHeight w:val="160"/>
        </w:trPr>
        <w:tc>
          <w:tcPr>
            <w:tcW w:w="3540" w:type="dxa"/>
            <w:vAlign w:val="bottom"/>
            <w:shd w:val="clear" w:color="auto" w:fill="E5E5E5"/>
          </w:tcPr>
          <w:p>
            <w:pPr>
              <w:spacing w:after="0"/>
              <w:rPr>
                <w:sz w:val="13"/>
                <w:szCs w:val="13"/>
                <w:color w:val="auto"/>
              </w:rPr>
            </w:pPr>
          </w:p>
        </w:tc>
        <w:tc>
          <w:tcPr>
            <w:tcW w:w="2040" w:type="dxa"/>
            <w:vAlign w:val="bottom"/>
            <w:shd w:val="clear" w:color="auto" w:fill="E5E5E5"/>
          </w:tcPr>
          <w:p>
            <w:pPr>
              <w:spacing w:after="0"/>
              <w:rPr>
                <w:sz w:val="13"/>
                <w:szCs w:val="13"/>
                <w:color w:val="auto"/>
              </w:rPr>
            </w:pPr>
          </w:p>
        </w:tc>
        <w:tc>
          <w:tcPr>
            <w:tcW w:w="1340" w:type="dxa"/>
            <w:vAlign w:val="bottom"/>
            <w:shd w:val="clear" w:color="auto" w:fill="E5E5E5"/>
          </w:tcPr>
          <w:p>
            <w:pPr>
              <w:spacing w:after="0"/>
              <w:rPr>
                <w:sz w:val="13"/>
                <w:szCs w:val="13"/>
                <w:color w:val="auto"/>
              </w:rPr>
            </w:pPr>
          </w:p>
        </w:tc>
        <w:tc>
          <w:tcPr>
            <w:tcW w:w="160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Pension</w:t>
            </w:r>
          </w:p>
        </w:tc>
        <w:tc>
          <w:tcPr>
            <w:tcW w:w="154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r>
      <w:tr>
        <w:trPr>
          <w:trHeight w:val="160"/>
        </w:trPr>
        <w:tc>
          <w:tcPr>
            <w:tcW w:w="3540" w:type="dxa"/>
            <w:vAlign w:val="bottom"/>
            <w:shd w:val="clear" w:color="auto" w:fill="E5E5E5"/>
          </w:tcPr>
          <w:p>
            <w:pPr>
              <w:spacing w:after="0"/>
              <w:rPr>
                <w:sz w:val="13"/>
                <w:szCs w:val="13"/>
                <w:color w:val="auto"/>
              </w:rPr>
            </w:pPr>
          </w:p>
        </w:tc>
        <w:tc>
          <w:tcPr>
            <w:tcW w:w="2040" w:type="dxa"/>
            <w:vAlign w:val="bottom"/>
            <w:shd w:val="clear" w:color="auto" w:fill="E5E5E5"/>
          </w:tcPr>
          <w:p>
            <w:pPr>
              <w:spacing w:after="0"/>
              <w:rPr>
                <w:sz w:val="13"/>
                <w:szCs w:val="13"/>
                <w:color w:val="auto"/>
              </w:rPr>
            </w:pPr>
          </w:p>
        </w:tc>
        <w:tc>
          <w:tcPr>
            <w:tcW w:w="1340" w:type="dxa"/>
            <w:vAlign w:val="bottom"/>
            <w:shd w:val="clear" w:color="auto" w:fill="E5E5E5"/>
          </w:tcPr>
          <w:p>
            <w:pPr>
              <w:spacing w:after="0"/>
              <w:rPr>
                <w:sz w:val="13"/>
                <w:szCs w:val="13"/>
                <w:color w:val="auto"/>
              </w:rPr>
            </w:pPr>
          </w:p>
        </w:tc>
        <w:tc>
          <w:tcPr>
            <w:tcW w:w="160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Value and</w:t>
            </w:r>
          </w:p>
        </w:tc>
        <w:tc>
          <w:tcPr>
            <w:tcW w:w="154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r>
      <w:tr>
        <w:trPr>
          <w:trHeight w:val="160"/>
        </w:trPr>
        <w:tc>
          <w:tcPr>
            <w:tcW w:w="3540" w:type="dxa"/>
            <w:vAlign w:val="bottom"/>
            <w:shd w:val="clear" w:color="auto" w:fill="E5E5E5"/>
          </w:tcPr>
          <w:p>
            <w:pPr>
              <w:spacing w:after="0"/>
              <w:rPr>
                <w:sz w:val="13"/>
                <w:szCs w:val="13"/>
                <w:color w:val="auto"/>
              </w:rPr>
            </w:pPr>
          </w:p>
        </w:tc>
        <w:tc>
          <w:tcPr>
            <w:tcW w:w="2040" w:type="dxa"/>
            <w:vAlign w:val="bottom"/>
            <w:shd w:val="clear" w:color="auto" w:fill="E5E5E5"/>
          </w:tcPr>
          <w:p>
            <w:pPr>
              <w:spacing w:after="0"/>
              <w:rPr>
                <w:sz w:val="13"/>
                <w:szCs w:val="13"/>
                <w:color w:val="auto"/>
              </w:rPr>
            </w:pPr>
          </w:p>
        </w:tc>
        <w:tc>
          <w:tcPr>
            <w:tcW w:w="1340" w:type="dxa"/>
            <w:vAlign w:val="bottom"/>
            <w:shd w:val="clear" w:color="auto" w:fill="E5E5E5"/>
          </w:tcPr>
          <w:p>
            <w:pPr>
              <w:spacing w:after="0"/>
              <w:rPr>
                <w:sz w:val="13"/>
                <w:szCs w:val="13"/>
                <w:color w:val="auto"/>
              </w:rPr>
            </w:pPr>
          </w:p>
        </w:tc>
        <w:tc>
          <w:tcPr>
            <w:tcW w:w="160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Nonqualified</w:t>
            </w:r>
          </w:p>
        </w:tc>
        <w:tc>
          <w:tcPr>
            <w:tcW w:w="154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r>
      <w:tr>
        <w:trPr>
          <w:trHeight w:val="160"/>
        </w:trPr>
        <w:tc>
          <w:tcPr>
            <w:tcW w:w="3540" w:type="dxa"/>
            <w:vAlign w:val="bottom"/>
            <w:shd w:val="clear" w:color="auto" w:fill="E5E5E5"/>
          </w:tcPr>
          <w:p>
            <w:pPr>
              <w:spacing w:after="0"/>
              <w:rPr>
                <w:sz w:val="13"/>
                <w:szCs w:val="13"/>
                <w:color w:val="auto"/>
              </w:rPr>
            </w:pPr>
          </w:p>
        </w:tc>
        <w:tc>
          <w:tcPr>
            <w:tcW w:w="2040" w:type="dxa"/>
            <w:vAlign w:val="bottom"/>
            <w:shd w:val="clear" w:color="auto" w:fill="E5E5E5"/>
          </w:tcPr>
          <w:p>
            <w:pPr>
              <w:spacing w:after="0"/>
              <w:rPr>
                <w:sz w:val="13"/>
                <w:szCs w:val="13"/>
                <w:color w:val="auto"/>
              </w:rPr>
            </w:pPr>
          </w:p>
        </w:tc>
        <w:tc>
          <w:tcPr>
            <w:tcW w:w="1340" w:type="dxa"/>
            <w:vAlign w:val="bottom"/>
            <w:shd w:val="clear" w:color="auto" w:fill="E5E5E5"/>
          </w:tcPr>
          <w:p>
            <w:pPr>
              <w:spacing w:after="0"/>
              <w:rPr>
                <w:sz w:val="13"/>
                <w:szCs w:val="13"/>
                <w:color w:val="auto"/>
              </w:rPr>
            </w:pPr>
          </w:p>
        </w:tc>
        <w:tc>
          <w:tcPr>
            <w:tcW w:w="160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Deferred</w:t>
            </w:r>
          </w:p>
        </w:tc>
        <w:tc>
          <w:tcPr>
            <w:tcW w:w="154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r>
      <w:tr>
        <w:trPr>
          <w:trHeight w:val="160"/>
        </w:trPr>
        <w:tc>
          <w:tcPr>
            <w:tcW w:w="3540" w:type="dxa"/>
            <w:vAlign w:val="bottom"/>
            <w:shd w:val="clear" w:color="auto" w:fill="E5E5E5"/>
          </w:tcPr>
          <w:p>
            <w:pPr>
              <w:spacing w:after="0"/>
              <w:rPr>
                <w:sz w:val="13"/>
                <w:szCs w:val="13"/>
                <w:color w:val="auto"/>
              </w:rPr>
            </w:pPr>
          </w:p>
        </w:tc>
        <w:tc>
          <w:tcPr>
            <w:tcW w:w="2040" w:type="dxa"/>
            <w:vAlign w:val="bottom"/>
            <w:shd w:val="clear" w:color="auto" w:fill="E5E5E5"/>
          </w:tcPr>
          <w:p>
            <w:pPr>
              <w:jc w:val="center"/>
              <w:ind w:left="102"/>
              <w:spacing w:after="0"/>
              <w:rPr>
                <w:sz w:val="20"/>
                <w:szCs w:val="20"/>
                <w:color w:val="auto"/>
              </w:rPr>
            </w:pPr>
            <w:r>
              <w:rPr>
                <w:rFonts w:ascii="Arial" w:cs="Arial" w:eastAsia="Arial" w:hAnsi="Arial"/>
                <w:sz w:val="14"/>
                <w:szCs w:val="14"/>
                <w:color w:val="051D49"/>
              </w:rPr>
              <w:t>Fees Earned or</w:t>
            </w:r>
          </w:p>
        </w:tc>
        <w:tc>
          <w:tcPr>
            <w:tcW w:w="1340" w:type="dxa"/>
            <w:vAlign w:val="bottom"/>
            <w:shd w:val="clear" w:color="auto" w:fill="E5E5E5"/>
          </w:tcPr>
          <w:p>
            <w:pPr>
              <w:ind w:left="480"/>
              <w:spacing w:after="0"/>
              <w:rPr>
                <w:sz w:val="20"/>
                <w:szCs w:val="20"/>
                <w:color w:val="auto"/>
              </w:rPr>
            </w:pPr>
            <w:r>
              <w:rPr>
                <w:rFonts w:ascii="Arial" w:cs="Arial" w:eastAsia="Arial" w:hAnsi="Arial"/>
                <w:sz w:val="14"/>
                <w:szCs w:val="14"/>
                <w:color w:val="051D49"/>
              </w:rPr>
              <w:t>Stock</w:t>
            </w:r>
          </w:p>
        </w:tc>
        <w:tc>
          <w:tcPr>
            <w:tcW w:w="160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Compensation</w:t>
            </w:r>
          </w:p>
        </w:tc>
        <w:tc>
          <w:tcPr>
            <w:tcW w:w="1540" w:type="dxa"/>
            <w:vAlign w:val="bottom"/>
            <w:shd w:val="clear" w:color="auto" w:fill="E5E5E5"/>
          </w:tcPr>
          <w:p>
            <w:pPr>
              <w:jc w:val="center"/>
              <w:spacing w:after="0"/>
              <w:rPr>
                <w:sz w:val="20"/>
                <w:szCs w:val="20"/>
                <w:color w:val="auto"/>
              </w:rPr>
            </w:pPr>
            <w:r>
              <w:rPr>
                <w:rFonts w:ascii="Arial" w:cs="Arial" w:eastAsia="Arial" w:hAnsi="Arial"/>
                <w:sz w:val="14"/>
                <w:szCs w:val="14"/>
                <w:color w:val="051D49"/>
                <w:w w:val="99"/>
              </w:rPr>
              <w:t>All Other</w:t>
            </w:r>
          </w:p>
        </w:tc>
        <w:tc>
          <w:tcPr>
            <w:tcW w:w="860" w:type="dxa"/>
            <w:vAlign w:val="bottom"/>
            <w:shd w:val="clear" w:color="auto" w:fill="E5E5E5"/>
          </w:tcPr>
          <w:p>
            <w:pPr>
              <w:spacing w:after="0"/>
              <w:rPr>
                <w:sz w:val="13"/>
                <w:szCs w:val="13"/>
                <w:color w:val="auto"/>
              </w:rPr>
            </w:pPr>
          </w:p>
        </w:tc>
      </w:tr>
      <w:tr>
        <w:trPr>
          <w:trHeight w:val="160"/>
        </w:trPr>
        <w:tc>
          <w:tcPr>
            <w:tcW w:w="3540" w:type="dxa"/>
            <w:vAlign w:val="bottom"/>
            <w:shd w:val="clear" w:color="auto" w:fill="E5E5E5"/>
          </w:tcPr>
          <w:p>
            <w:pPr>
              <w:spacing w:after="0"/>
              <w:rPr>
                <w:sz w:val="13"/>
                <w:szCs w:val="13"/>
                <w:color w:val="auto"/>
              </w:rPr>
            </w:pPr>
          </w:p>
        </w:tc>
        <w:tc>
          <w:tcPr>
            <w:tcW w:w="2040" w:type="dxa"/>
            <w:vAlign w:val="bottom"/>
            <w:shd w:val="clear" w:color="auto" w:fill="E5E5E5"/>
          </w:tcPr>
          <w:p>
            <w:pPr>
              <w:jc w:val="center"/>
              <w:ind w:left="102"/>
              <w:spacing w:after="0"/>
              <w:rPr>
                <w:sz w:val="20"/>
                <w:szCs w:val="20"/>
                <w:color w:val="auto"/>
              </w:rPr>
            </w:pPr>
            <w:r>
              <w:rPr>
                <w:rFonts w:ascii="Arial" w:cs="Arial" w:eastAsia="Arial" w:hAnsi="Arial"/>
                <w:sz w:val="14"/>
                <w:szCs w:val="14"/>
                <w:color w:val="051D49"/>
              </w:rPr>
              <w:t>Paid in Cash</w:t>
            </w:r>
          </w:p>
        </w:tc>
        <w:tc>
          <w:tcPr>
            <w:tcW w:w="1340" w:type="dxa"/>
            <w:vAlign w:val="bottom"/>
            <w:shd w:val="clear" w:color="auto" w:fill="E5E5E5"/>
          </w:tcPr>
          <w:p>
            <w:pPr>
              <w:ind w:left="420"/>
              <w:spacing w:after="0"/>
              <w:rPr>
                <w:sz w:val="20"/>
                <w:szCs w:val="20"/>
                <w:color w:val="auto"/>
              </w:rPr>
            </w:pPr>
            <w:r>
              <w:rPr>
                <w:rFonts w:ascii="Arial" w:cs="Arial" w:eastAsia="Arial" w:hAnsi="Arial"/>
                <w:sz w:val="14"/>
                <w:szCs w:val="14"/>
                <w:color w:val="051D49"/>
              </w:rPr>
              <w:t>Awards</w:t>
            </w:r>
          </w:p>
        </w:tc>
        <w:tc>
          <w:tcPr>
            <w:tcW w:w="160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Earnings</w:t>
            </w:r>
          </w:p>
        </w:tc>
        <w:tc>
          <w:tcPr>
            <w:tcW w:w="154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Compensation</w:t>
            </w:r>
          </w:p>
        </w:tc>
        <w:tc>
          <w:tcPr>
            <w:tcW w:w="860" w:type="dxa"/>
            <w:vAlign w:val="bottom"/>
            <w:shd w:val="clear" w:color="auto" w:fill="E5E5E5"/>
          </w:tcPr>
          <w:p>
            <w:pPr>
              <w:spacing w:after="0"/>
              <w:rPr>
                <w:sz w:val="13"/>
                <w:szCs w:val="13"/>
                <w:color w:val="auto"/>
              </w:rPr>
            </w:pPr>
          </w:p>
        </w:tc>
      </w:tr>
      <w:tr>
        <w:trPr>
          <w:trHeight w:val="160"/>
        </w:trPr>
        <w:tc>
          <w:tcPr>
            <w:tcW w:w="3540" w:type="dxa"/>
            <w:vAlign w:val="bottom"/>
            <w:shd w:val="clear" w:color="auto" w:fill="E5E5E5"/>
          </w:tcPr>
          <w:p>
            <w:pPr>
              <w:spacing w:after="0"/>
              <w:rPr>
                <w:sz w:val="13"/>
                <w:szCs w:val="13"/>
                <w:color w:val="auto"/>
              </w:rPr>
            </w:pPr>
          </w:p>
        </w:tc>
        <w:tc>
          <w:tcPr>
            <w:tcW w:w="2040" w:type="dxa"/>
            <w:vAlign w:val="bottom"/>
            <w:shd w:val="clear" w:color="auto" w:fill="E5E5E5"/>
          </w:tcPr>
          <w:p>
            <w:pPr>
              <w:jc w:val="center"/>
              <w:ind w:left="102"/>
              <w:spacing w:after="0"/>
              <w:rPr>
                <w:sz w:val="20"/>
                <w:szCs w:val="20"/>
                <w:color w:val="auto"/>
              </w:rPr>
            </w:pPr>
            <w:r>
              <w:rPr>
                <w:rFonts w:ascii="Arial" w:cs="Arial" w:eastAsia="Arial" w:hAnsi="Arial"/>
                <w:sz w:val="14"/>
                <w:szCs w:val="14"/>
                <w:color w:val="051D49"/>
              </w:rPr>
              <w:t>($)</w:t>
            </w:r>
          </w:p>
        </w:tc>
        <w:tc>
          <w:tcPr>
            <w:tcW w:w="1340" w:type="dxa"/>
            <w:vAlign w:val="bottom"/>
            <w:shd w:val="clear" w:color="auto" w:fill="E5E5E5"/>
          </w:tcPr>
          <w:p>
            <w:pPr>
              <w:ind w:left="580"/>
              <w:spacing w:after="0"/>
              <w:rPr>
                <w:sz w:val="20"/>
                <w:szCs w:val="20"/>
                <w:color w:val="auto"/>
              </w:rPr>
            </w:pPr>
            <w:r>
              <w:rPr>
                <w:rFonts w:ascii="Arial" w:cs="Arial" w:eastAsia="Arial" w:hAnsi="Arial"/>
                <w:sz w:val="14"/>
                <w:szCs w:val="14"/>
                <w:color w:val="051D49"/>
              </w:rPr>
              <w:t>($)</w:t>
            </w:r>
          </w:p>
        </w:tc>
        <w:tc>
          <w:tcPr>
            <w:tcW w:w="1600" w:type="dxa"/>
            <w:vAlign w:val="bottom"/>
            <w:shd w:val="clear" w:color="auto" w:fill="E5E5E5"/>
          </w:tcPr>
          <w:p>
            <w:pPr>
              <w:jc w:val="center"/>
              <w:spacing w:after="0"/>
              <w:rPr>
                <w:sz w:val="20"/>
                <w:szCs w:val="20"/>
                <w:color w:val="auto"/>
              </w:rPr>
            </w:pPr>
            <w:r>
              <w:rPr>
                <w:rFonts w:ascii="Arial" w:cs="Arial" w:eastAsia="Arial" w:hAnsi="Arial"/>
                <w:sz w:val="14"/>
                <w:szCs w:val="14"/>
                <w:color w:val="051D49"/>
                <w:w w:val="93"/>
              </w:rPr>
              <w:t>($)</w:t>
            </w:r>
          </w:p>
        </w:tc>
        <w:tc>
          <w:tcPr>
            <w:tcW w:w="154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w:t>
            </w:r>
          </w:p>
        </w:tc>
        <w:tc>
          <w:tcPr>
            <w:tcW w:w="860" w:type="dxa"/>
            <w:vAlign w:val="bottom"/>
            <w:shd w:val="clear" w:color="auto" w:fill="E5E5E5"/>
          </w:tcPr>
          <w:p>
            <w:pPr>
              <w:jc w:val="right"/>
              <w:ind w:right="121"/>
              <w:spacing w:after="0"/>
              <w:rPr>
                <w:sz w:val="20"/>
                <w:szCs w:val="20"/>
                <w:color w:val="auto"/>
              </w:rPr>
            </w:pPr>
            <w:r>
              <w:rPr>
                <w:rFonts w:ascii="Arial" w:cs="Arial" w:eastAsia="Arial" w:hAnsi="Arial"/>
                <w:sz w:val="14"/>
                <w:szCs w:val="14"/>
                <w:color w:val="051D49"/>
              </w:rPr>
              <w:t>Total</w:t>
            </w:r>
          </w:p>
        </w:tc>
      </w:tr>
      <w:tr>
        <w:trPr>
          <w:trHeight w:val="210"/>
        </w:trPr>
        <w:tc>
          <w:tcPr>
            <w:tcW w:w="3540" w:type="dxa"/>
            <w:vAlign w:val="bottom"/>
            <w:shd w:val="clear" w:color="auto" w:fill="E5E5E5"/>
          </w:tcPr>
          <w:p>
            <w:pPr>
              <w:ind w:left="80"/>
              <w:spacing w:after="0"/>
              <w:rPr>
                <w:sz w:val="20"/>
                <w:szCs w:val="20"/>
                <w:color w:val="auto"/>
              </w:rPr>
            </w:pPr>
            <w:r>
              <w:rPr>
                <w:rFonts w:ascii="Arial" w:cs="Arial" w:eastAsia="Arial" w:hAnsi="Arial"/>
                <w:sz w:val="14"/>
                <w:szCs w:val="14"/>
                <w:color w:val="051D49"/>
              </w:rPr>
              <w:t>Name</w:t>
            </w:r>
          </w:p>
        </w:tc>
        <w:tc>
          <w:tcPr>
            <w:tcW w:w="2040" w:type="dxa"/>
            <w:vAlign w:val="bottom"/>
            <w:shd w:val="clear" w:color="auto" w:fill="E5E5E5"/>
          </w:tcPr>
          <w:p>
            <w:pPr>
              <w:jc w:val="center"/>
              <w:ind w:left="102"/>
              <w:spacing w:after="0"/>
              <w:rPr>
                <w:sz w:val="20"/>
                <w:szCs w:val="20"/>
                <w:color w:val="auto"/>
              </w:rPr>
            </w:pPr>
            <w:r>
              <w:rPr>
                <w:rFonts w:ascii="Arial" w:cs="Arial" w:eastAsia="Arial" w:hAnsi="Arial"/>
                <w:sz w:val="14"/>
                <w:szCs w:val="14"/>
                <w:color w:val="051D49"/>
              </w:rPr>
              <w:t>(1)</w:t>
            </w:r>
          </w:p>
        </w:tc>
        <w:tc>
          <w:tcPr>
            <w:tcW w:w="1340" w:type="dxa"/>
            <w:vAlign w:val="bottom"/>
            <w:shd w:val="clear" w:color="auto" w:fill="E5E5E5"/>
          </w:tcPr>
          <w:p>
            <w:pPr>
              <w:ind w:left="580"/>
              <w:spacing w:after="0"/>
              <w:rPr>
                <w:sz w:val="20"/>
                <w:szCs w:val="20"/>
                <w:color w:val="auto"/>
              </w:rPr>
            </w:pPr>
            <w:r>
              <w:rPr>
                <w:rFonts w:ascii="Arial" w:cs="Arial" w:eastAsia="Arial" w:hAnsi="Arial"/>
                <w:sz w:val="14"/>
                <w:szCs w:val="14"/>
                <w:color w:val="051D49"/>
              </w:rPr>
              <w:t>(2)</w:t>
            </w:r>
          </w:p>
        </w:tc>
        <w:tc>
          <w:tcPr>
            <w:tcW w:w="1600" w:type="dxa"/>
            <w:vAlign w:val="bottom"/>
            <w:shd w:val="clear" w:color="auto" w:fill="E5E5E5"/>
          </w:tcPr>
          <w:p>
            <w:pPr>
              <w:jc w:val="center"/>
              <w:spacing w:after="0"/>
              <w:rPr>
                <w:sz w:val="20"/>
                <w:szCs w:val="20"/>
                <w:color w:val="auto"/>
              </w:rPr>
            </w:pPr>
            <w:r>
              <w:rPr>
                <w:rFonts w:ascii="Arial" w:cs="Arial" w:eastAsia="Arial" w:hAnsi="Arial"/>
                <w:sz w:val="14"/>
                <w:szCs w:val="14"/>
                <w:color w:val="051D49"/>
                <w:w w:val="93"/>
              </w:rPr>
              <w:t>(3)</w:t>
            </w:r>
          </w:p>
        </w:tc>
        <w:tc>
          <w:tcPr>
            <w:tcW w:w="154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(4)</w:t>
            </w:r>
          </w:p>
        </w:tc>
        <w:tc>
          <w:tcPr>
            <w:tcW w:w="860" w:type="dxa"/>
            <w:vAlign w:val="bottom"/>
            <w:shd w:val="clear" w:color="auto" w:fill="E5E5E5"/>
          </w:tcPr>
          <w:p>
            <w:pPr>
              <w:jc w:val="right"/>
              <w:ind w:right="181"/>
              <w:spacing w:after="0"/>
              <w:rPr>
                <w:sz w:val="20"/>
                <w:szCs w:val="20"/>
                <w:color w:val="auto"/>
              </w:rPr>
            </w:pPr>
            <w:r>
              <w:rPr>
                <w:rFonts w:ascii="Arial" w:cs="Arial" w:eastAsia="Arial" w:hAnsi="Arial"/>
                <w:sz w:val="14"/>
                <w:szCs w:val="14"/>
                <w:color w:val="051D49"/>
              </w:rPr>
              <w:t>($)</w:t>
            </w:r>
          </w:p>
        </w:tc>
      </w:tr>
      <w:tr>
        <w:trPr>
          <w:trHeight w:val="277"/>
        </w:trPr>
        <w:tc>
          <w:tcPr>
            <w:tcW w:w="3540" w:type="dxa"/>
            <w:vAlign w:val="bottom"/>
          </w:tcPr>
          <w:p>
            <w:pPr>
              <w:ind w:left="80"/>
              <w:spacing w:after="0"/>
              <w:rPr>
                <w:sz w:val="20"/>
                <w:szCs w:val="20"/>
                <w:color w:val="auto"/>
              </w:rPr>
            </w:pPr>
            <w:r>
              <w:rPr>
                <w:rFonts w:ascii="Arial" w:cs="Arial" w:eastAsia="Arial" w:hAnsi="Arial"/>
                <w:sz w:val="16"/>
                <w:szCs w:val="16"/>
                <w:color w:val="auto"/>
              </w:rPr>
              <w:t>Beinecke, Candace K.</w:t>
            </w:r>
          </w:p>
        </w:tc>
        <w:tc>
          <w:tcPr>
            <w:tcW w:w="2040" w:type="dxa"/>
            <w:vAlign w:val="bottom"/>
          </w:tcPr>
          <w:p>
            <w:pPr>
              <w:jc w:val="right"/>
              <w:ind w:right="542"/>
              <w:spacing w:after="0"/>
              <w:rPr>
                <w:sz w:val="20"/>
                <w:szCs w:val="20"/>
                <w:color w:val="auto"/>
              </w:rPr>
            </w:pPr>
            <w:r>
              <w:rPr>
                <w:rFonts w:ascii="Arial" w:cs="Arial" w:eastAsia="Arial" w:hAnsi="Arial"/>
                <w:sz w:val="16"/>
                <w:szCs w:val="16"/>
                <w:color w:val="auto"/>
              </w:rPr>
              <w:t>112,000</w:t>
            </w:r>
          </w:p>
        </w:tc>
        <w:tc>
          <w:tcPr>
            <w:tcW w:w="1340" w:type="dxa"/>
            <w:vAlign w:val="bottom"/>
          </w:tcPr>
          <w:p>
            <w:pPr>
              <w:ind w:left="420"/>
              <w:spacing w:after="0"/>
              <w:rPr>
                <w:sz w:val="20"/>
                <w:szCs w:val="20"/>
                <w:color w:val="auto"/>
              </w:rPr>
            </w:pPr>
            <w:r>
              <w:rPr>
                <w:rFonts w:ascii="Arial" w:cs="Arial" w:eastAsia="Arial" w:hAnsi="Arial"/>
                <w:sz w:val="16"/>
                <w:szCs w:val="16"/>
                <w:color w:val="auto"/>
              </w:rPr>
              <w:t>200,003</w:t>
            </w:r>
          </w:p>
        </w:tc>
        <w:tc>
          <w:tcPr>
            <w:tcW w:w="1600" w:type="dxa"/>
            <w:vAlign w:val="bottom"/>
          </w:tcPr>
          <w:p>
            <w:pPr>
              <w:jc w:val="right"/>
              <w:ind w:right="484"/>
              <w:spacing w:after="0"/>
              <w:rPr>
                <w:sz w:val="20"/>
                <w:szCs w:val="20"/>
                <w:color w:val="auto"/>
              </w:rPr>
            </w:pPr>
            <w:r>
              <w:rPr>
                <w:rFonts w:ascii="Arial" w:cs="Arial" w:eastAsia="Arial" w:hAnsi="Arial"/>
                <w:sz w:val="16"/>
                <w:szCs w:val="16"/>
                <w:color w:val="auto"/>
              </w:rPr>
              <w:t>62</w:t>
            </w:r>
          </w:p>
        </w:tc>
        <w:tc>
          <w:tcPr>
            <w:tcW w:w="1540" w:type="dxa"/>
            <w:vAlign w:val="bottom"/>
          </w:tcPr>
          <w:p>
            <w:pPr>
              <w:jc w:val="right"/>
              <w:ind w:right="302"/>
              <w:spacing w:after="0"/>
              <w:rPr>
                <w:sz w:val="20"/>
                <w:szCs w:val="20"/>
                <w:color w:val="auto"/>
              </w:rPr>
            </w:pPr>
            <w:r>
              <w:rPr>
                <w:rFonts w:ascii="Arial" w:cs="Arial" w:eastAsia="Arial" w:hAnsi="Arial"/>
                <w:sz w:val="16"/>
                <w:szCs w:val="16"/>
                <w:color w:val="auto"/>
              </w:rPr>
              <w:t>25,000</w:t>
            </w:r>
          </w:p>
        </w:tc>
        <w:tc>
          <w:tcPr>
            <w:tcW w:w="860" w:type="dxa"/>
            <w:vAlign w:val="bottom"/>
          </w:tcPr>
          <w:p>
            <w:pPr>
              <w:jc w:val="right"/>
              <w:spacing w:after="0"/>
              <w:rPr>
                <w:sz w:val="20"/>
                <w:szCs w:val="20"/>
                <w:color w:val="auto"/>
              </w:rPr>
            </w:pPr>
            <w:r>
              <w:rPr>
                <w:rFonts w:ascii="Arial" w:cs="Arial" w:eastAsia="Arial" w:hAnsi="Arial"/>
                <w:sz w:val="16"/>
                <w:szCs w:val="16"/>
                <w:color w:val="auto"/>
              </w:rPr>
              <w:t>337,065</w:t>
            </w:r>
          </w:p>
        </w:tc>
      </w:tr>
      <w:tr>
        <w:trPr>
          <w:trHeight w:val="30"/>
        </w:trPr>
        <w:tc>
          <w:tcPr>
            <w:tcW w:w="3540" w:type="dxa"/>
            <w:vAlign w:val="bottom"/>
            <w:tcBorders>
              <w:bottom w:val="single" w:sz="8" w:color="051D49"/>
            </w:tcBorders>
          </w:tcPr>
          <w:p>
            <w:pPr>
              <w:spacing w:after="0"/>
              <w:rPr>
                <w:sz w:val="2"/>
                <w:szCs w:val="2"/>
                <w:color w:val="auto"/>
              </w:rPr>
            </w:pPr>
          </w:p>
        </w:tc>
        <w:tc>
          <w:tcPr>
            <w:tcW w:w="2040" w:type="dxa"/>
            <w:vAlign w:val="bottom"/>
            <w:tcBorders>
              <w:bottom w:val="single" w:sz="8" w:color="051D49"/>
            </w:tcBorders>
          </w:tcPr>
          <w:p>
            <w:pPr>
              <w:spacing w:after="0"/>
              <w:rPr>
                <w:sz w:val="2"/>
                <w:szCs w:val="2"/>
                <w:color w:val="auto"/>
              </w:rPr>
            </w:pPr>
          </w:p>
        </w:tc>
        <w:tc>
          <w:tcPr>
            <w:tcW w:w="1340" w:type="dxa"/>
            <w:vAlign w:val="bottom"/>
            <w:tcBorders>
              <w:bottom w:val="single" w:sz="8" w:color="051D49"/>
            </w:tcBorders>
          </w:tcPr>
          <w:p>
            <w:pPr>
              <w:spacing w:after="0"/>
              <w:rPr>
                <w:sz w:val="2"/>
                <w:szCs w:val="2"/>
                <w:color w:val="auto"/>
              </w:rPr>
            </w:pPr>
          </w:p>
        </w:tc>
        <w:tc>
          <w:tcPr>
            <w:tcW w:w="1600" w:type="dxa"/>
            <w:vAlign w:val="bottom"/>
            <w:tcBorders>
              <w:bottom w:val="single" w:sz="8" w:color="051D49"/>
            </w:tcBorders>
          </w:tcPr>
          <w:p>
            <w:pPr>
              <w:spacing w:after="0"/>
              <w:rPr>
                <w:sz w:val="2"/>
                <w:szCs w:val="2"/>
                <w:color w:val="auto"/>
              </w:rPr>
            </w:pPr>
          </w:p>
        </w:tc>
        <w:tc>
          <w:tcPr>
            <w:tcW w:w="1540" w:type="dxa"/>
            <w:vAlign w:val="bottom"/>
            <w:tcBorders>
              <w:bottom w:val="single" w:sz="8" w:color="051D49"/>
            </w:tcBorders>
          </w:tcPr>
          <w:p>
            <w:pPr>
              <w:spacing w:after="0"/>
              <w:rPr>
                <w:sz w:val="2"/>
                <w:szCs w:val="2"/>
                <w:color w:val="auto"/>
              </w:rPr>
            </w:pPr>
          </w:p>
        </w:tc>
        <w:tc>
          <w:tcPr>
            <w:tcW w:w="860" w:type="dxa"/>
            <w:vAlign w:val="bottom"/>
            <w:tcBorders>
              <w:bottom w:val="single" w:sz="8" w:color="051D49"/>
            </w:tcBorders>
          </w:tcPr>
          <w:p>
            <w:pPr>
              <w:spacing w:after="0"/>
              <w:rPr>
                <w:sz w:val="2"/>
                <w:szCs w:val="2"/>
                <w:color w:val="auto"/>
              </w:rPr>
            </w:pPr>
          </w:p>
        </w:tc>
      </w:tr>
      <w:tr>
        <w:trPr>
          <w:trHeight w:val="257"/>
        </w:trPr>
        <w:tc>
          <w:tcPr>
            <w:tcW w:w="3540" w:type="dxa"/>
            <w:vAlign w:val="bottom"/>
          </w:tcPr>
          <w:p>
            <w:pPr>
              <w:ind w:left="80"/>
              <w:spacing w:after="0"/>
              <w:rPr>
                <w:sz w:val="20"/>
                <w:szCs w:val="20"/>
                <w:color w:val="auto"/>
              </w:rPr>
            </w:pPr>
            <w:r>
              <w:rPr>
                <w:rFonts w:ascii="Arial" w:cs="Arial" w:eastAsia="Arial" w:hAnsi="Arial"/>
                <w:sz w:val="16"/>
                <w:szCs w:val="16"/>
                <w:color w:val="auto"/>
              </w:rPr>
              <w:t>Byrne, Barbara M.</w:t>
            </w:r>
          </w:p>
        </w:tc>
        <w:tc>
          <w:tcPr>
            <w:tcW w:w="2040" w:type="dxa"/>
            <w:vAlign w:val="bottom"/>
          </w:tcPr>
          <w:p>
            <w:pPr>
              <w:jc w:val="right"/>
              <w:ind w:right="542"/>
              <w:spacing w:after="0"/>
              <w:rPr>
                <w:sz w:val="20"/>
                <w:szCs w:val="20"/>
                <w:color w:val="auto"/>
              </w:rPr>
            </w:pPr>
            <w:r>
              <w:rPr>
                <w:rFonts w:ascii="Arial" w:cs="Arial" w:eastAsia="Arial" w:hAnsi="Arial"/>
                <w:sz w:val="16"/>
                <w:szCs w:val="16"/>
                <w:color w:val="auto"/>
              </w:rPr>
              <w:t>138,000</w:t>
            </w:r>
          </w:p>
        </w:tc>
        <w:tc>
          <w:tcPr>
            <w:tcW w:w="1340" w:type="dxa"/>
            <w:vAlign w:val="bottom"/>
          </w:tcPr>
          <w:p>
            <w:pPr>
              <w:ind w:left="420"/>
              <w:spacing w:after="0"/>
              <w:rPr>
                <w:sz w:val="20"/>
                <w:szCs w:val="20"/>
                <w:color w:val="auto"/>
              </w:rPr>
            </w:pPr>
            <w:r>
              <w:rPr>
                <w:rFonts w:ascii="Arial" w:cs="Arial" w:eastAsia="Arial" w:hAnsi="Arial"/>
                <w:sz w:val="16"/>
                <w:szCs w:val="16"/>
                <w:color w:val="auto"/>
              </w:rPr>
              <w:t>200,003</w:t>
            </w:r>
          </w:p>
        </w:tc>
        <w:tc>
          <w:tcPr>
            <w:tcW w:w="1600" w:type="dxa"/>
            <w:vAlign w:val="bottom"/>
          </w:tcPr>
          <w:p>
            <w:pPr>
              <w:jc w:val="right"/>
              <w:ind w:right="484"/>
              <w:spacing w:after="0"/>
              <w:rPr>
                <w:sz w:val="20"/>
                <w:szCs w:val="20"/>
                <w:color w:val="auto"/>
              </w:rPr>
            </w:pPr>
            <w:r>
              <w:rPr>
                <w:rFonts w:ascii="Arial" w:cs="Arial" w:eastAsia="Arial" w:hAnsi="Arial"/>
                <w:sz w:val="16"/>
                <w:szCs w:val="16"/>
                <w:color w:val="auto"/>
              </w:rPr>
              <w:t>0</w:t>
            </w:r>
          </w:p>
        </w:tc>
        <w:tc>
          <w:tcPr>
            <w:tcW w:w="1540" w:type="dxa"/>
            <w:vAlign w:val="bottom"/>
          </w:tcPr>
          <w:p>
            <w:pPr>
              <w:jc w:val="right"/>
              <w:ind w:right="302"/>
              <w:spacing w:after="0"/>
              <w:rPr>
                <w:sz w:val="20"/>
                <w:szCs w:val="20"/>
                <w:color w:val="auto"/>
              </w:rPr>
            </w:pPr>
            <w:r>
              <w:rPr>
                <w:rFonts w:ascii="Arial" w:cs="Arial" w:eastAsia="Arial" w:hAnsi="Arial"/>
                <w:sz w:val="16"/>
                <w:szCs w:val="16"/>
                <w:color w:val="auto"/>
              </w:rPr>
              <w:t>25,000</w:t>
            </w:r>
          </w:p>
        </w:tc>
        <w:tc>
          <w:tcPr>
            <w:tcW w:w="860" w:type="dxa"/>
            <w:vAlign w:val="bottom"/>
          </w:tcPr>
          <w:p>
            <w:pPr>
              <w:jc w:val="right"/>
              <w:spacing w:after="0"/>
              <w:rPr>
                <w:sz w:val="20"/>
                <w:szCs w:val="20"/>
                <w:color w:val="auto"/>
              </w:rPr>
            </w:pPr>
            <w:r>
              <w:rPr>
                <w:rFonts w:ascii="Arial" w:cs="Arial" w:eastAsia="Arial" w:hAnsi="Arial"/>
                <w:sz w:val="16"/>
                <w:szCs w:val="16"/>
                <w:color w:val="auto"/>
              </w:rPr>
              <w:t>363,003</w:t>
            </w:r>
          </w:p>
        </w:tc>
      </w:tr>
      <w:tr>
        <w:trPr>
          <w:trHeight w:val="30"/>
        </w:trPr>
        <w:tc>
          <w:tcPr>
            <w:tcW w:w="3540" w:type="dxa"/>
            <w:vAlign w:val="bottom"/>
            <w:tcBorders>
              <w:bottom w:val="single" w:sz="8" w:color="051D49"/>
            </w:tcBorders>
          </w:tcPr>
          <w:p>
            <w:pPr>
              <w:spacing w:after="0"/>
              <w:rPr>
                <w:sz w:val="2"/>
                <w:szCs w:val="2"/>
                <w:color w:val="auto"/>
              </w:rPr>
            </w:pPr>
          </w:p>
        </w:tc>
        <w:tc>
          <w:tcPr>
            <w:tcW w:w="2040" w:type="dxa"/>
            <w:vAlign w:val="bottom"/>
            <w:tcBorders>
              <w:bottom w:val="single" w:sz="8" w:color="051D49"/>
            </w:tcBorders>
          </w:tcPr>
          <w:p>
            <w:pPr>
              <w:spacing w:after="0"/>
              <w:rPr>
                <w:sz w:val="2"/>
                <w:szCs w:val="2"/>
                <w:color w:val="auto"/>
              </w:rPr>
            </w:pPr>
          </w:p>
        </w:tc>
        <w:tc>
          <w:tcPr>
            <w:tcW w:w="1340" w:type="dxa"/>
            <w:vAlign w:val="bottom"/>
            <w:tcBorders>
              <w:bottom w:val="single" w:sz="8" w:color="051D49"/>
            </w:tcBorders>
          </w:tcPr>
          <w:p>
            <w:pPr>
              <w:spacing w:after="0"/>
              <w:rPr>
                <w:sz w:val="2"/>
                <w:szCs w:val="2"/>
                <w:color w:val="auto"/>
              </w:rPr>
            </w:pPr>
          </w:p>
        </w:tc>
        <w:tc>
          <w:tcPr>
            <w:tcW w:w="1600" w:type="dxa"/>
            <w:vAlign w:val="bottom"/>
            <w:tcBorders>
              <w:bottom w:val="single" w:sz="8" w:color="051D49"/>
            </w:tcBorders>
          </w:tcPr>
          <w:p>
            <w:pPr>
              <w:spacing w:after="0"/>
              <w:rPr>
                <w:sz w:val="2"/>
                <w:szCs w:val="2"/>
                <w:color w:val="auto"/>
              </w:rPr>
            </w:pPr>
          </w:p>
        </w:tc>
        <w:tc>
          <w:tcPr>
            <w:tcW w:w="1540" w:type="dxa"/>
            <w:vAlign w:val="bottom"/>
            <w:tcBorders>
              <w:bottom w:val="single" w:sz="8" w:color="051D49"/>
            </w:tcBorders>
          </w:tcPr>
          <w:p>
            <w:pPr>
              <w:spacing w:after="0"/>
              <w:rPr>
                <w:sz w:val="2"/>
                <w:szCs w:val="2"/>
                <w:color w:val="auto"/>
              </w:rPr>
            </w:pPr>
          </w:p>
        </w:tc>
        <w:tc>
          <w:tcPr>
            <w:tcW w:w="860" w:type="dxa"/>
            <w:vAlign w:val="bottom"/>
            <w:tcBorders>
              <w:bottom w:val="single" w:sz="8" w:color="051D49"/>
            </w:tcBorders>
          </w:tcPr>
          <w:p>
            <w:pPr>
              <w:spacing w:after="0"/>
              <w:rPr>
                <w:sz w:val="2"/>
                <w:szCs w:val="2"/>
                <w:color w:val="auto"/>
              </w:rPr>
            </w:pPr>
          </w:p>
        </w:tc>
      </w:tr>
      <w:tr>
        <w:trPr>
          <w:trHeight w:val="257"/>
        </w:trPr>
        <w:tc>
          <w:tcPr>
            <w:tcW w:w="3540" w:type="dxa"/>
            <w:vAlign w:val="bottom"/>
          </w:tcPr>
          <w:p>
            <w:pPr>
              <w:ind w:left="80"/>
              <w:spacing w:after="0"/>
              <w:rPr>
                <w:sz w:val="20"/>
                <w:szCs w:val="20"/>
                <w:color w:val="auto"/>
              </w:rPr>
            </w:pPr>
            <w:r>
              <w:rPr>
                <w:rFonts w:ascii="Arial" w:cs="Arial" w:eastAsia="Arial" w:hAnsi="Arial"/>
                <w:sz w:val="16"/>
                <w:szCs w:val="16"/>
                <w:color w:val="auto"/>
              </w:rPr>
              <w:t>Goldner, Brian(5)</w:t>
            </w:r>
          </w:p>
        </w:tc>
        <w:tc>
          <w:tcPr>
            <w:tcW w:w="2040" w:type="dxa"/>
            <w:vAlign w:val="bottom"/>
          </w:tcPr>
          <w:p>
            <w:pPr>
              <w:jc w:val="right"/>
              <w:ind w:right="542"/>
              <w:spacing w:after="0"/>
              <w:rPr>
                <w:sz w:val="20"/>
                <w:szCs w:val="20"/>
                <w:color w:val="auto"/>
              </w:rPr>
            </w:pPr>
            <w:r>
              <w:rPr>
                <w:rFonts w:ascii="Arial" w:cs="Arial" w:eastAsia="Arial" w:hAnsi="Arial"/>
                <w:sz w:val="16"/>
                <w:szCs w:val="16"/>
                <w:color w:val="auto"/>
              </w:rPr>
              <w:t>132,000</w:t>
            </w:r>
          </w:p>
        </w:tc>
        <w:tc>
          <w:tcPr>
            <w:tcW w:w="1340" w:type="dxa"/>
            <w:vAlign w:val="bottom"/>
          </w:tcPr>
          <w:p>
            <w:pPr>
              <w:ind w:left="420"/>
              <w:spacing w:after="0"/>
              <w:rPr>
                <w:sz w:val="20"/>
                <w:szCs w:val="20"/>
                <w:color w:val="auto"/>
              </w:rPr>
            </w:pPr>
            <w:r>
              <w:rPr>
                <w:rFonts w:ascii="Arial" w:cs="Arial" w:eastAsia="Arial" w:hAnsi="Arial"/>
                <w:sz w:val="16"/>
                <w:szCs w:val="16"/>
                <w:color w:val="auto"/>
              </w:rPr>
              <w:t>200,003</w:t>
            </w:r>
          </w:p>
        </w:tc>
        <w:tc>
          <w:tcPr>
            <w:tcW w:w="1600" w:type="dxa"/>
            <w:vAlign w:val="bottom"/>
          </w:tcPr>
          <w:p>
            <w:pPr>
              <w:jc w:val="right"/>
              <w:ind w:right="484"/>
              <w:spacing w:after="0"/>
              <w:rPr>
                <w:sz w:val="20"/>
                <w:szCs w:val="20"/>
                <w:color w:val="auto"/>
              </w:rPr>
            </w:pPr>
            <w:r>
              <w:rPr>
                <w:rFonts w:ascii="Arial" w:cs="Arial" w:eastAsia="Arial" w:hAnsi="Arial"/>
                <w:sz w:val="16"/>
                <w:szCs w:val="16"/>
                <w:color w:val="auto"/>
              </w:rPr>
              <w:t>52</w:t>
            </w:r>
          </w:p>
        </w:tc>
        <w:tc>
          <w:tcPr>
            <w:tcW w:w="1540" w:type="dxa"/>
            <w:vAlign w:val="bottom"/>
          </w:tcPr>
          <w:p>
            <w:pPr>
              <w:jc w:val="right"/>
              <w:ind w:right="3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332,055</w:t>
            </w:r>
          </w:p>
        </w:tc>
      </w:tr>
      <w:tr>
        <w:trPr>
          <w:trHeight w:val="30"/>
        </w:trPr>
        <w:tc>
          <w:tcPr>
            <w:tcW w:w="3540" w:type="dxa"/>
            <w:vAlign w:val="bottom"/>
            <w:tcBorders>
              <w:bottom w:val="single" w:sz="8" w:color="051D49"/>
            </w:tcBorders>
          </w:tcPr>
          <w:p>
            <w:pPr>
              <w:spacing w:after="0"/>
              <w:rPr>
                <w:sz w:val="2"/>
                <w:szCs w:val="2"/>
                <w:color w:val="auto"/>
              </w:rPr>
            </w:pPr>
          </w:p>
        </w:tc>
        <w:tc>
          <w:tcPr>
            <w:tcW w:w="2040" w:type="dxa"/>
            <w:vAlign w:val="bottom"/>
            <w:tcBorders>
              <w:bottom w:val="single" w:sz="8" w:color="051D49"/>
            </w:tcBorders>
          </w:tcPr>
          <w:p>
            <w:pPr>
              <w:spacing w:after="0"/>
              <w:rPr>
                <w:sz w:val="2"/>
                <w:szCs w:val="2"/>
                <w:color w:val="auto"/>
              </w:rPr>
            </w:pPr>
          </w:p>
        </w:tc>
        <w:tc>
          <w:tcPr>
            <w:tcW w:w="1340" w:type="dxa"/>
            <w:vAlign w:val="bottom"/>
            <w:tcBorders>
              <w:bottom w:val="single" w:sz="8" w:color="051D49"/>
            </w:tcBorders>
          </w:tcPr>
          <w:p>
            <w:pPr>
              <w:spacing w:after="0"/>
              <w:rPr>
                <w:sz w:val="2"/>
                <w:szCs w:val="2"/>
                <w:color w:val="auto"/>
              </w:rPr>
            </w:pPr>
          </w:p>
        </w:tc>
        <w:tc>
          <w:tcPr>
            <w:tcW w:w="1600" w:type="dxa"/>
            <w:vAlign w:val="bottom"/>
            <w:tcBorders>
              <w:bottom w:val="single" w:sz="8" w:color="051D49"/>
            </w:tcBorders>
          </w:tcPr>
          <w:p>
            <w:pPr>
              <w:spacing w:after="0"/>
              <w:rPr>
                <w:sz w:val="2"/>
                <w:szCs w:val="2"/>
                <w:color w:val="auto"/>
              </w:rPr>
            </w:pPr>
          </w:p>
        </w:tc>
        <w:tc>
          <w:tcPr>
            <w:tcW w:w="1540" w:type="dxa"/>
            <w:vAlign w:val="bottom"/>
            <w:tcBorders>
              <w:bottom w:val="single" w:sz="8" w:color="051D49"/>
            </w:tcBorders>
          </w:tcPr>
          <w:p>
            <w:pPr>
              <w:spacing w:after="0"/>
              <w:rPr>
                <w:sz w:val="2"/>
                <w:szCs w:val="2"/>
                <w:color w:val="auto"/>
              </w:rPr>
            </w:pPr>
          </w:p>
        </w:tc>
        <w:tc>
          <w:tcPr>
            <w:tcW w:w="860" w:type="dxa"/>
            <w:vAlign w:val="bottom"/>
            <w:tcBorders>
              <w:bottom w:val="single" w:sz="8" w:color="051D49"/>
            </w:tcBorders>
          </w:tcPr>
          <w:p>
            <w:pPr>
              <w:spacing w:after="0"/>
              <w:rPr>
                <w:sz w:val="2"/>
                <w:szCs w:val="2"/>
                <w:color w:val="auto"/>
              </w:rPr>
            </w:pPr>
          </w:p>
        </w:tc>
      </w:tr>
      <w:tr>
        <w:trPr>
          <w:trHeight w:val="257"/>
        </w:trPr>
        <w:tc>
          <w:tcPr>
            <w:tcW w:w="3540" w:type="dxa"/>
            <w:vAlign w:val="bottom"/>
          </w:tcPr>
          <w:p>
            <w:pPr>
              <w:ind w:left="80"/>
              <w:spacing w:after="0"/>
              <w:rPr>
                <w:sz w:val="20"/>
                <w:szCs w:val="20"/>
                <w:color w:val="auto"/>
              </w:rPr>
            </w:pPr>
            <w:r>
              <w:rPr>
                <w:rFonts w:ascii="Arial" w:cs="Arial" w:eastAsia="Arial" w:hAnsi="Arial"/>
                <w:sz w:val="16"/>
                <w:szCs w:val="16"/>
                <w:color w:val="auto"/>
              </w:rPr>
              <w:t>Griego, Linda M.</w:t>
            </w:r>
          </w:p>
        </w:tc>
        <w:tc>
          <w:tcPr>
            <w:tcW w:w="2040" w:type="dxa"/>
            <w:vAlign w:val="bottom"/>
          </w:tcPr>
          <w:p>
            <w:pPr>
              <w:jc w:val="right"/>
              <w:ind w:right="542"/>
              <w:spacing w:after="0"/>
              <w:rPr>
                <w:sz w:val="20"/>
                <w:szCs w:val="20"/>
                <w:color w:val="auto"/>
              </w:rPr>
            </w:pPr>
            <w:r>
              <w:rPr>
                <w:rFonts w:ascii="Arial" w:cs="Arial" w:eastAsia="Arial" w:hAnsi="Arial"/>
                <w:sz w:val="16"/>
                <w:szCs w:val="16"/>
                <w:color w:val="auto"/>
              </w:rPr>
              <w:t>114,000</w:t>
            </w:r>
          </w:p>
        </w:tc>
        <w:tc>
          <w:tcPr>
            <w:tcW w:w="1340" w:type="dxa"/>
            <w:vAlign w:val="bottom"/>
          </w:tcPr>
          <w:p>
            <w:pPr>
              <w:ind w:left="420"/>
              <w:spacing w:after="0"/>
              <w:rPr>
                <w:sz w:val="20"/>
                <w:szCs w:val="20"/>
                <w:color w:val="auto"/>
              </w:rPr>
            </w:pPr>
            <w:r>
              <w:rPr>
                <w:rFonts w:ascii="Arial" w:cs="Arial" w:eastAsia="Arial" w:hAnsi="Arial"/>
                <w:sz w:val="16"/>
                <w:szCs w:val="16"/>
                <w:color w:val="auto"/>
              </w:rPr>
              <w:t>200,003</w:t>
            </w:r>
          </w:p>
        </w:tc>
        <w:tc>
          <w:tcPr>
            <w:tcW w:w="1600" w:type="dxa"/>
            <w:vAlign w:val="bottom"/>
          </w:tcPr>
          <w:p>
            <w:pPr>
              <w:jc w:val="right"/>
              <w:ind w:right="484"/>
              <w:spacing w:after="0"/>
              <w:rPr>
                <w:sz w:val="20"/>
                <w:szCs w:val="20"/>
                <w:color w:val="auto"/>
              </w:rPr>
            </w:pPr>
            <w:r>
              <w:rPr>
                <w:rFonts w:ascii="Arial" w:cs="Arial" w:eastAsia="Arial" w:hAnsi="Arial"/>
                <w:sz w:val="16"/>
                <w:szCs w:val="16"/>
                <w:color w:val="auto"/>
              </w:rPr>
              <w:t>0</w:t>
            </w:r>
          </w:p>
        </w:tc>
        <w:tc>
          <w:tcPr>
            <w:tcW w:w="1540" w:type="dxa"/>
            <w:vAlign w:val="bottom"/>
          </w:tcPr>
          <w:p>
            <w:pPr>
              <w:jc w:val="right"/>
              <w:ind w:right="302"/>
              <w:spacing w:after="0"/>
              <w:rPr>
                <w:sz w:val="20"/>
                <w:szCs w:val="20"/>
                <w:color w:val="auto"/>
              </w:rPr>
            </w:pPr>
            <w:r>
              <w:rPr>
                <w:rFonts w:ascii="Arial" w:cs="Arial" w:eastAsia="Arial" w:hAnsi="Arial"/>
                <w:sz w:val="16"/>
                <w:szCs w:val="16"/>
                <w:color w:val="auto"/>
              </w:rPr>
              <w:t>25,000</w:t>
            </w:r>
          </w:p>
        </w:tc>
        <w:tc>
          <w:tcPr>
            <w:tcW w:w="860" w:type="dxa"/>
            <w:vAlign w:val="bottom"/>
          </w:tcPr>
          <w:p>
            <w:pPr>
              <w:jc w:val="right"/>
              <w:spacing w:after="0"/>
              <w:rPr>
                <w:sz w:val="20"/>
                <w:szCs w:val="20"/>
                <w:color w:val="auto"/>
              </w:rPr>
            </w:pPr>
            <w:r>
              <w:rPr>
                <w:rFonts w:ascii="Arial" w:cs="Arial" w:eastAsia="Arial" w:hAnsi="Arial"/>
                <w:sz w:val="16"/>
                <w:szCs w:val="16"/>
                <w:color w:val="auto"/>
              </w:rPr>
              <w:t>339,003</w:t>
            </w:r>
          </w:p>
        </w:tc>
      </w:tr>
      <w:tr>
        <w:trPr>
          <w:trHeight w:val="30"/>
        </w:trPr>
        <w:tc>
          <w:tcPr>
            <w:tcW w:w="3540" w:type="dxa"/>
            <w:vAlign w:val="bottom"/>
            <w:tcBorders>
              <w:bottom w:val="single" w:sz="8" w:color="051D49"/>
            </w:tcBorders>
          </w:tcPr>
          <w:p>
            <w:pPr>
              <w:spacing w:after="0"/>
              <w:rPr>
                <w:sz w:val="2"/>
                <w:szCs w:val="2"/>
                <w:color w:val="auto"/>
              </w:rPr>
            </w:pPr>
          </w:p>
        </w:tc>
        <w:tc>
          <w:tcPr>
            <w:tcW w:w="2040" w:type="dxa"/>
            <w:vAlign w:val="bottom"/>
            <w:tcBorders>
              <w:bottom w:val="single" w:sz="8" w:color="051D49"/>
            </w:tcBorders>
          </w:tcPr>
          <w:p>
            <w:pPr>
              <w:spacing w:after="0"/>
              <w:rPr>
                <w:sz w:val="2"/>
                <w:szCs w:val="2"/>
                <w:color w:val="auto"/>
              </w:rPr>
            </w:pPr>
          </w:p>
        </w:tc>
        <w:tc>
          <w:tcPr>
            <w:tcW w:w="1340" w:type="dxa"/>
            <w:vAlign w:val="bottom"/>
            <w:tcBorders>
              <w:bottom w:val="single" w:sz="8" w:color="051D49"/>
            </w:tcBorders>
          </w:tcPr>
          <w:p>
            <w:pPr>
              <w:spacing w:after="0"/>
              <w:rPr>
                <w:sz w:val="2"/>
                <w:szCs w:val="2"/>
                <w:color w:val="auto"/>
              </w:rPr>
            </w:pPr>
          </w:p>
        </w:tc>
        <w:tc>
          <w:tcPr>
            <w:tcW w:w="1600" w:type="dxa"/>
            <w:vAlign w:val="bottom"/>
            <w:tcBorders>
              <w:bottom w:val="single" w:sz="8" w:color="051D49"/>
            </w:tcBorders>
          </w:tcPr>
          <w:p>
            <w:pPr>
              <w:spacing w:after="0"/>
              <w:rPr>
                <w:sz w:val="2"/>
                <w:szCs w:val="2"/>
                <w:color w:val="auto"/>
              </w:rPr>
            </w:pPr>
          </w:p>
        </w:tc>
        <w:tc>
          <w:tcPr>
            <w:tcW w:w="1540" w:type="dxa"/>
            <w:vAlign w:val="bottom"/>
            <w:tcBorders>
              <w:bottom w:val="single" w:sz="8" w:color="051D49"/>
            </w:tcBorders>
          </w:tcPr>
          <w:p>
            <w:pPr>
              <w:spacing w:after="0"/>
              <w:rPr>
                <w:sz w:val="2"/>
                <w:szCs w:val="2"/>
                <w:color w:val="auto"/>
              </w:rPr>
            </w:pPr>
          </w:p>
        </w:tc>
        <w:tc>
          <w:tcPr>
            <w:tcW w:w="860" w:type="dxa"/>
            <w:vAlign w:val="bottom"/>
            <w:tcBorders>
              <w:bottom w:val="single" w:sz="8" w:color="051D49"/>
            </w:tcBorders>
          </w:tcPr>
          <w:p>
            <w:pPr>
              <w:spacing w:after="0"/>
              <w:rPr>
                <w:sz w:val="2"/>
                <w:szCs w:val="2"/>
                <w:color w:val="auto"/>
              </w:rPr>
            </w:pPr>
          </w:p>
        </w:tc>
      </w:tr>
      <w:tr>
        <w:trPr>
          <w:trHeight w:val="257"/>
        </w:trPr>
        <w:tc>
          <w:tcPr>
            <w:tcW w:w="3540" w:type="dxa"/>
            <w:vAlign w:val="bottom"/>
          </w:tcPr>
          <w:p>
            <w:pPr>
              <w:ind w:left="80"/>
              <w:spacing w:after="0"/>
              <w:rPr>
                <w:sz w:val="20"/>
                <w:szCs w:val="20"/>
                <w:color w:val="auto"/>
              </w:rPr>
            </w:pPr>
            <w:r>
              <w:rPr>
                <w:rFonts w:ascii="Arial" w:cs="Arial" w:eastAsia="Arial" w:hAnsi="Arial"/>
                <w:sz w:val="16"/>
                <w:szCs w:val="16"/>
                <w:color w:val="auto"/>
              </w:rPr>
              <w:t>Klieger, Robert N.</w:t>
            </w:r>
          </w:p>
        </w:tc>
        <w:tc>
          <w:tcPr>
            <w:tcW w:w="2040" w:type="dxa"/>
            <w:vAlign w:val="bottom"/>
          </w:tcPr>
          <w:p>
            <w:pPr>
              <w:jc w:val="right"/>
              <w:ind w:right="542"/>
              <w:spacing w:after="0"/>
              <w:rPr>
                <w:sz w:val="20"/>
                <w:szCs w:val="20"/>
                <w:color w:val="auto"/>
              </w:rPr>
            </w:pPr>
            <w:r>
              <w:rPr>
                <w:rFonts w:ascii="Arial" w:cs="Arial" w:eastAsia="Arial" w:hAnsi="Arial"/>
                <w:sz w:val="16"/>
                <w:szCs w:val="16"/>
                <w:color w:val="auto"/>
              </w:rPr>
              <w:t>100,000</w:t>
            </w:r>
          </w:p>
        </w:tc>
        <w:tc>
          <w:tcPr>
            <w:tcW w:w="1340" w:type="dxa"/>
            <w:vAlign w:val="bottom"/>
          </w:tcPr>
          <w:p>
            <w:pPr>
              <w:ind w:left="420"/>
              <w:spacing w:after="0"/>
              <w:rPr>
                <w:sz w:val="20"/>
                <w:szCs w:val="20"/>
                <w:color w:val="auto"/>
              </w:rPr>
            </w:pPr>
            <w:r>
              <w:rPr>
                <w:rFonts w:ascii="Arial" w:cs="Arial" w:eastAsia="Arial" w:hAnsi="Arial"/>
                <w:sz w:val="16"/>
                <w:szCs w:val="16"/>
                <w:color w:val="auto"/>
              </w:rPr>
              <w:t>200,003</w:t>
            </w:r>
          </w:p>
        </w:tc>
        <w:tc>
          <w:tcPr>
            <w:tcW w:w="1600" w:type="dxa"/>
            <w:vAlign w:val="bottom"/>
          </w:tcPr>
          <w:p>
            <w:pPr>
              <w:jc w:val="right"/>
              <w:ind w:right="484"/>
              <w:spacing w:after="0"/>
              <w:rPr>
                <w:sz w:val="20"/>
                <w:szCs w:val="20"/>
                <w:color w:val="auto"/>
              </w:rPr>
            </w:pPr>
            <w:r>
              <w:rPr>
                <w:rFonts w:ascii="Arial" w:cs="Arial" w:eastAsia="Arial" w:hAnsi="Arial"/>
                <w:sz w:val="16"/>
                <w:szCs w:val="16"/>
                <w:color w:val="auto"/>
              </w:rPr>
              <w:t>27</w:t>
            </w:r>
          </w:p>
        </w:tc>
        <w:tc>
          <w:tcPr>
            <w:tcW w:w="1540" w:type="dxa"/>
            <w:vAlign w:val="bottom"/>
          </w:tcPr>
          <w:p>
            <w:pPr>
              <w:jc w:val="right"/>
              <w:ind w:right="302"/>
              <w:spacing w:after="0"/>
              <w:rPr>
                <w:sz w:val="20"/>
                <w:szCs w:val="20"/>
                <w:color w:val="auto"/>
              </w:rPr>
            </w:pPr>
            <w:r>
              <w:rPr>
                <w:rFonts w:ascii="Arial" w:cs="Arial" w:eastAsia="Arial" w:hAnsi="Arial"/>
                <w:sz w:val="16"/>
                <w:szCs w:val="16"/>
                <w:color w:val="auto"/>
              </w:rPr>
              <w:t>25,000</w:t>
            </w:r>
          </w:p>
        </w:tc>
        <w:tc>
          <w:tcPr>
            <w:tcW w:w="860" w:type="dxa"/>
            <w:vAlign w:val="bottom"/>
          </w:tcPr>
          <w:p>
            <w:pPr>
              <w:jc w:val="right"/>
              <w:spacing w:after="0"/>
              <w:rPr>
                <w:sz w:val="20"/>
                <w:szCs w:val="20"/>
                <w:color w:val="auto"/>
              </w:rPr>
            </w:pPr>
            <w:r>
              <w:rPr>
                <w:rFonts w:ascii="Arial" w:cs="Arial" w:eastAsia="Arial" w:hAnsi="Arial"/>
                <w:sz w:val="16"/>
                <w:szCs w:val="16"/>
                <w:color w:val="auto"/>
              </w:rPr>
              <w:t>325,030</w:t>
            </w:r>
          </w:p>
        </w:tc>
      </w:tr>
      <w:tr>
        <w:trPr>
          <w:trHeight w:val="30"/>
        </w:trPr>
        <w:tc>
          <w:tcPr>
            <w:tcW w:w="3540" w:type="dxa"/>
            <w:vAlign w:val="bottom"/>
            <w:tcBorders>
              <w:bottom w:val="single" w:sz="8" w:color="051D49"/>
            </w:tcBorders>
          </w:tcPr>
          <w:p>
            <w:pPr>
              <w:spacing w:after="0"/>
              <w:rPr>
                <w:sz w:val="2"/>
                <w:szCs w:val="2"/>
                <w:color w:val="auto"/>
              </w:rPr>
            </w:pPr>
          </w:p>
        </w:tc>
        <w:tc>
          <w:tcPr>
            <w:tcW w:w="2040" w:type="dxa"/>
            <w:vAlign w:val="bottom"/>
            <w:tcBorders>
              <w:bottom w:val="single" w:sz="8" w:color="051D49"/>
            </w:tcBorders>
          </w:tcPr>
          <w:p>
            <w:pPr>
              <w:spacing w:after="0"/>
              <w:rPr>
                <w:sz w:val="2"/>
                <w:szCs w:val="2"/>
                <w:color w:val="auto"/>
              </w:rPr>
            </w:pPr>
          </w:p>
        </w:tc>
        <w:tc>
          <w:tcPr>
            <w:tcW w:w="1340" w:type="dxa"/>
            <w:vAlign w:val="bottom"/>
            <w:tcBorders>
              <w:bottom w:val="single" w:sz="8" w:color="051D49"/>
            </w:tcBorders>
          </w:tcPr>
          <w:p>
            <w:pPr>
              <w:spacing w:after="0"/>
              <w:rPr>
                <w:sz w:val="2"/>
                <w:szCs w:val="2"/>
                <w:color w:val="auto"/>
              </w:rPr>
            </w:pPr>
          </w:p>
        </w:tc>
        <w:tc>
          <w:tcPr>
            <w:tcW w:w="1600" w:type="dxa"/>
            <w:vAlign w:val="bottom"/>
            <w:tcBorders>
              <w:bottom w:val="single" w:sz="8" w:color="051D49"/>
            </w:tcBorders>
          </w:tcPr>
          <w:p>
            <w:pPr>
              <w:spacing w:after="0"/>
              <w:rPr>
                <w:sz w:val="2"/>
                <w:szCs w:val="2"/>
                <w:color w:val="auto"/>
              </w:rPr>
            </w:pPr>
          </w:p>
        </w:tc>
        <w:tc>
          <w:tcPr>
            <w:tcW w:w="1540" w:type="dxa"/>
            <w:vAlign w:val="bottom"/>
            <w:tcBorders>
              <w:bottom w:val="single" w:sz="8" w:color="051D49"/>
            </w:tcBorders>
          </w:tcPr>
          <w:p>
            <w:pPr>
              <w:spacing w:after="0"/>
              <w:rPr>
                <w:sz w:val="2"/>
                <w:szCs w:val="2"/>
                <w:color w:val="auto"/>
              </w:rPr>
            </w:pPr>
          </w:p>
        </w:tc>
        <w:tc>
          <w:tcPr>
            <w:tcW w:w="860" w:type="dxa"/>
            <w:vAlign w:val="bottom"/>
            <w:tcBorders>
              <w:bottom w:val="single" w:sz="8" w:color="051D49"/>
            </w:tcBorders>
          </w:tcPr>
          <w:p>
            <w:pPr>
              <w:spacing w:after="0"/>
              <w:rPr>
                <w:sz w:val="2"/>
                <w:szCs w:val="2"/>
                <w:color w:val="auto"/>
              </w:rPr>
            </w:pPr>
          </w:p>
        </w:tc>
      </w:tr>
      <w:tr>
        <w:trPr>
          <w:trHeight w:val="257"/>
        </w:trPr>
        <w:tc>
          <w:tcPr>
            <w:tcW w:w="3540" w:type="dxa"/>
            <w:vAlign w:val="bottom"/>
          </w:tcPr>
          <w:p>
            <w:pPr>
              <w:ind w:left="80"/>
              <w:spacing w:after="0"/>
              <w:rPr>
                <w:sz w:val="20"/>
                <w:szCs w:val="20"/>
                <w:color w:val="auto"/>
              </w:rPr>
            </w:pPr>
            <w:r>
              <w:rPr>
                <w:rFonts w:ascii="Arial" w:cs="Arial" w:eastAsia="Arial" w:hAnsi="Arial"/>
                <w:sz w:val="16"/>
                <w:szCs w:val="16"/>
                <w:color w:val="auto"/>
              </w:rPr>
              <w:t>McHale, Judith A.</w:t>
            </w:r>
          </w:p>
        </w:tc>
        <w:tc>
          <w:tcPr>
            <w:tcW w:w="2040" w:type="dxa"/>
            <w:vAlign w:val="bottom"/>
          </w:tcPr>
          <w:p>
            <w:pPr>
              <w:jc w:val="right"/>
              <w:ind w:right="542"/>
              <w:spacing w:after="0"/>
              <w:rPr>
                <w:sz w:val="20"/>
                <w:szCs w:val="20"/>
                <w:color w:val="auto"/>
              </w:rPr>
            </w:pPr>
            <w:r>
              <w:rPr>
                <w:rFonts w:ascii="Arial" w:cs="Arial" w:eastAsia="Arial" w:hAnsi="Arial"/>
                <w:sz w:val="16"/>
                <w:szCs w:val="16"/>
                <w:color w:val="auto"/>
              </w:rPr>
              <w:t>133,359</w:t>
            </w:r>
          </w:p>
        </w:tc>
        <w:tc>
          <w:tcPr>
            <w:tcW w:w="1340" w:type="dxa"/>
            <w:vAlign w:val="bottom"/>
          </w:tcPr>
          <w:p>
            <w:pPr>
              <w:ind w:left="420"/>
              <w:spacing w:after="0"/>
              <w:rPr>
                <w:sz w:val="20"/>
                <w:szCs w:val="20"/>
                <w:color w:val="auto"/>
              </w:rPr>
            </w:pPr>
            <w:r>
              <w:rPr>
                <w:rFonts w:ascii="Arial" w:cs="Arial" w:eastAsia="Arial" w:hAnsi="Arial"/>
                <w:sz w:val="16"/>
                <w:szCs w:val="16"/>
                <w:color w:val="auto"/>
              </w:rPr>
              <w:t>200,003</w:t>
            </w:r>
          </w:p>
        </w:tc>
        <w:tc>
          <w:tcPr>
            <w:tcW w:w="1600" w:type="dxa"/>
            <w:vAlign w:val="bottom"/>
          </w:tcPr>
          <w:p>
            <w:pPr>
              <w:jc w:val="right"/>
              <w:ind w:right="484"/>
              <w:spacing w:after="0"/>
              <w:rPr>
                <w:sz w:val="20"/>
                <w:szCs w:val="20"/>
                <w:color w:val="auto"/>
              </w:rPr>
            </w:pPr>
            <w:r>
              <w:rPr>
                <w:rFonts w:ascii="Arial" w:cs="Arial" w:eastAsia="Arial" w:hAnsi="Arial"/>
                <w:sz w:val="16"/>
                <w:szCs w:val="16"/>
                <w:color w:val="auto"/>
              </w:rPr>
              <w:t>16</w:t>
            </w:r>
          </w:p>
        </w:tc>
        <w:tc>
          <w:tcPr>
            <w:tcW w:w="1540" w:type="dxa"/>
            <w:vAlign w:val="bottom"/>
          </w:tcPr>
          <w:p>
            <w:pPr>
              <w:jc w:val="right"/>
              <w:ind w:right="302"/>
              <w:spacing w:after="0"/>
              <w:rPr>
                <w:sz w:val="20"/>
                <w:szCs w:val="20"/>
                <w:color w:val="auto"/>
              </w:rPr>
            </w:pPr>
            <w:r>
              <w:rPr>
                <w:rFonts w:ascii="Arial" w:cs="Arial" w:eastAsia="Arial" w:hAnsi="Arial"/>
                <w:sz w:val="16"/>
                <w:szCs w:val="16"/>
                <w:color w:val="auto"/>
              </w:rPr>
              <w:t>25,000</w:t>
            </w:r>
          </w:p>
        </w:tc>
        <w:tc>
          <w:tcPr>
            <w:tcW w:w="860" w:type="dxa"/>
            <w:vAlign w:val="bottom"/>
          </w:tcPr>
          <w:p>
            <w:pPr>
              <w:jc w:val="right"/>
              <w:spacing w:after="0"/>
              <w:rPr>
                <w:sz w:val="20"/>
                <w:szCs w:val="20"/>
                <w:color w:val="auto"/>
              </w:rPr>
            </w:pPr>
            <w:r>
              <w:rPr>
                <w:rFonts w:ascii="Arial" w:cs="Arial" w:eastAsia="Arial" w:hAnsi="Arial"/>
                <w:sz w:val="16"/>
                <w:szCs w:val="16"/>
                <w:color w:val="auto"/>
              </w:rPr>
              <w:t>358,378</w:t>
            </w:r>
          </w:p>
        </w:tc>
      </w:tr>
      <w:tr>
        <w:trPr>
          <w:trHeight w:val="30"/>
        </w:trPr>
        <w:tc>
          <w:tcPr>
            <w:tcW w:w="3540" w:type="dxa"/>
            <w:vAlign w:val="bottom"/>
            <w:tcBorders>
              <w:bottom w:val="single" w:sz="8" w:color="051D49"/>
            </w:tcBorders>
          </w:tcPr>
          <w:p>
            <w:pPr>
              <w:spacing w:after="0"/>
              <w:rPr>
                <w:sz w:val="2"/>
                <w:szCs w:val="2"/>
                <w:color w:val="auto"/>
              </w:rPr>
            </w:pPr>
          </w:p>
        </w:tc>
        <w:tc>
          <w:tcPr>
            <w:tcW w:w="2040" w:type="dxa"/>
            <w:vAlign w:val="bottom"/>
            <w:tcBorders>
              <w:bottom w:val="single" w:sz="8" w:color="051D49"/>
            </w:tcBorders>
          </w:tcPr>
          <w:p>
            <w:pPr>
              <w:spacing w:after="0"/>
              <w:rPr>
                <w:sz w:val="2"/>
                <w:szCs w:val="2"/>
                <w:color w:val="auto"/>
              </w:rPr>
            </w:pPr>
          </w:p>
        </w:tc>
        <w:tc>
          <w:tcPr>
            <w:tcW w:w="1340" w:type="dxa"/>
            <w:vAlign w:val="bottom"/>
            <w:tcBorders>
              <w:bottom w:val="single" w:sz="8" w:color="051D49"/>
            </w:tcBorders>
          </w:tcPr>
          <w:p>
            <w:pPr>
              <w:spacing w:after="0"/>
              <w:rPr>
                <w:sz w:val="2"/>
                <w:szCs w:val="2"/>
                <w:color w:val="auto"/>
              </w:rPr>
            </w:pPr>
          </w:p>
        </w:tc>
        <w:tc>
          <w:tcPr>
            <w:tcW w:w="1600" w:type="dxa"/>
            <w:vAlign w:val="bottom"/>
            <w:tcBorders>
              <w:bottom w:val="single" w:sz="8" w:color="051D49"/>
            </w:tcBorders>
          </w:tcPr>
          <w:p>
            <w:pPr>
              <w:spacing w:after="0"/>
              <w:rPr>
                <w:sz w:val="2"/>
                <w:szCs w:val="2"/>
                <w:color w:val="auto"/>
              </w:rPr>
            </w:pPr>
          </w:p>
        </w:tc>
        <w:tc>
          <w:tcPr>
            <w:tcW w:w="1540" w:type="dxa"/>
            <w:vAlign w:val="bottom"/>
            <w:tcBorders>
              <w:bottom w:val="single" w:sz="8" w:color="051D49"/>
            </w:tcBorders>
          </w:tcPr>
          <w:p>
            <w:pPr>
              <w:spacing w:after="0"/>
              <w:rPr>
                <w:sz w:val="2"/>
                <w:szCs w:val="2"/>
                <w:color w:val="auto"/>
              </w:rPr>
            </w:pPr>
          </w:p>
        </w:tc>
        <w:tc>
          <w:tcPr>
            <w:tcW w:w="860" w:type="dxa"/>
            <w:vAlign w:val="bottom"/>
            <w:tcBorders>
              <w:bottom w:val="single" w:sz="8" w:color="051D49"/>
            </w:tcBorders>
          </w:tcPr>
          <w:p>
            <w:pPr>
              <w:spacing w:after="0"/>
              <w:rPr>
                <w:sz w:val="2"/>
                <w:szCs w:val="2"/>
                <w:color w:val="auto"/>
              </w:rPr>
            </w:pPr>
          </w:p>
        </w:tc>
      </w:tr>
      <w:tr>
        <w:trPr>
          <w:trHeight w:val="257"/>
        </w:trPr>
        <w:tc>
          <w:tcPr>
            <w:tcW w:w="3540" w:type="dxa"/>
            <w:vAlign w:val="bottom"/>
          </w:tcPr>
          <w:p>
            <w:pPr>
              <w:ind w:left="80"/>
              <w:spacing w:after="0"/>
              <w:rPr>
                <w:sz w:val="20"/>
                <w:szCs w:val="20"/>
                <w:color w:val="auto"/>
              </w:rPr>
            </w:pPr>
            <w:r>
              <w:rPr>
                <w:rFonts w:ascii="Arial" w:cs="Arial" w:eastAsia="Arial" w:hAnsi="Arial"/>
                <w:sz w:val="16"/>
                <w:szCs w:val="16"/>
                <w:color w:val="auto"/>
              </w:rPr>
              <w:t>Nelson, Ronald L.</w:t>
            </w:r>
          </w:p>
        </w:tc>
        <w:tc>
          <w:tcPr>
            <w:tcW w:w="2040" w:type="dxa"/>
            <w:vAlign w:val="bottom"/>
          </w:tcPr>
          <w:p>
            <w:pPr>
              <w:jc w:val="right"/>
              <w:ind w:right="542"/>
              <w:spacing w:after="0"/>
              <w:rPr>
                <w:sz w:val="20"/>
                <w:szCs w:val="20"/>
                <w:color w:val="auto"/>
              </w:rPr>
            </w:pPr>
            <w:r>
              <w:rPr>
                <w:rFonts w:ascii="Arial" w:cs="Arial" w:eastAsia="Arial" w:hAnsi="Arial"/>
                <w:sz w:val="16"/>
                <w:szCs w:val="16"/>
                <w:color w:val="auto"/>
              </w:rPr>
              <w:t>132,000</w:t>
            </w:r>
          </w:p>
        </w:tc>
        <w:tc>
          <w:tcPr>
            <w:tcW w:w="1340" w:type="dxa"/>
            <w:vAlign w:val="bottom"/>
          </w:tcPr>
          <w:p>
            <w:pPr>
              <w:ind w:left="420"/>
              <w:spacing w:after="0"/>
              <w:rPr>
                <w:sz w:val="20"/>
                <w:szCs w:val="20"/>
                <w:color w:val="auto"/>
              </w:rPr>
            </w:pPr>
            <w:r>
              <w:rPr>
                <w:rFonts w:ascii="Arial" w:cs="Arial" w:eastAsia="Arial" w:hAnsi="Arial"/>
                <w:sz w:val="16"/>
                <w:szCs w:val="16"/>
                <w:color w:val="auto"/>
              </w:rPr>
              <w:t>200,003</w:t>
            </w:r>
          </w:p>
        </w:tc>
        <w:tc>
          <w:tcPr>
            <w:tcW w:w="1600" w:type="dxa"/>
            <w:vAlign w:val="bottom"/>
          </w:tcPr>
          <w:p>
            <w:pPr>
              <w:jc w:val="right"/>
              <w:ind w:right="484"/>
              <w:spacing w:after="0"/>
              <w:rPr>
                <w:sz w:val="20"/>
                <w:szCs w:val="20"/>
                <w:color w:val="auto"/>
              </w:rPr>
            </w:pPr>
            <w:r>
              <w:rPr>
                <w:rFonts w:ascii="Arial" w:cs="Arial" w:eastAsia="Arial" w:hAnsi="Arial"/>
                <w:sz w:val="16"/>
                <w:szCs w:val="16"/>
                <w:color w:val="auto"/>
              </w:rPr>
              <w:t>0</w:t>
            </w:r>
          </w:p>
        </w:tc>
        <w:tc>
          <w:tcPr>
            <w:tcW w:w="1540" w:type="dxa"/>
            <w:vAlign w:val="bottom"/>
          </w:tcPr>
          <w:p>
            <w:pPr>
              <w:jc w:val="right"/>
              <w:ind w:right="302"/>
              <w:spacing w:after="0"/>
              <w:rPr>
                <w:sz w:val="20"/>
                <w:szCs w:val="20"/>
                <w:color w:val="auto"/>
              </w:rPr>
            </w:pPr>
            <w:r>
              <w:rPr>
                <w:rFonts w:ascii="Arial" w:cs="Arial" w:eastAsia="Arial" w:hAnsi="Arial"/>
                <w:sz w:val="16"/>
                <w:szCs w:val="16"/>
                <w:color w:val="auto"/>
              </w:rPr>
              <w:t>25,000</w:t>
            </w:r>
          </w:p>
        </w:tc>
        <w:tc>
          <w:tcPr>
            <w:tcW w:w="860" w:type="dxa"/>
            <w:vAlign w:val="bottom"/>
          </w:tcPr>
          <w:p>
            <w:pPr>
              <w:jc w:val="right"/>
              <w:spacing w:after="0"/>
              <w:rPr>
                <w:sz w:val="20"/>
                <w:szCs w:val="20"/>
                <w:color w:val="auto"/>
              </w:rPr>
            </w:pPr>
            <w:r>
              <w:rPr>
                <w:rFonts w:ascii="Arial" w:cs="Arial" w:eastAsia="Arial" w:hAnsi="Arial"/>
                <w:sz w:val="16"/>
                <w:szCs w:val="16"/>
                <w:color w:val="auto"/>
              </w:rPr>
              <w:t>357,003</w:t>
            </w:r>
          </w:p>
        </w:tc>
      </w:tr>
      <w:tr>
        <w:trPr>
          <w:trHeight w:val="30"/>
        </w:trPr>
        <w:tc>
          <w:tcPr>
            <w:tcW w:w="3540" w:type="dxa"/>
            <w:vAlign w:val="bottom"/>
            <w:tcBorders>
              <w:bottom w:val="single" w:sz="8" w:color="051D49"/>
            </w:tcBorders>
          </w:tcPr>
          <w:p>
            <w:pPr>
              <w:spacing w:after="0"/>
              <w:rPr>
                <w:sz w:val="2"/>
                <w:szCs w:val="2"/>
                <w:color w:val="auto"/>
              </w:rPr>
            </w:pPr>
          </w:p>
        </w:tc>
        <w:tc>
          <w:tcPr>
            <w:tcW w:w="2040" w:type="dxa"/>
            <w:vAlign w:val="bottom"/>
            <w:tcBorders>
              <w:bottom w:val="single" w:sz="8" w:color="051D49"/>
            </w:tcBorders>
          </w:tcPr>
          <w:p>
            <w:pPr>
              <w:spacing w:after="0"/>
              <w:rPr>
                <w:sz w:val="2"/>
                <w:szCs w:val="2"/>
                <w:color w:val="auto"/>
              </w:rPr>
            </w:pPr>
          </w:p>
        </w:tc>
        <w:tc>
          <w:tcPr>
            <w:tcW w:w="1340" w:type="dxa"/>
            <w:vAlign w:val="bottom"/>
            <w:tcBorders>
              <w:bottom w:val="single" w:sz="8" w:color="051D49"/>
            </w:tcBorders>
          </w:tcPr>
          <w:p>
            <w:pPr>
              <w:spacing w:after="0"/>
              <w:rPr>
                <w:sz w:val="2"/>
                <w:szCs w:val="2"/>
                <w:color w:val="auto"/>
              </w:rPr>
            </w:pPr>
          </w:p>
        </w:tc>
        <w:tc>
          <w:tcPr>
            <w:tcW w:w="1600" w:type="dxa"/>
            <w:vAlign w:val="bottom"/>
            <w:tcBorders>
              <w:bottom w:val="single" w:sz="8" w:color="051D49"/>
            </w:tcBorders>
          </w:tcPr>
          <w:p>
            <w:pPr>
              <w:spacing w:after="0"/>
              <w:rPr>
                <w:sz w:val="2"/>
                <w:szCs w:val="2"/>
                <w:color w:val="auto"/>
              </w:rPr>
            </w:pPr>
          </w:p>
        </w:tc>
        <w:tc>
          <w:tcPr>
            <w:tcW w:w="1540" w:type="dxa"/>
            <w:vAlign w:val="bottom"/>
            <w:tcBorders>
              <w:bottom w:val="single" w:sz="8" w:color="051D49"/>
            </w:tcBorders>
          </w:tcPr>
          <w:p>
            <w:pPr>
              <w:spacing w:after="0"/>
              <w:rPr>
                <w:sz w:val="2"/>
                <w:szCs w:val="2"/>
                <w:color w:val="auto"/>
              </w:rPr>
            </w:pPr>
          </w:p>
        </w:tc>
        <w:tc>
          <w:tcPr>
            <w:tcW w:w="860" w:type="dxa"/>
            <w:vAlign w:val="bottom"/>
            <w:tcBorders>
              <w:bottom w:val="single" w:sz="8" w:color="051D49"/>
            </w:tcBorders>
          </w:tcPr>
          <w:p>
            <w:pPr>
              <w:spacing w:after="0"/>
              <w:rPr>
                <w:sz w:val="2"/>
                <w:szCs w:val="2"/>
                <w:color w:val="auto"/>
              </w:rPr>
            </w:pPr>
          </w:p>
        </w:tc>
      </w:tr>
      <w:tr>
        <w:trPr>
          <w:trHeight w:val="257"/>
        </w:trPr>
        <w:tc>
          <w:tcPr>
            <w:tcW w:w="3540" w:type="dxa"/>
            <w:vAlign w:val="bottom"/>
          </w:tcPr>
          <w:p>
            <w:pPr>
              <w:ind w:left="80"/>
              <w:spacing w:after="0"/>
              <w:rPr>
                <w:sz w:val="20"/>
                <w:szCs w:val="20"/>
                <w:color w:val="auto"/>
              </w:rPr>
            </w:pPr>
            <w:r>
              <w:rPr>
                <w:rFonts w:ascii="Arial" w:cs="Arial" w:eastAsia="Arial" w:hAnsi="Arial"/>
                <w:sz w:val="16"/>
                <w:szCs w:val="16"/>
                <w:color w:val="auto"/>
              </w:rPr>
              <w:t>Phillips, Jr., Charles E.</w:t>
            </w:r>
          </w:p>
        </w:tc>
        <w:tc>
          <w:tcPr>
            <w:tcW w:w="2040" w:type="dxa"/>
            <w:vAlign w:val="bottom"/>
          </w:tcPr>
          <w:p>
            <w:pPr>
              <w:jc w:val="right"/>
              <w:ind w:right="542"/>
              <w:spacing w:after="0"/>
              <w:rPr>
                <w:sz w:val="20"/>
                <w:szCs w:val="20"/>
                <w:color w:val="auto"/>
              </w:rPr>
            </w:pPr>
            <w:r>
              <w:rPr>
                <w:rFonts w:ascii="Arial" w:cs="Arial" w:eastAsia="Arial" w:hAnsi="Arial"/>
                <w:sz w:val="16"/>
                <w:szCs w:val="16"/>
                <w:color w:val="auto"/>
              </w:rPr>
              <w:t>112,000</w:t>
            </w:r>
          </w:p>
        </w:tc>
        <w:tc>
          <w:tcPr>
            <w:tcW w:w="1340" w:type="dxa"/>
            <w:vAlign w:val="bottom"/>
          </w:tcPr>
          <w:p>
            <w:pPr>
              <w:ind w:left="420"/>
              <w:spacing w:after="0"/>
              <w:rPr>
                <w:sz w:val="20"/>
                <w:szCs w:val="20"/>
                <w:color w:val="auto"/>
              </w:rPr>
            </w:pPr>
            <w:r>
              <w:rPr>
                <w:rFonts w:ascii="Arial" w:cs="Arial" w:eastAsia="Arial" w:hAnsi="Arial"/>
                <w:sz w:val="16"/>
                <w:szCs w:val="16"/>
                <w:color w:val="auto"/>
              </w:rPr>
              <w:t>200,003</w:t>
            </w:r>
          </w:p>
        </w:tc>
        <w:tc>
          <w:tcPr>
            <w:tcW w:w="1600" w:type="dxa"/>
            <w:vAlign w:val="bottom"/>
          </w:tcPr>
          <w:p>
            <w:pPr>
              <w:jc w:val="right"/>
              <w:ind w:right="484"/>
              <w:spacing w:after="0"/>
              <w:rPr>
                <w:sz w:val="20"/>
                <w:szCs w:val="20"/>
                <w:color w:val="auto"/>
              </w:rPr>
            </w:pPr>
            <w:r>
              <w:rPr>
                <w:rFonts w:ascii="Arial" w:cs="Arial" w:eastAsia="Arial" w:hAnsi="Arial"/>
                <w:sz w:val="16"/>
                <w:szCs w:val="16"/>
                <w:color w:val="auto"/>
              </w:rPr>
              <w:t>3,580</w:t>
            </w:r>
          </w:p>
        </w:tc>
        <w:tc>
          <w:tcPr>
            <w:tcW w:w="1540" w:type="dxa"/>
            <w:vAlign w:val="bottom"/>
          </w:tcPr>
          <w:p>
            <w:pPr>
              <w:jc w:val="right"/>
              <w:ind w:right="3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315,583</w:t>
            </w:r>
          </w:p>
        </w:tc>
      </w:tr>
      <w:tr>
        <w:trPr>
          <w:trHeight w:val="30"/>
        </w:trPr>
        <w:tc>
          <w:tcPr>
            <w:tcW w:w="3540" w:type="dxa"/>
            <w:vAlign w:val="bottom"/>
            <w:tcBorders>
              <w:bottom w:val="single" w:sz="8" w:color="051D49"/>
            </w:tcBorders>
          </w:tcPr>
          <w:p>
            <w:pPr>
              <w:spacing w:after="0"/>
              <w:rPr>
                <w:sz w:val="2"/>
                <w:szCs w:val="2"/>
                <w:color w:val="auto"/>
              </w:rPr>
            </w:pPr>
          </w:p>
        </w:tc>
        <w:tc>
          <w:tcPr>
            <w:tcW w:w="2040" w:type="dxa"/>
            <w:vAlign w:val="bottom"/>
            <w:tcBorders>
              <w:bottom w:val="single" w:sz="8" w:color="051D49"/>
            </w:tcBorders>
          </w:tcPr>
          <w:p>
            <w:pPr>
              <w:spacing w:after="0"/>
              <w:rPr>
                <w:sz w:val="2"/>
                <w:szCs w:val="2"/>
                <w:color w:val="auto"/>
              </w:rPr>
            </w:pPr>
          </w:p>
        </w:tc>
        <w:tc>
          <w:tcPr>
            <w:tcW w:w="1340" w:type="dxa"/>
            <w:vAlign w:val="bottom"/>
            <w:tcBorders>
              <w:bottom w:val="single" w:sz="8" w:color="051D49"/>
            </w:tcBorders>
          </w:tcPr>
          <w:p>
            <w:pPr>
              <w:spacing w:after="0"/>
              <w:rPr>
                <w:sz w:val="2"/>
                <w:szCs w:val="2"/>
                <w:color w:val="auto"/>
              </w:rPr>
            </w:pPr>
          </w:p>
        </w:tc>
        <w:tc>
          <w:tcPr>
            <w:tcW w:w="1600" w:type="dxa"/>
            <w:vAlign w:val="bottom"/>
            <w:tcBorders>
              <w:bottom w:val="single" w:sz="8" w:color="051D49"/>
            </w:tcBorders>
          </w:tcPr>
          <w:p>
            <w:pPr>
              <w:spacing w:after="0"/>
              <w:rPr>
                <w:sz w:val="2"/>
                <w:szCs w:val="2"/>
                <w:color w:val="auto"/>
              </w:rPr>
            </w:pPr>
          </w:p>
        </w:tc>
        <w:tc>
          <w:tcPr>
            <w:tcW w:w="1540" w:type="dxa"/>
            <w:vAlign w:val="bottom"/>
            <w:tcBorders>
              <w:bottom w:val="single" w:sz="8" w:color="051D49"/>
            </w:tcBorders>
          </w:tcPr>
          <w:p>
            <w:pPr>
              <w:spacing w:after="0"/>
              <w:rPr>
                <w:sz w:val="2"/>
                <w:szCs w:val="2"/>
                <w:color w:val="auto"/>
              </w:rPr>
            </w:pPr>
          </w:p>
        </w:tc>
        <w:tc>
          <w:tcPr>
            <w:tcW w:w="860" w:type="dxa"/>
            <w:vAlign w:val="bottom"/>
            <w:tcBorders>
              <w:bottom w:val="single" w:sz="8" w:color="051D49"/>
            </w:tcBorders>
          </w:tcPr>
          <w:p>
            <w:pPr>
              <w:spacing w:after="0"/>
              <w:rPr>
                <w:sz w:val="2"/>
                <w:szCs w:val="2"/>
                <w:color w:val="auto"/>
              </w:rPr>
            </w:pPr>
          </w:p>
        </w:tc>
      </w:tr>
      <w:tr>
        <w:trPr>
          <w:trHeight w:val="257"/>
        </w:trPr>
        <w:tc>
          <w:tcPr>
            <w:tcW w:w="3540" w:type="dxa"/>
            <w:vAlign w:val="bottom"/>
          </w:tcPr>
          <w:p>
            <w:pPr>
              <w:ind w:left="80"/>
              <w:spacing w:after="0"/>
              <w:rPr>
                <w:sz w:val="20"/>
                <w:szCs w:val="20"/>
                <w:color w:val="auto"/>
              </w:rPr>
            </w:pPr>
            <w:r>
              <w:rPr>
                <w:rFonts w:ascii="Arial" w:cs="Arial" w:eastAsia="Arial" w:hAnsi="Arial"/>
                <w:sz w:val="16"/>
                <w:szCs w:val="16"/>
                <w:color w:val="auto"/>
              </w:rPr>
              <w:t>Redstone, Shari E.</w:t>
            </w:r>
          </w:p>
        </w:tc>
        <w:tc>
          <w:tcPr>
            <w:tcW w:w="2040" w:type="dxa"/>
            <w:vAlign w:val="bottom"/>
          </w:tcPr>
          <w:p>
            <w:pPr>
              <w:jc w:val="right"/>
              <w:ind w:right="542"/>
              <w:spacing w:after="0"/>
              <w:rPr>
                <w:sz w:val="20"/>
                <w:szCs w:val="20"/>
                <w:color w:val="auto"/>
              </w:rPr>
            </w:pPr>
            <w:r>
              <w:rPr>
                <w:rFonts w:ascii="Arial" w:cs="Arial" w:eastAsia="Arial" w:hAnsi="Arial"/>
                <w:sz w:val="16"/>
                <w:szCs w:val="16"/>
                <w:color w:val="auto"/>
              </w:rPr>
              <w:t>300,000</w:t>
            </w:r>
          </w:p>
        </w:tc>
        <w:tc>
          <w:tcPr>
            <w:tcW w:w="1340" w:type="dxa"/>
            <w:vAlign w:val="bottom"/>
          </w:tcPr>
          <w:p>
            <w:pPr>
              <w:ind w:left="420"/>
              <w:spacing w:after="0"/>
              <w:rPr>
                <w:sz w:val="20"/>
                <w:szCs w:val="20"/>
                <w:color w:val="auto"/>
              </w:rPr>
            </w:pPr>
            <w:r>
              <w:rPr>
                <w:rFonts w:ascii="Arial" w:cs="Arial" w:eastAsia="Arial" w:hAnsi="Arial"/>
                <w:sz w:val="16"/>
                <w:szCs w:val="16"/>
                <w:color w:val="auto"/>
              </w:rPr>
              <w:t>200,003</w:t>
            </w:r>
          </w:p>
        </w:tc>
        <w:tc>
          <w:tcPr>
            <w:tcW w:w="1600" w:type="dxa"/>
            <w:vAlign w:val="bottom"/>
          </w:tcPr>
          <w:p>
            <w:pPr>
              <w:jc w:val="right"/>
              <w:ind w:right="484"/>
              <w:spacing w:after="0"/>
              <w:rPr>
                <w:sz w:val="20"/>
                <w:szCs w:val="20"/>
                <w:color w:val="auto"/>
              </w:rPr>
            </w:pPr>
            <w:r>
              <w:rPr>
                <w:rFonts w:ascii="Arial" w:cs="Arial" w:eastAsia="Arial" w:hAnsi="Arial"/>
                <w:sz w:val="16"/>
                <w:szCs w:val="16"/>
                <w:color w:val="auto"/>
              </w:rPr>
              <w:t>147</w:t>
            </w:r>
          </w:p>
        </w:tc>
        <w:tc>
          <w:tcPr>
            <w:tcW w:w="1540" w:type="dxa"/>
            <w:vAlign w:val="bottom"/>
          </w:tcPr>
          <w:p>
            <w:pPr>
              <w:jc w:val="right"/>
              <w:ind w:right="3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500,150</w:t>
            </w:r>
          </w:p>
        </w:tc>
      </w:tr>
      <w:tr>
        <w:trPr>
          <w:trHeight w:val="30"/>
        </w:trPr>
        <w:tc>
          <w:tcPr>
            <w:tcW w:w="3540" w:type="dxa"/>
            <w:vAlign w:val="bottom"/>
            <w:tcBorders>
              <w:bottom w:val="single" w:sz="8" w:color="051D49"/>
            </w:tcBorders>
          </w:tcPr>
          <w:p>
            <w:pPr>
              <w:spacing w:after="0"/>
              <w:rPr>
                <w:sz w:val="2"/>
                <w:szCs w:val="2"/>
                <w:color w:val="auto"/>
              </w:rPr>
            </w:pPr>
          </w:p>
        </w:tc>
        <w:tc>
          <w:tcPr>
            <w:tcW w:w="2040" w:type="dxa"/>
            <w:vAlign w:val="bottom"/>
            <w:tcBorders>
              <w:bottom w:val="single" w:sz="8" w:color="051D49"/>
            </w:tcBorders>
          </w:tcPr>
          <w:p>
            <w:pPr>
              <w:spacing w:after="0"/>
              <w:rPr>
                <w:sz w:val="2"/>
                <w:szCs w:val="2"/>
                <w:color w:val="auto"/>
              </w:rPr>
            </w:pPr>
          </w:p>
        </w:tc>
        <w:tc>
          <w:tcPr>
            <w:tcW w:w="1340" w:type="dxa"/>
            <w:vAlign w:val="bottom"/>
            <w:tcBorders>
              <w:bottom w:val="single" w:sz="8" w:color="051D49"/>
            </w:tcBorders>
          </w:tcPr>
          <w:p>
            <w:pPr>
              <w:spacing w:after="0"/>
              <w:rPr>
                <w:sz w:val="2"/>
                <w:szCs w:val="2"/>
                <w:color w:val="auto"/>
              </w:rPr>
            </w:pPr>
          </w:p>
        </w:tc>
        <w:tc>
          <w:tcPr>
            <w:tcW w:w="1600" w:type="dxa"/>
            <w:vAlign w:val="bottom"/>
            <w:tcBorders>
              <w:bottom w:val="single" w:sz="8" w:color="051D49"/>
            </w:tcBorders>
          </w:tcPr>
          <w:p>
            <w:pPr>
              <w:spacing w:after="0"/>
              <w:rPr>
                <w:sz w:val="2"/>
                <w:szCs w:val="2"/>
                <w:color w:val="auto"/>
              </w:rPr>
            </w:pPr>
          </w:p>
        </w:tc>
        <w:tc>
          <w:tcPr>
            <w:tcW w:w="1540" w:type="dxa"/>
            <w:vAlign w:val="bottom"/>
            <w:tcBorders>
              <w:bottom w:val="single" w:sz="8" w:color="051D49"/>
            </w:tcBorders>
          </w:tcPr>
          <w:p>
            <w:pPr>
              <w:spacing w:after="0"/>
              <w:rPr>
                <w:sz w:val="2"/>
                <w:szCs w:val="2"/>
                <w:color w:val="auto"/>
              </w:rPr>
            </w:pPr>
          </w:p>
        </w:tc>
        <w:tc>
          <w:tcPr>
            <w:tcW w:w="860" w:type="dxa"/>
            <w:vAlign w:val="bottom"/>
            <w:tcBorders>
              <w:bottom w:val="single" w:sz="8" w:color="051D49"/>
            </w:tcBorders>
          </w:tcPr>
          <w:p>
            <w:pPr>
              <w:spacing w:after="0"/>
              <w:rPr>
                <w:sz w:val="2"/>
                <w:szCs w:val="2"/>
                <w:color w:val="auto"/>
              </w:rPr>
            </w:pPr>
          </w:p>
        </w:tc>
      </w:tr>
      <w:tr>
        <w:trPr>
          <w:trHeight w:val="257"/>
        </w:trPr>
        <w:tc>
          <w:tcPr>
            <w:tcW w:w="3540" w:type="dxa"/>
            <w:vAlign w:val="bottom"/>
          </w:tcPr>
          <w:p>
            <w:pPr>
              <w:ind w:left="80"/>
              <w:spacing w:after="0"/>
              <w:rPr>
                <w:sz w:val="20"/>
                <w:szCs w:val="20"/>
                <w:color w:val="auto"/>
              </w:rPr>
            </w:pPr>
            <w:r>
              <w:rPr>
                <w:rFonts w:ascii="Arial" w:cs="Arial" w:eastAsia="Arial" w:hAnsi="Arial"/>
                <w:sz w:val="16"/>
                <w:szCs w:val="16"/>
                <w:color w:val="auto"/>
              </w:rPr>
              <w:t>Schuman, Susan</w:t>
            </w:r>
          </w:p>
        </w:tc>
        <w:tc>
          <w:tcPr>
            <w:tcW w:w="2040" w:type="dxa"/>
            <w:vAlign w:val="bottom"/>
          </w:tcPr>
          <w:p>
            <w:pPr>
              <w:jc w:val="right"/>
              <w:ind w:right="542"/>
              <w:spacing w:after="0"/>
              <w:rPr>
                <w:sz w:val="20"/>
                <w:szCs w:val="20"/>
                <w:color w:val="auto"/>
              </w:rPr>
            </w:pPr>
            <w:r>
              <w:rPr>
                <w:rFonts w:ascii="Arial" w:cs="Arial" w:eastAsia="Arial" w:hAnsi="Arial"/>
                <w:sz w:val="16"/>
                <w:szCs w:val="16"/>
                <w:color w:val="auto"/>
              </w:rPr>
              <w:t>112,000</w:t>
            </w:r>
          </w:p>
        </w:tc>
        <w:tc>
          <w:tcPr>
            <w:tcW w:w="1340" w:type="dxa"/>
            <w:vAlign w:val="bottom"/>
          </w:tcPr>
          <w:p>
            <w:pPr>
              <w:ind w:left="420"/>
              <w:spacing w:after="0"/>
              <w:rPr>
                <w:sz w:val="20"/>
                <w:szCs w:val="20"/>
                <w:color w:val="auto"/>
              </w:rPr>
            </w:pPr>
            <w:r>
              <w:rPr>
                <w:rFonts w:ascii="Arial" w:cs="Arial" w:eastAsia="Arial" w:hAnsi="Arial"/>
                <w:sz w:val="16"/>
                <w:szCs w:val="16"/>
                <w:color w:val="auto"/>
              </w:rPr>
              <w:t>200,003</w:t>
            </w:r>
          </w:p>
        </w:tc>
        <w:tc>
          <w:tcPr>
            <w:tcW w:w="1600" w:type="dxa"/>
            <w:vAlign w:val="bottom"/>
          </w:tcPr>
          <w:p>
            <w:pPr>
              <w:jc w:val="right"/>
              <w:ind w:right="484"/>
              <w:spacing w:after="0"/>
              <w:rPr>
                <w:sz w:val="20"/>
                <w:szCs w:val="20"/>
                <w:color w:val="auto"/>
              </w:rPr>
            </w:pPr>
            <w:r>
              <w:rPr>
                <w:rFonts w:ascii="Arial" w:cs="Arial" w:eastAsia="Arial" w:hAnsi="Arial"/>
                <w:sz w:val="16"/>
                <w:szCs w:val="16"/>
                <w:color w:val="auto"/>
              </w:rPr>
              <w:t>0</w:t>
            </w:r>
          </w:p>
        </w:tc>
        <w:tc>
          <w:tcPr>
            <w:tcW w:w="1540" w:type="dxa"/>
            <w:vAlign w:val="bottom"/>
          </w:tcPr>
          <w:p>
            <w:pPr>
              <w:jc w:val="right"/>
              <w:ind w:right="3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312,003</w:t>
            </w:r>
          </w:p>
        </w:tc>
      </w:tr>
      <w:tr>
        <w:trPr>
          <w:trHeight w:val="30"/>
        </w:trPr>
        <w:tc>
          <w:tcPr>
            <w:tcW w:w="3540" w:type="dxa"/>
            <w:vAlign w:val="bottom"/>
            <w:tcBorders>
              <w:bottom w:val="single" w:sz="8" w:color="051D49"/>
            </w:tcBorders>
          </w:tcPr>
          <w:p>
            <w:pPr>
              <w:spacing w:after="0"/>
              <w:rPr>
                <w:sz w:val="2"/>
                <w:szCs w:val="2"/>
                <w:color w:val="auto"/>
              </w:rPr>
            </w:pPr>
          </w:p>
        </w:tc>
        <w:tc>
          <w:tcPr>
            <w:tcW w:w="2040" w:type="dxa"/>
            <w:vAlign w:val="bottom"/>
            <w:tcBorders>
              <w:bottom w:val="single" w:sz="8" w:color="051D49"/>
            </w:tcBorders>
          </w:tcPr>
          <w:p>
            <w:pPr>
              <w:spacing w:after="0"/>
              <w:rPr>
                <w:sz w:val="2"/>
                <w:szCs w:val="2"/>
                <w:color w:val="auto"/>
              </w:rPr>
            </w:pPr>
          </w:p>
        </w:tc>
        <w:tc>
          <w:tcPr>
            <w:tcW w:w="1340" w:type="dxa"/>
            <w:vAlign w:val="bottom"/>
            <w:tcBorders>
              <w:bottom w:val="single" w:sz="8" w:color="051D49"/>
            </w:tcBorders>
          </w:tcPr>
          <w:p>
            <w:pPr>
              <w:spacing w:after="0"/>
              <w:rPr>
                <w:sz w:val="2"/>
                <w:szCs w:val="2"/>
                <w:color w:val="auto"/>
              </w:rPr>
            </w:pPr>
          </w:p>
        </w:tc>
        <w:tc>
          <w:tcPr>
            <w:tcW w:w="1600" w:type="dxa"/>
            <w:vAlign w:val="bottom"/>
            <w:tcBorders>
              <w:bottom w:val="single" w:sz="8" w:color="051D49"/>
            </w:tcBorders>
          </w:tcPr>
          <w:p>
            <w:pPr>
              <w:spacing w:after="0"/>
              <w:rPr>
                <w:sz w:val="2"/>
                <w:szCs w:val="2"/>
                <w:color w:val="auto"/>
              </w:rPr>
            </w:pPr>
          </w:p>
        </w:tc>
        <w:tc>
          <w:tcPr>
            <w:tcW w:w="1540" w:type="dxa"/>
            <w:vAlign w:val="bottom"/>
            <w:tcBorders>
              <w:bottom w:val="single" w:sz="8" w:color="051D49"/>
            </w:tcBorders>
          </w:tcPr>
          <w:p>
            <w:pPr>
              <w:spacing w:after="0"/>
              <w:rPr>
                <w:sz w:val="2"/>
                <w:szCs w:val="2"/>
                <w:color w:val="auto"/>
              </w:rPr>
            </w:pPr>
          </w:p>
        </w:tc>
        <w:tc>
          <w:tcPr>
            <w:tcW w:w="860" w:type="dxa"/>
            <w:vAlign w:val="bottom"/>
            <w:tcBorders>
              <w:bottom w:val="single" w:sz="8" w:color="051D49"/>
            </w:tcBorders>
          </w:tcPr>
          <w:p>
            <w:pPr>
              <w:spacing w:after="0"/>
              <w:rPr>
                <w:sz w:val="2"/>
                <w:szCs w:val="2"/>
                <w:color w:val="auto"/>
              </w:rPr>
            </w:pPr>
          </w:p>
        </w:tc>
      </w:tr>
      <w:tr>
        <w:trPr>
          <w:trHeight w:val="257"/>
        </w:trPr>
        <w:tc>
          <w:tcPr>
            <w:tcW w:w="3540" w:type="dxa"/>
            <w:vAlign w:val="bottom"/>
          </w:tcPr>
          <w:p>
            <w:pPr>
              <w:ind w:left="80"/>
              <w:spacing w:after="0"/>
              <w:rPr>
                <w:sz w:val="20"/>
                <w:szCs w:val="20"/>
                <w:color w:val="auto"/>
              </w:rPr>
            </w:pPr>
            <w:r>
              <w:rPr>
                <w:rFonts w:ascii="Arial" w:cs="Arial" w:eastAsia="Arial" w:hAnsi="Arial"/>
                <w:sz w:val="16"/>
                <w:szCs w:val="16"/>
                <w:color w:val="auto"/>
              </w:rPr>
              <w:t>Seligman, Nicole</w:t>
            </w:r>
          </w:p>
        </w:tc>
        <w:tc>
          <w:tcPr>
            <w:tcW w:w="2040" w:type="dxa"/>
            <w:vAlign w:val="bottom"/>
          </w:tcPr>
          <w:p>
            <w:pPr>
              <w:jc w:val="right"/>
              <w:ind w:right="542"/>
              <w:spacing w:after="0"/>
              <w:rPr>
                <w:sz w:val="20"/>
                <w:szCs w:val="20"/>
                <w:color w:val="auto"/>
              </w:rPr>
            </w:pPr>
            <w:r>
              <w:rPr>
                <w:rFonts w:ascii="Arial" w:cs="Arial" w:eastAsia="Arial" w:hAnsi="Arial"/>
                <w:sz w:val="16"/>
                <w:szCs w:val="16"/>
                <w:color w:val="auto"/>
              </w:rPr>
              <w:t>132,000</w:t>
            </w:r>
          </w:p>
        </w:tc>
        <w:tc>
          <w:tcPr>
            <w:tcW w:w="1340" w:type="dxa"/>
            <w:vAlign w:val="bottom"/>
          </w:tcPr>
          <w:p>
            <w:pPr>
              <w:ind w:left="420"/>
              <w:spacing w:after="0"/>
              <w:rPr>
                <w:sz w:val="20"/>
                <w:szCs w:val="20"/>
                <w:color w:val="auto"/>
              </w:rPr>
            </w:pPr>
            <w:r>
              <w:rPr>
                <w:rFonts w:ascii="Arial" w:cs="Arial" w:eastAsia="Arial" w:hAnsi="Arial"/>
                <w:sz w:val="16"/>
                <w:szCs w:val="16"/>
                <w:color w:val="auto"/>
              </w:rPr>
              <w:t>200,003</w:t>
            </w:r>
          </w:p>
        </w:tc>
        <w:tc>
          <w:tcPr>
            <w:tcW w:w="1600" w:type="dxa"/>
            <w:vAlign w:val="bottom"/>
          </w:tcPr>
          <w:p>
            <w:pPr>
              <w:jc w:val="right"/>
              <w:ind w:right="484"/>
              <w:spacing w:after="0"/>
              <w:rPr>
                <w:sz w:val="20"/>
                <w:szCs w:val="20"/>
                <w:color w:val="auto"/>
              </w:rPr>
            </w:pPr>
            <w:r>
              <w:rPr>
                <w:rFonts w:ascii="Arial" w:cs="Arial" w:eastAsia="Arial" w:hAnsi="Arial"/>
                <w:sz w:val="16"/>
                <w:szCs w:val="16"/>
                <w:color w:val="auto"/>
              </w:rPr>
              <w:t>0</w:t>
            </w:r>
          </w:p>
        </w:tc>
        <w:tc>
          <w:tcPr>
            <w:tcW w:w="1540" w:type="dxa"/>
            <w:vAlign w:val="bottom"/>
          </w:tcPr>
          <w:p>
            <w:pPr>
              <w:jc w:val="right"/>
              <w:ind w:right="30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332,003</w:t>
            </w:r>
          </w:p>
        </w:tc>
      </w:tr>
      <w:tr>
        <w:trPr>
          <w:trHeight w:val="30"/>
        </w:trPr>
        <w:tc>
          <w:tcPr>
            <w:tcW w:w="3540" w:type="dxa"/>
            <w:vAlign w:val="bottom"/>
            <w:tcBorders>
              <w:bottom w:val="single" w:sz="8" w:color="051D49"/>
            </w:tcBorders>
          </w:tcPr>
          <w:p>
            <w:pPr>
              <w:spacing w:after="0"/>
              <w:rPr>
                <w:sz w:val="2"/>
                <w:szCs w:val="2"/>
                <w:color w:val="auto"/>
              </w:rPr>
            </w:pPr>
          </w:p>
        </w:tc>
        <w:tc>
          <w:tcPr>
            <w:tcW w:w="2040" w:type="dxa"/>
            <w:vAlign w:val="bottom"/>
            <w:tcBorders>
              <w:bottom w:val="single" w:sz="8" w:color="051D49"/>
            </w:tcBorders>
          </w:tcPr>
          <w:p>
            <w:pPr>
              <w:spacing w:after="0"/>
              <w:rPr>
                <w:sz w:val="2"/>
                <w:szCs w:val="2"/>
                <w:color w:val="auto"/>
              </w:rPr>
            </w:pPr>
          </w:p>
        </w:tc>
        <w:tc>
          <w:tcPr>
            <w:tcW w:w="1340" w:type="dxa"/>
            <w:vAlign w:val="bottom"/>
            <w:tcBorders>
              <w:bottom w:val="single" w:sz="8" w:color="051D49"/>
            </w:tcBorders>
          </w:tcPr>
          <w:p>
            <w:pPr>
              <w:spacing w:after="0"/>
              <w:rPr>
                <w:sz w:val="2"/>
                <w:szCs w:val="2"/>
                <w:color w:val="auto"/>
              </w:rPr>
            </w:pPr>
          </w:p>
        </w:tc>
        <w:tc>
          <w:tcPr>
            <w:tcW w:w="1600" w:type="dxa"/>
            <w:vAlign w:val="bottom"/>
            <w:tcBorders>
              <w:bottom w:val="single" w:sz="8" w:color="051D49"/>
            </w:tcBorders>
          </w:tcPr>
          <w:p>
            <w:pPr>
              <w:spacing w:after="0"/>
              <w:rPr>
                <w:sz w:val="2"/>
                <w:szCs w:val="2"/>
                <w:color w:val="auto"/>
              </w:rPr>
            </w:pPr>
          </w:p>
        </w:tc>
        <w:tc>
          <w:tcPr>
            <w:tcW w:w="1540" w:type="dxa"/>
            <w:vAlign w:val="bottom"/>
            <w:tcBorders>
              <w:bottom w:val="single" w:sz="8" w:color="051D49"/>
            </w:tcBorders>
          </w:tcPr>
          <w:p>
            <w:pPr>
              <w:spacing w:after="0"/>
              <w:rPr>
                <w:sz w:val="2"/>
                <w:szCs w:val="2"/>
                <w:color w:val="auto"/>
              </w:rPr>
            </w:pPr>
          </w:p>
        </w:tc>
        <w:tc>
          <w:tcPr>
            <w:tcW w:w="860" w:type="dxa"/>
            <w:vAlign w:val="bottom"/>
            <w:tcBorders>
              <w:bottom w:val="single" w:sz="8" w:color="051D49"/>
            </w:tcBorders>
          </w:tcPr>
          <w:p>
            <w:pPr>
              <w:spacing w:after="0"/>
              <w:rPr>
                <w:sz w:val="2"/>
                <w:szCs w:val="2"/>
                <w:color w:val="auto"/>
              </w:rPr>
            </w:pPr>
          </w:p>
        </w:tc>
      </w:tr>
      <w:tr>
        <w:trPr>
          <w:trHeight w:val="257"/>
        </w:trPr>
        <w:tc>
          <w:tcPr>
            <w:tcW w:w="3540" w:type="dxa"/>
            <w:vAlign w:val="bottom"/>
          </w:tcPr>
          <w:p>
            <w:pPr>
              <w:ind w:left="80"/>
              <w:spacing w:after="0"/>
              <w:rPr>
                <w:sz w:val="20"/>
                <w:szCs w:val="20"/>
                <w:color w:val="auto"/>
              </w:rPr>
            </w:pPr>
            <w:r>
              <w:rPr>
                <w:rFonts w:ascii="Arial" w:cs="Arial" w:eastAsia="Arial" w:hAnsi="Arial"/>
                <w:sz w:val="16"/>
                <w:szCs w:val="16"/>
                <w:color w:val="auto"/>
              </w:rPr>
              <w:t>Terrell, Frederick O.</w:t>
            </w:r>
          </w:p>
        </w:tc>
        <w:tc>
          <w:tcPr>
            <w:tcW w:w="2040" w:type="dxa"/>
            <w:vAlign w:val="bottom"/>
          </w:tcPr>
          <w:p>
            <w:pPr>
              <w:jc w:val="right"/>
              <w:ind w:right="542"/>
              <w:spacing w:after="0"/>
              <w:rPr>
                <w:sz w:val="20"/>
                <w:szCs w:val="20"/>
                <w:color w:val="auto"/>
              </w:rPr>
            </w:pPr>
            <w:r>
              <w:rPr>
                <w:rFonts w:ascii="Arial" w:cs="Arial" w:eastAsia="Arial" w:hAnsi="Arial"/>
                <w:sz w:val="16"/>
                <w:szCs w:val="16"/>
                <w:color w:val="auto"/>
              </w:rPr>
              <w:t>116,000</w:t>
            </w:r>
          </w:p>
        </w:tc>
        <w:tc>
          <w:tcPr>
            <w:tcW w:w="1340" w:type="dxa"/>
            <w:vAlign w:val="bottom"/>
          </w:tcPr>
          <w:p>
            <w:pPr>
              <w:ind w:left="420"/>
              <w:spacing w:after="0"/>
              <w:rPr>
                <w:sz w:val="20"/>
                <w:szCs w:val="20"/>
                <w:color w:val="auto"/>
              </w:rPr>
            </w:pPr>
            <w:r>
              <w:rPr>
                <w:rFonts w:ascii="Arial" w:cs="Arial" w:eastAsia="Arial" w:hAnsi="Arial"/>
                <w:sz w:val="16"/>
                <w:szCs w:val="16"/>
                <w:color w:val="auto"/>
              </w:rPr>
              <w:t>200,003</w:t>
            </w:r>
          </w:p>
        </w:tc>
        <w:tc>
          <w:tcPr>
            <w:tcW w:w="1600" w:type="dxa"/>
            <w:vAlign w:val="bottom"/>
          </w:tcPr>
          <w:p>
            <w:pPr>
              <w:jc w:val="right"/>
              <w:ind w:right="484"/>
              <w:spacing w:after="0"/>
              <w:rPr>
                <w:sz w:val="20"/>
                <w:szCs w:val="20"/>
                <w:color w:val="auto"/>
              </w:rPr>
            </w:pPr>
            <w:r>
              <w:rPr>
                <w:rFonts w:ascii="Arial" w:cs="Arial" w:eastAsia="Arial" w:hAnsi="Arial"/>
                <w:sz w:val="16"/>
                <w:szCs w:val="16"/>
                <w:color w:val="auto"/>
              </w:rPr>
              <w:t>30</w:t>
            </w:r>
          </w:p>
        </w:tc>
        <w:tc>
          <w:tcPr>
            <w:tcW w:w="1540" w:type="dxa"/>
            <w:vAlign w:val="bottom"/>
          </w:tcPr>
          <w:p>
            <w:pPr>
              <w:jc w:val="right"/>
              <w:ind w:right="302"/>
              <w:spacing w:after="0"/>
              <w:rPr>
                <w:sz w:val="20"/>
                <w:szCs w:val="20"/>
                <w:color w:val="auto"/>
              </w:rPr>
            </w:pPr>
            <w:r>
              <w:rPr>
                <w:rFonts w:ascii="Arial" w:cs="Arial" w:eastAsia="Arial" w:hAnsi="Arial"/>
                <w:sz w:val="16"/>
                <w:szCs w:val="16"/>
                <w:color w:val="auto"/>
              </w:rPr>
              <w:t>5,000</w:t>
            </w:r>
          </w:p>
        </w:tc>
        <w:tc>
          <w:tcPr>
            <w:tcW w:w="860" w:type="dxa"/>
            <w:vAlign w:val="bottom"/>
          </w:tcPr>
          <w:p>
            <w:pPr>
              <w:jc w:val="right"/>
              <w:spacing w:after="0"/>
              <w:rPr>
                <w:sz w:val="20"/>
                <w:szCs w:val="20"/>
                <w:color w:val="auto"/>
              </w:rPr>
            </w:pPr>
            <w:r>
              <w:rPr>
                <w:rFonts w:ascii="Arial" w:cs="Arial" w:eastAsia="Arial" w:hAnsi="Arial"/>
                <w:sz w:val="16"/>
                <w:szCs w:val="16"/>
                <w:color w:val="auto"/>
              </w:rPr>
              <w:t>321,033</w:t>
            </w:r>
          </w:p>
        </w:tc>
      </w:tr>
      <w:tr>
        <w:trPr>
          <w:trHeight w:val="30"/>
        </w:trPr>
        <w:tc>
          <w:tcPr>
            <w:tcW w:w="3540" w:type="dxa"/>
            <w:vAlign w:val="bottom"/>
            <w:tcBorders>
              <w:bottom w:val="single" w:sz="8" w:color="051D49"/>
            </w:tcBorders>
          </w:tcPr>
          <w:p>
            <w:pPr>
              <w:spacing w:after="0"/>
              <w:rPr>
                <w:sz w:val="2"/>
                <w:szCs w:val="2"/>
                <w:color w:val="auto"/>
              </w:rPr>
            </w:pPr>
          </w:p>
        </w:tc>
        <w:tc>
          <w:tcPr>
            <w:tcW w:w="2040" w:type="dxa"/>
            <w:vAlign w:val="bottom"/>
            <w:tcBorders>
              <w:bottom w:val="single" w:sz="8" w:color="051D49"/>
            </w:tcBorders>
          </w:tcPr>
          <w:p>
            <w:pPr>
              <w:spacing w:after="0"/>
              <w:rPr>
                <w:sz w:val="2"/>
                <w:szCs w:val="2"/>
                <w:color w:val="auto"/>
              </w:rPr>
            </w:pPr>
          </w:p>
        </w:tc>
        <w:tc>
          <w:tcPr>
            <w:tcW w:w="1340" w:type="dxa"/>
            <w:vAlign w:val="bottom"/>
            <w:tcBorders>
              <w:bottom w:val="single" w:sz="8" w:color="051D49"/>
            </w:tcBorders>
          </w:tcPr>
          <w:p>
            <w:pPr>
              <w:spacing w:after="0"/>
              <w:rPr>
                <w:sz w:val="2"/>
                <w:szCs w:val="2"/>
                <w:color w:val="auto"/>
              </w:rPr>
            </w:pPr>
          </w:p>
        </w:tc>
        <w:tc>
          <w:tcPr>
            <w:tcW w:w="1600" w:type="dxa"/>
            <w:vAlign w:val="bottom"/>
            <w:tcBorders>
              <w:bottom w:val="single" w:sz="8" w:color="051D49"/>
            </w:tcBorders>
          </w:tcPr>
          <w:p>
            <w:pPr>
              <w:spacing w:after="0"/>
              <w:rPr>
                <w:sz w:val="2"/>
                <w:szCs w:val="2"/>
                <w:color w:val="auto"/>
              </w:rPr>
            </w:pPr>
          </w:p>
        </w:tc>
        <w:tc>
          <w:tcPr>
            <w:tcW w:w="1540" w:type="dxa"/>
            <w:vAlign w:val="bottom"/>
            <w:tcBorders>
              <w:bottom w:val="single" w:sz="8" w:color="051D49"/>
            </w:tcBorders>
          </w:tcPr>
          <w:p>
            <w:pPr>
              <w:spacing w:after="0"/>
              <w:rPr>
                <w:sz w:val="2"/>
                <w:szCs w:val="2"/>
                <w:color w:val="auto"/>
              </w:rPr>
            </w:pPr>
          </w:p>
        </w:tc>
        <w:tc>
          <w:tcPr>
            <w:tcW w:w="860" w:type="dxa"/>
            <w:vAlign w:val="bottom"/>
            <w:tcBorders>
              <w:bottom w:val="single" w:sz="8" w:color="051D49"/>
            </w:tcBorders>
          </w:tcPr>
          <w:p>
            <w:pPr>
              <w:spacing w:after="0"/>
              <w:rPr>
                <w:sz w:val="2"/>
                <w:szCs w:val="2"/>
                <w:color w:val="auto"/>
              </w:rPr>
            </w:pPr>
          </w:p>
        </w:tc>
      </w:tr>
    </w:tbl>
    <w:p>
      <w:pPr>
        <w:spacing w:after="0" w:line="66" w:lineRule="exact"/>
        <w:rPr>
          <w:sz w:val="20"/>
          <w:szCs w:val="20"/>
          <w:color w:val="auto"/>
        </w:rPr>
      </w:pPr>
    </w:p>
    <w:p>
      <w:pPr>
        <w:ind w:left="480" w:right="40" w:hanging="313"/>
        <w:spacing w:after="0" w:line="256" w:lineRule="auto"/>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Reflects cash amounts earned by Outside Directors in 2021 for (a) the annual Board retainer, (b) the Chair retainer and (c) committee Chair retainers (in the case of Ms. McHale, pro-rated based on the date she became Chair of the Compensation Committee) and meeting fees for standing and ad hoc committee meetings. These amounts include retainers and fees deferred by Mses. Beinecke and Redstone and Messrs. Goldner, Klieger and Phillips under the Director Deferred Compensation Plans.</w:t>
      </w:r>
    </w:p>
    <w:p>
      <w:pPr>
        <w:spacing w:after="0" w:line="44" w:lineRule="exact"/>
        <w:rPr>
          <w:rFonts w:ascii="Arial" w:cs="Arial" w:eastAsia="Arial" w:hAnsi="Arial"/>
          <w:sz w:val="16"/>
          <w:szCs w:val="16"/>
          <w:color w:val="auto"/>
        </w:rPr>
      </w:pPr>
    </w:p>
    <w:p>
      <w:pPr>
        <w:ind w:left="480" w:hanging="313"/>
        <w:spacing w:after="0" w:line="251" w:lineRule="auto"/>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Amounts reflect the grant date fair value determined in accordance with FASB ASC Topic 718 of the annual grant of RSUs to each Outside Director under the 2015 Equity Plan for Outside Directors. For a discussion of the assumptions made in calculating the grant date fair value amounts for 2021, see Note 15 “Stock-Based Compensation” to the audited 2021 consolidated financial statements on pages II-78 to II-80 in our Form 10-K for the fiscal year ended December 31, 2021. The aggregate number of unvested RSUs outstanding as of December 31, 2021 for each Outside Director was 3,430. The only option awards outstanding as of December 31, 2021 for the Outside Directors were 1,964 stock options held by Mr. Phillips, which were from prior year grants and have since expired.</w:t>
      </w:r>
    </w:p>
    <w:p>
      <w:pPr>
        <w:spacing w:after="0" w:line="49" w:lineRule="exact"/>
        <w:rPr>
          <w:rFonts w:ascii="Arial" w:cs="Arial" w:eastAsia="Arial" w:hAnsi="Arial"/>
          <w:sz w:val="16"/>
          <w:szCs w:val="16"/>
          <w:color w:val="auto"/>
        </w:rPr>
      </w:pPr>
    </w:p>
    <w:p>
      <w:pPr>
        <w:ind w:left="480" w:right="40" w:hanging="313"/>
        <w:spacing w:after="0" w:line="251" w:lineRule="auto"/>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Interest accrues on cash in deferred accounts under the Director Deferred Compensation Plans at the prime rate in effect at Citibank, N.A. at the beginning of each calendar quarter. For 2021, the prime rate represented an interest rate that was more than 120% of the long-term applicable federal rate published by the Internal Revenue Service and therefore is deemed to be preferential for purposes of this table. Accordingly, amounts in the table reflect the amount of interest accrued for each Outside Director in 2021 that exceeded the amount of interest that would have been accrued at 120% of the long-term applicable federal rate published by the Internal Revenue Service. Mses. Byrne, Griego, Schuman and Seligman and Mr. Nelson did not have any deferred cash amounts during 2021.</w:t>
      </w:r>
    </w:p>
    <w:p>
      <w:pPr>
        <w:spacing w:after="0" w:line="49" w:lineRule="exact"/>
        <w:rPr>
          <w:rFonts w:ascii="Arial" w:cs="Arial" w:eastAsia="Arial" w:hAnsi="Arial"/>
          <w:sz w:val="16"/>
          <w:szCs w:val="16"/>
          <w:color w:val="auto"/>
        </w:rPr>
      </w:pPr>
    </w:p>
    <w:p>
      <w:pPr>
        <w:ind w:left="480" w:right="40" w:hanging="313"/>
        <w:spacing w:after="0" w:line="262" w:lineRule="auto"/>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Amounts reflect the aggregate value of all matching contributions made by us on behalf of the director for 2021 under our Matching Gifts Program for Directors. Under the program in effect for 2021, we matched donations made by a director to eligible tax-exempt organizations at the rate of one dollar for each dollar donated up to $25,000 for each fiscal year.</w:t>
      </w:r>
    </w:p>
    <w:p>
      <w:pPr>
        <w:spacing w:after="0" w:line="39" w:lineRule="exact"/>
        <w:rPr>
          <w:rFonts w:ascii="Arial" w:cs="Arial" w:eastAsia="Arial" w:hAnsi="Arial"/>
          <w:sz w:val="16"/>
          <w:szCs w:val="16"/>
          <w:color w:val="auto"/>
        </w:rPr>
      </w:pPr>
    </w:p>
    <w:p>
      <w:pPr>
        <w:ind w:left="480" w:hanging="313"/>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Information for Mr. Goldner is through October 12, 2021, the date of his death.</w:t>
      </w:r>
    </w:p>
    <w:p>
      <w:pPr>
        <w:spacing w:after="0" w:line="31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DESCRIPTION OF DIRECTOR COMPENSATION</w:t>
      </w:r>
    </w:p>
    <w:p>
      <w:pPr>
        <w:spacing w:after="0" w:line="94"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Directors who are not employees of the Company or any of its subsidiaries are “Outside Directors” as defined in the director plans described below. Outside Directors receive compensation for their service on the Board and are eligible to participate in these director plans. All of the directors identified in the Outside Director Compensation During 2021 table above were deemed Outside Directors during 2021. Mr. Bakish was not compensated for serving on the Board and was not eligible to participate in any director plans, other than the Matching Gifts Program for Directors.</w:t>
      </w:r>
    </w:p>
    <w:p>
      <w:pPr>
        <w:spacing w:after="0" w:line="134"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31</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DIRECTOR COMPENSATION</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Cash Compensation</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pay the following cash compensation to Outside Directors:</w:t>
      </w:r>
    </w:p>
    <w:p>
      <w:pPr>
        <w:spacing w:after="0" w:line="114" w:lineRule="exact"/>
        <w:rPr>
          <w:sz w:val="20"/>
          <w:szCs w:val="20"/>
          <w:color w:val="auto"/>
        </w:rPr>
      </w:pPr>
    </w:p>
    <w:p>
      <w:pPr>
        <w:ind w:left="380" w:right="40" w:hanging="213"/>
        <w:spacing w:after="0" w:line="265"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Non-Executive Chair of the Board receives an annual Board retainer of $300,000 and all other Outside Directors receive an annual Board retainer of $100,000, in each case payable in equal installments quarterly in advance;</w:t>
      </w:r>
    </w:p>
    <w:p>
      <w:pPr>
        <w:spacing w:after="0" w:line="64" w:lineRule="exact"/>
        <w:rPr>
          <w:rFonts w:ascii="Arial" w:cs="Arial" w:eastAsia="Arial" w:hAnsi="Arial"/>
          <w:sz w:val="18"/>
          <w:szCs w:val="18"/>
          <w:color w:val="auto"/>
        </w:rPr>
      </w:pPr>
    </w:p>
    <w:p>
      <w:pPr>
        <w:jc w:val="both"/>
        <w:ind w:left="380" w:right="440" w:hanging="213"/>
        <w:spacing w:after="0" w:line="249"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Chairs of the Audit, Compensation and Nominating and Governance Committees each receive an annual retainer of $20,000, payable in equal installments quarterly in advance, and all members of those Committees receive a per meeting attendance fee of $2,000; and</w:t>
      </w:r>
    </w:p>
    <w:p>
      <w:pPr>
        <w:spacing w:after="0" w:line="77" w:lineRule="exact"/>
        <w:rPr>
          <w:rFonts w:ascii="Arial" w:cs="Arial" w:eastAsia="Arial" w:hAnsi="Arial"/>
          <w:sz w:val="18"/>
          <w:szCs w:val="18"/>
          <w:color w:val="auto"/>
        </w:rPr>
      </w:pPr>
    </w:p>
    <w:p>
      <w:pPr>
        <w:ind w:left="380" w:right="400" w:hanging="213"/>
        <w:spacing w:after="0" w:line="265"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Chairs and members of any ad hoc committees of the Board that may exist from time to time will be paid as determined by the Board.</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Deferred Compensation Plan</w:t>
      </w:r>
    </w:p>
    <w:p>
      <w:pPr>
        <w:spacing w:after="0" w:line="101"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We maintain deferred compensation plans for Outside Directors (the “Director Deferred Compensation Plans”). Under the Director Deferred Compensation Plans, Outside Directors may elect to defer their Board and Committee chair retainers and Committee meeting fees. Deferred amounts are credited during a calendar quarter to an interest-bearing income account or a stock unit account in accordance with the director’s prior election. Amounts credited to an income account bear interest at the prime rate in effect at the beginning of each calendar quarter. Amounts credited to a stock unit account are deemed invested in phantom units for shares of our Class A Common Stock and Class B Common Stock on the first day of the calendar quarter following the quarter in which the amounts are credited, with the number of shares calculated based on the closing market prices on that first day. Until the amounts credited to the stock unit account are converted into phantom units, these credited amounts bear interest at the prime rate in effect at the beginning of the relevant calendar quarter.</w:t>
      </w:r>
    </w:p>
    <w:p>
      <w:pPr>
        <w:spacing w:after="0" w:line="73"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Upon a director’s leaving the Board, the amounts deferred under the Director Deferred Compensation Plans are paid in cash in a lump sum or in three or five annual installments, based on the director’s prior elections, with the lump sum or initial annual installment becoming payable on the later of six months after the director leaves the Board or January 15th of the following year. The value of a stock unit account is determined by reference to the average of the respective closing market prices of our Class A Common Stock and Class B Common Stock on Nasdaq on each trading date during the four-week period ending five business days prior to the initial payment date. Amounts paid in installments accrue interest until the final installment is paid.</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Equity Compensation</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maintain the 2015 Equity Plan for Outside Directors (the “Director Equity Plan”).</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Outside Directors receive the following awards under the Director Equity Plan:</w:t>
      </w:r>
    </w:p>
    <w:p>
      <w:pPr>
        <w:spacing w:after="0" w:line="114" w:lineRule="exact"/>
        <w:rPr>
          <w:sz w:val="20"/>
          <w:szCs w:val="20"/>
          <w:color w:val="auto"/>
        </w:rPr>
      </w:pPr>
    </w:p>
    <w:p>
      <w:pPr>
        <w:ind w:left="380" w:right="160" w:hanging="213"/>
        <w:spacing w:after="0" w:line="249"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annual grant of RSUs on each February 15</w:t>
      </w:r>
      <w:r>
        <w:rPr>
          <w:rFonts w:ascii="Arial" w:cs="Arial" w:eastAsia="Arial" w:hAnsi="Arial"/>
          <w:sz w:val="15"/>
          <w:szCs w:val="15"/>
          <w:color w:val="auto"/>
        </w:rPr>
        <w:t>th</w:t>
      </w:r>
      <w:r>
        <w:rPr>
          <w:rFonts w:ascii="Arial" w:cs="Arial" w:eastAsia="Arial" w:hAnsi="Arial"/>
          <w:sz w:val="18"/>
          <w:szCs w:val="18"/>
          <w:color w:val="auto"/>
        </w:rPr>
        <w:t>, equal to $200,000 in value based on the closing price of our Class B Common Stock on Nasdaq on the date of grant (or, if the date of grant is not a day on which Nasdaq is open for trading, on the last trading day preceding the date of grant), which vest one year from the date of grant; and</w:t>
      </w:r>
    </w:p>
    <w:p>
      <w:pPr>
        <w:spacing w:after="0" w:line="77" w:lineRule="exact"/>
        <w:rPr>
          <w:rFonts w:ascii="Arial" w:cs="Arial" w:eastAsia="Arial" w:hAnsi="Arial"/>
          <w:sz w:val="18"/>
          <w:szCs w:val="18"/>
          <w:color w:val="auto"/>
        </w:rPr>
      </w:pPr>
    </w:p>
    <w:p>
      <w:pPr>
        <w:ind w:left="380" w:right="80" w:hanging="213"/>
        <w:spacing w:after="0" w:line="237"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prorated RSU grants for Outside Directors who join the Board following the date of the annual RSU grant, but during the calendar year of the grant. Such grants will be made five business days following the date such Outside Director joins the Board, and will be determined by dividing the product of the number of months remaining in such calendar year from the date the Outside Director joins the Board (counting the month of joining as a full month) and one-twelfth of the value of the annual RSU grant for that calendar year by the closing price of our Class B Common Stock on Nasdaq on the date of grant (or, if the date of grant is not a day on which Nasdaq is open for trading, on the last trading day preceding the date of grant). Prorated RSU grants vest on the first anniversary of the date of grant of the annual RSU grant that was awarded during the calendar year in which the Outside Director received such prorated RSU grant.</w:t>
      </w:r>
    </w:p>
    <w:p>
      <w:pPr>
        <w:spacing w:after="0" w:line="77" w:lineRule="exact"/>
        <w:rPr>
          <w:sz w:val="20"/>
          <w:szCs w:val="20"/>
          <w:color w:val="auto"/>
        </w:rPr>
      </w:pPr>
    </w:p>
    <w:p>
      <w:pPr>
        <w:ind w:left="160" w:right="100"/>
        <w:spacing w:after="0" w:line="243" w:lineRule="auto"/>
        <w:rPr>
          <w:sz w:val="20"/>
          <w:szCs w:val="20"/>
          <w:color w:val="auto"/>
        </w:rPr>
      </w:pPr>
      <w:r>
        <w:rPr>
          <w:rFonts w:ascii="Arial" w:cs="Arial" w:eastAsia="Arial" w:hAnsi="Arial"/>
          <w:sz w:val="18"/>
          <w:szCs w:val="18"/>
          <w:color w:val="auto"/>
        </w:rPr>
        <w:t>RSUs are payable to Outside Directors in shares of our Class B Common Stock upon vesting unless the director elects to defer the settlement to a future date. Outside Directors are entitled to receive dividend equivalents on the RSUs in the event we pay a regular cash dividend on our Class B Common Stock. Dividend equivalents will accrue on the RSUs (including RSUs for which settlement has been deferred) until the RSUs are settled (and will be forfeited if the RSUs are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2374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08"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32</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60"/>
          </w:cols>
          <w:pgMar w:left="320" w:top="454" w:right="51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DIRECTOR COMPENSATION</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Matching Gifts Program for Directors</w:t>
      </w:r>
    </w:p>
    <w:p>
      <w:pPr>
        <w:spacing w:after="0" w:line="101" w:lineRule="exact"/>
        <w:rPr>
          <w:sz w:val="20"/>
          <w:szCs w:val="20"/>
          <w:color w:val="auto"/>
        </w:rPr>
      </w:pPr>
    </w:p>
    <w:p>
      <w:pPr>
        <w:ind w:left="160" w:right="400"/>
        <w:spacing w:after="0" w:line="249" w:lineRule="auto"/>
        <w:rPr>
          <w:sz w:val="20"/>
          <w:szCs w:val="20"/>
          <w:color w:val="auto"/>
        </w:rPr>
      </w:pPr>
      <w:r>
        <w:rPr>
          <w:rFonts w:ascii="Arial" w:cs="Arial" w:eastAsia="Arial" w:hAnsi="Arial"/>
          <w:sz w:val="18"/>
          <w:szCs w:val="18"/>
          <w:color w:val="auto"/>
        </w:rPr>
        <w:t>All directors are eligible to participate in our Matching Gifts Program for Directors. Under the program, we match donations made by a director to eligible tax-exempt organizations at the rate of one dollar for each dollar donated up to $25,000 for each fiscal year. The purpose of the program is to recognize the interest of the Company and its directors in supporting eligible organizations.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Director Stock Ownership Requirement</w:t>
      </w:r>
    </w:p>
    <w:p>
      <w:pPr>
        <w:spacing w:after="0" w:line="101"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Under the Guidelines, directors are expected to own shares of Paramount stock worth five times the standard annual Board retainer (or $500,000) within three years of becoming a director. Class A Common Stock phantom units and Class B Common Stock phantom units credited pursuant to the Director Deferred Compensation Plans, and vested RSUs for which settlement has been deferred under the Director Equity Plan and the Viacom Inc. 2011 RSU Plan for Outside Directors, count toward the requirement; unvested RSUs are counted at 50%.</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Other</w:t>
      </w:r>
    </w:p>
    <w:p>
      <w:pPr>
        <w:spacing w:after="0" w:line="101" w:lineRule="exact"/>
        <w:rPr>
          <w:sz w:val="20"/>
          <w:szCs w:val="20"/>
          <w:color w:val="auto"/>
        </w:rPr>
      </w:pPr>
    </w:p>
    <w:p>
      <w:pPr>
        <w:ind w:left="160" w:right="60"/>
        <w:spacing w:after="0" w:line="249"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Directors are reimbursed for reasonable expenses incurred in attending Board, committee and stockholder meetings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travel and lodging) in accordance with our normal travel policies and administrative expenses that may be approved by the Board from time to time.</w:t>
      </w:r>
    </w:p>
    <w:p>
      <w:pPr>
        <w:spacing w:after="0" w:line="65" w:lineRule="exact"/>
        <w:rPr>
          <w:sz w:val="20"/>
          <w:szCs w:val="20"/>
          <w:color w:val="auto"/>
        </w:rPr>
      </w:pPr>
    </w:p>
    <w:p>
      <w:pPr>
        <w:ind w:left="160"/>
        <w:spacing w:after="0" w:line="238" w:lineRule="auto"/>
        <w:rPr>
          <w:sz w:val="20"/>
          <w:szCs w:val="20"/>
          <w:color w:val="auto"/>
        </w:rPr>
      </w:pPr>
      <w:r>
        <w:rPr>
          <w:rFonts w:ascii="Arial" w:cs="Arial" w:eastAsia="Arial" w:hAnsi="Arial"/>
          <w:sz w:val="18"/>
          <w:szCs w:val="18"/>
          <w:i w:val="1"/>
          <w:iCs w:val="1"/>
          <w:color w:val="auto"/>
        </w:rPr>
        <w:t>Director Attendance at Certain Other Events</w:t>
      </w:r>
      <w:r>
        <w:rPr>
          <w:rFonts w:ascii="Arial" w:cs="Arial" w:eastAsia="Arial" w:hAnsi="Arial"/>
          <w:sz w:val="18"/>
          <w:szCs w:val="18"/>
          <w:color w:val="auto"/>
        </w:rPr>
        <w:t>: Paramount believes it is in its best interest for directors to participate in certain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events, including to meet with management, customers, talent and others important to our business, and that such participation is, therefore, integrally and directly related to the performance of the directors’ duties. The Board has established a policy on director attendance at these events. Under the policy, tickets to these events are allocated to directors and we reimburse directors for travel and related expenses in accordance with our travel policies. Occasionally, a director’s partner or other guest may accompany him or her to events at our invitation or request. To the extent attendance at and/or travel to these events constitutes a perquisite involving an incremental cost to us, we disclose it in the “All Other Compensation” column of the “Outside Director Compensation During 2021” table.</w:t>
      </w:r>
    </w:p>
    <w:p>
      <w:pPr>
        <w:spacing w:after="0" w:line="133"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33</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jc w:val="center"/>
        <w:ind w:left="540" w:right="320"/>
        <w:spacing w:after="0" w:line="284" w:lineRule="auto"/>
        <w:rPr>
          <w:sz w:val="20"/>
          <w:szCs w:val="20"/>
          <w:color w:val="auto"/>
        </w:rPr>
      </w:pPr>
      <w:r>
        <w:rPr>
          <w:rFonts w:ascii="Arial" w:cs="Arial" w:eastAsia="Arial" w:hAnsi="Arial"/>
          <w:sz w:val="36"/>
          <w:szCs w:val="36"/>
          <w:b w:val="1"/>
          <w:bCs w:val="1"/>
          <w:color w:val="051D49"/>
        </w:rPr>
        <w:t>Item 2 — Ratification of the Appointment of the Independent Registered Public Accounting Firm</w:t>
      </w:r>
    </w:p>
    <w:p>
      <w:pPr>
        <w:spacing w:after="0" w:line="296"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Audit Committee has appointed PricewaterhouseCoopers LLP (“PwC”) as our independent registered public accounting firm for the year ending December 31, 2022, subject to stockholder ratification. The Audit Committee has reviewed PwC’s independence from the Company as described in the “Report of the Audit Committee.” In appointing PwC as our independent registered public accounting firm for the year ending December 31, 2022, and in recommending that our stockholders ratify the appointment, the Audit Committee has considered whether the non-audit services provided by PwC were compatible with maintaining PwC’s independence from the Company and has determined that such services do not impair PwC’s independence.</w:t>
      </w:r>
    </w:p>
    <w:p>
      <w:pPr>
        <w:spacing w:after="0" w:line="74" w:lineRule="exact"/>
        <w:rPr>
          <w:sz w:val="20"/>
          <w:szCs w:val="20"/>
          <w:color w:val="auto"/>
        </w:rPr>
      </w:pPr>
    </w:p>
    <w:p>
      <w:pPr>
        <w:ind w:left="160" w:right="280"/>
        <w:spacing w:after="0" w:line="265" w:lineRule="auto"/>
        <w:rPr>
          <w:sz w:val="20"/>
          <w:szCs w:val="20"/>
          <w:color w:val="auto"/>
        </w:rPr>
      </w:pPr>
      <w:r>
        <w:rPr>
          <w:rFonts w:ascii="Arial" w:cs="Arial" w:eastAsia="Arial" w:hAnsi="Arial"/>
          <w:sz w:val="18"/>
          <w:szCs w:val="18"/>
          <w:color w:val="auto"/>
        </w:rPr>
        <w:t>Representatives of PwC are expected to be present at the Annual Meeting and will be given an opportunity to make a statement if they desire to do so. They will also be available to respond to questions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290830</wp:posOffset>
            </wp:positionV>
            <wp:extent cx="6929755" cy="543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29755" cy="54356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left="520" w:right="1160"/>
        <w:spacing w:after="0" w:line="243" w:lineRule="auto"/>
        <w:rPr>
          <w:sz w:val="20"/>
          <w:szCs w:val="20"/>
          <w:color w:val="auto"/>
        </w:rPr>
      </w:pPr>
      <w:r>
        <w:rPr>
          <w:rFonts w:ascii="Arial" w:cs="Arial" w:eastAsia="Arial" w:hAnsi="Arial"/>
          <w:sz w:val="20"/>
          <w:szCs w:val="20"/>
          <w:b w:val="1"/>
          <w:bCs w:val="1"/>
          <w:color w:val="FFFFFF"/>
        </w:rPr>
        <w:t>THE BOARD OF DIRECTORS RECOMMENDS A VOTE “FOR” THE RATIFICATION OF THE APPOINTMENT OF PRICEWATERHOUSECOOPERS LLP TO SERVE AS OUR INDEPENDENT REGISTERED PUBLIC ACCOUNTING FIRM FOR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132080</wp:posOffset>
            </wp:positionV>
            <wp:extent cx="6929755" cy="2374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85"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34</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40"/>
          </w:cols>
          <w:pgMar w:left="320" w:top="454" w:right="5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51D49"/>
        </w:rPr>
        <w:t>Report of the Audit Committee</w:t>
      </w:r>
    </w:p>
    <w:p>
      <w:pPr>
        <w:spacing w:after="0" w:line="200" w:lineRule="exact"/>
        <w:rPr>
          <w:sz w:val="20"/>
          <w:szCs w:val="20"/>
          <w:color w:val="auto"/>
        </w:rPr>
      </w:pPr>
    </w:p>
    <w:p>
      <w:pPr>
        <w:spacing w:after="0" w:line="249" w:lineRule="exact"/>
        <w:rPr>
          <w:sz w:val="20"/>
          <w:szCs w:val="20"/>
          <w:color w:val="auto"/>
        </w:rPr>
      </w:pPr>
    </w:p>
    <w:p>
      <w:pPr>
        <w:ind w:left="160" w:right="100"/>
        <w:spacing w:after="0" w:line="247"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shall not be deemed filed or incorporated by reference into any filing under the Securities Act or the Exchange Act, except to the extent we specifically incorporate such information by reference.</w:t>
      </w:r>
    </w:p>
    <w:p>
      <w:pPr>
        <w:spacing w:after="0" w:line="68" w:lineRule="exact"/>
        <w:rPr>
          <w:sz w:val="20"/>
          <w:szCs w:val="20"/>
          <w:color w:val="auto"/>
        </w:rPr>
      </w:pPr>
    </w:p>
    <w:p>
      <w:pPr>
        <w:ind w:left="160" w:right="260"/>
        <w:spacing w:after="0" w:line="295" w:lineRule="auto"/>
        <w:rPr>
          <w:sz w:val="20"/>
          <w:szCs w:val="20"/>
          <w:color w:val="auto"/>
        </w:rPr>
      </w:pPr>
      <w:r>
        <w:rPr>
          <w:rFonts w:ascii="Arial" w:cs="Arial" w:eastAsia="Arial" w:hAnsi="Arial"/>
          <w:sz w:val="17"/>
          <w:szCs w:val="17"/>
          <w:color w:val="auto"/>
        </w:rPr>
        <w:t>The Audit Committee Charter states that the purpose of the Audit Committee is to oversee our accounting and financial reporting processes and the audit of our consolidated financial statements. The Audit Committee also assists the Board of Directors’ oversight of:</w:t>
      </w:r>
    </w:p>
    <w:p>
      <w:pPr>
        <w:spacing w:after="0" w:line="41" w:lineRule="exact"/>
        <w:rPr>
          <w:sz w:val="20"/>
          <w:szCs w:val="20"/>
          <w:color w:val="auto"/>
        </w:rPr>
      </w:pPr>
    </w:p>
    <w:p>
      <w:pPr>
        <w:ind w:left="380" w:hanging="213"/>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quality and integrity of our consolidated financial statements and related disclosures;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evaluation of the effectiveness of our internal control over financial reporting and risk management;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auditor.</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Under the Audit Committee Charter, the Audit Committee’s authorities and duties include:</w:t>
      </w:r>
    </w:p>
    <w:p>
      <w:pPr>
        <w:spacing w:after="0" w:line="114" w:lineRule="exact"/>
        <w:rPr>
          <w:sz w:val="20"/>
          <w:szCs w:val="20"/>
          <w:color w:val="auto"/>
        </w:rPr>
      </w:pPr>
    </w:p>
    <w:p>
      <w:pPr>
        <w:ind w:left="380" w:right="280" w:hanging="213"/>
        <w:spacing w:after="0" w:line="295" w:lineRule="auto"/>
        <w:tabs>
          <w:tab w:leader="none" w:pos="3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Direct responsibility for the appointment, retention, termination, compensation and oversight of the work of the independent auditor, which reports directly to the Audit Committee, and the sole authority to pre-approve all services provided by the independent auditor;</w:t>
      </w:r>
    </w:p>
    <w:p>
      <w:pPr>
        <w:spacing w:after="0" w:line="41" w:lineRule="exact"/>
        <w:rPr>
          <w:rFonts w:ascii="Arial" w:cs="Arial" w:eastAsia="Arial" w:hAnsi="Arial"/>
          <w:sz w:val="17"/>
          <w:szCs w:val="17"/>
          <w:color w:val="auto"/>
        </w:rPr>
      </w:pPr>
    </w:p>
    <w:p>
      <w:pPr>
        <w:ind w:left="380" w:right="900" w:hanging="213"/>
        <w:spacing w:after="0" w:line="265"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and discussing our annual audited financial statements, quarterly financial statements and earnings releases with management and the independent auditor;</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the organization, responsibilities, audit plan and results of the internal audit function;</w:t>
      </w:r>
    </w:p>
    <w:p>
      <w:pPr>
        <w:spacing w:after="0" w:line="113" w:lineRule="exact"/>
        <w:rPr>
          <w:rFonts w:ascii="Arial" w:cs="Arial" w:eastAsia="Arial" w:hAnsi="Arial"/>
          <w:sz w:val="18"/>
          <w:szCs w:val="18"/>
          <w:color w:val="auto"/>
        </w:rPr>
      </w:pPr>
    </w:p>
    <w:p>
      <w:pPr>
        <w:ind w:left="380" w:right="840" w:hanging="213"/>
        <w:spacing w:after="0" w:line="265"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with management and the independent auditor the effectiveness of our internal control over financial reporting and disclosure controls and procedures;</w:t>
      </w:r>
    </w:p>
    <w:p>
      <w:pPr>
        <w:spacing w:after="0" w:line="64" w:lineRule="exact"/>
        <w:rPr>
          <w:rFonts w:ascii="Arial" w:cs="Arial" w:eastAsia="Arial" w:hAnsi="Arial"/>
          <w:sz w:val="18"/>
          <w:szCs w:val="18"/>
          <w:color w:val="auto"/>
        </w:rPr>
      </w:pPr>
    </w:p>
    <w:p>
      <w:pPr>
        <w:ind w:left="380" w:right="600" w:hanging="213"/>
        <w:spacing w:after="0" w:line="265"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with management material legal matters and the effectiveness of our procedures to ensure compliance with legal and regulatory requirements; and</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Overseeing our compliance program and receiving periodic reports from the Chief Compliance Officer.</w:t>
      </w:r>
    </w:p>
    <w:p>
      <w:pPr>
        <w:spacing w:after="0" w:line="101" w:lineRule="exact"/>
        <w:rPr>
          <w:sz w:val="20"/>
          <w:szCs w:val="20"/>
          <w:color w:val="auto"/>
        </w:rPr>
      </w:pPr>
    </w:p>
    <w:p>
      <w:pPr>
        <w:ind w:left="160" w:right="320"/>
        <w:spacing w:after="0" w:line="295" w:lineRule="auto"/>
        <w:rPr>
          <w:sz w:val="20"/>
          <w:szCs w:val="20"/>
          <w:color w:val="auto"/>
        </w:rPr>
      </w:pPr>
      <w:r>
        <w:rPr>
          <w:rFonts w:ascii="Arial" w:cs="Arial" w:eastAsia="Arial" w:hAnsi="Arial"/>
          <w:sz w:val="17"/>
          <w:szCs w:val="17"/>
          <w:color w:val="auto"/>
        </w:rPr>
        <w:t>The Audit Committee also discusses certain matters with the independent auditor on a regular basis, including our critical accounting policies, certain communications between the independent auditor and management, and the qualifications of the independent auditor.</w:t>
      </w:r>
    </w:p>
    <w:p>
      <w:pPr>
        <w:spacing w:after="0" w:line="28"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color w:val="auto"/>
        </w:rPr>
        <w:t>The full text of the Audit Committee Charter is available on the “Investors—Corporate Governance &amp; ESG” page of our website at ir.paramount.com. The Audit Committee assesses the adequacy of its Charter at least annually, or more frequently as the Committee may determine.</w:t>
      </w:r>
    </w:p>
    <w:p>
      <w:pPr>
        <w:spacing w:after="0" w:line="65"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Management is responsible for the preparation of our consolidated financial statements, the financial reporting processes and maintaining effective internal control over financial reporting. The independent auditor is responsible for performing an audit of the consolidated financial statements in accordance with the standards of the Public Company Accounting Oversight Board (“PCAOB”) and expressing an opinion on the conformity of the audited consolidated financial statements to U.S. generally accepted accounting principles. The independent auditor also expresses an opinion on the effectiveness of our internal control over financial reporting. The Audit Committee monitors and oversees these processes.</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part of its oversight role, the Audit Committee has reviewed and discussed with management and our independent auditor,</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PricewaterhouseCoopers LLP (“PwC”), the audited consolidated financial statements and our disclosures under “Management’s</w:t>
      </w:r>
    </w:p>
    <w:p>
      <w:pPr>
        <w:ind w:left="160"/>
        <w:spacing w:after="0"/>
        <w:rPr>
          <w:sz w:val="20"/>
          <w:szCs w:val="20"/>
          <w:color w:val="auto"/>
        </w:rPr>
      </w:pPr>
      <w:r>
        <w:rPr>
          <w:rFonts w:ascii="Arial" w:cs="Arial" w:eastAsia="Arial" w:hAnsi="Arial"/>
          <w:sz w:val="17"/>
          <w:szCs w:val="17"/>
          <w:color w:val="auto"/>
        </w:rPr>
        <w:t>Discussion and Analysis of Results of Operations and Financial Condition” included in our Annual Report on Form 10-K for the year ended</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2021 and matters relating to the effectiveness of our internal control over financial reporting as of December 31, 2021.</w:t>
      </w:r>
    </w:p>
    <w:p>
      <w:pPr>
        <w:spacing w:after="0" w:line="83" w:lineRule="exact"/>
        <w:rPr>
          <w:sz w:val="20"/>
          <w:szCs w:val="20"/>
          <w:color w:val="auto"/>
        </w:rPr>
      </w:pPr>
    </w:p>
    <w:p>
      <w:pPr>
        <w:ind w:left="160" w:right="200"/>
        <w:spacing w:after="0" w:line="243" w:lineRule="auto"/>
        <w:rPr>
          <w:sz w:val="20"/>
          <w:szCs w:val="20"/>
          <w:color w:val="auto"/>
        </w:rPr>
      </w:pPr>
      <w:r>
        <w:rPr>
          <w:rFonts w:ascii="Arial" w:cs="Arial" w:eastAsia="Arial" w:hAnsi="Arial"/>
          <w:sz w:val="18"/>
          <w:szCs w:val="18"/>
          <w:color w:val="auto"/>
        </w:rPr>
        <w:t>The Audit Committee has also discussed with PwC all required communications, including the matters required to be discussed by the applicable requirements of the PCAOB and the SEC. In addition, the Audit Committee has received the written disclosures and the letter from PwC required by applicable requirements of the PCAOB regarding the independent accountant’s communications with the Audit Committee concerning independence and has discussed with PwC the firm’s independence from the Company.</w:t>
      </w:r>
    </w:p>
    <w:p>
      <w:pPr>
        <w:spacing w:after="0" w:line="130"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35</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REPORT OF THE AUDIT COMMITTEE</w:t>
      </w:r>
    </w:p>
    <w:p>
      <w:pPr>
        <w:spacing w:after="0" w:line="146"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Based on this review and these discussions, the Audit Committee recommended to the Board of Directors that the audited consolidated financial statements be included in our Annual Report on Form 10-K for the year ended December 31, 2021.</w:t>
      </w:r>
    </w:p>
    <w:p>
      <w:pPr>
        <w:spacing w:after="0" w:line="16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i w:val="1"/>
          <w:iCs w:val="1"/>
          <w:color w:val="051D49"/>
        </w:rPr>
        <w:t>Audit Committee</w:t>
      </w:r>
    </w:p>
    <w:p>
      <w:pPr>
        <w:spacing w:after="0" w:line="9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Barbara M. Byrne, Chair</w:t>
      </w:r>
    </w:p>
    <w:p>
      <w:pPr>
        <w:spacing w:after="0" w:line="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Judith A. McHale</w:t>
      </w:r>
    </w:p>
    <w:p>
      <w:pPr>
        <w:jc w:val="center"/>
        <w:ind w:right="-419"/>
        <w:spacing w:after="0" w:line="232" w:lineRule="auto"/>
        <w:rPr>
          <w:sz w:val="20"/>
          <w:szCs w:val="20"/>
          <w:color w:val="auto"/>
        </w:rPr>
      </w:pPr>
      <w:r>
        <w:rPr>
          <w:rFonts w:ascii="Arial" w:cs="Arial" w:eastAsia="Arial" w:hAnsi="Arial"/>
          <w:sz w:val="18"/>
          <w:szCs w:val="18"/>
          <w:color w:val="auto"/>
        </w:rPr>
        <w:t>Ronald L. Nelson</w:t>
      </w:r>
    </w:p>
    <w:p>
      <w:pPr>
        <w:spacing w:after="0" w:line="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Frederick O. Terrell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2374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19"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36</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0820"/>
          </w:cols>
          <w:pgMar w:left="320" w:top="454" w:right="7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jc w:val="center"/>
        <w:ind w:left="480" w:right="520"/>
        <w:spacing w:after="0" w:line="284" w:lineRule="auto"/>
        <w:rPr>
          <w:sz w:val="20"/>
          <w:szCs w:val="20"/>
          <w:color w:val="auto"/>
        </w:rPr>
      </w:pPr>
      <w:r>
        <w:rPr>
          <w:rFonts w:ascii="Arial" w:cs="Arial" w:eastAsia="Arial" w:hAnsi="Arial"/>
          <w:sz w:val="36"/>
          <w:szCs w:val="36"/>
          <w:b w:val="1"/>
          <w:bCs w:val="1"/>
          <w:color w:val="051D49"/>
        </w:rPr>
        <w:t>Fees for Services Provided by the Independent Registered Public Accounting Firm</w:t>
      </w:r>
    </w:p>
    <w:p>
      <w:pPr>
        <w:spacing w:after="0" w:line="296" w:lineRule="exact"/>
        <w:rPr>
          <w:sz w:val="20"/>
          <w:szCs w:val="20"/>
          <w:color w:val="auto"/>
        </w:rPr>
      </w:pPr>
    </w:p>
    <w:p>
      <w:pPr>
        <w:ind w:left="160" w:right="320"/>
        <w:spacing w:after="0" w:line="265" w:lineRule="auto"/>
        <w:rPr>
          <w:sz w:val="20"/>
          <w:szCs w:val="20"/>
          <w:color w:val="auto"/>
        </w:rPr>
      </w:pPr>
      <w:r>
        <w:rPr>
          <w:rFonts w:ascii="Arial" w:cs="Arial" w:eastAsia="Arial" w:hAnsi="Arial"/>
          <w:sz w:val="18"/>
          <w:szCs w:val="18"/>
          <w:color w:val="auto"/>
        </w:rPr>
        <w:t>The following table sets forth fees for professional services rendered by PwC to the Company and its subsidiaries for each of the years ended December 31, 2021 and 2020.</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334"/>
        </w:trPr>
        <w:tc>
          <w:tcPr>
            <w:tcW w:w="8300" w:type="dxa"/>
            <w:vAlign w:val="bottom"/>
            <w:shd w:val="clear" w:color="auto" w:fill="E5E5E5"/>
          </w:tcPr>
          <w:p>
            <w:pPr>
              <w:spacing w:after="0"/>
              <w:rPr>
                <w:sz w:val="24"/>
                <w:szCs w:val="24"/>
                <w:color w:val="auto"/>
              </w:rPr>
            </w:pPr>
          </w:p>
        </w:tc>
        <w:tc>
          <w:tcPr>
            <w:tcW w:w="240" w:type="dxa"/>
            <w:vAlign w:val="bottom"/>
            <w:shd w:val="clear" w:color="auto" w:fill="E5E5E5"/>
          </w:tcPr>
          <w:p>
            <w:pPr>
              <w:spacing w:after="0"/>
              <w:rPr>
                <w:sz w:val="24"/>
                <w:szCs w:val="24"/>
                <w:color w:val="auto"/>
              </w:rPr>
            </w:pPr>
          </w:p>
        </w:tc>
        <w:tc>
          <w:tcPr>
            <w:tcW w:w="1000" w:type="dxa"/>
            <w:vAlign w:val="bottom"/>
            <w:shd w:val="clear" w:color="auto" w:fill="E5E5E5"/>
          </w:tcPr>
          <w:p>
            <w:pPr>
              <w:jc w:val="right"/>
              <w:ind w:right="380"/>
              <w:spacing w:after="0"/>
              <w:rPr>
                <w:sz w:val="20"/>
                <w:szCs w:val="20"/>
                <w:color w:val="auto"/>
              </w:rPr>
            </w:pPr>
            <w:r>
              <w:rPr>
                <w:rFonts w:ascii="Arial" w:cs="Arial" w:eastAsia="Arial" w:hAnsi="Arial"/>
                <w:sz w:val="16"/>
                <w:szCs w:val="16"/>
                <w:color w:val="051D49"/>
              </w:rPr>
              <w:t>2021</w:t>
            </w:r>
          </w:p>
        </w:tc>
        <w:tc>
          <w:tcPr>
            <w:tcW w:w="300" w:type="dxa"/>
            <w:vAlign w:val="bottom"/>
            <w:shd w:val="clear" w:color="auto" w:fill="E5E5E5"/>
          </w:tcPr>
          <w:p>
            <w:pPr>
              <w:spacing w:after="0"/>
              <w:rPr>
                <w:sz w:val="24"/>
                <w:szCs w:val="24"/>
                <w:color w:val="auto"/>
              </w:rPr>
            </w:pPr>
          </w:p>
        </w:tc>
        <w:tc>
          <w:tcPr>
            <w:tcW w:w="1080" w:type="dxa"/>
            <w:vAlign w:val="bottom"/>
            <w:shd w:val="clear" w:color="auto" w:fill="E5E5E5"/>
          </w:tcPr>
          <w:p>
            <w:pPr>
              <w:jc w:val="right"/>
              <w:ind w:right="460"/>
              <w:spacing w:after="0"/>
              <w:rPr>
                <w:sz w:val="20"/>
                <w:szCs w:val="20"/>
                <w:color w:val="auto"/>
              </w:rPr>
            </w:pPr>
            <w:r>
              <w:rPr>
                <w:rFonts w:ascii="Arial" w:cs="Arial" w:eastAsia="Arial" w:hAnsi="Arial"/>
                <w:sz w:val="16"/>
                <w:szCs w:val="16"/>
                <w:color w:val="051D49"/>
              </w:rPr>
              <w:t>2020</w:t>
            </w:r>
          </w:p>
        </w:tc>
      </w:tr>
      <w:tr>
        <w:trPr>
          <w:trHeight w:val="277"/>
        </w:trPr>
        <w:tc>
          <w:tcPr>
            <w:tcW w:w="8300" w:type="dxa"/>
            <w:vAlign w:val="bottom"/>
          </w:tcPr>
          <w:p>
            <w:pPr>
              <w:ind w:left="80"/>
              <w:spacing w:after="0"/>
              <w:rPr>
                <w:sz w:val="20"/>
                <w:szCs w:val="20"/>
                <w:color w:val="auto"/>
              </w:rPr>
            </w:pPr>
            <w:r>
              <w:rPr>
                <w:rFonts w:ascii="Arial" w:cs="Arial" w:eastAsia="Arial" w:hAnsi="Arial"/>
                <w:sz w:val="16"/>
                <w:szCs w:val="16"/>
                <w:color w:val="auto"/>
              </w:rPr>
              <w:t>Audit Fees(1)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18,252,381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20,140,177</w:t>
            </w:r>
          </w:p>
        </w:tc>
      </w:tr>
      <w:tr>
        <w:trPr>
          <w:trHeight w:val="30"/>
        </w:trPr>
        <w:tc>
          <w:tcPr>
            <w:tcW w:w="8300" w:type="dxa"/>
            <w:vAlign w:val="bottom"/>
            <w:tcBorders>
              <w:bottom w:val="single" w:sz="8" w:color="051D49"/>
            </w:tcBorders>
          </w:tcPr>
          <w:p>
            <w:pPr>
              <w:spacing w:after="0"/>
              <w:rPr>
                <w:sz w:val="2"/>
                <w:szCs w:val="2"/>
                <w:color w:val="auto"/>
              </w:rPr>
            </w:pPr>
          </w:p>
        </w:tc>
        <w:tc>
          <w:tcPr>
            <w:tcW w:w="24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300" w:type="dxa"/>
            <w:vAlign w:val="bottom"/>
            <w:tcBorders>
              <w:bottom w:val="single" w:sz="8" w:color="051D49"/>
            </w:tcBorders>
          </w:tcPr>
          <w:p>
            <w:pPr>
              <w:spacing w:after="0"/>
              <w:rPr>
                <w:sz w:val="2"/>
                <w:szCs w:val="2"/>
                <w:color w:val="auto"/>
              </w:rPr>
            </w:pPr>
          </w:p>
        </w:tc>
        <w:tc>
          <w:tcPr>
            <w:tcW w:w="1080" w:type="dxa"/>
            <w:vAlign w:val="bottom"/>
            <w:tcBorders>
              <w:bottom w:val="single" w:sz="8" w:color="051D49"/>
            </w:tcBorders>
          </w:tcPr>
          <w:p>
            <w:pPr>
              <w:spacing w:after="0"/>
              <w:rPr>
                <w:sz w:val="2"/>
                <w:szCs w:val="2"/>
                <w:color w:val="auto"/>
              </w:rPr>
            </w:pPr>
          </w:p>
        </w:tc>
      </w:tr>
      <w:tr>
        <w:trPr>
          <w:trHeight w:val="257"/>
        </w:trPr>
        <w:tc>
          <w:tcPr>
            <w:tcW w:w="8300" w:type="dxa"/>
            <w:vAlign w:val="bottom"/>
          </w:tcPr>
          <w:p>
            <w:pPr>
              <w:ind w:left="80"/>
              <w:spacing w:after="0"/>
              <w:rPr>
                <w:sz w:val="20"/>
                <w:szCs w:val="20"/>
                <w:color w:val="auto"/>
              </w:rPr>
            </w:pPr>
            <w:r>
              <w:rPr>
                <w:rFonts w:ascii="Arial" w:cs="Arial" w:eastAsia="Arial" w:hAnsi="Arial"/>
                <w:sz w:val="16"/>
                <w:szCs w:val="16"/>
                <w:color w:val="auto"/>
              </w:rPr>
              <w:t>Audit-Related Fees(2)</w:t>
            </w:r>
          </w:p>
        </w:tc>
        <w:tc>
          <w:tcPr>
            <w:tcW w:w="2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432,060</w:t>
            </w:r>
          </w:p>
        </w:tc>
        <w:tc>
          <w:tcPr>
            <w:tcW w:w="300" w:type="dxa"/>
            <w:vAlign w:val="bottom"/>
          </w:tcPr>
          <w:p>
            <w:pPr>
              <w:spacing w:after="0"/>
              <w:rPr>
                <w:sz w:val="22"/>
                <w:szCs w:val="22"/>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804,625</w:t>
            </w:r>
          </w:p>
        </w:tc>
      </w:tr>
      <w:tr>
        <w:trPr>
          <w:trHeight w:val="30"/>
        </w:trPr>
        <w:tc>
          <w:tcPr>
            <w:tcW w:w="8300" w:type="dxa"/>
            <w:vAlign w:val="bottom"/>
            <w:tcBorders>
              <w:bottom w:val="single" w:sz="8" w:color="051D49"/>
            </w:tcBorders>
          </w:tcPr>
          <w:p>
            <w:pPr>
              <w:spacing w:after="0"/>
              <w:rPr>
                <w:sz w:val="2"/>
                <w:szCs w:val="2"/>
                <w:color w:val="auto"/>
              </w:rPr>
            </w:pPr>
          </w:p>
        </w:tc>
        <w:tc>
          <w:tcPr>
            <w:tcW w:w="24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300" w:type="dxa"/>
            <w:vAlign w:val="bottom"/>
            <w:tcBorders>
              <w:bottom w:val="single" w:sz="8" w:color="051D49"/>
            </w:tcBorders>
          </w:tcPr>
          <w:p>
            <w:pPr>
              <w:spacing w:after="0"/>
              <w:rPr>
                <w:sz w:val="2"/>
                <w:szCs w:val="2"/>
                <w:color w:val="auto"/>
              </w:rPr>
            </w:pPr>
          </w:p>
        </w:tc>
        <w:tc>
          <w:tcPr>
            <w:tcW w:w="1080" w:type="dxa"/>
            <w:vAlign w:val="bottom"/>
            <w:tcBorders>
              <w:bottom w:val="single" w:sz="8" w:color="051D49"/>
            </w:tcBorders>
          </w:tcPr>
          <w:p>
            <w:pPr>
              <w:spacing w:after="0"/>
              <w:rPr>
                <w:sz w:val="2"/>
                <w:szCs w:val="2"/>
                <w:color w:val="auto"/>
              </w:rPr>
            </w:pPr>
          </w:p>
        </w:tc>
      </w:tr>
      <w:tr>
        <w:trPr>
          <w:trHeight w:val="257"/>
        </w:trPr>
        <w:tc>
          <w:tcPr>
            <w:tcW w:w="8300" w:type="dxa"/>
            <w:vAlign w:val="bottom"/>
          </w:tcPr>
          <w:p>
            <w:pPr>
              <w:ind w:left="80"/>
              <w:spacing w:after="0"/>
              <w:rPr>
                <w:sz w:val="20"/>
                <w:szCs w:val="20"/>
                <w:color w:val="auto"/>
              </w:rPr>
            </w:pPr>
            <w:r>
              <w:rPr>
                <w:rFonts w:ascii="Arial" w:cs="Arial" w:eastAsia="Arial" w:hAnsi="Arial"/>
                <w:sz w:val="16"/>
                <w:szCs w:val="16"/>
                <w:color w:val="auto"/>
              </w:rPr>
              <w:t>Tax Fees(3)</w:t>
            </w:r>
          </w:p>
        </w:tc>
        <w:tc>
          <w:tcPr>
            <w:tcW w:w="2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7,762,122</w:t>
            </w:r>
          </w:p>
        </w:tc>
        <w:tc>
          <w:tcPr>
            <w:tcW w:w="300" w:type="dxa"/>
            <w:vAlign w:val="bottom"/>
          </w:tcPr>
          <w:p>
            <w:pPr>
              <w:spacing w:after="0"/>
              <w:rPr>
                <w:sz w:val="22"/>
                <w:szCs w:val="22"/>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6,402,107</w:t>
            </w:r>
          </w:p>
        </w:tc>
      </w:tr>
      <w:tr>
        <w:trPr>
          <w:trHeight w:val="30"/>
        </w:trPr>
        <w:tc>
          <w:tcPr>
            <w:tcW w:w="8300" w:type="dxa"/>
            <w:vAlign w:val="bottom"/>
            <w:tcBorders>
              <w:bottom w:val="single" w:sz="8" w:color="051D49"/>
            </w:tcBorders>
          </w:tcPr>
          <w:p>
            <w:pPr>
              <w:spacing w:after="0"/>
              <w:rPr>
                <w:sz w:val="2"/>
                <w:szCs w:val="2"/>
                <w:color w:val="auto"/>
              </w:rPr>
            </w:pPr>
          </w:p>
        </w:tc>
        <w:tc>
          <w:tcPr>
            <w:tcW w:w="24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300" w:type="dxa"/>
            <w:vAlign w:val="bottom"/>
            <w:tcBorders>
              <w:bottom w:val="single" w:sz="8" w:color="051D49"/>
            </w:tcBorders>
          </w:tcPr>
          <w:p>
            <w:pPr>
              <w:spacing w:after="0"/>
              <w:rPr>
                <w:sz w:val="2"/>
                <w:szCs w:val="2"/>
                <w:color w:val="auto"/>
              </w:rPr>
            </w:pPr>
          </w:p>
        </w:tc>
        <w:tc>
          <w:tcPr>
            <w:tcW w:w="1080" w:type="dxa"/>
            <w:vAlign w:val="bottom"/>
            <w:tcBorders>
              <w:bottom w:val="single" w:sz="8" w:color="051D49"/>
            </w:tcBorders>
          </w:tcPr>
          <w:p>
            <w:pPr>
              <w:spacing w:after="0"/>
              <w:rPr>
                <w:sz w:val="2"/>
                <w:szCs w:val="2"/>
                <w:color w:val="auto"/>
              </w:rPr>
            </w:pPr>
          </w:p>
        </w:tc>
      </w:tr>
      <w:tr>
        <w:trPr>
          <w:trHeight w:val="257"/>
        </w:trPr>
        <w:tc>
          <w:tcPr>
            <w:tcW w:w="8300" w:type="dxa"/>
            <w:vAlign w:val="bottom"/>
          </w:tcPr>
          <w:p>
            <w:pPr>
              <w:ind w:left="80"/>
              <w:spacing w:after="0"/>
              <w:rPr>
                <w:sz w:val="20"/>
                <w:szCs w:val="20"/>
                <w:color w:val="auto"/>
              </w:rPr>
            </w:pPr>
            <w:r>
              <w:rPr>
                <w:rFonts w:ascii="Arial" w:cs="Arial" w:eastAsia="Arial" w:hAnsi="Arial"/>
                <w:sz w:val="16"/>
                <w:szCs w:val="16"/>
                <w:color w:val="auto"/>
              </w:rPr>
              <w:t>All Other Fees(4)</w:t>
            </w:r>
          </w:p>
        </w:tc>
        <w:tc>
          <w:tcPr>
            <w:tcW w:w="2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68,854</w:t>
            </w:r>
          </w:p>
        </w:tc>
        <w:tc>
          <w:tcPr>
            <w:tcW w:w="300" w:type="dxa"/>
            <w:vAlign w:val="bottom"/>
          </w:tcPr>
          <w:p>
            <w:pPr>
              <w:spacing w:after="0"/>
              <w:rPr>
                <w:sz w:val="22"/>
                <w:szCs w:val="22"/>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1,800</w:t>
            </w:r>
          </w:p>
        </w:tc>
      </w:tr>
      <w:tr>
        <w:trPr>
          <w:trHeight w:val="30"/>
        </w:trPr>
        <w:tc>
          <w:tcPr>
            <w:tcW w:w="8300" w:type="dxa"/>
            <w:vAlign w:val="bottom"/>
            <w:tcBorders>
              <w:bottom w:val="single" w:sz="8" w:color="051D49"/>
            </w:tcBorders>
          </w:tcPr>
          <w:p>
            <w:pPr>
              <w:spacing w:after="0"/>
              <w:rPr>
                <w:sz w:val="2"/>
                <w:szCs w:val="2"/>
                <w:color w:val="auto"/>
              </w:rPr>
            </w:pPr>
          </w:p>
        </w:tc>
        <w:tc>
          <w:tcPr>
            <w:tcW w:w="24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300" w:type="dxa"/>
            <w:vAlign w:val="bottom"/>
            <w:tcBorders>
              <w:bottom w:val="single" w:sz="8" w:color="051D49"/>
            </w:tcBorders>
          </w:tcPr>
          <w:p>
            <w:pPr>
              <w:spacing w:after="0"/>
              <w:rPr>
                <w:sz w:val="2"/>
                <w:szCs w:val="2"/>
                <w:color w:val="auto"/>
              </w:rPr>
            </w:pPr>
          </w:p>
        </w:tc>
        <w:tc>
          <w:tcPr>
            <w:tcW w:w="1080" w:type="dxa"/>
            <w:vAlign w:val="bottom"/>
            <w:tcBorders>
              <w:bottom w:val="single" w:sz="8" w:color="051D49"/>
            </w:tcBorders>
          </w:tcPr>
          <w:p>
            <w:pPr>
              <w:spacing w:after="0"/>
              <w:rPr>
                <w:sz w:val="2"/>
                <w:szCs w:val="2"/>
                <w:color w:val="auto"/>
              </w:rPr>
            </w:pPr>
          </w:p>
        </w:tc>
      </w:tr>
      <w:tr>
        <w:trPr>
          <w:trHeight w:val="257"/>
        </w:trPr>
        <w:tc>
          <w:tcPr>
            <w:tcW w:w="8300" w:type="dxa"/>
            <w:vAlign w:val="bottom"/>
          </w:tcPr>
          <w:p>
            <w:pPr>
              <w:ind w:left="80"/>
              <w:spacing w:after="0"/>
              <w:rPr>
                <w:sz w:val="20"/>
                <w:szCs w:val="20"/>
                <w:color w:val="auto"/>
              </w:rPr>
            </w:pPr>
            <w:r>
              <w:rPr>
                <w:rFonts w:ascii="Arial" w:cs="Arial" w:eastAsia="Arial" w:hAnsi="Arial"/>
                <w:sz w:val="16"/>
                <w:szCs w:val="16"/>
                <w:color w:val="auto"/>
              </w:rPr>
              <w:t>Total</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26,515,417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27,348,709</w:t>
            </w:r>
          </w:p>
        </w:tc>
      </w:tr>
      <w:tr>
        <w:trPr>
          <w:trHeight w:val="30"/>
        </w:trPr>
        <w:tc>
          <w:tcPr>
            <w:tcW w:w="8300" w:type="dxa"/>
            <w:vAlign w:val="bottom"/>
            <w:tcBorders>
              <w:bottom w:val="single" w:sz="8" w:color="051D49"/>
            </w:tcBorders>
          </w:tcPr>
          <w:p>
            <w:pPr>
              <w:spacing w:after="0"/>
              <w:rPr>
                <w:sz w:val="2"/>
                <w:szCs w:val="2"/>
                <w:color w:val="auto"/>
              </w:rPr>
            </w:pPr>
          </w:p>
        </w:tc>
        <w:tc>
          <w:tcPr>
            <w:tcW w:w="240" w:type="dxa"/>
            <w:vAlign w:val="bottom"/>
            <w:tcBorders>
              <w:bottom w:val="single" w:sz="8" w:color="051D49"/>
            </w:tcBorders>
          </w:tcPr>
          <w:p>
            <w:pPr>
              <w:spacing w:after="0"/>
              <w:rPr>
                <w:sz w:val="2"/>
                <w:szCs w:val="2"/>
                <w:color w:val="auto"/>
              </w:rPr>
            </w:pPr>
          </w:p>
        </w:tc>
        <w:tc>
          <w:tcPr>
            <w:tcW w:w="1000" w:type="dxa"/>
            <w:vAlign w:val="bottom"/>
            <w:tcBorders>
              <w:bottom w:val="single" w:sz="8" w:color="051D49"/>
            </w:tcBorders>
          </w:tcPr>
          <w:p>
            <w:pPr>
              <w:spacing w:after="0"/>
              <w:rPr>
                <w:sz w:val="2"/>
                <w:szCs w:val="2"/>
                <w:color w:val="auto"/>
              </w:rPr>
            </w:pPr>
          </w:p>
        </w:tc>
        <w:tc>
          <w:tcPr>
            <w:tcW w:w="300" w:type="dxa"/>
            <w:vAlign w:val="bottom"/>
            <w:tcBorders>
              <w:bottom w:val="single" w:sz="8" w:color="051D49"/>
            </w:tcBorders>
          </w:tcPr>
          <w:p>
            <w:pPr>
              <w:spacing w:after="0"/>
              <w:rPr>
                <w:sz w:val="2"/>
                <w:szCs w:val="2"/>
                <w:color w:val="auto"/>
              </w:rPr>
            </w:pPr>
          </w:p>
        </w:tc>
        <w:tc>
          <w:tcPr>
            <w:tcW w:w="1080" w:type="dxa"/>
            <w:vAlign w:val="bottom"/>
            <w:tcBorders>
              <w:bottom w:val="single" w:sz="8" w:color="051D49"/>
            </w:tcBorders>
          </w:tcPr>
          <w:p>
            <w:pPr>
              <w:spacing w:after="0"/>
              <w:rPr>
                <w:sz w:val="2"/>
                <w:szCs w:val="2"/>
                <w:color w:val="auto"/>
              </w:rPr>
            </w:pPr>
          </w:p>
        </w:tc>
      </w:tr>
    </w:tbl>
    <w:p>
      <w:pPr>
        <w:spacing w:after="0" w:line="61" w:lineRule="exact"/>
        <w:rPr>
          <w:sz w:val="20"/>
          <w:szCs w:val="20"/>
          <w:color w:val="auto"/>
        </w:rPr>
      </w:pPr>
    </w:p>
    <w:p>
      <w:pPr>
        <w:ind w:left="600" w:right="160" w:hanging="433"/>
        <w:spacing w:after="0" w:line="249"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Audit fees principally related to the integrated audit of our financial statements, statutory audits and services provided in connection with our debt and equity offerings, comfort letters and SEC filings. In 2020, these fees also included services related to the preparation of audited carve-out financial statements for Simon &amp; Schuster.</w:t>
      </w:r>
    </w:p>
    <w:p>
      <w:pPr>
        <w:spacing w:after="0" w:line="37" w:lineRule="exact"/>
        <w:rPr>
          <w:rFonts w:ascii="Arial" w:cs="Arial" w:eastAsia="Arial" w:hAnsi="Arial"/>
          <w:sz w:val="18"/>
          <w:szCs w:val="18"/>
          <w:color w:val="auto"/>
        </w:rPr>
      </w:pPr>
    </w:p>
    <w:p>
      <w:pPr>
        <w:ind w:left="600" w:right="360" w:hanging="433"/>
        <w:spacing w:after="0" w:line="265"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Audit-related fees principally related to technical accounting advice, agreed-upon procedures and compliance, and domestic and foreign employee benefit plan audits.</w:t>
      </w:r>
    </w:p>
    <w:p>
      <w:pPr>
        <w:spacing w:after="0" w:line="24" w:lineRule="exact"/>
        <w:rPr>
          <w:rFonts w:ascii="Arial" w:cs="Arial" w:eastAsia="Arial" w:hAnsi="Arial"/>
          <w:sz w:val="18"/>
          <w:szCs w:val="18"/>
          <w:color w:val="auto"/>
        </w:rPr>
      </w:pPr>
    </w:p>
    <w:p>
      <w:pPr>
        <w:ind w:left="600" w:hanging="433"/>
        <w:spacing w:after="0"/>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Tax fees principally related to tax compliance and consulting.</w:t>
      </w:r>
    </w:p>
    <w:p>
      <w:pPr>
        <w:spacing w:after="0" w:line="73" w:lineRule="exact"/>
        <w:rPr>
          <w:rFonts w:ascii="Arial" w:cs="Arial" w:eastAsia="Arial" w:hAnsi="Arial"/>
          <w:sz w:val="18"/>
          <w:szCs w:val="18"/>
          <w:color w:val="auto"/>
        </w:rPr>
      </w:pPr>
    </w:p>
    <w:p>
      <w:pPr>
        <w:ind w:left="600" w:right="80" w:hanging="433"/>
        <w:spacing w:after="0" w:line="265"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other fees principally related to research projects, license fees for the use of PwC reference materials and publications, access to various online tools and other permissible consulting services.</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AUDIT COMMITTEE PRE-APPROVAL OF SERVICES PROVIDED BY PWC</w:t>
      </w:r>
    </w:p>
    <w:p>
      <w:pPr>
        <w:spacing w:after="0" w:line="94" w:lineRule="exact"/>
        <w:rPr>
          <w:sz w:val="20"/>
          <w:szCs w:val="20"/>
          <w:color w:val="auto"/>
        </w:rPr>
      </w:pPr>
    </w:p>
    <w:p>
      <w:pPr>
        <w:ind w:left="160" w:right="140"/>
        <w:spacing w:after="0" w:line="238" w:lineRule="auto"/>
        <w:rPr>
          <w:sz w:val="20"/>
          <w:szCs w:val="20"/>
          <w:color w:val="auto"/>
        </w:rPr>
      </w:pPr>
      <w:r>
        <w:rPr>
          <w:rFonts w:ascii="Arial" w:cs="Arial" w:eastAsia="Arial" w:hAnsi="Arial"/>
          <w:sz w:val="18"/>
          <w:szCs w:val="18"/>
          <w:color w:val="auto"/>
        </w:rPr>
        <w:t>All audit and non-audit services provided to us by PwC for 2021 were pre-approved by either the full Audit Committee or the Chair of the Audit Committee. Under the Audit Committee’s pre-approval policies and procedures in effect during 2021, the Chair of the Audit Committee was authorized to pre-approve the engagement of PwC to provide certain specified audit and non-audit services, and the engagement of any accounting firm to provide certain specified audit services, up to a maximum amount of $ 200,000 per engagement, with the total amount of such authorizations outstanding that have not been reported to the Audit Committee not to exceed an aggregate of $1,000,000. The Audit Committee receives regular reports on the engagements approved by the Chair pursuant to this delegation. For 2022, the Audit Committee has adopted the same pre-approval policies and procedures that were in effect for 2021.</w:t>
      </w:r>
    </w:p>
    <w:p>
      <w:pPr>
        <w:spacing w:after="0" w:line="133"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37</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51D49"/>
        </w:rPr>
        <w:t>Compensation Discussion and Analysis</w:t>
      </w:r>
    </w:p>
    <w:p>
      <w:pPr>
        <w:spacing w:after="0" w:line="200" w:lineRule="exact"/>
        <w:rPr>
          <w:sz w:val="20"/>
          <w:szCs w:val="20"/>
          <w:color w:val="auto"/>
        </w:rPr>
      </w:pPr>
    </w:p>
    <w:p>
      <w:pPr>
        <w:spacing w:after="0" w:line="247"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This Compensation Discussion and Analysis (“CD&amp;A”) describes our executive compensation philosophy and objectives and the decisions of the Compensation Committee of our Board of Directors (“Compensation Committee” or, in this CD&amp;A, “Committee”) regarding the fiscal year 2021 compensation of our named executive officers (also referred to as “NEOs”) included in the compensation tables that appear after this CD&amp;A.</w:t>
      </w:r>
    </w:p>
    <w:p>
      <w:pPr>
        <w:spacing w:after="0" w:line="220" w:lineRule="exact"/>
        <w:rPr>
          <w:sz w:val="20"/>
          <w:szCs w:val="20"/>
          <w:color w:val="auto"/>
        </w:rPr>
      </w:pPr>
    </w:p>
    <w:tbl>
      <w:tblPr>
        <w:tblLayout w:type="fixed"/>
        <w:tblInd w:w="170" w:type="dxa"/>
        <w:tblCellMar>
          <w:top w:w="0" w:type="dxa"/>
          <w:left w:w="0" w:type="dxa"/>
          <w:bottom w:w="0" w:type="dxa"/>
          <w:right w:w="0" w:type="dxa"/>
        </w:tblCellMar>
      </w:tblPr>
      <w:tr>
        <w:trPr>
          <w:trHeight w:val="324"/>
        </w:trPr>
        <w:tc>
          <w:tcPr>
            <w:tcW w:w="4620" w:type="dxa"/>
            <w:vAlign w:val="bottom"/>
            <w:tcBorders>
              <w:left w:val="single" w:sz="8" w:color="E5E5E5"/>
            </w:tcBorders>
            <w:gridSpan w:val="14"/>
            <w:shd w:val="clear" w:color="auto" w:fill="E5E5E5"/>
          </w:tcPr>
          <w:p>
            <w:pPr>
              <w:ind w:left="20"/>
              <w:spacing w:after="0"/>
              <w:rPr>
                <w:rFonts w:ascii="Arial" w:cs="Arial" w:eastAsia="Arial" w:hAnsi="Arial"/>
                <w:sz w:val="18"/>
                <w:szCs w:val="18"/>
                <w:color w:val="0000EE"/>
              </w:rPr>
            </w:pPr>
            <w:hyperlink w:anchor="page43">
              <w:r>
                <w:rPr>
                  <w:rFonts w:ascii="Arial" w:cs="Arial" w:eastAsia="Arial" w:hAnsi="Arial"/>
                  <w:sz w:val="18"/>
                  <w:szCs w:val="18"/>
                  <w:color w:val="0000EE"/>
                </w:rPr>
                <w:t>Our NEOs and Compensation Committee</w:t>
              </w:r>
            </w:hyperlink>
          </w:p>
        </w:tc>
        <w:tc>
          <w:tcPr>
            <w:tcW w:w="960" w:type="dxa"/>
            <w:vAlign w:val="bottom"/>
            <w:shd w:val="clear" w:color="auto" w:fill="E5E5E5"/>
          </w:tcPr>
          <w:p>
            <w:pPr>
              <w:jc w:val="right"/>
              <w:ind w:right="311"/>
              <w:spacing w:after="0"/>
              <w:rPr>
                <w:sz w:val="20"/>
                <w:szCs w:val="20"/>
                <w:color w:val="auto"/>
              </w:rPr>
            </w:pPr>
            <w:r>
              <w:rPr>
                <w:rFonts w:ascii="Arial" w:cs="Arial" w:eastAsia="Arial" w:hAnsi="Arial"/>
                <w:sz w:val="18"/>
                <w:szCs w:val="18"/>
                <w:color w:val="auto"/>
              </w:rPr>
              <w:t>38</w:t>
            </w:r>
          </w:p>
        </w:tc>
        <w:tc>
          <w:tcPr>
            <w:tcW w:w="4860" w:type="dxa"/>
            <w:vAlign w:val="bottom"/>
            <w:gridSpan w:val="14"/>
            <w:shd w:val="clear" w:color="auto" w:fill="E5E5E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Fiscal Year 2021 Compensation</w:t>
              </w:r>
            </w:hyperlink>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0" w:type="dxa"/>
            <w:vAlign w:val="bottom"/>
            <w:tcBorders>
              <w:left w:val="single" w:sz="8" w:color="E5E5E5"/>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Borders>
              <w:right w:val="single" w:sz="8" w:color="E5E5E5"/>
            </w:tcBorders>
            <w:shd w:val="clear" w:color="auto" w:fill="0000EE"/>
          </w:tcPr>
          <w:p>
            <w:pPr>
              <w:spacing w:after="0" w:line="20" w:lineRule="exact"/>
              <w:rPr>
                <w:sz w:val="1"/>
                <w:szCs w:val="1"/>
                <w:color w:val="auto"/>
              </w:rPr>
            </w:pPr>
          </w:p>
        </w:tc>
        <w:tc>
          <w:tcPr>
            <w:tcW w:w="260" w:type="dxa"/>
            <w:vAlign w:val="bottom"/>
            <w:shd w:val="clear" w:color="auto" w:fill="E5E5E5"/>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520" w:type="dxa"/>
            <w:vAlign w:val="bottom"/>
            <w:shd w:val="clear" w:color="auto" w:fill="E5E5E5"/>
          </w:tcPr>
          <w:p>
            <w:pPr>
              <w:spacing w:after="0" w:line="20" w:lineRule="exact"/>
              <w:rPr>
                <w:sz w:val="1"/>
                <w:szCs w:val="1"/>
                <w:color w:val="auto"/>
              </w:rPr>
            </w:pPr>
          </w:p>
        </w:tc>
        <w:tc>
          <w:tcPr>
            <w:tcW w:w="380" w:type="dxa"/>
            <w:vAlign w:val="bottom"/>
            <w:shd w:val="clear" w:color="auto" w:fill="E5E5E5"/>
          </w:tcPr>
          <w:p>
            <w:pPr>
              <w:spacing w:after="0" w:line="20" w:lineRule="exact"/>
              <w:rPr>
                <w:sz w:val="1"/>
                <w:szCs w:val="1"/>
                <w:color w:val="auto"/>
              </w:rPr>
            </w:pPr>
          </w:p>
        </w:tc>
        <w:tc>
          <w:tcPr>
            <w:tcW w:w="960" w:type="dxa"/>
            <w:vAlign w:val="bottom"/>
            <w:shd w:val="clear" w:color="auto" w:fill="E5E5E5"/>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540" w:type="dxa"/>
            <w:vAlign w:val="bottom"/>
            <w:shd w:val="clear" w:color="auto" w:fill="E5E5E5"/>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80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48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Borders>
              <w:left w:val="single" w:sz="8" w:color="E5E5E5"/>
            </w:tcBorders>
            <w:shd w:val="clear" w:color="auto" w:fill="E5E5E5"/>
          </w:tcPr>
          <w:p>
            <w:pPr>
              <w:spacing w:after="0"/>
              <w:rPr>
                <w:sz w:val="18"/>
                <w:szCs w:val="18"/>
                <w:color w:val="auto"/>
              </w:rPr>
            </w:pPr>
          </w:p>
        </w:tc>
        <w:tc>
          <w:tcPr>
            <w:tcW w:w="3120" w:type="dxa"/>
            <w:vAlign w:val="bottom"/>
            <w:tcBorders>
              <w:right w:val="single" w:sz="8" w:color="E5E5E5"/>
            </w:tcBorders>
            <w:gridSpan w:val="9"/>
            <w:shd w:val="clear" w:color="auto" w:fill="E5E5E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Our Named Executive Officers</w:t>
              </w:r>
            </w:hyperlink>
          </w:p>
        </w:tc>
        <w:tc>
          <w:tcPr>
            <w:tcW w:w="1300" w:type="dxa"/>
            <w:vAlign w:val="bottom"/>
            <w:gridSpan w:val="4"/>
            <w:shd w:val="clear" w:color="auto" w:fill="E5E5E5"/>
          </w:tcPr>
          <w:p>
            <w:pPr>
              <w:spacing w:after="0"/>
              <w:rPr>
                <w:sz w:val="18"/>
                <w:szCs w:val="18"/>
                <w:color w:val="auto"/>
              </w:rPr>
            </w:pPr>
          </w:p>
        </w:tc>
        <w:tc>
          <w:tcPr>
            <w:tcW w:w="960" w:type="dxa"/>
            <w:vAlign w:val="bottom"/>
            <w:shd w:val="clear" w:color="auto" w:fill="E5E5E5"/>
          </w:tcPr>
          <w:p>
            <w:pPr>
              <w:jc w:val="right"/>
              <w:ind w:right="311"/>
              <w:spacing w:after="0"/>
              <w:rPr>
                <w:sz w:val="20"/>
                <w:szCs w:val="20"/>
                <w:color w:val="auto"/>
              </w:rPr>
            </w:pPr>
            <w:r>
              <w:rPr>
                <w:rFonts w:ascii="Arial" w:cs="Arial" w:eastAsia="Arial" w:hAnsi="Arial"/>
                <w:sz w:val="18"/>
                <w:szCs w:val="18"/>
                <w:color w:val="auto"/>
              </w:rPr>
              <w:t>38</w:t>
            </w:r>
          </w:p>
        </w:tc>
        <w:tc>
          <w:tcPr>
            <w:tcW w:w="180" w:type="dxa"/>
            <w:vAlign w:val="bottom"/>
            <w:shd w:val="clear" w:color="auto" w:fill="E5E5E5"/>
          </w:tcPr>
          <w:p>
            <w:pPr>
              <w:spacing w:after="0"/>
              <w:rPr>
                <w:sz w:val="18"/>
                <w:szCs w:val="18"/>
                <w:color w:val="auto"/>
              </w:rPr>
            </w:pPr>
          </w:p>
        </w:tc>
        <w:tc>
          <w:tcPr>
            <w:tcW w:w="4680" w:type="dxa"/>
            <w:vAlign w:val="bottom"/>
            <w:gridSpan w:val="13"/>
            <w:shd w:val="clear" w:color="auto" w:fill="E5E5E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Changes in NEOs’ Compensation Arrangements in 2021</w:t>
              </w:r>
            </w:hyperlink>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0" w:type="dxa"/>
            <w:vAlign w:val="bottom"/>
            <w:tcBorders>
              <w:left w:val="single" w:sz="8" w:color="E5E5E5"/>
            </w:tcBorders>
            <w:shd w:val="clear" w:color="auto" w:fill="E5E5E5"/>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E5E5E5"/>
          </w:tcPr>
          <w:p>
            <w:pPr>
              <w:spacing w:after="0" w:line="20" w:lineRule="exact"/>
              <w:rPr>
                <w:sz w:val="1"/>
                <w:szCs w:val="1"/>
                <w:color w:val="auto"/>
              </w:rPr>
            </w:pPr>
          </w:p>
        </w:tc>
        <w:tc>
          <w:tcPr>
            <w:tcW w:w="360" w:type="dxa"/>
            <w:vAlign w:val="bottom"/>
            <w:tcBorders>
              <w:right w:val="single" w:sz="8" w:color="E5E5E5"/>
            </w:tcBorders>
            <w:shd w:val="clear" w:color="auto" w:fill="E5E5E5"/>
          </w:tcPr>
          <w:p>
            <w:pPr>
              <w:spacing w:after="0" w:line="20" w:lineRule="exact"/>
              <w:rPr>
                <w:sz w:val="1"/>
                <w:szCs w:val="1"/>
                <w:color w:val="auto"/>
              </w:rPr>
            </w:pPr>
          </w:p>
        </w:tc>
        <w:tc>
          <w:tcPr>
            <w:tcW w:w="260" w:type="dxa"/>
            <w:vAlign w:val="bottom"/>
            <w:shd w:val="clear" w:color="auto" w:fill="E5E5E5"/>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520" w:type="dxa"/>
            <w:vAlign w:val="bottom"/>
            <w:shd w:val="clear" w:color="auto" w:fill="E5E5E5"/>
          </w:tcPr>
          <w:p>
            <w:pPr>
              <w:spacing w:after="0" w:line="20" w:lineRule="exact"/>
              <w:rPr>
                <w:sz w:val="1"/>
                <w:szCs w:val="1"/>
                <w:color w:val="auto"/>
              </w:rPr>
            </w:pPr>
          </w:p>
        </w:tc>
        <w:tc>
          <w:tcPr>
            <w:tcW w:w="380" w:type="dxa"/>
            <w:vAlign w:val="bottom"/>
            <w:shd w:val="clear" w:color="auto" w:fill="E5E5E5"/>
          </w:tcPr>
          <w:p>
            <w:pPr>
              <w:spacing w:after="0" w:line="20" w:lineRule="exact"/>
              <w:rPr>
                <w:sz w:val="1"/>
                <w:szCs w:val="1"/>
                <w:color w:val="auto"/>
              </w:rPr>
            </w:pPr>
          </w:p>
        </w:tc>
        <w:tc>
          <w:tcPr>
            <w:tcW w:w="96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10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48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Borders>
              <w:left w:val="single" w:sz="8" w:color="E5E5E5"/>
            </w:tcBorders>
            <w:shd w:val="clear" w:color="auto" w:fill="E5E5E5"/>
          </w:tcPr>
          <w:p>
            <w:pPr>
              <w:spacing w:after="0"/>
              <w:rPr>
                <w:sz w:val="18"/>
                <w:szCs w:val="18"/>
                <w:color w:val="auto"/>
              </w:rPr>
            </w:pPr>
          </w:p>
        </w:tc>
        <w:tc>
          <w:tcPr>
            <w:tcW w:w="4420" w:type="dxa"/>
            <w:vAlign w:val="bottom"/>
            <w:gridSpan w:val="13"/>
            <w:shd w:val="clear" w:color="auto" w:fill="E5E5E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Our Compensation Committee</w:t>
              </w:r>
            </w:hyperlink>
          </w:p>
        </w:tc>
        <w:tc>
          <w:tcPr>
            <w:tcW w:w="960" w:type="dxa"/>
            <w:vAlign w:val="bottom"/>
            <w:shd w:val="clear" w:color="auto" w:fill="E5E5E5"/>
          </w:tcPr>
          <w:p>
            <w:pPr>
              <w:jc w:val="right"/>
              <w:ind w:right="311"/>
              <w:spacing w:after="0"/>
              <w:rPr>
                <w:sz w:val="20"/>
                <w:szCs w:val="20"/>
                <w:color w:val="auto"/>
              </w:rPr>
            </w:pPr>
            <w:r>
              <w:rPr>
                <w:rFonts w:ascii="Arial" w:cs="Arial" w:eastAsia="Arial" w:hAnsi="Arial"/>
                <w:sz w:val="18"/>
                <w:szCs w:val="18"/>
                <w:color w:val="auto"/>
              </w:rPr>
              <w:t>38</w:t>
            </w:r>
          </w:p>
        </w:tc>
        <w:tc>
          <w:tcPr>
            <w:tcW w:w="3320" w:type="dxa"/>
            <w:vAlign w:val="bottom"/>
            <w:gridSpan w:val="10"/>
            <w:vMerge w:val="restart"/>
            <w:shd w:val="clear" w:color="auto" w:fill="E5E5E5"/>
          </w:tcPr>
          <w:p>
            <w:pPr>
              <w:spacing w:after="0"/>
              <w:rPr>
                <w:rFonts w:ascii="Arial" w:cs="Arial" w:eastAsia="Arial" w:hAnsi="Arial"/>
                <w:sz w:val="18"/>
                <w:szCs w:val="18"/>
                <w:color w:val="0000EE"/>
                <w:w w:val="98"/>
              </w:rPr>
            </w:pPr>
            <w:hyperlink w:anchor="page50">
              <w:r>
                <w:rPr>
                  <w:rFonts w:ascii="Arial" w:cs="Arial" w:eastAsia="Arial" w:hAnsi="Arial"/>
                  <w:sz w:val="18"/>
                  <w:szCs w:val="18"/>
                  <w:color w:val="0000EE"/>
                  <w:w w:val="98"/>
                </w:rPr>
                <w:t>Fiscal Year 2021 Compensation Elements</w:t>
              </w:r>
            </w:hyperlink>
          </w:p>
        </w:tc>
        <w:tc>
          <w:tcPr>
            <w:tcW w:w="1540" w:type="dxa"/>
            <w:vAlign w:val="bottom"/>
            <w:gridSpan w:val="4"/>
            <w:vMerge w:val="restart"/>
            <w:shd w:val="clear" w:color="auto" w:fill="E5E5E5"/>
          </w:tcPr>
          <w:p>
            <w:pPr>
              <w:spacing w:after="0"/>
              <w:rPr>
                <w:sz w:val="18"/>
                <w:szCs w:val="18"/>
                <w:color w:val="auto"/>
              </w:rPr>
            </w:pPr>
          </w:p>
        </w:tc>
        <w:tc>
          <w:tcPr>
            <w:tcW w:w="4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60"/>
        </w:trPr>
        <w:tc>
          <w:tcPr>
            <w:tcW w:w="200" w:type="dxa"/>
            <w:vAlign w:val="bottom"/>
            <w:tcBorders>
              <w:top w:val="single" w:sz="8" w:color="E5E5E5"/>
              <w:left w:val="single" w:sz="8" w:color="E5E5E5"/>
              <w:bottom w:val="single" w:sz="8" w:color="E5E5E5"/>
            </w:tcBorders>
            <w:shd w:val="clear" w:color="auto" w:fill="E5E5E5"/>
          </w:tcPr>
          <w:p>
            <w:pPr>
              <w:spacing w:after="0"/>
              <w:rPr>
                <w:sz w:val="5"/>
                <w:szCs w:val="5"/>
                <w:color w:val="auto"/>
              </w:rPr>
            </w:pPr>
          </w:p>
        </w:tc>
        <w:tc>
          <w:tcPr>
            <w:tcW w:w="940" w:type="dxa"/>
            <w:vAlign w:val="bottom"/>
            <w:tcBorders>
              <w:top w:val="single" w:sz="8" w:color="0000EE"/>
              <w:bottom w:val="single" w:sz="8" w:color="E5E5E5"/>
            </w:tcBorders>
            <w:shd w:val="clear" w:color="auto" w:fill="E5E5E5"/>
          </w:tcPr>
          <w:p>
            <w:pPr>
              <w:spacing w:after="0"/>
              <w:rPr>
                <w:sz w:val="5"/>
                <w:szCs w:val="5"/>
                <w:color w:val="auto"/>
              </w:rPr>
            </w:pPr>
          </w:p>
        </w:tc>
        <w:tc>
          <w:tcPr>
            <w:tcW w:w="220" w:type="dxa"/>
            <w:vAlign w:val="bottom"/>
            <w:tcBorders>
              <w:top w:val="single" w:sz="8" w:color="0000EE"/>
              <w:bottom w:val="single" w:sz="8" w:color="E5E5E5"/>
            </w:tcBorders>
            <w:shd w:val="clear" w:color="auto" w:fill="E5E5E5"/>
          </w:tcPr>
          <w:p>
            <w:pPr>
              <w:spacing w:after="0"/>
              <w:rPr>
                <w:sz w:val="5"/>
                <w:szCs w:val="5"/>
                <w:color w:val="auto"/>
              </w:rPr>
            </w:pPr>
          </w:p>
        </w:tc>
        <w:tc>
          <w:tcPr>
            <w:tcW w:w="260" w:type="dxa"/>
            <w:vAlign w:val="bottom"/>
            <w:tcBorders>
              <w:top w:val="single" w:sz="8" w:color="0000EE"/>
              <w:bottom w:val="single" w:sz="8" w:color="E5E5E5"/>
            </w:tcBorders>
            <w:shd w:val="clear" w:color="auto" w:fill="E5E5E5"/>
          </w:tcPr>
          <w:p>
            <w:pPr>
              <w:spacing w:after="0"/>
              <w:rPr>
                <w:sz w:val="5"/>
                <w:szCs w:val="5"/>
                <w:color w:val="auto"/>
              </w:rPr>
            </w:pPr>
          </w:p>
        </w:tc>
        <w:tc>
          <w:tcPr>
            <w:tcW w:w="220" w:type="dxa"/>
            <w:vAlign w:val="bottom"/>
            <w:tcBorders>
              <w:top w:val="single" w:sz="8" w:color="0000EE"/>
              <w:bottom w:val="single" w:sz="8" w:color="E5E5E5"/>
            </w:tcBorders>
            <w:shd w:val="clear" w:color="auto" w:fill="E5E5E5"/>
          </w:tcPr>
          <w:p>
            <w:pPr>
              <w:spacing w:after="0"/>
              <w:rPr>
                <w:sz w:val="5"/>
                <w:szCs w:val="5"/>
                <w:color w:val="auto"/>
              </w:rPr>
            </w:pPr>
          </w:p>
        </w:tc>
        <w:tc>
          <w:tcPr>
            <w:tcW w:w="140" w:type="dxa"/>
            <w:vAlign w:val="bottom"/>
            <w:tcBorders>
              <w:top w:val="single" w:sz="8" w:color="0000EE"/>
              <w:bottom w:val="single" w:sz="8" w:color="E5E5E5"/>
            </w:tcBorders>
            <w:shd w:val="clear" w:color="auto" w:fill="E5E5E5"/>
          </w:tcPr>
          <w:p>
            <w:pPr>
              <w:spacing w:after="0"/>
              <w:rPr>
                <w:sz w:val="5"/>
                <w:szCs w:val="5"/>
                <w:color w:val="auto"/>
              </w:rPr>
            </w:pPr>
          </w:p>
        </w:tc>
        <w:tc>
          <w:tcPr>
            <w:tcW w:w="100" w:type="dxa"/>
            <w:vAlign w:val="bottom"/>
            <w:tcBorders>
              <w:top w:val="single" w:sz="8" w:color="0000EE"/>
              <w:bottom w:val="single" w:sz="8" w:color="E5E5E5"/>
            </w:tcBorders>
            <w:shd w:val="clear" w:color="auto" w:fill="E5E5E5"/>
          </w:tcPr>
          <w:p>
            <w:pPr>
              <w:spacing w:after="0"/>
              <w:rPr>
                <w:sz w:val="5"/>
                <w:szCs w:val="5"/>
                <w:color w:val="auto"/>
              </w:rPr>
            </w:pPr>
          </w:p>
        </w:tc>
        <w:tc>
          <w:tcPr>
            <w:tcW w:w="540" w:type="dxa"/>
            <w:vAlign w:val="bottom"/>
            <w:tcBorders>
              <w:top w:val="single" w:sz="8" w:color="0000EE"/>
              <w:bottom w:val="single" w:sz="8" w:color="E5E5E5"/>
              <w:right w:val="single" w:sz="8" w:color="E5E5E5"/>
            </w:tcBorders>
            <w:shd w:val="clear" w:color="auto" w:fill="E5E5E5"/>
          </w:tcPr>
          <w:p>
            <w:pPr>
              <w:spacing w:after="0"/>
              <w:rPr>
                <w:sz w:val="5"/>
                <w:szCs w:val="5"/>
                <w:color w:val="auto"/>
              </w:rPr>
            </w:pPr>
          </w:p>
        </w:tc>
        <w:tc>
          <w:tcPr>
            <w:tcW w:w="340" w:type="dxa"/>
            <w:vAlign w:val="bottom"/>
            <w:tcBorders>
              <w:top w:val="single" w:sz="8" w:color="E5E5E5"/>
              <w:bottom w:val="single" w:sz="8" w:color="E5E5E5"/>
            </w:tcBorders>
            <w:shd w:val="clear" w:color="auto" w:fill="E5E5E5"/>
          </w:tcPr>
          <w:p>
            <w:pPr>
              <w:spacing w:after="0"/>
              <w:rPr>
                <w:sz w:val="5"/>
                <w:szCs w:val="5"/>
                <w:color w:val="auto"/>
              </w:rPr>
            </w:pPr>
          </w:p>
        </w:tc>
        <w:tc>
          <w:tcPr>
            <w:tcW w:w="360" w:type="dxa"/>
            <w:vAlign w:val="bottom"/>
            <w:tcBorders>
              <w:top w:val="single" w:sz="8" w:color="E5E5E5"/>
              <w:bottom w:val="single" w:sz="8" w:color="E5E5E5"/>
              <w:right w:val="single" w:sz="8" w:color="E5E5E5"/>
            </w:tcBorders>
            <w:shd w:val="clear" w:color="auto" w:fill="E5E5E5"/>
          </w:tcPr>
          <w:p>
            <w:pPr>
              <w:spacing w:after="0"/>
              <w:rPr>
                <w:sz w:val="5"/>
                <w:szCs w:val="5"/>
                <w:color w:val="auto"/>
              </w:rPr>
            </w:pPr>
          </w:p>
        </w:tc>
        <w:tc>
          <w:tcPr>
            <w:tcW w:w="260" w:type="dxa"/>
            <w:vAlign w:val="bottom"/>
            <w:tcBorders>
              <w:top w:val="single" w:sz="8" w:color="E5E5E5"/>
              <w:bottom w:val="single" w:sz="8" w:color="E5E5E5"/>
            </w:tcBorders>
            <w:shd w:val="clear" w:color="auto" w:fill="E5E5E5"/>
          </w:tcPr>
          <w:p>
            <w:pPr>
              <w:spacing w:after="0"/>
              <w:rPr>
                <w:sz w:val="5"/>
                <w:szCs w:val="5"/>
                <w:color w:val="auto"/>
              </w:rPr>
            </w:pPr>
          </w:p>
        </w:tc>
        <w:tc>
          <w:tcPr>
            <w:tcW w:w="140" w:type="dxa"/>
            <w:vAlign w:val="bottom"/>
            <w:tcBorders>
              <w:top w:val="single" w:sz="8" w:color="E5E5E5"/>
              <w:bottom w:val="single" w:sz="8" w:color="E5E5E5"/>
            </w:tcBorders>
            <w:shd w:val="clear" w:color="auto" w:fill="E5E5E5"/>
          </w:tcPr>
          <w:p>
            <w:pPr>
              <w:spacing w:after="0"/>
              <w:rPr>
                <w:sz w:val="5"/>
                <w:szCs w:val="5"/>
                <w:color w:val="auto"/>
              </w:rPr>
            </w:pPr>
          </w:p>
        </w:tc>
        <w:tc>
          <w:tcPr>
            <w:tcW w:w="520" w:type="dxa"/>
            <w:vAlign w:val="bottom"/>
            <w:tcBorders>
              <w:top w:val="single" w:sz="8" w:color="E5E5E5"/>
              <w:bottom w:val="single" w:sz="8" w:color="E5E5E5"/>
            </w:tcBorders>
            <w:shd w:val="clear" w:color="auto" w:fill="E5E5E5"/>
          </w:tcPr>
          <w:p>
            <w:pPr>
              <w:spacing w:after="0"/>
              <w:rPr>
                <w:sz w:val="5"/>
                <w:szCs w:val="5"/>
                <w:color w:val="auto"/>
              </w:rPr>
            </w:pPr>
          </w:p>
        </w:tc>
        <w:tc>
          <w:tcPr>
            <w:tcW w:w="380" w:type="dxa"/>
            <w:vAlign w:val="bottom"/>
            <w:tcBorders>
              <w:top w:val="single" w:sz="8" w:color="E5E5E5"/>
              <w:bottom w:val="single" w:sz="8" w:color="E5E5E5"/>
            </w:tcBorders>
            <w:shd w:val="clear" w:color="auto" w:fill="E5E5E5"/>
          </w:tcPr>
          <w:p>
            <w:pPr>
              <w:spacing w:after="0"/>
              <w:rPr>
                <w:sz w:val="5"/>
                <w:szCs w:val="5"/>
                <w:color w:val="auto"/>
              </w:rPr>
            </w:pPr>
          </w:p>
        </w:tc>
        <w:tc>
          <w:tcPr>
            <w:tcW w:w="960" w:type="dxa"/>
            <w:vAlign w:val="bottom"/>
            <w:tcBorders>
              <w:top w:val="single" w:sz="8" w:color="E5E5E5"/>
              <w:bottom w:val="single" w:sz="8" w:color="E5E5E5"/>
            </w:tcBorders>
            <w:shd w:val="clear" w:color="auto" w:fill="E5E5E5"/>
          </w:tcPr>
          <w:p>
            <w:pPr>
              <w:spacing w:after="0"/>
              <w:rPr>
                <w:sz w:val="5"/>
                <w:szCs w:val="5"/>
                <w:color w:val="auto"/>
              </w:rPr>
            </w:pPr>
          </w:p>
        </w:tc>
        <w:tc>
          <w:tcPr>
            <w:tcW w:w="3320" w:type="dxa"/>
            <w:vAlign w:val="bottom"/>
            <w:tcBorders>
              <w:top w:val="single" w:sz="8" w:color="E5E5E5"/>
              <w:bottom w:val="single" w:sz="8" w:color="0000EE"/>
            </w:tcBorders>
            <w:gridSpan w:val="10"/>
            <w:vMerge w:val="continue"/>
            <w:shd w:val="clear" w:color="auto" w:fill="E5E5E5"/>
          </w:tcPr>
          <w:p>
            <w:pPr>
              <w:spacing w:after="0"/>
              <w:rPr>
                <w:sz w:val="5"/>
                <w:szCs w:val="5"/>
                <w:color w:val="auto"/>
              </w:rPr>
            </w:pPr>
          </w:p>
        </w:tc>
        <w:tc>
          <w:tcPr>
            <w:tcW w:w="1540" w:type="dxa"/>
            <w:vAlign w:val="bottom"/>
            <w:tcBorders>
              <w:top w:val="single" w:sz="8" w:color="E5E5E5"/>
              <w:bottom w:val="single" w:sz="8" w:color="E5E5E5"/>
            </w:tcBorders>
            <w:gridSpan w:val="4"/>
            <w:vMerge w:val="continue"/>
            <w:shd w:val="clear" w:color="auto" w:fill="E5E5E5"/>
          </w:tcPr>
          <w:p>
            <w:pPr>
              <w:spacing w:after="0"/>
              <w:rPr>
                <w:sz w:val="5"/>
                <w:szCs w:val="5"/>
                <w:color w:val="auto"/>
              </w:rPr>
            </w:pPr>
          </w:p>
        </w:tc>
        <w:tc>
          <w:tcPr>
            <w:tcW w:w="480" w:type="dxa"/>
            <w:vAlign w:val="bottom"/>
            <w:tcBorders>
              <w:top w:val="single" w:sz="8" w:color="E5E5E5"/>
              <w:bottom w:val="single" w:sz="8" w:color="E5E5E5"/>
            </w:tcBorders>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1620" w:type="dxa"/>
            <w:vAlign w:val="bottom"/>
            <w:tcBorders>
              <w:left w:val="single" w:sz="8" w:color="E5E5E5"/>
              <w:bottom w:val="single" w:sz="8" w:color="0000EE"/>
            </w:tcBorders>
            <w:gridSpan w:val="4"/>
            <w:shd w:val="clear" w:color="auto" w:fill="E5E5E5"/>
          </w:tcPr>
          <w:p>
            <w:pPr>
              <w:ind w:left="20"/>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Executive Summary</w:t>
              </w:r>
            </w:hyperlink>
          </w:p>
        </w:tc>
        <w:tc>
          <w:tcPr>
            <w:tcW w:w="3000" w:type="dxa"/>
            <w:vAlign w:val="bottom"/>
            <w:tcBorders>
              <w:bottom w:val="single" w:sz="8" w:color="E5E5E5"/>
            </w:tcBorders>
            <w:gridSpan w:val="10"/>
            <w:shd w:val="clear" w:color="auto" w:fill="E5E5E5"/>
          </w:tcPr>
          <w:p>
            <w:pPr>
              <w:spacing w:after="0"/>
              <w:rPr>
                <w:sz w:val="18"/>
                <w:szCs w:val="18"/>
                <w:color w:val="auto"/>
              </w:rPr>
            </w:pPr>
          </w:p>
        </w:tc>
        <w:tc>
          <w:tcPr>
            <w:tcW w:w="960" w:type="dxa"/>
            <w:vAlign w:val="bottom"/>
            <w:tcBorders>
              <w:bottom w:val="single" w:sz="8" w:color="E5E5E5"/>
            </w:tcBorders>
            <w:shd w:val="clear" w:color="auto" w:fill="E5E5E5"/>
          </w:tcPr>
          <w:p>
            <w:pPr>
              <w:jc w:val="right"/>
              <w:ind w:right="311"/>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E5E5E5"/>
            </w:tcBorders>
            <w:shd w:val="clear" w:color="auto" w:fill="E5E5E5"/>
          </w:tcPr>
          <w:p>
            <w:pPr>
              <w:spacing w:after="0"/>
              <w:rPr>
                <w:sz w:val="18"/>
                <w:szCs w:val="18"/>
                <w:color w:val="auto"/>
              </w:rPr>
            </w:pPr>
          </w:p>
        </w:tc>
        <w:tc>
          <w:tcPr>
            <w:tcW w:w="1000" w:type="dxa"/>
            <w:vAlign w:val="bottom"/>
            <w:tcBorders>
              <w:bottom w:val="single" w:sz="8" w:color="0000EE"/>
              <w:right w:val="single" w:sz="8" w:color="E5E5E5"/>
            </w:tcBorders>
            <w:shd w:val="clear" w:color="auto" w:fill="E5E5E5"/>
          </w:tcPr>
          <w:p>
            <w:pPr>
              <w:spacing w:after="0"/>
              <w:rPr>
                <w:rFonts w:ascii="Arial" w:cs="Arial" w:eastAsia="Arial" w:hAnsi="Arial"/>
                <w:sz w:val="18"/>
                <w:szCs w:val="18"/>
                <w:color w:val="0000EE"/>
                <w:w w:val="98"/>
              </w:rPr>
            </w:pPr>
            <w:hyperlink w:anchor="page50">
              <w:r>
                <w:rPr>
                  <w:rFonts w:ascii="Arial" w:cs="Arial" w:eastAsia="Arial" w:hAnsi="Arial"/>
                  <w:sz w:val="18"/>
                  <w:szCs w:val="18"/>
                  <w:color w:val="0000EE"/>
                  <w:w w:val="98"/>
                </w:rPr>
                <w:t>Base Salary</w:t>
              </w:r>
            </w:hyperlink>
          </w:p>
        </w:tc>
        <w:tc>
          <w:tcPr>
            <w:tcW w:w="3680" w:type="dxa"/>
            <w:vAlign w:val="bottom"/>
            <w:tcBorders>
              <w:bottom w:val="single" w:sz="8" w:color="E5E5E5"/>
            </w:tcBorders>
            <w:gridSpan w:val="12"/>
            <w:shd w:val="clear" w:color="auto" w:fill="E5E5E5"/>
          </w:tcPr>
          <w:p>
            <w:pPr>
              <w:spacing w:after="0"/>
              <w:rPr>
                <w:sz w:val="18"/>
                <w:szCs w:val="18"/>
                <w:color w:val="auto"/>
              </w:rPr>
            </w:pPr>
          </w:p>
        </w:tc>
        <w:tc>
          <w:tcPr>
            <w:tcW w:w="4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7"/>
        </w:trPr>
        <w:tc>
          <w:tcPr>
            <w:tcW w:w="200" w:type="dxa"/>
            <w:vAlign w:val="bottom"/>
            <w:tcBorders>
              <w:left w:val="single" w:sz="8" w:color="E5E5E5"/>
            </w:tcBorders>
            <w:shd w:val="clear" w:color="auto" w:fill="E5E5E5"/>
          </w:tcPr>
          <w:p>
            <w:pPr>
              <w:spacing w:after="0"/>
              <w:rPr>
                <w:sz w:val="18"/>
                <w:szCs w:val="18"/>
                <w:color w:val="auto"/>
              </w:rPr>
            </w:pPr>
          </w:p>
        </w:tc>
        <w:tc>
          <w:tcPr>
            <w:tcW w:w="3520" w:type="dxa"/>
            <w:vAlign w:val="bottom"/>
            <w:gridSpan w:val="11"/>
            <w:shd w:val="clear" w:color="auto" w:fill="E5E5E5"/>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Recent Compensation Committee Highlights</w:t>
              </w:r>
            </w:hyperlink>
          </w:p>
        </w:tc>
        <w:tc>
          <w:tcPr>
            <w:tcW w:w="900" w:type="dxa"/>
            <w:vAlign w:val="bottom"/>
            <w:gridSpan w:val="2"/>
            <w:shd w:val="clear" w:color="auto" w:fill="E5E5E5"/>
          </w:tcPr>
          <w:p>
            <w:pPr>
              <w:spacing w:after="0"/>
              <w:rPr>
                <w:sz w:val="18"/>
                <w:szCs w:val="18"/>
                <w:color w:val="auto"/>
              </w:rPr>
            </w:pPr>
          </w:p>
        </w:tc>
        <w:tc>
          <w:tcPr>
            <w:tcW w:w="960" w:type="dxa"/>
            <w:vAlign w:val="bottom"/>
            <w:shd w:val="clear" w:color="auto" w:fill="E5E5E5"/>
          </w:tcPr>
          <w:p>
            <w:pPr>
              <w:jc w:val="right"/>
              <w:ind w:right="311"/>
              <w:spacing w:after="0"/>
              <w:rPr>
                <w:sz w:val="20"/>
                <w:szCs w:val="20"/>
                <w:color w:val="auto"/>
              </w:rPr>
            </w:pPr>
            <w:r>
              <w:rPr>
                <w:rFonts w:ascii="Arial" w:cs="Arial" w:eastAsia="Arial" w:hAnsi="Arial"/>
                <w:sz w:val="18"/>
                <w:szCs w:val="18"/>
                <w:color w:val="auto"/>
              </w:rPr>
              <w:t>39</w:t>
            </w:r>
          </w:p>
        </w:tc>
        <w:tc>
          <w:tcPr>
            <w:tcW w:w="180" w:type="dxa"/>
            <w:vAlign w:val="bottom"/>
            <w:shd w:val="clear" w:color="auto" w:fill="E5E5E5"/>
          </w:tcPr>
          <w:p>
            <w:pPr>
              <w:spacing w:after="0"/>
              <w:rPr>
                <w:sz w:val="18"/>
                <w:szCs w:val="18"/>
                <w:color w:val="auto"/>
              </w:rPr>
            </w:pPr>
          </w:p>
        </w:tc>
        <w:tc>
          <w:tcPr>
            <w:tcW w:w="4680" w:type="dxa"/>
            <w:vAlign w:val="bottom"/>
            <w:gridSpan w:val="13"/>
            <w:shd w:val="clear" w:color="auto" w:fill="E5E5E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Annual Bonus Awards</w:t>
              </w:r>
            </w:hyperlink>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0" w:type="dxa"/>
            <w:vAlign w:val="bottom"/>
            <w:tcBorders>
              <w:left w:val="single" w:sz="8" w:color="E5E5E5"/>
            </w:tcBorders>
            <w:shd w:val="clear" w:color="auto" w:fill="E5E5E5"/>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E5E5E5"/>
          </w:tcPr>
          <w:p>
            <w:pPr>
              <w:spacing w:after="0" w:line="20" w:lineRule="exact"/>
              <w:rPr>
                <w:sz w:val="1"/>
                <w:szCs w:val="1"/>
                <w:color w:val="auto"/>
              </w:rPr>
            </w:pPr>
          </w:p>
        </w:tc>
        <w:tc>
          <w:tcPr>
            <w:tcW w:w="380" w:type="dxa"/>
            <w:vAlign w:val="bottom"/>
            <w:shd w:val="clear" w:color="auto" w:fill="E5E5E5"/>
          </w:tcPr>
          <w:p>
            <w:pPr>
              <w:spacing w:after="0" w:line="20" w:lineRule="exact"/>
              <w:rPr>
                <w:sz w:val="1"/>
                <w:szCs w:val="1"/>
                <w:color w:val="auto"/>
              </w:rPr>
            </w:pPr>
          </w:p>
        </w:tc>
        <w:tc>
          <w:tcPr>
            <w:tcW w:w="96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10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right w:val="single" w:sz="8" w:color="E5E5E5"/>
            </w:tcBorders>
            <w:shd w:val="clear" w:color="auto" w:fill="0000EE"/>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240" w:type="dxa"/>
            <w:vAlign w:val="bottom"/>
            <w:tcBorders>
              <w:right w:val="single" w:sz="8" w:color="E5E5E5"/>
            </w:tcBorders>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540" w:type="dxa"/>
            <w:vAlign w:val="bottom"/>
            <w:shd w:val="clear" w:color="auto" w:fill="E5E5E5"/>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80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48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Borders>
              <w:left w:val="single" w:sz="8" w:color="E5E5E5"/>
            </w:tcBorders>
            <w:shd w:val="clear" w:color="auto" w:fill="E5E5E5"/>
          </w:tcPr>
          <w:p>
            <w:pPr>
              <w:spacing w:after="0"/>
              <w:rPr>
                <w:sz w:val="18"/>
                <w:szCs w:val="18"/>
                <w:color w:val="auto"/>
              </w:rPr>
            </w:pPr>
          </w:p>
        </w:tc>
        <w:tc>
          <w:tcPr>
            <w:tcW w:w="3520" w:type="dxa"/>
            <w:vAlign w:val="bottom"/>
            <w:gridSpan w:val="11"/>
            <w:shd w:val="clear" w:color="auto" w:fill="E5E5E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Our Strategic Growth Priorities</w:t>
              </w:r>
            </w:hyperlink>
          </w:p>
        </w:tc>
        <w:tc>
          <w:tcPr>
            <w:tcW w:w="900" w:type="dxa"/>
            <w:vAlign w:val="bottom"/>
            <w:gridSpan w:val="2"/>
            <w:shd w:val="clear" w:color="auto" w:fill="E5E5E5"/>
          </w:tcPr>
          <w:p>
            <w:pPr>
              <w:spacing w:after="0"/>
              <w:rPr>
                <w:sz w:val="18"/>
                <w:szCs w:val="18"/>
                <w:color w:val="auto"/>
              </w:rPr>
            </w:pPr>
          </w:p>
        </w:tc>
        <w:tc>
          <w:tcPr>
            <w:tcW w:w="960" w:type="dxa"/>
            <w:vAlign w:val="bottom"/>
            <w:shd w:val="clear" w:color="auto" w:fill="E5E5E5"/>
          </w:tcPr>
          <w:p>
            <w:pPr>
              <w:jc w:val="right"/>
              <w:ind w:right="311"/>
              <w:spacing w:after="0"/>
              <w:rPr>
                <w:sz w:val="20"/>
                <w:szCs w:val="20"/>
                <w:color w:val="auto"/>
              </w:rPr>
            </w:pPr>
            <w:r>
              <w:rPr>
                <w:rFonts w:ascii="Arial" w:cs="Arial" w:eastAsia="Arial" w:hAnsi="Arial"/>
                <w:sz w:val="18"/>
                <w:szCs w:val="18"/>
                <w:color w:val="auto"/>
              </w:rPr>
              <w:t>39</w:t>
            </w:r>
          </w:p>
        </w:tc>
        <w:tc>
          <w:tcPr>
            <w:tcW w:w="180" w:type="dxa"/>
            <w:vAlign w:val="bottom"/>
            <w:shd w:val="clear" w:color="auto" w:fill="E5E5E5"/>
          </w:tcPr>
          <w:p>
            <w:pPr>
              <w:spacing w:after="0"/>
              <w:rPr>
                <w:sz w:val="18"/>
                <w:szCs w:val="18"/>
                <w:color w:val="auto"/>
              </w:rPr>
            </w:pPr>
          </w:p>
        </w:tc>
        <w:tc>
          <w:tcPr>
            <w:tcW w:w="4680" w:type="dxa"/>
            <w:vAlign w:val="bottom"/>
            <w:gridSpan w:val="13"/>
            <w:shd w:val="clear" w:color="auto" w:fill="E5E5E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Fiscal Year 2022 Bonus Program</w:t>
              </w:r>
            </w:hyperlink>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0" w:type="dxa"/>
            <w:vAlign w:val="bottom"/>
            <w:tcBorders>
              <w:left w:val="single" w:sz="8" w:color="E5E5E5"/>
            </w:tcBorders>
            <w:shd w:val="clear" w:color="auto" w:fill="E5E5E5"/>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E5E5E5"/>
          </w:tcPr>
          <w:p>
            <w:pPr>
              <w:spacing w:after="0" w:line="20" w:lineRule="exact"/>
              <w:rPr>
                <w:sz w:val="1"/>
                <w:szCs w:val="1"/>
                <w:color w:val="auto"/>
              </w:rPr>
            </w:pPr>
          </w:p>
        </w:tc>
        <w:tc>
          <w:tcPr>
            <w:tcW w:w="360" w:type="dxa"/>
            <w:vAlign w:val="bottom"/>
            <w:tcBorders>
              <w:right w:val="single" w:sz="8" w:color="E5E5E5"/>
            </w:tcBorders>
            <w:shd w:val="clear" w:color="auto" w:fill="E5E5E5"/>
          </w:tcPr>
          <w:p>
            <w:pPr>
              <w:spacing w:after="0" w:line="20" w:lineRule="exact"/>
              <w:rPr>
                <w:sz w:val="1"/>
                <w:szCs w:val="1"/>
                <w:color w:val="auto"/>
              </w:rPr>
            </w:pPr>
          </w:p>
        </w:tc>
        <w:tc>
          <w:tcPr>
            <w:tcW w:w="260" w:type="dxa"/>
            <w:vAlign w:val="bottom"/>
            <w:shd w:val="clear" w:color="auto" w:fill="E5E5E5"/>
          </w:tcPr>
          <w:p>
            <w:pPr>
              <w:spacing w:after="0" w:line="20" w:lineRule="exact"/>
              <w:rPr>
                <w:sz w:val="1"/>
                <w:szCs w:val="1"/>
                <w:color w:val="auto"/>
              </w:rPr>
            </w:pPr>
          </w:p>
        </w:tc>
        <w:tc>
          <w:tcPr>
            <w:tcW w:w="660" w:type="dxa"/>
            <w:vAlign w:val="bottom"/>
            <w:gridSpan w:val="2"/>
            <w:shd w:val="clear" w:color="auto" w:fill="E5E5E5"/>
          </w:tcPr>
          <w:p>
            <w:pPr>
              <w:spacing w:after="0" w:line="20" w:lineRule="exact"/>
              <w:rPr>
                <w:sz w:val="1"/>
                <w:szCs w:val="1"/>
                <w:color w:val="auto"/>
              </w:rPr>
            </w:pPr>
          </w:p>
        </w:tc>
        <w:tc>
          <w:tcPr>
            <w:tcW w:w="380" w:type="dxa"/>
            <w:vAlign w:val="bottom"/>
            <w:shd w:val="clear" w:color="auto" w:fill="E5E5E5"/>
          </w:tcPr>
          <w:p>
            <w:pPr>
              <w:spacing w:after="0" w:line="20" w:lineRule="exact"/>
              <w:rPr>
                <w:sz w:val="1"/>
                <w:szCs w:val="1"/>
                <w:color w:val="auto"/>
              </w:rPr>
            </w:pPr>
          </w:p>
        </w:tc>
        <w:tc>
          <w:tcPr>
            <w:tcW w:w="96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10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E5E5E5"/>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80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48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Borders>
              <w:left w:val="single" w:sz="8" w:color="E5E5E5"/>
            </w:tcBorders>
            <w:shd w:val="clear" w:color="auto" w:fill="E5E5E5"/>
          </w:tcPr>
          <w:p>
            <w:pPr>
              <w:spacing w:after="0"/>
              <w:rPr>
                <w:sz w:val="18"/>
                <w:szCs w:val="18"/>
                <w:color w:val="auto"/>
              </w:rPr>
            </w:pPr>
          </w:p>
        </w:tc>
        <w:tc>
          <w:tcPr>
            <w:tcW w:w="4420" w:type="dxa"/>
            <w:vAlign w:val="bottom"/>
            <w:gridSpan w:val="13"/>
            <w:shd w:val="clear" w:color="auto" w:fill="E5E5E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Overview of Fiscal Year 2021 Performance</w:t>
              </w:r>
            </w:hyperlink>
          </w:p>
        </w:tc>
        <w:tc>
          <w:tcPr>
            <w:tcW w:w="960" w:type="dxa"/>
            <w:vAlign w:val="bottom"/>
            <w:shd w:val="clear" w:color="auto" w:fill="E5E5E5"/>
          </w:tcPr>
          <w:p>
            <w:pPr>
              <w:jc w:val="right"/>
              <w:ind w:right="311"/>
              <w:spacing w:after="0"/>
              <w:rPr>
                <w:sz w:val="20"/>
                <w:szCs w:val="20"/>
                <w:color w:val="auto"/>
              </w:rPr>
            </w:pPr>
            <w:r>
              <w:rPr>
                <w:rFonts w:ascii="Arial" w:cs="Arial" w:eastAsia="Arial" w:hAnsi="Arial"/>
                <w:sz w:val="18"/>
                <w:szCs w:val="18"/>
                <w:color w:val="auto"/>
              </w:rPr>
              <w:t>40</w:t>
            </w:r>
          </w:p>
        </w:tc>
        <w:tc>
          <w:tcPr>
            <w:tcW w:w="180" w:type="dxa"/>
            <w:vAlign w:val="bottom"/>
            <w:shd w:val="clear" w:color="auto" w:fill="E5E5E5"/>
          </w:tcPr>
          <w:p>
            <w:pPr>
              <w:spacing w:after="0"/>
              <w:rPr>
                <w:sz w:val="18"/>
                <w:szCs w:val="18"/>
                <w:color w:val="auto"/>
              </w:rPr>
            </w:pPr>
          </w:p>
        </w:tc>
        <w:tc>
          <w:tcPr>
            <w:tcW w:w="4680" w:type="dxa"/>
            <w:vAlign w:val="bottom"/>
            <w:gridSpan w:val="13"/>
            <w:shd w:val="clear" w:color="auto" w:fill="E5E5E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Long-Term Management Incentive Program</w:t>
              </w:r>
            </w:hyperlink>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0" w:type="dxa"/>
            <w:vAlign w:val="bottom"/>
            <w:tcBorders>
              <w:left w:val="single" w:sz="8" w:color="E5E5E5"/>
            </w:tcBorders>
            <w:shd w:val="clear" w:color="auto" w:fill="E5E5E5"/>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gridSpan w:val="2"/>
            <w:shd w:val="clear" w:color="auto" w:fill="E5E5E5"/>
          </w:tcPr>
          <w:p>
            <w:pPr>
              <w:spacing w:after="0" w:line="20" w:lineRule="exact"/>
              <w:rPr>
                <w:sz w:val="1"/>
                <w:szCs w:val="1"/>
                <w:color w:val="auto"/>
              </w:rPr>
            </w:pPr>
          </w:p>
        </w:tc>
        <w:tc>
          <w:tcPr>
            <w:tcW w:w="380" w:type="dxa"/>
            <w:vAlign w:val="bottom"/>
            <w:shd w:val="clear" w:color="auto" w:fill="E5E5E5"/>
          </w:tcPr>
          <w:p>
            <w:pPr>
              <w:spacing w:after="0" w:line="20" w:lineRule="exact"/>
              <w:rPr>
                <w:sz w:val="1"/>
                <w:szCs w:val="1"/>
                <w:color w:val="auto"/>
              </w:rPr>
            </w:pPr>
          </w:p>
        </w:tc>
        <w:tc>
          <w:tcPr>
            <w:tcW w:w="96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10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80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48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Borders>
              <w:left w:val="single" w:sz="8" w:color="E5E5E5"/>
              <w:bottom w:val="single" w:sz="8" w:color="E5E5E5"/>
            </w:tcBorders>
            <w:shd w:val="clear" w:color="auto" w:fill="E5E5E5"/>
          </w:tcPr>
          <w:p>
            <w:pPr>
              <w:spacing w:after="0"/>
              <w:rPr>
                <w:sz w:val="18"/>
                <w:szCs w:val="18"/>
                <w:color w:val="auto"/>
              </w:rPr>
            </w:pPr>
          </w:p>
        </w:tc>
        <w:tc>
          <w:tcPr>
            <w:tcW w:w="1640" w:type="dxa"/>
            <w:vAlign w:val="bottom"/>
            <w:tcBorders>
              <w:bottom w:val="single" w:sz="8" w:color="0000EE"/>
            </w:tcBorders>
            <w:gridSpan w:val="4"/>
            <w:shd w:val="clear" w:color="auto" w:fill="E5E5E5"/>
          </w:tcPr>
          <w:p>
            <w:pPr>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Pay for Performance</w:t>
              </w:r>
            </w:hyperlink>
          </w:p>
        </w:tc>
        <w:tc>
          <w:tcPr>
            <w:tcW w:w="1740" w:type="dxa"/>
            <w:vAlign w:val="bottom"/>
            <w:tcBorders>
              <w:bottom w:val="single" w:sz="8" w:color="E5E5E5"/>
            </w:tcBorders>
            <w:gridSpan w:val="6"/>
            <w:shd w:val="clear" w:color="auto" w:fill="E5E5E5"/>
          </w:tcPr>
          <w:p>
            <w:pPr>
              <w:spacing w:after="0"/>
              <w:rPr>
                <w:sz w:val="18"/>
                <w:szCs w:val="18"/>
                <w:color w:val="auto"/>
              </w:rPr>
            </w:pPr>
          </w:p>
        </w:tc>
        <w:tc>
          <w:tcPr>
            <w:tcW w:w="1040" w:type="dxa"/>
            <w:vAlign w:val="bottom"/>
            <w:tcBorders>
              <w:bottom w:val="single" w:sz="8" w:color="E5E5E5"/>
            </w:tcBorders>
            <w:gridSpan w:val="3"/>
            <w:shd w:val="clear" w:color="auto" w:fill="E5E5E5"/>
          </w:tcPr>
          <w:p>
            <w:pPr>
              <w:spacing w:after="0"/>
              <w:rPr>
                <w:sz w:val="18"/>
                <w:szCs w:val="18"/>
                <w:color w:val="auto"/>
              </w:rPr>
            </w:pPr>
          </w:p>
        </w:tc>
        <w:tc>
          <w:tcPr>
            <w:tcW w:w="960" w:type="dxa"/>
            <w:vAlign w:val="bottom"/>
            <w:tcBorders>
              <w:bottom w:val="single" w:sz="8" w:color="E5E5E5"/>
            </w:tcBorders>
            <w:shd w:val="clear" w:color="auto" w:fill="E5E5E5"/>
          </w:tcPr>
          <w:p>
            <w:pPr>
              <w:jc w:val="right"/>
              <w:ind w:right="311"/>
              <w:spacing w:after="0"/>
              <w:rPr>
                <w:sz w:val="20"/>
                <w:szCs w:val="20"/>
                <w:color w:val="auto"/>
              </w:rPr>
            </w:pPr>
            <w:r>
              <w:rPr>
                <w:rFonts w:ascii="Arial" w:cs="Arial" w:eastAsia="Arial" w:hAnsi="Arial"/>
                <w:sz w:val="18"/>
                <w:szCs w:val="18"/>
                <w:color w:val="auto"/>
              </w:rPr>
              <w:t>41</w:t>
            </w:r>
          </w:p>
        </w:tc>
        <w:tc>
          <w:tcPr>
            <w:tcW w:w="2300" w:type="dxa"/>
            <w:vAlign w:val="bottom"/>
            <w:tcBorders>
              <w:bottom w:val="single" w:sz="8" w:color="E5E5E5"/>
              <w:right w:val="single" w:sz="8" w:color="E5E5E5"/>
            </w:tcBorders>
            <w:gridSpan w:val="6"/>
            <w:vMerge w:val="restart"/>
            <w:shd w:val="clear" w:color="auto" w:fill="E5E5E5"/>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Stock Ownership Guidelines</w:t>
              </w:r>
            </w:hyperlink>
          </w:p>
        </w:tc>
        <w:tc>
          <w:tcPr>
            <w:tcW w:w="2560" w:type="dxa"/>
            <w:vAlign w:val="bottom"/>
            <w:tcBorders>
              <w:bottom w:val="single" w:sz="8" w:color="E5E5E5"/>
            </w:tcBorders>
            <w:gridSpan w:val="8"/>
            <w:vMerge w:val="restart"/>
            <w:shd w:val="clear" w:color="auto" w:fill="E5E5E5"/>
          </w:tcPr>
          <w:p>
            <w:pPr>
              <w:spacing w:after="0"/>
              <w:rPr>
                <w:sz w:val="18"/>
                <w:szCs w:val="18"/>
                <w:color w:val="auto"/>
              </w:rPr>
            </w:pPr>
          </w:p>
        </w:tc>
        <w:tc>
          <w:tcPr>
            <w:tcW w:w="480" w:type="dxa"/>
            <w:vAlign w:val="bottom"/>
            <w:tcBorders>
              <w:bottom w:val="single" w:sz="8" w:color="E5E5E5"/>
            </w:tcBorders>
            <w:vMerge w:val="restart"/>
            <w:shd w:val="clear" w:color="auto" w:fill="E5E5E5"/>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60"/>
        </w:trPr>
        <w:tc>
          <w:tcPr>
            <w:tcW w:w="4620" w:type="dxa"/>
            <w:vAlign w:val="bottom"/>
            <w:tcBorders>
              <w:left w:val="single" w:sz="8" w:color="E5E5E5"/>
              <w:bottom w:val="single" w:sz="8" w:color="E5E5E5"/>
            </w:tcBorders>
            <w:gridSpan w:val="14"/>
            <w:vMerge w:val="restart"/>
            <w:shd w:val="clear" w:color="auto" w:fill="E5E5E5"/>
          </w:tcPr>
          <w:p>
            <w:pPr>
              <w:ind w:left="20"/>
              <w:spacing w:after="0"/>
              <w:rPr>
                <w:rFonts w:ascii="Arial" w:cs="Arial" w:eastAsia="Arial" w:hAnsi="Arial"/>
                <w:sz w:val="18"/>
                <w:szCs w:val="18"/>
                <w:color w:val="0000EE"/>
              </w:rPr>
            </w:pPr>
            <w:hyperlink w:anchor="page47">
              <w:r>
                <w:rPr>
                  <w:rFonts w:ascii="Arial" w:cs="Arial" w:eastAsia="Arial" w:hAnsi="Arial"/>
                  <w:sz w:val="18"/>
                  <w:szCs w:val="18"/>
                  <w:color w:val="0000EE"/>
                </w:rPr>
                <w:t>Compensation Philosophy and Objectives</w:t>
              </w:r>
            </w:hyperlink>
          </w:p>
        </w:tc>
        <w:tc>
          <w:tcPr>
            <w:tcW w:w="960" w:type="dxa"/>
            <w:vAlign w:val="bottom"/>
            <w:tcBorders>
              <w:bottom w:val="single" w:sz="8" w:color="E5E5E5"/>
            </w:tcBorders>
            <w:vMerge w:val="restart"/>
            <w:shd w:val="clear" w:color="auto" w:fill="E5E5E5"/>
          </w:tcPr>
          <w:p>
            <w:pPr>
              <w:jc w:val="right"/>
              <w:ind w:right="311"/>
              <w:spacing w:after="0"/>
              <w:rPr>
                <w:sz w:val="20"/>
                <w:szCs w:val="20"/>
                <w:color w:val="auto"/>
              </w:rPr>
            </w:pPr>
            <w:r>
              <w:rPr>
                <w:rFonts w:ascii="Arial" w:cs="Arial" w:eastAsia="Arial" w:hAnsi="Arial"/>
                <w:sz w:val="18"/>
                <w:szCs w:val="18"/>
                <w:color w:val="auto"/>
              </w:rPr>
              <w:t>42</w:t>
            </w:r>
          </w:p>
        </w:tc>
        <w:tc>
          <w:tcPr>
            <w:tcW w:w="2300" w:type="dxa"/>
            <w:vAlign w:val="bottom"/>
            <w:tcBorders>
              <w:bottom w:val="single" w:sz="8" w:color="0000EE"/>
              <w:right w:val="single" w:sz="8" w:color="E5E5E5"/>
            </w:tcBorders>
            <w:gridSpan w:val="6"/>
            <w:vMerge w:val="continue"/>
            <w:shd w:val="clear" w:color="auto" w:fill="E5E5E5"/>
          </w:tcPr>
          <w:p>
            <w:pPr>
              <w:spacing w:after="0"/>
              <w:rPr>
                <w:sz w:val="5"/>
                <w:szCs w:val="5"/>
                <w:color w:val="auto"/>
              </w:rPr>
            </w:pPr>
          </w:p>
        </w:tc>
        <w:tc>
          <w:tcPr>
            <w:tcW w:w="2560" w:type="dxa"/>
            <w:vAlign w:val="bottom"/>
            <w:tcBorders>
              <w:bottom w:val="single" w:sz="8" w:color="E5E5E5"/>
            </w:tcBorders>
            <w:gridSpan w:val="8"/>
            <w:vMerge w:val="continue"/>
            <w:shd w:val="clear" w:color="auto" w:fill="E5E5E5"/>
          </w:tcPr>
          <w:p>
            <w:pPr>
              <w:spacing w:after="0"/>
              <w:rPr>
                <w:sz w:val="5"/>
                <w:szCs w:val="5"/>
                <w:color w:val="auto"/>
              </w:rPr>
            </w:pPr>
          </w:p>
        </w:tc>
        <w:tc>
          <w:tcPr>
            <w:tcW w:w="480" w:type="dxa"/>
            <w:vAlign w:val="bottom"/>
            <w:tcBorders>
              <w:bottom w:val="single" w:sz="8" w:color="E5E5E5"/>
            </w:tcBorders>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620" w:type="dxa"/>
            <w:vAlign w:val="bottom"/>
            <w:tcBorders>
              <w:left w:val="single" w:sz="8" w:color="E5E5E5"/>
            </w:tcBorders>
            <w:gridSpan w:val="14"/>
            <w:vMerge w:val="continue"/>
            <w:shd w:val="clear" w:color="auto" w:fill="E5E5E5"/>
          </w:tcPr>
          <w:p>
            <w:pPr>
              <w:spacing w:after="0"/>
              <w:rPr>
                <w:sz w:val="18"/>
                <w:szCs w:val="18"/>
                <w:color w:val="auto"/>
              </w:rPr>
            </w:pPr>
          </w:p>
        </w:tc>
        <w:tc>
          <w:tcPr>
            <w:tcW w:w="960" w:type="dxa"/>
            <w:vAlign w:val="bottom"/>
            <w:vMerge w:val="continue"/>
            <w:shd w:val="clear" w:color="auto" w:fill="E5E5E5"/>
          </w:tcPr>
          <w:p>
            <w:pPr>
              <w:spacing w:after="0"/>
              <w:rPr>
                <w:sz w:val="18"/>
                <w:szCs w:val="18"/>
                <w:color w:val="auto"/>
              </w:rPr>
            </w:pPr>
          </w:p>
        </w:tc>
        <w:tc>
          <w:tcPr>
            <w:tcW w:w="4860" w:type="dxa"/>
            <w:vAlign w:val="bottom"/>
            <w:gridSpan w:val="14"/>
            <w:vMerge w:val="restart"/>
            <w:shd w:val="clear" w:color="auto" w:fill="E5E5E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Hedging Policy</w:t>
              </w:r>
            </w:hyperlink>
          </w:p>
        </w:tc>
        <w:tc>
          <w:tcPr>
            <w:tcW w:w="4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60"/>
        </w:trPr>
        <w:tc>
          <w:tcPr>
            <w:tcW w:w="200" w:type="dxa"/>
            <w:vAlign w:val="bottom"/>
            <w:tcBorders>
              <w:top w:val="single" w:sz="8" w:color="0000EE"/>
              <w:left w:val="single" w:sz="8" w:color="E5E5E5"/>
            </w:tcBorders>
            <w:shd w:val="clear" w:color="auto" w:fill="E5E5E5"/>
          </w:tcPr>
          <w:p>
            <w:pPr>
              <w:spacing w:after="0"/>
              <w:rPr>
                <w:sz w:val="5"/>
                <w:szCs w:val="5"/>
                <w:color w:val="auto"/>
              </w:rPr>
            </w:pPr>
          </w:p>
        </w:tc>
        <w:tc>
          <w:tcPr>
            <w:tcW w:w="940" w:type="dxa"/>
            <w:vAlign w:val="bottom"/>
            <w:tcBorders>
              <w:top w:val="single" w:sz="8" w:color="0000EE"/>
            </w:tcBorders>
            <w:vMerge w:val="restart"/>
            <w:shd w:val="clear" w:color="auto" w:fill="E5E5E5"/>
          </w:tcPr>
          <w:p>
            <w:pPr>
              <w:spacing w:after="0"/>
              <w:rPr>
                <w:rFonts w:ascii="Arial" w:cs="Arial" w:eastAsia="Arial" w:hAnsi="Arial"/>
                <w:sz w:val="18"/>
                <w:szCs w:val="18"/>
                <w:color w:val="0000EE"/>
                <w:w w:val="97"/>
              </w:rPr>
            </w:pPr>
            <w:hyperlink w:anchor="page47">
              <w:r>
                <w:rPr>
                  <w:rFonts w:ascii="Arial" w:cs="Arial" w:eastAsia="Arial" w:hAnsi="Arial"/>
                  <w:sz w:val="18"/>
                  <w:szCs w:val="18"/>
                  <w:color w:val="0000EE"/>
                  <w:w w:val="97"/>
                </w:rPr>
                <w:t>Introduction</w:t>
              </w:r>
            </w:hyperlink>
          </w:p>
        </w:tc>
        <w:tc>
          <w:tcPr>
            <w:tcW w:w="2180" w:type="dxa"/>
            <w:vAlign w:val="bottom"/>
            <w:tcBorders>
              <w:top w:val="single" w:sz="8" w:color="0000EE"/>
              <w:right w:val="single" w:sz="8" w:color="E5E5E5"/>
            </w:tcBorders>
            <w:gridSpan w:val="8"/>
            <w:vMerge w:val="restart"/>
            <w:shd w:val="clear" w:color="auto" w:fill="E5E5E5"/>
          </w:tcPr>
          <w:p>
            <w:pPr>
              <w:spacing w:after="0"/>
              <w:rPr>
                <w:sz w:val="5"/>
                <w:szCs w:val="5"/>
                <w:color w:val="auto"/>
              </w:rPr>
            </w:pPr>
          </w:p>
        </w:tc>
        <w:tc>
          <w:tcPr>
            <w:tcW w:w="1300" w:type="dxa"/>
            <w:vAlign w:val="bottom"/>
            <w:tcBorders>
              <w:top w:val="single" w:sz="8" w:color="E5E5E5"/>
            </w:tcBorders>
            <w:gridSpan w:val="4"/>
            <w:vMerge w:val="restart"/>
            <w:shd w:val="clear" w:color="auto" w:fill="E5E5E5"/>
          </w:tcPr>
          <w:p>
            <w:pPr>
              <w:spacing w:after="0"/>
              <w:rPr>
                <w:sz w:val="5"/>
                <w:szCs w:val="5"/>
                <w:color w:val="auto"/>
              </w:rPr>
            </w:pPr>
          </w:p>
        </w:tc>
        <w:tc>
          <w:tcPr>
            <w:tcW w:w="960" w:type="dxa"/>
            <w:vAlign w:val="bottom"/>
            <w:tcBorders>
              <w:top w:val="single" w:sz="8" w:color="E5E5E5"/>
            </w:tcBorders>
            <w:vMerge w:val="restart"/>
            <w:shd w:val="clear" w:color="auto" w:fill="E5E5E5"/>
          </w:tcPr>
          <w:p>
            <w:pPr>
              <w:jc w:val="right"/>
              <w:ind w:right="311"/>
              <w:spacing w:after="0"/>
              <w:rPr>
                <w:sz w:val="20"/>
                <w:szCs w:val="20"/>
                <w:color w:val="auto"/>
              </w:rPr>
            </w:pPr>
            <w:r>
              <w:rPr>
                <w:rFonts w:ascii="Arial" w:cs="Arial" w:eastAsia="Arial" w:hAnsi="Arial"/>
                <w:sz w:val="18"/>
                <w:szCs w:val="18"/>
                <w:color w:val="auto"/>
              </w:rPr>
              <w:t>42</w:t>
            </w:r>
          </w:p>
        </w:tc>
        <w:tc>
          <w:tcPr>
            <w:tcW w:w="4860" w:type="dxa"/>
            <w:vAlign w:val="bottom"/>
            <w:tcBorders>
              <w:top w:val="single" w:sz="8" w:color="E5E5E5"/>
            </w:tcBorders>
            <w:gridSpan w:val="14"/>
            <w:vMerge w:val="continue"/>
            <w:shd w:val="clear" w:color="auto" w:fill="E5E5E5"/>
          </w:tcPr>
          <w:p>
            <w:pPr>
              <w:spacing w:after="0"/>
              <w:rPr>
                <w:sz w:val="5"/>
                <w:szCs w:val="5"/>
                <w:color w:val="auto"/>
              </w:rPr>
            </w:pPr>
          </w:p>
        </w:tc>
        <w:tc>
          <w:tcPr>
            <w:tcW w:w="480" w:type="dxa"/>
            <w:vAlign w:val="bottom"/>
            <w:tcBorders>
              <w:top w:val="single" w:sz="8" w:color="E5E5E5"/>
            </w:tcBorders>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E5E5E5"/>
            </w:tcBorders>
            <w:shd w:val="clear" w:color="auto" w:fill="E5E5E5"/>
          </w:tcPr>
          <w:p>
            <w:pPr>
              <w:spacing w:after="0" w:line="20" w:lineRule="exact"/>
              <w:rPr>
                <w:sz w:val="1"/>
                <w:szCs w:val="1"/>
                <w:color w:val="auto"/>
              </w:rPr>
            </w:pPr>
          </w:p>
        </w:tc>
        <w:tc>
          <w:tcPr>
            <w:tcW w:w="940" w:type="dxa"/>
            <w:vAlign w:val="bottom"/>
            <w:vMerge w:val="continue"/>
            <w:shd w:val="clear" w:color="auto" w:fill="E5E5E5"/>
          </w:tcPr>
          <w:p>
            <w:pPr>
              <w:spacing w:after="0" w:line="20" w:lineRule="exact"/>
              <w:rPr>
                <w:sz w:val="1"/>
                <w:szCs w:val="1"/>
                <w:color w:val="auto"/>
              </w:rPr>
            </w:pPr>
          </w:p>
        </w:tc>
        <w:tc>
          <w:tcPr>
            <w:tcW w:w="2180" w:type="dxa"/>
            <w:vAlign w:val="bottom"/>
            <w:tcBorders>
              <w:right w:val="single" w:sz="8" w:color="E5E5E5"/>
            </w:tcBorders>
            <w:gridSpan w:val="8"/>
            <w:vMerge w:val="continue"/>
            <w:shd w:val="clear" w:color="auto" w:fill="E5E5E5"/>
          </w:tcPr>
          <w:p>
            <w:pPr>
              <w:spacing w:after="0" w:line="20" w:lineRule="exact"/>
              <w:rPr>
                <w:sz w:val="1"/>
                <w:szCs w:val="1"/>
                <w:color w:val="auto"/>
              </w:rPr>
            </w:pPr>
          </w:p>
        </w:tc>
        <w:tc>
          <w:tcPr>
            <w:tcW w:w="1300" w:type="dxa"/>
            <w:vAlign w:val="bottom"/>
            <w:gridSpan w:val="4"/>
            <w:vMerge w:val="continue"/>
            <w:shd w:val="clear" w:color="auto" w:fill="E5E5E5"/>
          </w:tcPr>
          <w:p>
            <w:pPr>
              <w:spacing w:after="0" w:line="20" w:lineRule="exact"/>
              <w:rPr>
                <w:sz w:val="1"/>
                <w:szCs w:val="1"/>
                <w:color w:val="auto"/>
              </w:rPr>
            </w:pPr>
          </w:p>
        </w:tc>
        <w:tc>
          <w:tcPr>
            <w:tcW w:w="960" w:type="dxa"/>
            <w:vAlign w:val="bottom"/>
            <w:vMerge w:val="continue"/>
            <w:shd w:val="clear" w:color="auto" w:fill="E5E5E5"/>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E5E5E5"/>
          </w:tcPr>
          <w:p>
            <w:pPr>
              <w:spacing w:after="0" w:line="20" w:lineRule="exact"/>
              <w:rPr>
                <w:sz w:val="1"/>
                <w:szCs w:val="1"/>
                <w:color w:val="auto"/>
              </w:rPr>
            </w:pPr>
          </w:p>
        </w:tc>
        <w:tc>
          <w:tcPr>
            <w:tcW w:w="460" w:type="dxa"/>
            <w:vAlign w:val="bottom"/>
            <w:tcBorders>
              <w:right w:val="single" w:sz="8" w:color="E5E5E5"/>
            </w:tcBorders>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240" w:type="dxa"/>
            <w:vAlign w:val="bottom"/>
            <w:tcBorders>
              <w:right w:val="single" w:sz="8" w:color="E5E5E5"/>
            </w:tcBorders>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540" w:type="dxa"/>
            <w:vAlign w:val="bottom"/>
            <w:shd w:val="clear" w:color="auto" w:fill="E5E5E5"/>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80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48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0" w:type="dxa"/>
            <w:vAlign w:val="bottom"/>
            <w:tcBorders>
              <w:left w:val="single" w:sz="8" w:color="E5E5E5"/>
              <w:bottom w:val="single" w:sz="8" w:color="E5E5E5"/>
            </w:tcBorders>
            <w:shd w:val="clear" w:color="auto" w:fill="E5E5E5"/>
          </w:tcPr>
          <w:p>
            <w:pPr>
              <w:spacing w:after="0"/>
              <w:rPr>
                <w:sz w:val="11"/>
                <w:szCs w:val="11"/>
                <w:color w:val="auto"/>
              </w:rPr>
            </w:pPr>
          </w:p>
        </w:tc>
        <w:tc>
          <w:tcPr>
            <w:tcW w:w="940" w:type="dxa"/>
            <w:vAlign w:val="bottom"/>
            <w:tcBorders>
              <w:bottom w:val="single" w:sz="8" w:color="0000EE"/>
            </w:tcBorders>
            <w:vMerge w:val="continue"/>
            <w:shd w:val="clear" w:color="auto" w:fill="E5E5E5"/>
          </w:tcPr>
          <w:p>
            <w:pPr>
              <w:spacing w:after="0"/>
              <w:rPr>
                <w:sz w:val="11"/>
                <w:szCs w:val="11"/>
                <w:color w:val="auto"/>
              </w:rPr>
            </w:pPr>
          </w:p>
        </w:tc>
        <w:tc>
          <w:tcPr>
            <w:tcW w:w="2180" w:type="dxa"/>
            <w:vAlign w:val="bottom"/>
            <w:tcBorders>
              <w:bottom w:val="single" w:sz="8" w:color="E5E5E5"/>
              <w:right w:val="single" w:sz="8" w:color="E5E5E5"/>
            </w:tcBorders>
            <w:gridSpan w:val="8"/>
            <w:vMerge w:val="continue"/>
            <w:shd w:val="clear" w:color="auto" w:fill="E5E5E5"/>
          </w:tcPr>
          <w:p>
            <w:pPr>
              <w:spacing w:after="0"/>
              <w:rPr>
                <w:sz w:val="11"/>
                <w:szCs w:val="11"/>
                <w:color w:val="auto"/>
              </w:rPr>
            </w:pPr>
          </w:p>
        </w:tc>
        <w:tc>
          <w:tcPr>
            <w:tcW w:w="1300" w:type="dxa"/>
            <w:vAlign w:val="bottom"/>
            <w:tcBorders>
              <w:bottom w:val="single" w:sz="8" w:color="E5E5E5"/>
            </w:tcBorders>
            <w:gridSpan w:val="4"/>
            <w:vMerge w:val="continue"/>
            <w:shd w:val="clear" w:color="auto" w:fill="E5E5E5"/>
          </w:tcPr>
          <w:p>
            <w:pPr>
              <w:spacing w:after="0"/>
              <w:rPr>
                <w:sz w:val="11"/>
                <w:szCs w:val="11"/>
                <w:color w:val="auto"/>
              </w:rPr>
            </w:pPr>
          </w:p>
        </w:tc>
        <w:tc>
          <w:tcPr>
            <w:tcW w:w="960" w:type="dxa"/>
            <w:vAlign w:val="bottom"/>
            <w:tcBorders>
              <w:bottom w:val="single" w:sz="8" w:color="E5E5E5"/>
            </w:tcBorders>
            <w:vMerge w:val="continue"/>
            <w:shd w:val="clear" w:color="auto" w:fill="E5E5E5"/>
          </w:tcPr>
          <w:p>
            <w:pPr>
              <w:spacing w:after="0"/>
              <w:rPr>
                <w:sz w:val="11"/>
                <w:szCs w:val="11"/>
                <w:color w:val="auto"/>
              </w:rPr>
            </w:pPr>
          </w:p>
        </w:tc>
        <w:tc>
          <w:tcPr>
            <w:tcW w:w="4860" w:type="dxa"/>
            <w:vAlign w:val="bottom"/>
            <w:tcBorders>
              <w:bottom w:val="single" w:sz="8" w:color="E5E5E5"/>
            </w:tcBorders>
            <w:gridSpan w:val="14"/>
            <w:vMerge w:val="restart"/>
            <w:shd w:val="clear" w:color="auto" w:fill="E5E5E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Other Benefits and Programs</w:t>
              </w:r>
            </w:hyperlink>
          </w:p>
        </w:tc>
        <w:tc>
          <w:tcPr>
            <w:tcW w:w="480" w:type="dxa"/>
            <w:vAlign w:val="bottom"/>
            <w:tcBorders>
              <w:bottom w:val="single" w:sz="8" w:color="E5E5E5"/>
            </w:tcBorders>
            <w:vMerge w:val="restart"/>
            <w:shd w:val="clear" w:color="auto" w:fill="E5E5E5"/>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40"/>
        </w:trPr>
        <w:tc>
          <w:tcPr>
            <w:tcW w:w="200" w:type="dxa"/>
            <w:vAlign w:val="bottom"/>
            <w:tcBorders>
              <w:left w:val="single" w:sz="8" w:color="E5E5E5"/>
            </w:tcBorders>
            <w:shd w:val="clear" w:color="auto" w:fill="E5E5E5"/>
          </w:tcPr>
          <w:p>
            <w:pPr>
              <w:spacing w:after="0"/>
              <w:rPr>
                <w:sz w:val="12"/>
                <w:szCs w:val="12"/>
                <w:color w:val="auto"/>
              </w:rPr>
            </w:pPr>
          </w:p>
        </w:tc>
        <w:tc>
          <w:tcPr>
            <w:tcW w:w="4420" w:type="dxa"/>
            <w:vAlign w:val="bottom"/>
            <w:gridSpan w:val="13"/>
            <w:vMerge w:val="restart"/>
            <w:shd w:val="clear" w:color="auto" w:fill="E5E5E5"/>
          </w:tcPr>
          <w:p>
            <w:pPr>
              <w:spacing w:after="0" w:line="188" w:lineRule="exact"/>
              <w:rPr>
                <w:rFonts w:ascii="Arial" w:cs="Arial" w:eastAsia="Arial" w:hAnsi="Arial"/>
                <w:sz w:val="18"/>
                <w:szCs w:val="18"/>
                <w:color w:val="0000EE"/>
              </w:rPr>
            </w:pPr>
            <w:hyperlink w:anchor="page47">
              <w:r>
                <w:rPr>
                  <w:rFonts w:ascii="Arial" w:cs="Arial" w:eastAsia="Arial" w:hAnsi="Arial"/>
                  <w:sz w:val="18"/>
                  <w:szCs w:val="18"/>
                  <w:color w:val="0000EE"/>
                </w:rPr>
                <w:t>Risk Oversight</w:t>
              </w:r>
            </w:hyperlink>
          </w:p>
        </w:tc>
        <w:tc>
          <w:tcPr>
            <w:tcW w:w="960" w:type="dxa"/>
            <w:vAlign w:val="bottom"/>
            <w:vMerge w:val="restart"/>
            <w:shd w:val="clear" w:color="auto" w:fill="E5E5E5"/>
          </w:tcPr>
          <w:p>
            <w:pPr>
              <w:jc w:val="right"/>
              <w:ind w:right="311"/>
              <w:spacing w:after="0" w:line="188" w:lineRule="exact"/>
              <w:rPr>
                <w:sz w:val="20"/>
                <w:szCs w:val="20"/>
                <w:color w:val="auto"/>
              </w:rPr>
            </w:pPr>
            <w:r>
              <w:rPr>
                <w:rFonts w:ascii="Arial" w:cs="Arial" w:eastAsia="Arial" w:hAnsi="Arial"/>
                <w:sz w:val="18"/>
                <w:szCs w:val="18"/>
                <w:color w:val="auto"/>
              </w:rPr>
              <w:t>42</w:t>
            </w:r>
          </w:p>
        </w:tc>
        <w:tc>
          <w:tcPr>
            <w:tcW w:w="4860" w:type="dxa"/>
            <w:vAlign w:val="bottom"/>
            <w:gridSpan w:val="14"/>
            <w:vMerge w:val="continue"/>
            <w:shd w:val="clear" w:color="auto" w:fill="E5E5E5"/>
          </w:tcPr>
          <w:p>
            <w:pPr>
              <w:spacing w:after="0"/>
              <w:rPr>
                <w:sz w:val="12"/>
                <w:szCs w:val="12"/>
                <w:color w:val="auto"/>
              </w:rPr>
            </w:pPr>
          </w:p>
        </w:tc>
        <w:tc>
          <w:tcPr>
            <w:tcW w:w="480" w:type="dxa"/>
            <w:vAlign w:val="bottom"/>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0" w:type="dxa"/>
            <w:vAlign w:val="bottom"/>
            <w:tcBorders>
              <w:left w:val="single" w:sz="8" w:color="E5E5E5"/>
              <w:bottom w:val="single" w:sz="8" w:color="E5E5E5"/>
            </w:tcBorders>
            <w:shd w:val="clear" w:color="auto" w:fill="E5E5E5"/>
          </w:tcPr>
          <w:p>
            <w:pPr>
              <w:spacing w:after="0"/>
              <w:rPr>
                <w:sz w:val="4"/>
                <w:szCs w:val="4"/>
                <w:color w:val="auto"/>
              </w:rPr>
            </w:pPr>
          </w:p>
        </w:tc>
        <w:tc>
          <w:tcPr>
            <w:tcW w:w="4420" w:type="dxa"/>
            <w:vAlign w:val="bottom"/>
            <w:tcBorders>
              <w:bottom w:val="single" w:sz="8" w:color="E5E5E5"/>
            </w:tcBorders>
            <w:gridSpan w:val="13"/>
            <w:vMerge w:val="continue"/>
            <w:shd w:val="clear" w:color="auto" w:fill="E5E5E5"/>
          </w:tcPr>
          <w:p>
            <w:pPr>
              <w:spacing w:after="0"/>
              <w:rPr>
                <w:sz w:val="4"/>
                <w:szCs w:val="4"/>
                <w:color w:val="auto"/>
              </w:rPr>
            </w:pPr>
          </w:p>
        </w:tc>
        <w:tc>
          <w:tcPr>
            <w:tcW w:w="960" w:type="dxa"/>
            <w:vAlign w:val="bottom"/>
            <w:tcBorders>
              <w:bottom w:val="single" w:sz="8" w:color="E5E5E5"/>
            </w:tcBorders>
            <w:vMerge w:val="continue"/>
            <w:shd w:val="clear" w:color="auto" w:fill="E5E5E5"/>
          </w:tcPr>
          <w:p>
            <w:pPr>
              <w:spacing w:after="0"/>
              <w:rPr>
                <w:sz w:val="4"/>
                <w:szCs w:val="4"/>
                <w:color w:val="auto"/>
              </w:rPr>
            </w:pPr>
          </w:p>
        </w:tc>
        <w:tc>
          <w:tcPr>
            <w:tcW w:w="180" w:type="dxa"/>
            <w:vAlign w:val="bottom"/>
            <w:tcBorders>
              <w:bottom w:val="single" w:sz="8" w:color="E5E5E5"/>
            </w:tcBorders>
            <w:shd w:val="clear" w:color="auto" w:fill="0000EE"/>
          </w:tcPr>
          <w:p>
            <w:pPr>
              <w:spacing w:after="0"/>
              <w:rPr>
                <w:sz w:val="4"/>
                <w:szCs w:val="4"/>
                <w:color w:val="auto"/>
              </w:rPr>
            </w:pPr>
          </w:p>
        </w:tc>
        <w:tc>
          <w:tcPr>
            <w:tcW w:w="1000" w:type="dxa"/>
            <w:vAlign w:val="bottom"/>
            <w:tcBorders>
              <w:bottom w:val="single" w:sz="8" w:color="E5E5E5"/>
              <w:right w:val="single" w:sz="8" w:color="0000EE"/>
            </w:tcBorders>
            <w:shd w:val="clear" w:color="auto" w:fill="0000EE"/>
          </w:tcPr>
          <w:p>
            <w:pPr>
              <w:spacing w:after="0"/>
              <w:rPr>
                <w:sz w:val="4"/>
                <w:szCs w:val="4"/>
                <w:color w:val="auto"/>
              </w:rPr>
            </w:pPr>
          </w:p>
        </w:tc>
        <w:tc>
          <w:tcPr>
            <w:tcW w:w="340" w:type="dxa"/>
            <w:vAlign w:val="bottom"/>
            <w:tcBorders>
              <w:bottom w:val="single" w:sz="8" w:color="E5E5E5"/>
            </w:tcBorders>
            <w:shd w:val="clear" w:color="auto" w:fill="0000EE"/>
          </w:tcPr>
          <w:p>
            <w:pPr>
              <w:spacing w:after="0"/>
              <w:rPr>
                <w:sz w:val="4"/>
                <w:szCs w:val="4"/>
                <w:color w:val="auto"/>
              </w:rPr>
            </w:pPr>
          </w:p>
        </w:tc>
        <w:tc>
          <w:tcPr>
            <w:tcW w:w="460" w:type="dxa"/>
            <w:vAlign w:val="bottom"/>
            <w:tcBorders>
              <w:bottom w:val="single" w:sz="8" w:color="E5E5E5"/>
              <w:right w:val="single" w:sz="8" w:color="0000EE"/>
            </w:tcBorders>
            <w:shd w:val="clear" w:color="auto" w:fill="0000EE"/>
          </w:tcPr>
          <w:p>
            <w:pPr>
              <w:spacing w:after="0"/>
              <w:rPr>
                <w:sz w:val="4"/>
                <w:szCs w:val="4"/>
                <w:color w:val="auto"/>
              </w:rPr>
            </w:pPr>
          </w:p>
        </w:tc>
        <w:tc>
          <w:tcPr>
            <w:tcW w:w="80" w:type="dxa"/>
            <w:vAlign w:val="bottom"/>
            <w:tcBorders>
              <w:bottom w:val="single" w:sz="8" w:color="E5E5E5"/>
            </w:tcBorders>
            <w:shd w:val="clear" w:color="auto" w:fill="0000EE"/>
          </w:tcPr>
          <w:p>
            <w:pPr>
              <w:spacing w:after="0"/>
              <w:rPr>
                <w:sz w:val="4"/>
                <w:szCs w:val="4"/>
                <w:color w:val="auto"/>
              </w:rPr>
            </w:pPr>
          </w:p>
        </w:tc>
        <w:tc>
          <w:tcPr>
            <w:tcW w:w="240" w:type="dxa"/>
            <w:vAlign w:val="bottom"/>
            <w:tcBorders>
              <w:bottom w:val="single" w:sz="8" w:color="E5E5E5"/>
              <w:right w:val="single" w:sz="8" w:color="0000EE"/>
            </w:tcBorders>
            <w:shd w:val="clear" w:color="auto" w:fill="0000EE"/>
          </w:tcPr>
          <w:p>
            <w:pPr>
              <w:spacing w:after="0"/>
              <w:rPr>
                <w:sz w:val="4"/>
                <w:szCs w:val="4"/>
                <w:color w:val="auto"/>
              </w:rPr>
            </w:pPr>
          </w:p>
        </w:tc>
        <w:tc>
          <w:tcPr>
            <w:tcW w:w="220" w:type="dxa"/>
            <w:vAlign w:val="bottom"/>
            <w:tcBorders>
              <w:bottom w:val="single" w:sz="8" w:color="E5E5E5"/>
            </w:tcBorders>
            <w:shd w:val="clear" w:color="auto" w:fill="E5E5E5"/>
          </w:tcPr>
          <w:p>
            <w:pPr>
              <w:spacing w:after="0"/>
              <w:rPr>
                <w:sz w:val="4"/>
                <w:szCs w:val="4"/>
                <w:color w:val="auto"/>
              </w:rPr>
            </w:pPr>
          </w:p>
        </w:tc>
        <w:tc>
          <w:tcPr>
            <w:tcW w:w="160" w:type="dxa"/>
            <w:vAlign w:val="bottom"/>
            <w:tcBorders>
              <w:bottom w:val="single" w:sz="8" w:color="E5E5E5"/>
            </w:tcBorders>
            <w:shd w:val="clear" w:color="auto" w:fill="E5E5E5"/>
          </w:tcPr>
          <w:p>
            <w:pPr>
              <w:spacing w:after="0"/>
              <w:rPr>
                <w:sz w:val="4"/>
                <w:szCs w:val="4"/>
                <w:color w:val="auto"/>
              </w:rPr>
            </w:pPr>
          </w:p>
        </w:tc>
        <w:tc>
          <w:tcPr>
            <w:tcW w:w="100" w:type="dxa"/>
            <w:vAlign w:val="bottom"/>
            <w:tcBorders>
              <w:bottom w:val="single" w:sz="8" w:color="E5E5E5"/>
            </w:tcBorders>
            <w:shd w:val="clear" w:color="auto" w:fill="E5E5E5"/>
          </w:tcPr>
          <w:p>
            <w:pPr>
              <w:spacing w:after="0"/>
              <w:rPr>
                <w:sz w:val="4"/>
                <w:szCs w:val="4"/>
                <w:color w:val="auto"/>
              </w:rPr>
            </w:pPr>
          </w:p>
        </w:tc>
        <w:tc>
          <w:tcPr>
            <w:tcW w:w="540" w:type="dxa"/>
            <w:vAlign w:val="bottom"/>
            <w:tcBorders>
              <w:bottom w:val="single" w:sz="8" w:color="E5E5E5"/>
            </w:tcBorders>
            <w:shd w:val="clear" w:color="auto" w:fill="E5E5E5"/>
          </w:tcPr>
          <w:p>
            <w:pPr>
              <w:spacing w:after="0"/>
              <w:rPr>
                <w:sz w:val="4"/>
                <w:szCs w:val="4"/>
                <w:color w:val="auto"/>
              </w:rPr>
            </w:pPr>
          </w:p>
        </w:tc>
        <w:tc>
          <w:tcPr>
            <w:tcW w:w="300" w:type="dxa"/>
            <w:vAlign w:val="bottom"/>
            <w:tcBorders>
              <w:bottom w:val="single" w:sz="8" w:color="E5E5E5"/>
            </w:tcBorders>
            <w:shd w:val="clear" w:color="auto" w:fill="E5E5E5"/>
          </w:tcPr>
          <w:p>
            <w:pPr>
              <w:spacing w:after="0"/>
              <w:rPr>
                <w:sz w:val="4"/>
                <w:szCs w:val="4"/>
                <w:color w:val="auto"/>
              </w:rPr>
            </w:pPr>
          </w:p>
        </w:tc>
        <w:tc>
          <w:tcPr>
            <w:tcW w:w="220" w:type="dxa"/>
            <w:vAlign w:val="bottom"/>
            <w:tcBorders>
              <w:bottom w:val="single" w:sz="8" w:color="E5E5E5"/>
            </w:tcBorders>
            <w:shd w:val="clear" w:color="auto" w:fill="E5E5E5"/>
          </w:tcPr>
          <w:p>
            <w:pPr>
              <w:spacing w:after="0"/>
              <w:rPr>
                <w:sz w:val="4"/>
                <w:szCs w:val="4"/>
                <w:color w:val="auto"/>
              </w:rPr>
            </w:pPr>
          </w:p>
        </w:tc>
        <w:tc>
          <w:tcPr>
            <w:tcW w:w="800" w:type="dxa"/>
            <w:vAlign w:val="bottom"/>
            <w:tcBorders>
              <w:bottom w:val="single" w:sz="8" w:color="E5E5E5"/>
            </w:tcBorders>
            <w:shd w:val="clear" w:color="auto" w:fill="E5E5E5"/>
          </w:tcPr>
          <w:p>
            <w:pPr>
              <w:spacing w:after="0"/>
              <w:rPr>
                <w:sz w:val="4"/>
                <w:szCs w:val="4"/>
                <w:color w:val="auto"/>
              </w:rPr>
            </w:pPr>
          </w:p>
        </w:tc>
        <w:tc>
          <w:tcPr>
            <w:tcW w:w="220" w:type="dxa"/>
            <w:vAlign w:val="bottom"/>
            <w:tcBorders>
              <w:bottom w:val="single" w:sz="8" w:color="E5E5E5"/>
            </w:tcBorders>
            <w:shd w:val="clear" w:color="auto" w:fill="E5E5E5"/>
          </w:tcPr>
          <w:p>
            <w:pPr>
              <w:spacing w:after="0"/>
              <w:rPr>
                <w:sz w:val="4"/>
                <w:szCs w:val="4"/>
                <w:color w:val="auto"/>
              </w:rPr>
            </w:pPr>
          </w:p>
        </w:tc>
        <w:tc>
          <w:tcPr>
            <w:tcW w:w="480" w:type="dxa"/>
            <w:vAlign w:val="bottom"/>
            <w:tcBorders>
              <w:bottom w:val="single" w:sz="8" w:color="E5E5E5"/>
            </w:tcBorders>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E5E5E5"/>
            </w:tcBorders>
            <w:shd w:val="clear" w:color="auto" w:fill="E5E5E5"/>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540" w:type="dxa"/>
            <w:vAlign w:val="bottom"/>
            <w:tcBorders>
              <w:right w:val="single" w:sz="8" w:color="E5E5E5"/>
            </w:tcBorders>
            <w:shd w:val="clear" w:color="auto" w:fill="E5E5E5"/>
          </w:tcPr>
          <w:p>
            <w:pPr>
              <w:spacing w:after="0" w:line="20" w:lineRule="exact"/>
              <w:rPr>
                <w:sz w:val="1"/>
                <w:szCs w:val="1"/>
                <w:color w:val="auto"/>
              </w:rPr>
            </w:pPr>
          </w:p>
        </w:tc>
        <w:tc>
          <w:tcPr>
            <w:tcW w:w="340" w:type="dxa"/>
            <w:vAlign w:val="bottom"/>
            <w:shd w:val="clear" w:color="auto" w:fill="E5E5E5"/>
          </w:tcPr>
          <w:p>
            <w:pPr>
              <w:spacing w:after="0" w:line="20" w:lineRule="exact"/>
              <w:rPr>
                <w:sz w:val="1"/>
                <w:szCs w:val="1"/>
                <w:color w:val="auto"/>
              </w:rPr>
            </w:pPr>
          </w:p>
        </w:tc>
        <w:tc>
          <w:tcPr>
            <w:tcW w:w="360" w:type="dxa"/>
            <w:vAlign w:val="bottom"/>
            <w:tcBorders>
              <w:right w:val="single" w:sz="8" w:color="E5E5E5"/>
            </w:tcBorders>
            <w:shd w:val="clear" w:color="auto" w:fill="E5E5E5"/>
          </w:tcPr>
          <w:p>
            <w:pPr>
              <w:spacing w:after="0" w:line="20" w:lineRule="exact"/>
              <w:rPr>
                <w:sz w:val="1"/>
                <w:szCs w:val="1"/>
                <w:color w:val="auto"/>
              </w:rPr>
            </w:pPr>
          </w:p>
        </w:tc>
        <w:tc>
          <w:tcPr>
            <w:tcW w:w="260" w:type="dxa"/>
            <w:vAlign w:val="bottom"/>
            <w:shd w:val="clear" w:color="auto" w:fill="E5E5E5"/>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520" w:type="dxa"/>
            <w:vAlign w:val="bottom"/>
            <w:shd w:val="clear" w:color="auto" w:fill="E5E5E5"/>
          </w:tcPr>
          <w:p>
            <w:pPr>
              <w:spacing w:after="0" w:line="20" w:lineRule="exact"/>
              <w:rPr>
                <w:sz w:val="1"/>
                <w:szCs w:val="1"/>
                <w:color w:val="auto"/>
              </w:rPr>
            </w:pPr>
          </w:p>
        </w:tc>
        <w:tc>
          <w:tcPr>
            <w:tcW w:w="380" w:type="dxa"/>
            <w:vAlign w:val="bottom"/>
            <w:shd w:val="clear" w:color="auto" w:fill="E5E5E5"/>
          </w:tcPr>
          <w:p>
            <w:pPr>
              <w:spacing w:after="0" w:line="20" w:lineRule="exact"/>
              <w:rPr>
                <w:sz w:val="1"/>
                <w:szCs w:val="1"/>
                <w:color w:val="auto"/>
              </w:rPr>
            </w:pPr>
          </w:p>
        </w:tc>
        <w:tc>
          <w:tcPr>
            <w:tcW w:w="960" w:type="dxa"/>
            <w:vAlign w:val="bottom"/>
            <w:shd w:val="clear" w:color="auto" w:fill="E5E5E5"/>
          </w:tcPr>
          <w:p>
            <w:pPr>
              <w:spacing w:after="0" w:line="20" w:lineRule="exact"/>
              <w:rPr>
                <w:sz w:val="1"/>
                <w:szCs w:val="1"/>
                <w:color w:val="auto"/>
              </w:rPr>
            </w:pPr>
          </w:p>
        </w:tc>
        <w:tc>
          <w:tcPr>
            <w:tcW w:w="180" w:type="dxa"/>
            <w:vAlign w:val="bottom"/>
            <w:vMerge w:val="restart"/>
            <w:shd w:val="clear" w:color="auto" w:fill="E5E5E5"/>
          </w:tcPr>
          <w:p>
            <w:pPr>
              <w:spacing w:after="0" w:line="20" w:lineRule="exact"/>
              <w:rPr>
                <w:sz w:val="1"/>
                <w:szCs w:val="1"/>
                <w:color w:val="auto"/>
              </w:rPr>
            </w:pPr>
          </w:p>
        </w:tc>
        <w:tc>
          <w:tcPr>
            <w:tcW w:w="3660" w:type="dxa"/>
            <w:vAlign w:val="bottom"/>
            <w:gridSpan w:val="11"/>
            <w:vMerge w:val="restart"/>
            <w:shd w:val="clear" w:color="auto" w:fill="E5E5E5"/>
          </w:tcPr>
          <w:p>
            <w:pPr>
              <w:spacing w:after="0" w:line="161" w:lineRule="exact"/>
              <w:rPr>
                <w:rFonts w:ascii="Arial" w:cs="Arial" w:eastAsia="Arial" w:hAnsi="Arial"/>
                <w:sz w:val="18"/>
                <w:szCs w:val="18"/>
                <w:color w:val="0000EE"/>
                <w:w w:val="98"/>
              </w:rPr>
            </w:pPr>
            <w:hyperlink w:anchor="page57">
              <w:r>
                <w:rPr>
                  <w:rFonts w:ascii="Arial" w:cs="Arial" w:eastAsia="Arial" w:hAnsi="Arial"/>
                  <w:sz w:val="18"/>
                  <w:szCs w:val="18"/>
                  <w:color w:val="0000EE"/>
                  <w:w w:val="98"/>
                </w:rPr>
                <w:t>Retirement and Deferred Compensation Plans</w:t>
              </w:r>
            </w:hyperlink>
          </w:p>
        </w:tc>
        <w:tc>
          <w:tcPr>
            <w:tcW w:w="1020" w:type="dxa"/>
            <w:vAlign w:val="bottom"/>
            <w:gridSpan w:val="2"/>
            <w:vMerge w:val="restart"/>
            <w:shd w:val="clear" w:color="auto" w:fill="E5E5E5"/>
          </w:tcPr>
          <w:p>
            <w:pPr>
              <w:spacing w:after="0" w:line="20" w:lineRule="exact"/>
              <w:rPr>
                <w:sz w:val="1"/>
                <w:szCs w:val="1"/>
                <w:color w:val="auto"/>
              </w:rPr>
            </w:pPr>
          </w:p>
        </w:tc>
        <w:tc>
          <w:tcPr>
            <w:tcW w:w="480" w:type="dxa"/>
            <w:vAlign w:val="bottom"/>
            <w:vMerge w:val="restart"/>
            <w:shd w:val="clear" w:color="auto" w:fill="E5E5E5"/>
          </w:tcPr>
          <w:p>
            <w:pPr>
              <w:jc w:val="right"/>
              <w:spacing w:after="0" w:line="161" w:lineRule="exact"/>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140"/>
        </w:trPr>
        <w:tc>
          <w:tcPr>
            <w:tcW w:w="200" w:type="dxa"/>
            <w:vAlign w:val="bottom"/>
            <w:tcBorders>
              <w:left w:val="single" w:sz="8" w:color="E5E5E5"/>
              <w:bottom w:val="single" w:sz="8" w:color="E5E5E5"/>
            </w:tcBorders>
            <w:shd w:val="clear" w:color="auto" w:fill="E5E5E5"/>
          </w:tcPr>
          <w:p>
            <w:pPr>
              <w:spacing w:after="0"/>
              <w:rPr>
                <w:sz w:val="12"/>
                <w:szCs w:val="12"/>
                <w:color w:val="auto"/>
              </w:rPr>
            </w:pPr>
          </w:p>
        </w:tc>
        <w:tc>
          <w:tcPr>
            <w:tcW w:w="2420" w:type="dxa"/>
            <w:vAlign w:val="bottom"/>
            <w:tcBorders>
              <w:bottom w:val="single" w:sz="8" w:color="E5E5E5"/>
              <w:right w:val="single" w:sz="8" w:color="E5E5E5"/>
            </w:tcBorders>
            <w:gridSpan w:val="7"/>
            <w:vMerge w:val="restart"/>
            <w:shd w:val="clear" w:color="auto" w:fill="E5E5E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Our Compensation Strategies</w:t>
              </w:r>
            </w:hyperlink>
          </w:p>
        </w:tc>
        <w:tc>
          <w:tcPr>
            <w:tcW w:w="2000" w:type="dxa"/>
            <w:vAlign w:val="bottom"/>
            <w:tcBorders>
              <w:bottom w:val="single" w:sz="8" w:color="E5E5E5"/>
            </w:tcBorders>
            <w:gridSpan w:val="6"/>
            <w:vMerge w:val="restart"/>
            <w:shd w:val="clear" w:color="auto" w:fill="E5E5E5"/>
          </w:tcPr>
          <w:p>
            <w:pPr>
              <w:spacing w:after="0"/>
              <w:rPr>
                <w:sz w:val="12"/>
                <w:szCs w:val="12"/>
                <w:color w:val="auto"/>
              </w:rPr>
            </w:pPr>
          </w:p>
        </w:tc>
        <w:tc>
          <w:tcPr>
            <w:tcW w:w="960" w:type="dxa"/>
            <w:vAlign w:val="bottom"/>
            <w:tcBorders>
              <w:bottom w:val="single" w:sz="8" w:color="E5E5E5"/>
            </w:tcBorders>
            <w:vMerge w:val="restart"/>
            <w:shd w:val="clear" w:color="auto" w:fill="E5E5E5"/>
          </w:tcPr>
          <w:p>
            <w:pPr>
              <w:jc w:val="right"/>
              <w:ind w:right="311"/>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E5E5E5"/>
            </w:tcBorders>
            <w:vMerge w:val="continue"/>
            <w:shd w:val="clear" w:color="auto" w:fill="E5E5E5"/>
          </w:tcPr>
          <w:p>
            <w:pPr>
              <w:spacing w:after="0"/>
              <w:rPr>
                <w:sz w:val="12"/>
                <w:szCs w:val="12"/>
                <w:color w:val="auto"/>
              </w:rPr>
            </w:pPr>
          </w:p>
        </w:tc>
        <w:tc>
          <w:tcPr>
            <w:tcW w:w="3660" w:type="dxa"/>
            <w:vAlign w:val="bottom"/>
            <w:tcBorders>
              <w:bottom w:val="single" w:sz="8" w:color="0000EE"/>
            </w:tcBorders>
            <w:gridSpan w:val="11"/>
            <w:vMerge w:val="continue"/>
            <w:shd w:val="clear" w:color="auto" w:fill="E5E5E5"/>
          </w:tcPr>
          <w:p>
            <w:pPr>
              <w:spacing w:after="0"/>
              <w:rPr>
                <w:sz w:val="12"/>
                <w:szCs w:val="12"/>
                <w:color w:val="auto"/>
              </w:rPr>
            </w:pPr>
          </w:p>
        </w:tc>
        <w:tc>
          <w:tcPr>
            <w:tcW w:w="1020" w:type="dxa"/>
            <w:vAlign w:val="bottom"/>
            <w:tcBorders>
              <w:bottom w:val="single" w:sz="8" w:color="E5E5E5"/>
            </w:tcBorders>
            <w:gridSpan w:val="2"/>
            <w:vMerge w:val="continue"/>
            <w:shd w:val="clear" w:color="auto" w:fill="E5E5E5"/>
          </w:tcPr>
          <w:p>
            <w:pPr>
              <w:spacing w:after="0"/>
              <w:rPr>
                <w:sz w:val="12"/>
                <w:szCs w:val="12"/>
                <w:color w:val="auto"/>
              </w:rPr>
            </w:pPr>
          </w:p>
        </w:tc>
        <w:tc>
          <w:tcPr>
            <w:tcW w:w="480" w:type="dxa"/>
            <w:vAlign w:val="bottom"/>
            <w:tcBorders>
              <w:bottom w:val="single" w:sz="8" w:color="E5E5E5"/>
            </w:tcBorders>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0" w:type="dxa"/>
            <w:vAlign w:val="bottom"/>
            <w:tcBorders>
              <w:left w:val="single" w:sz="8" w:color="E5E5E5"/>
              <w:bottom w:val="single" w:sz="8" w:color="E5E5E5"/>
            </w:tcBorders>
            <w:shd w:val="clear" w:color="auto" w:fill="E5E5E5"/>
          </w:tcPr>
          <w:p>
            <w:pPr>
              <w:spacing w:after="0"/>
              <w:rPr>
                <w:sz w:val="4"/>
                <w:szCs w:val="4"/>
                <w:color w:val="auto"/>
              </w:rPr>
            </w:pPr>
          </w:p>
        </w:tc>
        <w:tc>
          <w:tcPr>
            <w:tcW w:w="2420" w:type="dxa"/>
            <w:vAlign w:val="bottom"/>
            <w:tcBorders>
              <w:bottom w:val="single" w:sz="8" w:color="0000EE"/>
              <w:right w:val="single" w:sz="8" w:color="E5E5E5"/>
            </w:tcBorders>
            <w:gridSpan w:val="7"/>
            <w:vMerge w:val="continue"/>
            <w:shd w:val="clear" w:color="auto" w:fill="E5E5E5"/>
          </w:tcPr>
          <w:p>
            <w:pPr>
              <w:spacing w:after="0"/>
              <w:rPr>
                <w:sz w:val="4"/>
                <w:szCs w:val="4"/>
                <w:color w:val="auto"/>
              </w:rPr>
            </w:pPr>
          </w:p>
        </w:tc>
        <w:tc>
          <w:tcPr>
            <w:tcW w:w="2000" w:type="dxa"/>
            <w:vAlign w:val="bottom"/>
            <w:tcBorders>
              <w:bottom w:val="single" w:sz="8" w:color="E5E5E5"/>
            </w:tcBorders>
            <w:gridSpan w:val="6"/>
            <w:vMerge w:val="continue"/>
            <w:shd w:val="clear" w:color="auto" w:fill="E5E5E5"/>
          </w:tcPr>
          <w:p>
            <w:pPr>
              <w:spacing w:after="0"/>
              <w:rPr>
                <w:sz w:val="4"/>
                <w:szCs w:val="4"/>
                <w:color w:val="auto"/>
              </w:rPr>
            </w:pPr>
          </w:p>
        </w:tc>
        <w:tc>
          <w:tcPr>
            <w:tcW w:w="960" w:type="dxa"/>
            <w:vAlign w:val="bottom"/>
            <w:tcBorders>
              <w:bottom w:val="single" w:sz="8" w:color="E5E5E5"/>
            </w:tcBorders>
            <w:vMerge w:val="continue"/>
            <w:shd w:val="clear" w:color="auto" w:fill="E5E5E5"/>
          </w:tcPr>
          <w:p>
            <w:pPr>
              <w:spacing w:after="0"/>
              <w:rPr>
                <w:sz w:val="4"/>
                <w:szCs w:val="4"/>
                <w:color w:val="auto"/>
              </w:rPr>
            </w:pPr>
          </w:p>
        </w:tc>
        <w:tc>
          <w:tcPr>
            <w:tcW w:w="180" w:type="dxa"/>
            <w:vAlign w:val="bottom"/>
            <w:tcBorders>
              <w:bottom w:val="single" w:sz="8" w:color="E5E5E5"/>
            </w:tcBorders>
            <w:shd w:val="clear" w:color="auto" w:fill="E5E5E5"/>
          </w:tcPr>
          <w:p>
            <w:pPr>
              <w:spacing w:after="0"/>
              <w:rPr>
                <w:sz w:val="4"/>
                <w:szCs w:val="4"/>
                <w:color w:val="auto"/>
              </w:rPr>
            </w:pPr>
          </w:p>
        </w:tc>
        <w:tc>
          <w:tcPr>
            <w:tcW w:w="4680" w:type="dxa"/>
            <w:vAlign w:val="bottom"/>
            <w:tcBorders>
              <w:bottom w:val="single" w:sz="8" w:color="E5E5E5"/>
            </w:tcBorders>
            <w:gridSpan w:val="13"/>
            <w:vMerge w:val="restart"/>
            <w:shd w:val="clear" w:color="auto" w:fill="E5E5E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All Other Compensation</w:t>
              </w:r>
            </w:hyperlink>
          </w:p>
        </w:tc>
        <w:tc>
          <w:tcPr>
            <w:tcW w:w="480" w:type="dxa"/>
            <w:vAlign w:val="bottom"/>
            <w:tcBorders>
              <w:bottom w:val="single" w:sz="8" w:color="E5E5E5"/>
            </w:tcBorders>
            <w:vMerge w:val="restart"/>
            <w:shd w:val="clear" w:color="auto" w:fill="E5E5E5"/>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40"/>
        </w:trPr>
        <w:tc>
          <w:tcPr>
            <w:tcW w:w="200" w:type="dxa"/>
            <w:vAlign w:val="bottom"/>
            <w:tcBorders>
              <w:left w:val="single" w:sz="8" w:color="E5E5E5"/>
            </w:tcBorders>
            <w:shd w:val="clear" w:color="auto" w:fill="E5E5E5"/>
          </w:tcPr>
          <w:p>
            <w:pPr>
              <w:spacing w:after="0"/>
              <w:rPr>
                <w:sz w:val="12"/>
                <w:szCs w:val="12"/>
                <w:color w:val="auto"/>
              </w:rPr>
            </w:pPr>
          </w:p>
        </w:tc>
        <w:tc>
          <w:tcPr>
            <w:tcW w:w="4420" w:type="dxa"/>
            <w:vAlign w:val="bottom"/>
            <w:gridSpan w:val="13"/>
            <w:vMerge w:val="restart"/>
            <w:shd w:val="clear" w:color="auto" w:fill="E5E5E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Elements of Our Executive Compensation Program</w:t>
              </w:r>
            </w:hyperlink>
          </w:p>
        </w:tc>
        <w:tc>
          <w:tcPr>
            <w:tcW w:w="960" w:type="dxa"/>
            <w:vAlign w:val="bottom"/>
            <w:vMerge w:val="restart"/>
            <w:shd w:val="clear" w:color="auto" w:fill="E5E5E5"/>
          </w:tcPr>
          <w:p>
            <w:pPr>
              <w:jc w:val="right"/>
              <w:ind w:right="311"/>
              <w:spacing w:after="0"/>
              <w:rPr>
                <w:sz w:val="20"/>
                <w:szCs w:val="20"/>
                <w:color w:val="auto"/>
              </w:rPr>
            </w:pPr>
            <w:r>
              <w:rPr>
                <w:rFonts w:ascii="Arial" w:cs="Arial" w:eastAsia="Arial" w:hAnsi="Arial"/>
                <w:sz w:val="18"/>
                <w:szCs w:val="18"/>
                <w:color w:val="auto"/>
              </w:rPr>
              <w:t>43</w:t>
            </w:r>
          </w:p>
        </w:tc>
        <w:tc>
          <w:tcPr>
            <w:tcW w:w="180" w:type="dxa"/>
            <w:vAlign w:val="bottom"/>
            <w:shd w:val="clear" w:color="auto" w:fill="E5E5E5"/>
          </w:tcPr>
          <w:p>
            <w:pPr>
              <w:spacing w:after="0"/>
              <w:rPr>
                <w:sz w:val="12"/>
                <w:szCs w:val="12"/>
                <w:color w:val="auto"/>
              </w:rPr>
            </w:pPr>
          </w:p>
        </w:tc>
        <w:tc>
          <w:tcPr>
            <w:tcW w:w="4680" w:type="dxa"/>
            <w:vAlign w:val="bottom"/>
            <w:gridSpan w:val="13"/>
            <w:vMerge w:val="continue"/>
            <w:shd w:val="clear" w:color="auto" w:fill="E5E5E5"/>
          </w:tcPr>
          <w:p>
            <w:pPr>
              <w:spacing w:after="0"/>
              <w:rPr>
                <w:sz w:val="12"/>
                <w:szCs w:val="12"/>
                <w:color w:val="auto"/>
              </w:rPr>
            </w:pPr>
          </w:p>
        </w:tc>
        <w:tc>
          <w:tcPr>
            <w:tcW w:w="480" w:type="dxa"/>
            <w:vAlign w:val="bottom"/>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E5E5E5"/>
            </w:tcBorders>
            <w:shd w:val="clear" w:color="auto" w:fill="E5E5E5"/>
          </w:tcPr>
          <w:p>
            <w:pPr>
              <w:spacing w:after="0" w:line="20" w:lineRule="exact"/>
              <w:rPr>
                <w:sz w:val="1"/>
                <w:szCs w:val="1"/>
                <w:color w:val="auto"/>
              </w:rPr>
            </w:pPr>
          </w:p>
        </w:tc>
        <w:tc>
          <w:tcPr>
            <w:tcW w:w="4420" w:type="dxa"/>
            <w:vAlign w:val="bottom"/>
            <w:gridSpan w:val="13"/>
            <w:vMerge w:val="continue"/>
            <w:shd w:val="clear" w:color="auto" w:fill="E5E5E5"/>
          </w:tcPr>
          <w:p>
            <w:pPr>
              <w:spacing w:after="0" w:line="20" w:lineRule="exact"/>
              <w:rPr>
                <w:sz w:val="1"/>
                <w:szCs w:val="1"/>
                <w:color w:val="auto"/>
              </w:rPr>
            </w:pPr>
          </w:p>
        </w:tc>
        <w:tc>
          <w:tcPr>
            <w:tcW w:w="960" w:type="dxa"/>
            <w:vAlign w:val="bottom"/>
            <w:vMerge w:val="continue"/>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10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E5E5E5"/>
            </w:tcBorders>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540" w:type="dxa"/>
            <w:vAlign w:val="bottom"/>
            <w:shd w:val="clear" w:color="auto" w:fill="E5E5E5"/>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80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48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0" w:type="dxa"/>
            <w:vAlign w:val="bottom"/>
            <w:tcBorders>
              <w:left w:val="single" w:sz="8" w:color="E5E5E5"/>
            </w:tcBorders>
            <w:shd w:val="clear" w:color="auto" w:fill="E5E5E5"/>
          </w:tcPr>
          <w:p>
            <w:pPr>
              <w:spacing w:after="0"/>
              <w:rPr>
                <w:sz w:val="4"/>
                <w:szCs w:val="4"/>
                <w:color w:val="auto"/>
              </w:rPr>
            </w:pPr>
          </w:p>
        </w:tc>
        <w:tc>
          <w:tcPr>
            <w:tcW w:w="4420" w:type="dxa"/>
            <w:vAlign w:val="bottom"/>
            <w:gridSpan w:val="13"/>
            <w:vMerge w:val="continue"/>
            <w:shd w:val="clear" w:color="auto" w:fill="E5E5E5"/>
          </w:tcPr>
          <w:p>
            <w:pPr>
              <w:spacing w:after="0"/>
              <w:rPr>
                <w:sz w:val="4"/>
                <w:szCs w:val="4"/>
                <w:color w:val="auto"/>
              </w:rPr>
            </w:pPr>
          </w:p>
        </w:tc>
        <w:tc>
          <w:tcPr>
            <w:tcW w:w="960" w:type="dxa"/>
            <w:vAlign w:val="bottom"/>
            <w:vMerge w:val="continue"/>
            <w:shd w:val="clear" w:color="auto" w:fill="E5E5E5"/>
          </w:tcPr>
          <w:p>
            <w:pPr>
              <w:spacing w:after="0"/>
              <w:rPr>
                <w:sz w:val="4"/>
                <w:szCs w:val="4"/>
                <w:color w:val="auto"/>
              </w:rPr>
            </w:pPr>
          </w:p>
        </w:tc>
        <w:tc>
          <w:tcPr>
            <w:tcW w:w="180" w:type="dxa"/>
            <w:vAlign w:val="bottom"/>
            <w:shd w:val="clear" w:color="auto" w:fill="E5E5E5"/>
          </w:tcPr>
          <w:p>
            <w:pPr>
              <w:spacing w:after="0"/>
              <w:rPr>
                <w:sz w:val="4"/>
                <w:szCs w:val="4"/>
                <w:color w:val="auto"/>
              </w:rPr>
            </w:pPr>
          </w:p>
        </w:tc>
        <w:tc>
          <w:tcPr>
            <w:tcW w:w="4680" w:type="dxa"/>
            <w:vAlign w:val="bottom"/>
            <w:gridSpan w:val="13"/>
            <w:vMerge w:val="restart"/>
            <w:shd w:val="clear" w:color="auto" w:fill="E5E5E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Post-Termination Arrangements</w:t>
              </w:r>
            </w:hyperlink>
          </w:p>
        </w:tc>
        <w:tc>
          <w:tcPr>
            <w:tcW w:w="4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40"/>
        </w:trPr>
        <w:tc>
          <w:tcPr>
            <w:tcW w:w="200" w:type="dxa"/>
            <w:vAlign w:val="bottom"/>
            <w:tcBorders>
              <w:top w:val="single" w:sz="8" w:color="E5E5E5"/>
              <w:left w:val="single" w:sz="8" w:color="E5E5E5"/>
            </w:tcBorders>
            <w:shd w:val="clear" w:color="auto" w:fill="E5E5E5"/>
          </w:tcPr>
          <w:p>
            <w:pPr>
              <w:spacing w:after="0"/>
              <w:rPr>
                <w:sz w:val="12"/>
                <w:szCs w:val="12"/>
                <w:color w:val="auto"/>
              </w:rPr>
            </w:pPr>
          </w:p>
        </w:tc>
        <w:tc>
          <w:tcPr>
            <w:tcW w:w="2760" w:type="dxa"/>
            <w:vAlign w:val="bottom"/>
            <w:tcBorders>
              <w:top w:val="single" w:sz="8" w:color="0000EE"/>
            </w:tcBorders>
            <w:gridSpan w:val="8"/>
            <w:vMerge w:val="restart"/>
            <w:shd w:val="clear" w:color="auto" w:fill="E5E5E5"/>
          </w:tcPr>
          <w:p>
            <w:pPr>
              <w:spacing w:after="0"/>
              <w:rPr>
                <w:rFonts w:ascii="Arial" w:cs="Arial" w:eastAsia="Arial" w:hAnsi="Arial"/>
                <w:sz w:val="18"/>
                <w:szCs w:val="18"/>
                <w:color w:val="0000EE"/>
                <w:w w:val="98"/>
              </w:rPr>
            </w:pPr>
            <w:hyperlink w:anchor="page49">
              <w:r>
                <w:rPr>
                  <w:rFonts w:ascii="Arial" w:cs="Arial" w:eastAsia="Arial" w:hAnsi="Arial"/>
                  <w:sz w:val="18"/>
                  <w:szCs w:val="18"/>
                  <w:color w:val="0000EE"/>
                  <w:w w:val="98"/>
                </w:rPr>
                <w:t>Role of Compensation Consultants</w:t>
              </w:r>
            </w:hyperlink>
          </w:p>
        </w:tc>
        <w:tc>
          <w:tcPr>
            <w:tcW w:w="1280" w:type="dxa"/>
            <w:vAlign w:val="bottom"/>
            <w:tcBorders>
              <w:top w:val="single" w:sz="8" w:color="0000EE"/>
            </w:tcBorders>
            <w:gridSpan w:val="4"/>
            <w:vMerge w:val="restart"/>
            <w:shd w:val="clear" w:color="auto" w:fill="E5E5E5"/>
          </w:tcPr>
          <w:p>
            <w:pPr>
              <w:spacing w:after="0"/>
              <w:rPr>
                <w:sz w:val="12"/>
                <w:szCs w:val="12"/>
                <w:color w:val="auto"/>
              </w:rPr>
            </w:pPr>
          </w:p>
        </w:tc>
        <w:tc>
          <w:tcPr>
            <w:tcW w:w="380" w:type="dxa"/>
            <w:vAlign w:val="bottom"/>
            <w:tcBorders>
              <w:top w:val="single" w:sz="8" w:color="E5E5E5"/>
            </w:tcBorders>
            <w:vMerge w:val="restart"/>
            <w:shd w:val="clear" w:color="auto" w:fill="E5E5E5"/>
          </w:tcPr>
          <w:p>
            <w:pPr>
              <w:spacing w:after="0"/>
              <w:rPr>
                <w:sz w:val="12"/>
                <w:szCs w:val="12"/>
                <w:color w:val="auto"/>
              </w:rPr>
            </w:pPr>
          </w:p>
        </w:tc>
        <w:tc>
          <w:tcPr>
            <w:tcW w:w="960" w:type="dxa"/>
            <w:vAlign w:val="bottom"/>
            <w:tcBorders>
              <w:top w:val="single" w:sz="8" w:color="E5E5E5"/>
            </w:tcBorders>
            <w:vMerge w:val="restart"/>
            <w:shd w:val="clear" w:color="auto" w:fill="E5E5E5"/>
          </w:tcPr>
          <w:p>
            <w:pPr>
              <w:jc w:val="right"/>
              <w:ind w:right="311"/>
              <w:spacing w:after="0"/>
              <w:rPr>
                <w:sz w:val="20"/>
                <w:szCs w:val="20"/>
                <w:color w:val="auto"/>
              </w:rPr>
            </w:pPr>
            <w:r>
              <w:rPr>
                <w:rFonts w:ascii="Arial" w:cs="Arial" w:eastAsia="Arial" w:hAnsi="Arial"/>
                <w:sz w:val="18"/>
                <w:szCs w:val="18"/>
                <w:color w:val="auto"/>
              </w:rPr>
              <w:t>44</w:t>
            </w:r>
          </w:p>
        </w:tc>
        <w:tc>
          <w:tcPr>
            <w:tcW w:w="180" w:type="dxa"/>
            <w:vAlign w:val="bottom"/>
            <w:tcBorders>
              <w:top w:val="single" w:sz="8" w:color="E5E5E5"/>
            </w:tcBorders>
            <w:shd w:val="clear" w:color="auto" w:fill="E5E5E5"/>
          </w:tcPr>
          <w:p>
            <w:pPr>
              <w:spacing w:after="0"/>
              <w:rPr>
                <w:sz w:val="12"/>
                <w:szCs w:val="12"/>
                <w:color w:val="auto"/>
              </w:rPr>
            </w:pPr>
          </w:p>
        </w:tc>
        <w:tc>
          <w:tcPr>
            <w:tcW w:w="4680" w:type="dxa"/>
            <w:vAlign w:val="bottom"/>
            <w:tcBorders>
              <w:top w:val="single" w:sz="8" w:color="E5E5E5"/>
            </w:tcBorders>
            <w:gridSpan w:val="13"/>
            <w:vMerge w:val="continue"/>
            <w:shd w:val="clear" w:color="auto" w:fill="E5E5E5"/>
          </w:tcPr>
          <w:p>
            <w:pPr>
              <w:spacing w:after="0"/>
              <w:rPr>
                <w:sz w:val="12"/>
                <w:szCs w:val="12"/>
                <w:color w:val="auto"/>
              </w:rPr>
            </w:pPr>
          </w:p>
        </w:tc>
        <w:tc>
          <w:tcPr>
            <w:tcW w:w="480" w:type="dxa"/>
            <w:vAlign w:val="bottom"/>
            <w:tcBorders>
              <w:top w:val="single" w:sz="8" w:color="E5E5E5"/>
            </w:tcBorders>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0" w:type="dxa"/>
            <w:vAlign w:val="bottom"/>
            <w:tcBorders>
              <w:top w:val="single" w:sz="8" w:color="E5E5E5"/>
              <w:left w:val="single" w:sz="8" w:color="E5E5E5"/>
              <w:bottom w:val="single" w:sz="8" w:color="E5E5E5"/>
            </w:tcBorders>
            <w:shd w:val="clear" w:color="auto" w:fill="E5E5E5"/>
          </w:tcPr>
          <w:p>
            <w:pPr>
              <w:spacing w:after="0"/>
              <w:rPr>
                <w:sz w:val="4"/>
                <w:szCs w:val="4"/>
                <w:color w:val="auto"/>
              </w:rPr>
            </w:pPr>
          </w:p>
        </w:tc>
        <w:tc>
          <w:tcPr>
            <w:tcW w:w="2760" w:type="dxa"/>
            <w:vAlign w:val="bottom"/>
            <w:tcBorders>
              <w:top w:val="single" w:sz="8" w:color="0000EE"/>
              <w:bottom w:val="single" w:sz="8" w:color="0000EE"/>
            </w:tcBorders>
            <w:gridSpan w:val="8"/>
            <w:vMerge w:val="continue"/>
            <w:shd w:val="clear" w:color="auto" w:fill="E5E5E5"/>
          </w:tcPr>
          <w:p>
            <w:pPr>
              <w:spacing w:after="0"/>
              <w:rPr>
                <w:sz w:val="4"/>
                <w:szCs w:val="4"/>
                <w:color w:val="auto"/>
              </w:rPr>
            </w:pPr>
          </w:p>
        </w:tc>
        <w:tc>
          <w:tcPr>
            <w:tcW w:w="1280" w:type="dxa"/>
            <w:vAlign w:val="bottom"/>
            <w:tcBorders>
              <w:top w:val="single" w:sz="8" w:color="0000EE"/>
              <w:bottom w:val="single" w:sz="8" w:color="E5E5E5"/>
            </w:tcBorders>
            <w:gridSpan w:val="4"/>
            <w:vMerge w:val="continue"/>
            <w:shd w:val="clear" w:color="auto" w:fill="E5E5E5"/>
          </w:tcPr>
          <w:p>
            <w:pPr>
              <w:spacing w:after="0"/>
              <w:rPr>
                <w:sz w:val="4"/>
                <w:szCs w:val="4"/>
                <w:color w:val="auto"/>
              </w:rPr>
            </w:pPr>
          </w:p>
        </w:tc>
        <w:tc>
          <w:tcPr>
            <w:tcW w:w="380" w:type="dxa"/>
            <w:vAlign w:val="bottom"/>
            <w:tcBorders>
              <w:top w:val="single" w:sz="8" w:color="E5E5E5"/>
              <w:bottom w:val="single" w:sz="8" w:color="E5E5E5"/>
            </w:tcBorders>
            <w:vMerge w:val="continue"/>
            <w:shd w:val="clear" w:color="auto" w:fill="E5E5E5"/>
          </w:tcPr>
          <w:p>
            <w:pPr>
              <w:spacing w:after="0"/>
              <w:rPr>
                <w:sz w:val="4"/>
                <w:szCs w:val="4"/>
                <w:color w:val="auto"/>
              </w:rPr>
            </w:pPr>
          </w:p>
        </w:tc>
        <w:tc>
          <w:tcPr>
            <w:tcW w:w="960" w:type="dxa"/>
            <w:vAlign w:val="bottom"/>
            <w:tcBorders>
              <w:top w:val="single" w:sz="8" w:color="E5E5E5"/>
              <w:bottom w:val="single" w:sz="8" w:color="E5E5E5"/>
            </w:tcBorders>
            <w:vMerge w:val="continue"/>
            <w:shd w:val="clear" w:color="auto" w:fill="E5E5E5"/>
          </w:tcPr>
          <w:p>
            <w:pPr>
              <w:spacing w:after="0"/>
              <w:rPr>
                <w:sz w:val="4"/>
                <w:szCs w:val="4"/>
                <w:color w:val="auto"/>
              </w:rPr>
            </w:pPr>
          </w:p>
        </w:tc>
        <w:tc>
          <w:tcPr>
            <w:tcW w:w="180" w:type="dxa"/>
            <w:vAlign w:val="bottom"/>
            <w:tcBorders>
              <w:top w:val="single" w:sz="8" w:color="E5E5E5"/>
              <w:bottom w:val="single" w:sz="8" w:color="E5E5E5"/>
            </w:tcBorders>
            <w:shd w:val="clear" w:color="auto" w:fill="E5E5E5"/>
          </w:tcPr>
          <w:p>
            <w:pPr>
              <w:spacing w:after="0"/>
              <w:rPr>
                <w:sz w:val="4"/>
                <w:szCs w:val="4"/>
                <w:color w:val="auto"/>
              </w:rPr>
            </w:pPr>
          </w:p>
        </w:tc>
        <w:tc>
          <w:tcPr>
            <w:tcW w:w="1800" w:type="dxa"/>
            <w:vAlign w:val="bottom"/>
            <w:tcBorders>
              <w:top w:val="single" w:sz="8" w:color="0000EE"/>
              <w:bottom w:val="single" w:sz="8" w:color="0000EE"/>
              <w:right w:val="single" w:sz="8" w:color="E5E5E5"/>
            </w:tcBorders>
            <w:gridSpan w:val="3"/>
            <w:vMerge w:val="restart"/>
            <w:shd w:val="clear" w:color="auto" w:fill="E5E5E5"/>
          </w:tcPr>
          <w:p>
            <w:pPr>
              <w:spacing w:after="0"/>
              <w:rPr>
                <w:rFonts w:ascii="Arial" w:cs="Arial" w:eastAsia="Arial" w:hAnsi="Arial"/>
                <w:sz w:val="18"/>
                <w:szCs w:val="18"/>
                <w:color w:val="0000EE"/>
                <w:w w:val="96"/>
              </w:rPr>
            </w:pPr>
            <w:hyperlink w:anchor="page58">
              <w:r>
                <w:rPr>
                  <w:rFonts w:ascii="Arial" w:cs="Arial" w:eastAsia="Arial" w:hAnsi="Arial"/>
                  <w:sz w:val="18"/>
                  <w:szCs w:val="18"/>
                  <w:color w:val="0000EE"/>
                  <w:w w:val="96"/>
                </w:rPr>
                <w:t>Employment Contracts</w:t>
              </w:r>
            </w:hyperlink>
          </w:p>
        </w:tc>
        <w:tc>
          <w:tcPr>
            <w:tcW w:w="700" w:type="dxa"/>
            <w:vAlign w:val="bottom"/>
            <w:tcBorders>
              <w:top w:val="single" w:sz="8" w:color="0000EE"/>
              <w:bottom w:val="single" w:sz="8" w:color="0000EE"/>
            </w:tcBorders>
            <w:gridSpan w:val="4"/>
            <w:vMerge w:val="restart"/>
            <w:shd w:val="clear" w:color="auto" w:fill="E5E5E5"/>
          </w:tcPr>
          <w:p>
            <w:pPr>
              <w:spacing w:after="0"/>
              <w:rPr>
                <w:sz w:val="4"/>
                <w:szCs w:val="4"/>
                <w:color w:val="auto"/>
              </w:rPr>
            </w:pPr>
          </w:p>
        </w:tc>
        <w:tc>
          <w:tcPr>
            <w:tcW w:w="2180" w:type="dxa"/>
            <w:vAlign w:val="bottom"/>
            <w:tcBorders>
              <w:top w:val="single" w:sz="8" w:color="E5E5E5"/>
              <w:bottom w:val="single" w:sz="8" w:color="E5E5E5"/>
            </w:tcBorders>
            <w:gridSpan w:val="6"/>
            <w:vMerge w:val="restart"/>
            <w:shd w:val="clear" w:color="auto" w:fill="E5E5E5"/>
          </w:tcPr>
          <w:p>
            <w:pPr>
              <w:spacing w:after="0"/>
              <w:rPr>
                <w:sz w:val="4"/>
                <w:szCs w:val="4"/>
                <w:color w:val="auto"/>
              </w:rPr>
            </w:pPr>
          </w:p>
        </w:tc>
        <w:tc>
          <w:tcPr>
            <w:tcW w:w="480" w:type="dxa"/>
            <w:vAlign w:val="bottom"/>
            <w:tcBorders>
              <w:top w:val="single" w:sz="8" w:color="E5E5E5"/>
              <w:bottom w:val="single" w:sz="8" w:color="E5E5E5"/>
            </w:tcBorders>
            <w:vMerge w:val="restart"/>
            <w:shd w:val="clear" w:color="auto" w:fill="E5E5E5"/>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40"/>
        </w:trPr>
        <w:tc>
          <w:tcPr>
            <w:tcW w:w="4620" w:type="dxa"/>
            <w:vAlign w:val="bottom"/>
            <w:tcBorders>
              <w:left w:val="single" w:sz="8" w:color="E5E5E5"/>
              <w:bottom w:val="single" w:sz="8" w:color="E5E5E5"/>
            </w:tcBorders>
            <w:gridSpan w:val="14"/>
            <w:vMerge w:val="restart"/>
            <w:shd w:val="clear" w:color="auto" w:fill="E5E5E5"/>
          </w:tcPr>
          <w:p>
            <w:pPr>
              <w:ind w:left="20"/>
              <w:spacing w:after="0"/>
              <w:rPr>
                <w:rFonts w:ascii="Arial" w:cs="Arial" w:eastAsia="Arial" w:hAnsi="Arial"/>
                <w:sz w:val="18"/>
                <w:szCs w:val="18"/>
                <w:color w:val="0000EE"/>
              </w:rPr>
            </w:pPr>
            <w:hyperlink w:anchor="page50">
              <w:r>
                <w:rPr>
                  <w:rFonts w:ascii="Arial" w:cs="Arial" w:eastAsia="Arial" w:hAnsi="Arial"/>
                  <w:sz w:val="18"/>
                  <w:szCs w:val="18"/>
                  <w:color w:val="0000EE"/>
                </w:rPr>
                <w:t>Peer Group Composition</w:t>
              </w:r>
            </w:hyperlink>
          </w:p>
        </w:tc>
        <w:tc>
          <w:tcPr>
            <w:tcW w:w="960" w:type="dxa"/>
            <w:vAlign w:val="bottom"/>
            <w:tcBorders>
              <w:bottom w:val="single" w:sz="8" w:color="E5E5E5"/>
            </w:tcBorders>
            <w:vMerge w:val="restart"/>
            <w:shd w:val="clear" w:color="auto" w:fill="E5E5E5"/>
          </w:tcPr>
          <w:p>
            <w:pPr>
              <w:jc w:val="right"/>
              <w:ind w:right="311"/>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E5E5E5"/>
            </w:tcBorders>
            <w:shd w:val="clear" w:color="auto" w:fill="E5E5E5"/>
          </w:tcPr>
          <w:p>
            <w:pPr>
              <w:spacing w:after="0"/>
              <w:rPr>
                <w:sz w:val="12"/>
                <w:szCs w:val="12"/>
                <w:color w:val="auto"/>
              </w:rPr>
            </w:pPr>
          </w:p>
        </w:tc>
        <w:tc>
          <w:tcPr>
            <w:tcW w:w="1800" w:type="dxa"/>
            <w:vAlign w:val="bottom"/>
            <w:tcBorders>
              <w:bottom w:val="single" w:sz="8" w:color="0000EE"/>
              <w:right w:val="single" w:sz="8" w:color="E5E5E5"/>
            </w:tcBorders>
            <w:gridSpan w:val="3"/>
            <w:vMerge w:val="continue"/>
            <w:shd w:val="clear" w:color="auto" w:fill="E5E5E5"/>
          </w:tcPr>
          <w:p>
            <w:pPr>
              <w:spacing w:after="0"/>
              <w:rPr>
                <w:sz w:val="12"/>
                <w:szCs w:val="12"/>
                <w:color w:val="auto"/>
              </w:rPr>
            </w:pPr>
          </w:p>
        </w:tc>
        <w:tc>
          <w:tcPr>
            <w:tcW w:w="700" w:type="dxa"/>
            <w:vAlign w:val="bottom"/>
            <w:tcBorders>
              <w:bottom w:val="single" w:sz="8" w:color="E5E5E5"/>
            </w:tcBorders>
            <w:gridSpan w:val="4"/>
            <w:vMerge w:val="continue"/>
            <w:shd w:val="clear" w:color="auto" w:fill="E5E5E5"/>
          </w:tcPr>
          <w:p>
            <w:pPr>
              <w:spacing w:after="0"/>
              <w:rPr>
                <w:sz w:val="12"/>
                <w:szCs w:val="12"/>
                <w:color w:val="auto"/>
              </w:rPr>
            </w:pPr>
          </w:p>
        </w:tc>
        <w:tc>
          <w:tcPr>
            <w:tcW w:w="2180" w:type="dxa"/>
            <w:vAlign w:val="bottom"/>
            <w:tcBorders>
              <w:bottom w:val="single" w:sz="8" w:color="E5E5E5"/>
            </w:tcBorders>
            <w:gridSpan w:val="6"/>
            <w:vMerge w:val="continue"/>
            <w:shd w:val="clear" w:color="auto" w:fill="E5E5E5"/>
          </w:tcPr>
          <w:p>
            <w:pPr>
              <w:spacing w:after="0"/>
              <w:rPr>
                <w:sz w:val="12"/>
                <w:szCs w:val="12"/>
                <w:color w:val="auto"/>
              </w:rPr>
            </w:pPr>
          </w:p>
        </w:tc>
        <w:tc>
          <w:tcPr>
            <w:tcW w:w="480" w:type="dxa"/>
            <w:vAlign w:val="bottom"/>
            <w:tcBorders>
              <w:bottom w:val="single" w:sz="8" w:color="E5E5E5"/>
            </w:tcBorders>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620" w:type="dxa"/>
            <w:vAlign w:val="bottom"/>
            <w:tcBorders>
              <w:left w:val="single" w:sz="8" w:color="E5E5E5"/>
            </w:tcBorders>
            <w:gridSpan w:val="14"/>
            <w:vMerge w:val="continue"/>
            <w:shd w:val="clear" w:color="auto" w:fill="E5E5E5"/>
          </w:tcPr>
          <w:p>
            <w:pPr>
              <w:spacing w:after="0"/>
              <w:rPr>
                <w:sz w:val="11"/>
                <w:szCs w:val="11"/>
                <w:color w:val="auto"/>
              </w:rPr>
            </w:pPr>
          </w:p>
        </w:tc>
        <w:tc>
          <w:tcPr>
            <w:tcW w:w="960" w:type="dxa"/>
            <w:vAlign w:val="bottom"/>
            <w:vMerge w:val="continue"/>
            <w:shd w:val="clear" w:color="auto" w:fill="E5E5E5"/>
          </w:tcPr>
          <w:p>
            <w:pPr>
              <w:spacing w:after="0"/>
              <w:rPr>
                <w:sz w:val="11"/>
                <w:szCs w:val="11"/>
                <w:color w:val="auto"/>
              </w:rPr>
            </w:pPr>
          </w:p>
        </w:tc>
        <w:tc>
          <w:tcPr>
            <w:tcW w:w="4860" w:type="dxa"/>
            <w:vAlign w:val="bottom"/>
            <w:gridSpan w:val="14"/>
            <w:vMerge w:val="restart"/>
            <w:shd w:val="clear" w:color="auto" w:fill="E5E5E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Tax Considerations</w:t>
              </w:r>
            </w:hyperlink>
          </w:p>
        </w:tc>
        <w:tc>
          <w:tcPr>
            <w:tcW w:w="4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0" w:type="dxa"/>
            <w:vAlign w:val="bottom"/>
            <w:tcBorders>
              <w:left w:val="single" w:sz="8" w:color="E5E5E5"/>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540" w:type="dxa"/>
            <w:vAlign w:val="bottom"/>
            <w:tcBorders>
              <w:right w:val="single" w:sz="8" w:color="E5E5E5"/>
            </w:tcBorders>
            <w:shd w:val="clear" w:color="auto" w:fill="E5E5E5"/>
          </w:tcPr>
          <w:p>
            <w:pPr>
              <w:spacing w:after="0" w:line="20" w:lineRule="exact"/>
              <w:rPr>
                <w:sz w:val="1"/>
                <w:szCs w:val="1"/>
                <w:color w:val="auto"/>
              </w:rPr>
            </w:pPr>
          </w:p>
        </w:tc>
        <w:tc>
          <w:tcPr>
            <w:tcW w:w="340" w:type="dxa"/>
            <w:vAlign w:val="bottom"/>
            <w:shd w:val="clear" w:color="auto" w:fill="E5E5E5"/>
          </w:tcPr>
          <w:p>
            <w:pPr>
              <w:spacing w:after="0" w:line="20" w:lineRule="exact"/>
              <w:rPr>
                <w:sz w:val="1"/>
                <w:szCs w:val="1"/>
                <w:color w:val="auto"/>
              </w:rPr>
            </w:pPr>
          </w:p>
        </w:tc>
        <w:tc>
          <w:tcPr>
            <w:tcW w:w="360" w:type="dxa"/>
            <w:vAlign w:val="bottom"/>
            <w:tcBorders>
              <w:right w:val="single" w:sz="8" w:color="E5E5E5"/>
            </w:tcBorders>
            <w:shd w:val="clear" w:color="auto" w:fill="E5E5E5"/>
          </w:tcPr>
          <w:p>
            <w:pPr>
              <w:spacing w:after="0" w:line="20" w:lineRule="exact"/>
              <w:rPr>
                <w:sz w:val="1"/>
                <w:szCs w:val="1"/>
                <w:color w:val="auto"/>
              </w:rPr>
            </w:pPr>
          </w:p>
        </w:tc>
        <w:tc>
          <w:tcPr>
            <w:tcW w:w="260" w:type="dxa"/>
            <w:vAlign w:val="bottom"/>
            <w:shd w:val="clear" w:color="auto" w:fill="E5E5E5"/>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520" w:type="dxa"/>
            <w:vAlign w:val="bottom"/>
            <w:shd w:val="clear" w:color="auto" w:fill="E5E5E5"/>
          </w:tcPr>
          <w:p>
            <w:pPr>
              <w:spacing w:after="0" w:line="20" w:lineRule="exact"/>
              <w:rPr>
                <w:sz w:val="1"/>
                <w:szCs w:val="1"/>
                <w:color w:val="auto"/>
              </w:rPr>
            </w:pPr>
          </w:p>
        </w:tc>
        <w:tc>
          <w:tcPr>
            <w:tcW w:w="380" w:type="dxa"/>
            <w:vAlign w:val="bottom"/>
            <w:shd w:val="clear" w:color="auto" w:fill="E5E5E5"/>
          </w:tcPr>
          <w:p>
            <w:pPr>
              <w:spacing w:after="0" w:line="20" w:lineRule="exact"/>
              <w:rPr>
                <w:sz w:val="1"/>
                <w:szCs w:val="1"/>
                <w:color w:val="auto"/>
              </w:rPr>
            </w:pPr>
          </w:p>
        </w:tc>
        <w:tc>
          <w:tcPr>
            <w:tcW w:w="960" w:type="dxa"/>
            <w:vAlign w:val="bottom"/>
            <w:shd w:val="clear" w:color="auto" w:fill="E5E5E5"/>
          </w:tcPr>
          <w:p>
            <w:pPr>
              <w:spacing w:after="0" w:line="20" w:lineRule="exact"/>
              <w:rPr>
                <w:sz w:val="1"/>
                <w:szCs w:val="1"/>
                <w:color w:val="auto"/>
              </w:rPr>
            </w:pPr>
          </w:p>
        </w:tc>
        <w:tc>
          <w:tcPr>
            <w:tcW w:w="4860" w:type="dxa"/>
            <w:vAlign w:val="bottom"/>
            <w:gridSpan w:val="14"/>
            <w:vMerge w:val="continue"/>
            <w:shd w:val="clear" w:color="auto" w:fill="E5E5E5"/>
          </w:tcPr>
          <w:p>
            <w:pPr>
              <w:spacing w:after="0" w:line="20" w:lineRule="exact"/>
              <w:rPr>
                <w:sz w:val="1"/>
                <w:szCs w:val="1"/>
                <w:color w:val="auto"/>
              </w:rPr>
            </w:pPr>
          </w:p>
        </w:tc>
        <w:tc>
          <w:tcPr>
            <w:tcW w:w="480" w:type="dxa"/>
            <w:vAlign w:val="bottom"/>
            <w:vMerge w:val="continue"/>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0" w:type="dxa"/>
            <w:vAlign w:val="bottom"/>
            <w:tcBorders>
              <w:left w:val="single" w:sz="8" w:color="E5E5E5"/>
            </w:tcBorders>
            <w:shd w:val="clear" w:color="auto" w:fill="E5E5E5"/>
          </w:tcPr>
          <w:p>
            <w:pPr>
              <w:spacing w:after="0"/>
              <w:rPr>
                <w:sz w:val="12"/>
                <w:szCs w:val="12"/>
                <w:color w:val="auto"/>
              </w:rPr>
            </w:pPr>
          </w:p>
        </w:tc>
        <w:tc>
          <w:tcPr>
            <w:tcW w:w="4420" w:type="dxa"/>
            <w:vAlign w:val="bottom"/>
            <w:gridSpan w:val="13"/>
            <w:vMerge w:val="restart"/>
            <w:shd w:val="clear" w:color="auto" w:fill="E5E5E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Fiscal 2021 Peer Group</w:t>
              </w:r>
            </w:hyperlink>
          </w:p>
        </w:tc>
        <w:tc>
          <w:tcPr>
            <w:tcW w:w="960" w:type="dxa"/>
            <w:vAlign w:val="bottom"/>
            <w:vMerge w:val="restart"/>
            <w:shd w:val="clear" w:color="auto" w:fill="E5E5E5"/>
          </w:tcPr>
          <w:p>
            <w:pPr>
              <w:jc w:val="right"/>
              <w:ind w:right="311"/>
              <w:spacing w:after="0"/>
              <w:rPr>
                <w:sz w:val="20"/>
                <w:szCs w:val="20"/>
                <w:color w:val="auto"/>
              </w:rPr>
            </w:pPr>
            <w:r>
              <w:rPr>
                <w:rFonts w:ascii="Arial" w:cs="Arial" w:eastAsia="Arial" w:hAnsi="Arial"/>
                <w:sz w:val="18"/>
                <w:szCs w:val="18"/>
                <w:color w:val="auto"/>
              </w:rPr>
              <w:t>45</w:t>
            </w:r>
          </w:p>
        </w:tc>
        <w:tc>
          <w:tcPr>
            <w:tcW w:w="4860" w:type="dxa"/>
            <w:vAlign w:val="bottom"/>
            <w:gridSpan w:val="14"/>
            <w:vMerge w:val="continue"/>
            <w:shd w:val="clear" w:color="auto" w:fill="E5E5E5"/>
          </w:tcPr>
          <w:p>
            <w:pPr>
              <w:spacing w:after="0"/>
              <w:rPr>
                <w:sz w:val="12"/>
                <w:szCs w:val="12"/>
                <w:color w:val="auto"/>
              </w:rPr>
            </w:pPr>
          </w:p>
        </w:tc>
        <w:tc>
          <w:tcPr>
            <w:tcW w:w="480" w:type="dxa"/>
            <w:vAlign w:val="bottom"/>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0" w:type="dxa"/>
            <w:vAlign w:val="bottom"/>
            <w:tcBorders>
              <w:top w:val="single" w:sz="8" w:color="E5E5E5"/>
              <w:left w:val="single" w:sz="8" w:color="E5E5E5"/>
            </w:tcBorders>
            <w:shd w:val="clear" w:color="auto" w:fill="E5E5E5"/>
          </w:tcPr>
          <w:p>
            <w:pPr>
              <w:spacing w:after="0"/>
              <w:rPr>
                <w:sz w:val="4"/>
                <w:szCs w:val="4"/>
                <w:color w:val="auto"/>
              </w:rPr>
            </w:pPr>
          </w:p>
        </w:tc>
        <w:tc>
          <w:tcPr>
            <w:tcW w:w="4420" w:type="dxa"/>
            <w:vAlign w:val="bottom"/>
            <w:tcBorders>
              <w:top w:val="single" w:sz="8" w:color="E5E5E5"/>
            </w:tcBorders>
            <w:gridSpan w:val="13"/>
            <w:vMerge w:val="continue"/>
            <w:shd w:val="clear" w:color="auto" w:fill="E5E5E5"/>
          </w:tcPr>
          <w:p>
            <w:pPr>
              <w:spacing w:after="0"/>
              <w:rPr>
                <w:sz w:val="4"/>
                <w:szCs w:val="4"/>
                <w:color w:val="auto"/>
              </w:rPr>
            </w:pPr>
          </w:p>
        </w:tc>
        <w:tc>
          <w:tcPr>
            <w:tcW w:w="960" w:type="dxa"/>
            <w:vAlign w:val="bottom"/>
            <w:tcBorders>
              <w:top w:val="single" w:sz="8" w:color="E5E5E5"/>
            </w:tcBorders>
            <w:vMerge w:val="continue"/>
            <w:shd w:val="clear" w:color="auto" w:fill="E5E5E5"/>
          </w:tcPr>
          <w:p>
            <w:pPr>
              <w:spacing w:after="0"/>
              <w:rPr>
                <w:sz w:val="4"/>
                <w:szCs w:val="4"/>
                <w:color w:val="auto"/>
              </w:rPr>
            </w:pPr>
          </w:p>
        </w:tc>
        <w:tc>
          <w:tcPr>
            <w:tcW w:w="180" w:type="dxa"/>
            <w:vAlign w:val="bottom"/>
            <w:tcBorders>
              <w:top w:val="single" w:sz="8" w:color="0000EE"/>
            </w:tcBorders>
            <w:shd w:val="clear" w:color="auto" w:fill="E5E5E5"/>
          </w:tcPr>
          <w:p>
            <w:pPr>
              <w:spacing w:after="0"/>
              <w:rPr>
                <w:sz w:val="4"/>
                <w:szCs w:val="4"/>
                <w:color w:val="auto"/>
              </w:rPr>
            </w:pPr>
          </w:p>
        </w:tc>
        <w:tc>
          <w:tcPr>
            <w:tcW w:w="1000" w:type="dxa"/>
            <w:vAlign w:val="bottom"/>
            <w:tcBorders>
              <w:top w:val="single" w:sz="8" w:color="0000EE"/>
              <w:right w:val="single" w:sz="8" w:color="E5E5E5"/>
            </w:tcBorders>
            <w:shd w:val="clear" w:color="auto" w:fill="E5E5E5"/>
          </w:tcPr>
          <w:p>
            <w:pPr>
              <w:spacing w:after="0"/>
              <w:rPr>
                <w:sz w:val="4"/>
                <w:szCs w:val="4"/>
                <w:color w:val="auto"/>
              </w:rPr>
            </w:pPr>
          </w:p>
        </w:tc>
        <w:tc>
          <w:tcPr>
            <w:tcW w:w="340" w:type="dxa"/>
            <w:vAlign w:val="bottom"/>
            <w:tcBorders>
              <w:top w:val="single" w:sz="8" w:color="0000EE"/>
            </w:tcBorders>
            <w:shd w:val="clear" w:color="auto" w:fill="E5E5E5"/>
          </w:tcPr>
          <w:p>
            <w:pPr>
              <w:spacing w:after="0"/>
              <w:rPr>
                <w:sz w:val="4"/>
                <w:szCs w:val="4"/>
                <w:color w:val="auto"/>
              </w:rPr>
            </w:pPr>
          </w:p>
        </w:tc>
        <w:tc>
          <w:tcPr>
            <w:tcW w:w="460" w:type="dxa"/>
            <w:vAlign w:val="bottom"/>
            <w:tcBorders>
              <w:top w:val="single" w:sz="8" w:color="E5E5E5"/>
              <w:right w:val="single" w:sz="8" w:color="E5E5E5"/>
            </w:tcBorders>
            <w:shd w:val="clear" w:color="auto" w:fill="E5E5E5"/>
          </w:tcPr>
          <w:p>
            <w:pPr>
              <w:spacing w:after="0"/>
              <w:rPr>
                <w:sz w:val="4"/>
                <w:szCs w:val="4"/>
                <w:color w:val="auto"/>
              </w:rPr>
            </w:pPr>
          </w:p>
        </w:tc>
        <w:tc>
          <w:tcPr>
            <w:tcW w:w="80" w:type="dxa"/>
            <w:vAlign w:val="bottom"/>
            <w:tcBorders>
              <w:top w:val="single" w:sz="8" w:color="E5E5E5"/>
            </w:tcBorders>
            <w:shd w:val="clear" w:color="auto" w:fill="E5E5E5"/>
          </w:tcPr>
          <w:p>
            <w:pPr>
              <w:spacing w:after="0"/>
              <w:rPr>
                <w:sz w:val="4"/>
                <w:szCs w:val="4"/>
                <w:color w:val="auto"/>
              </w:rPr>
            </w:pPr>
          </w:p>
        </w:tc>
        <w:tc>
          <w:tcPr>
            <w:tcW w:w="240" w:type="dxa"/>
            <w:vAlign w:val="bottom"/>
            <w:tcBorders>
              <w:top w:val="single" w:sz="8" w:color="E5E5E5"/>
              <w:right w:val="single" w:sz="8" w:color="E5E5E5"/>
            </w:tcBorders>
            <w:shd w:val="clear" w:color="auto" w:fill="E5E5E5"/>
          </w:tcPr>
          <w:p>
            <w:pPr>
              <w:spacing w:after="0"/>
              <w:rPr>
                <w:sz w:val="4"/>
                <w:szCs w:val="4"/>
                <w:color w:val="auto"/>
              </w:rPr>
            </w:pPr>
          </w:p>
        </w:tc>
        <w:tc>
          <w:tcPr>
            <w:tcW w:w="220" w:type="dxa"/>
            <w:vAlign w:val="bottom"/>
            <w:tcBorders>
              <w:top w:val="single" w:sz="8" w:color="E5E5E5"/>
            </w:tcBorders>
            <w:shd w:val="clear" w:color="auto" w:fill="E5E5E5"/>
          </w:tcPr>
          <w:p>
            <w:pPr>
              <w:spacing w:after="0"/>
              <w:rPr>
                <w:sz w:val="4"/>
                <w:szCs w:val="4"/>
                <w:color w:val="auto"/>
              </w:rPr>
            </w:pPr>
          </w:p>
        </w:tc>
        <w:tc>
          <w:tcPr>
            <w:tcW w:w="160" w:type="dxa"/>
            <w:vAlign w:val="bottom"/>
            <w:tcBorders>
              <w:top w:val="single" w:sz="8" w:color="E5E5E5"/>
            </w:tcBorders>
            <w:shd w:val="clear" w:color="auto" w:fill="E5E5E5"/>
          </w:tcPr>
          <w:p>
            <w:pPr>
              <w:spacing w:after="0"/>
              <w:rPr>
                <w:sz w:val="4"/>
                <w:szCs w:val="4"/>
                <w:color w:val="auto"/>
              </w:rPr>
            </w:pPr>
          </w:p>
        </w:tc>
        <w:tc>
          <w:tcPr>
            <w:tcW w:w="100" w:type="dxa"/>
            <w:vAlign w:val="bottom"/>
            <w:tcBorders>
              <w:top w:val="single" w:sz="8" w:color="E5E5E5"/>
            </w:tcBorders>
            <w:shd w:val="clear" w:color="auto" w:fill="E5E5E5"/>
          </w:tcPr>
          <w:p>
            <w:pPr>
              <w:spacing w:after="0"/>
              <w:rPr>
                <w:sz w:val="4"/>
                <w:szCs w:val="4"/>
                <w:color w:val="auto"/>
              </w:rPr>
            </w:pPr>
          </w:p>
        </w:tc>
        <w:tc>
          <w:tcPr>
            <w:tcW w:w="540" w:type="dxa"/>
            <w:vAlign w:val="bottom"/>
            <w:tcBorders>
              <w:top w:val="single" w:sz="8" w:color="E5E5E5"/>
            </w:tcBorders>
            <w:shd w:val="clear" w:color="auto" w:fill="E5E5E5"/>
          </w:tcPr>
          <w:p>
            <w:pPr>
              <w:spacing w:after="0"/>
              <w:rPr>
                <w:sz w:val="4"/>
                <w:szCs w:val="4"/>
                <w:color w:val="auto"/>
              </w:rPr>
            </w:pPr>
          </w:p>
        </w:tc>
        <w:tc>
          <w:tcPr>
            <w:tcW w:w="300" w:type="dxa"/>
            <w:vAlign w:val="bottom"/>
            <w:tcBorders>
              <w:top w:val="single" w:sz="8" w:color="E5E5E5"/>
            </w:tcBorders>
            <w:shd w:val="clear" w:color="auto" w:fill="E5E5E5"/>
          </w:tcPr>
          <w:p>
            <w:pPr>
              <w:spacing w:after="0"/>
              <w:rPr>
                <w:sz w:val="4"/>
                <w:szCs w:val="4"/>
                <w:color w:val="auto"/>
              </w:rPr>
            </w:pPr>
          </w:p>
        </w:tc>
        <w:tc>
          <w:tcPr>
            <w:tcW w:w="220" w:type="dxa"/>
            <w:vAlign w:val="bottom"/>
            <w:tcBorders>
              <w:top w:val="single" w:sz="8" w:color="E5E5E5"/>
            </w:tcBorders>
            <w:shd w:val="clear" w:color="auto" w:fill="E5E5E5"/>
          </w:tcPr>
          <w:p>
            <w:pPr>
              <w:spacing w:after="0"/>
              <w:rPr>
                <w:sz w:val="4"/>
                <w:szCs w:val="4"/>
                <w:color w:val="auto"/>
              </w:rPr>
            </w:pPr>
          </w:p>
        </w:tc>
        <w:tc>
          <w:tcPr>
            <w:tcW w:w="800" w:type="dxa"/>
            <w:vAlign w:val="bottom"/>
            <w:tcBorders>
              <w:top w:val="single" w:sz="8" w:color="E5E5E5"/>
            </w:tcBorders>
            <w:shd w:val="clear" w:color="auto" w:fill="E5E5E5"/>
          </w:tcPr>
          <w:p>
            <w:pPr>
              <w:spacing w:after="0"/>
              <w:rPr>
                <w:sz w:val="4"/>
                <w:szCs w:val="4"/>
                <w:color w:val="auto"/>
              </w:rPr>
            </w:pPr>
          </w:p>
        </w:tc>
        <w:tc>
          <w:tcPr>
            <w:tcW w:w="220" w:type="dxa"/>
            <w:vAlign w:val="bottom"/>
            <w:tcBorders>
              <w:top w:val="single" w:sz="8" w:color="E5E5E5"/>
            </w:tcBorders>
            <w:shd w:val="clear" w:color="auto" w:fill="E5E5E5"/>
          </w:tcPr>
          <w:p>
            <w:pPr>
              <w:spacing w:after="0"/>
              <w:rPr>
                <w:sz w:val="4"/>
                <w:szCs w:val="4"/>
                <w:color w:val="auto"/>
              </w:rPr>
            </w:pPr>
          </w:p>
        </w:tc>
        <w:tc>
          <w:tcPr>
            <w:tcW w:w="480" w:type="dxa"/>
            <w:vAlign w:val="bottom"/>
            <w:tcBorders>
              <w:top w:val="single" w:sz="8" w:color="E5E5E5"/>
            </w:tcBorders>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0" w:type="dxa"/>
            <w:vAlign w:val="bottom"/>
            <w:tcBorders>
              <w:top w:val="single" w:sz="8" w:color="E5E5E5"/>
              <w:left w:val="single" w:sz="8" w:color="E5E5E5"/>
            </w:tcBorders>
            <w:shd w:val="clear" w:color="auto" w:fill="E5E5E5"/>
          </w:tcPr>
          <w:p>
            <w:pPr>
              <w:spacing w:after="0"/>
              <w:rPr>
                <w:sz w:val="22"/>
                <w:szCs w:val="22"/>
                <w:color w:val="auto"/>
              </w:rPr>
            </w:pPr>
          </w:p>
        </w:tc>
        <w:tc>
          <w:tcPr>
            <w:tcW w:w="940" w:type="dxa"/>
            <w:vAlign w:val="bottom"/>
            <w:tcBorders>
              <w:top w:val="single" w:sz="8" w:color="0000EE"/>
            </w:tcBorders>
            <w:shd w:val="clear" w:color="auto" w:fill="E5E5E5"/>
          </w:tcPr>
          <w:p>
            <w:pPr>
              <w:spacing w:after="0"/>
              <w:rPr>
                <w:sz w:val="22"/>
                <w:szCs w:val="22"/>
                <w:color w:val="auto"/>
              </w:rPr>
            </w:pPr>
          </w:p>
        </w:tc>
        <w:tc>
          <w:tcPr>
            <w:tcW w:w="220" w:type="dxa"/>
            <w:vAlign w:val="bottom"/>
            <w:tcBorders>
              <w:top w:val="single" w:sz="8" w:color="0000EE"/>
            </w:tcBorders>
            <w:shd w:val="clear" w:color="auto" w:fill="E5E5E5"/>
          </w:tcPr>
          <w:p>
            <w:pPr>
              <w:spacing w:after="0"/>
              <w:rPr>
                <w:sz w:val="22"/>
                <w:szCs w:val="22"/>
                <w:color w:val="auto"/>
              </w:rPr>
            </w:pPr>
          </w:p>
        </w:tc>
        <w:tc>
          <w:tcPr>
            <w:tcW w:w="260" w:type="dxa"/>
            <w:vAlign w:val="bottom"/>
            <w:tcBorders>
              <w:top w:val="single" w:sz="8" w:color="0000EE"/>
            </w:tcBorders>
            <w:shd w:val="clear" w:color="auto" w:fill="E5E5E5"/>
          </w:tcPr>
          <w:p>
            <w:pPr>
              <w:spacing w:after="0"/>
              <w:rPr>
                <w:sz w:val="22"/>
                <w:szCs w:val="22"/>
                <w:color w:val="auto"/>
              </w:rPr>
            </w:pPr>
          </w:p>
        </w:tc>
        <w:tc>
          <w:tcPr>
            <w:tcW w:w="220" w:type="dxa"/>
            <w:vAlign w:val="bottom"/>
            <w:tcBorders>
              <w:top w:val="single" w:sz="8" w:color="0000EE"/>
            </w:tcBorders>
            <w:shd w:val="clear" w:color="auto" w:fill="E5E5E5"/>
          </w:tcPr>
          <w:p>
            <w:pPr>
              <w:spacing w:after="0"/>
              <w:rPr>
                <w:sz w:val="22"/>
                <w:szCs w:val="22"/>
                <w:color w:val="auto"/>
              </w:rPr>
            </w:pPr>
          </w:p>
        </w:tc>
        <w:tc>
          <w:tcPr>
            <w:tcW w:w="140" w:type="dxa"/>
            <w:vAlign w:val="bottom"/>
            <w:tcBorders>
              <w:top w:val="single" w:sz="8" w:color="0000EE"/>
            </w:tcBorders>
            <w:shd w:val="clear" w:color="auto" w:fill="E5E5E5"/>
          </w:tcPr>
          <w:p>
            <w:pPr>
              <w:spacing w:after="0"/>
              <w:rPr>
                <w:sz w:val="22"/>
                <w:szCs w:val="22"/>
                <w:color w:val="auto"/>
              </w:rPr>
            </w:pPr>
          </w:p>
        </w:tc>
        <w:tc>
          <w:tcPr>
            <w:tcW w:w="100" w:type="dxa"/>
            <w:vAlign w:val="bottom"/>
            <w:tcBorders>
              <w:top w:val="single" w:sz="8" w:color="0000EE"/>
            </w:tcBorders>
            <w:shd w:val="clear" w:color="auto" w:fill="E5E5E5"/>
          </w:tcPr>
          <w:p>
            <w:pPr>
              <w:spacing w:after="0"/>
              <w:rPr>
                <w:sz w:val="22"/>
                <w:szCs w:val="22"/>
                <w:color w:val="auto"/>
              </w:rPr>
            </w:pPr>
          </w:p>
        </w:tc>
        <w:tc>
          <w:tcPr>
            <w:tcW w:w="540" w:type="dxa"/>
            <w:vAlign w:val="bottom"/>
            <w:tcBorders>
              <w:top w:val="single" w:sz="8" w:color="E5E5E5"/>
              <w:right w:val="single" w:sz="8" w:color="E5E5E5"/>
            </w:tcBorders>
            <w:shd w:val="clear" w:color="auto" w:fill="E5E5E5"/>
          </w:tcPr>
          <w:p>
            <w:pPr>
              <w:spacing w:after="0"/>
              <w:rPr>
                <w:sz w:val="22"/>
                <w:szCs w:val="22"/>
                <w:color w:val="auto"/>
              </w:rPr>
            </w:pPr>
          </w:p>
        </w:tc>
        <w:tc>
          <w:tcPr>
            <w:tcW w:w="340" w:type="dxa"/>
            <w:vAlign w:val="bottom"/>
            <w:tcBorders>
              <w:top w:val="single" w:sz="8" w:color="E5E5E5"/>
            </w:tcBorders>
            <w:shd w:val="clear" w:color="auto" w:fill="E5E5E5"/>
          </w:tcPr>
          <w:p>
            <w:pPr>
              <w:spacing w:after="0"/>
              <w:rPr>
                <w:sz w:val="22"/>
                <w:szCs w:val="22"/>
                <w:color w:val="auto"/>
              </w:rPr>
            </w:pPr>
          </w:p>
        </w:tc>
        <w:tc>
          <w:tcPr>
            <w:tcW w:w="360" w:type="dxa"/>
            <w:vAlign w:val="bottom"/>
            <w:tcBorders>
              <w:top w:val="single" w:sz="8" w:color="E5E5E5"/>
              <w:right w:val="single" w:sz="8" w:color="E5E5E5"/>
            </w:tcBorders>
            <w:shd w:val="clear" w:color="auto" w:fill="E5E5E5"/>
          </w:tcPr>
          <w:p>
            <w:pPr>
              <w:spacing w:after="0"/>
              <w:rPr>
                <w:sz w:val="22"/>
                <w:szCs w:val="22"/>
                <w:color w:val="auto"/>
              </w:rPr>
            </w:pPr>
          </w:p>
        </w:tc>
        <w:tc>
          <w:tcPr>
            <w:tcW w:w="260" w:type="dxa"/>
            <w:vAlign w:val="bottom"/>
            <w:tcBorders>
              <w:top w:val="single" w:sz="8" w:color="E5E5E5"/>
            </w:tcBorders>
            <w:shd w:val="clear" w:color="auto" w:fill="E5E5E5"/>
          </w:tcPr>
          <w:p>
            <w:pPr>
              <w:spacing w:after="0"/>
              <w:rPr>
                <w:sz w:val="22"/>
                <w:szCs w:val="22"/>
                <w:color w:val="auto"/>
              </w:rPr>
            </w:pPr>
          </w:p>
        </w:tc>
        <w:tc>
          <w:tcPr>
            <w:tcW w:w="140" w:type="dxa"/>
            <w:vAlign w:val="bottom"/>
            <w:tcBorders>
              <w:top w:val="single" w:sz="8" w:color="E5E5E5"/>
            </w:tcBorders>
            <w:shd w:val="clear" w:color="auto" w:fill="E5E5E5"/>
          </w:tcPr>
          <w:p>
            <w:pPr>
              <w:spacing w:after="0"/>
              <w:rPr>
                <w:sz w:val="22"/>
                <w:szCs w:val="22"/>
                <w:color w:val="auto"/>
              </w:rPr>
            </w:pPr>
          </w:p>
        </w:tc>
        <w:tc>
          <w:tcPr>
            <w:tcW w:w="520" w:type="dxa"/>
            <w:vAlign w:val="bottom"/>
            <w:tcBorders>
              <w:top w:val="single" w:sz="8" w:color="E5E5E5"/>
            </w:tcBorders>
            <w:shd w:val="clear" w:color="auto" w:fill="E5E5E5"/>
          </w:tcPr>
          <w:p>
            <w:pPr>
              <w:spacing w:after="0"/>
              <w:rPr>
                <w:sz w:val="22"/>
                <w:szCs w:val="22"/>
                <w:color w:val="auto"/>
              </w:rPr>
            </w:pPr>
          </w:p>
        </w:tc>
        <w:tc>
          <w:tcPr>
            <w:tcW w:w="380" w:type="dxa"/>
            <w:vAlign w:val="bottom"/>
            <w:tcBorders>
              <w:top w:val="single" w:sz="8" w:color="E5E5E5"/>
            </w:tcBorders>
            <w:shd w:val="clear" w:color="auto" w:fill="E5E5E5"/>
          </w:tcPr>
          <w:p>
            <w:pPr>
              <w:spacing w:after="0"/>
              <w:rPr>
                <w:sz w:val="22"/>
                <w:szCs w:val="22"/>
                <w:color w:val="auto"/>
              </w:rPr>
            </w:pPr>
          </w:p>
        </w:tc>
        <w:tc>
          <w:tcPr>
            <w:tcW w:w="960" w:type="dxa"/>
            <w:vAlign w:val="bottom"/>
            <w:tcBorders>
              <w:top w:val="single" w:sz="8" w:color="E5E5E5"/>
            </w:tcBorders>
            <w:shd w:val="clear" w:color="auto" w:fill="E5E5E5"/>
          </w:tcPr>
          <w:p>
            <w:pPr>
              <w:spacing w:after="0"/>
              <w:rPr>
                <w:sz w:val="22"/>
                <w:szCs w:val="22"/>
                <w:color w:val="auto"/>
              </w:rPr>
            </w:pPr>
          </w:p>
        </w:tc>
        <w:tc>
          <w:tcPr>
            <w:tcW w:w="180" w:type="dxa"/>
            <w:vAlign w:val="bottom"/>
            <w:tcBorders>
              <w:top w:val="single" w:sz="8" w:color="E5E5E5"/>
            </w:tcBorders>
            <w:shd w:val="clear" w:color="auto" w:fill="E5E5E5"/>
          </w:tcPr>
          <w:p>
            <w:pPr>
              <w:spacing w:after="0"/>
              <w:rPr>
                <w:sz w:val="22"/>
                <w:szCs w:val="22"/>
                <w:color w:val="auto"/>
              </w:rPr>
            </w:pPr>
          </w:p>
        </w:tc>
        <w:tc>
          <w:tcPr>
            <w:tcW w:w="1000" w:type="dxa"/>
            <w:vAlign w:val="bottom"/>
            <w:tcBorders>
              <w:top w:val="single" w:sz="8" w:color="E5E5E5"/>
              <w:right w:val="single" w:sz="8" w:color="E5E5E5"/>
            </w:tcBorders>
            <w:shd w:val="clear" w:color="auto" w:fill="E5E5E5"/>
          </w:tcPr>
          <w:p>
            <w:pPr>
              <w:spacing w:after="0"/>
              <w:rPr>
                <w:sz w:val="22"/>
                <w:szCs w:val="22"/>
                <w:color w:val="auto"/>
              </w:rPr>
            </w:pPr>
          </w:p>
        </w:tc>
        <w:tc>
          <w:tcPr>
            <w:tcW w:w="340" w:type="dxa"/>
            <w:vAlign w:val="bottom"/>
            <w:tcBorders>
              <w:top w:val="single" w:sz="8" w:color="E5E5E5"/>
            </w:tcBorders>
            <w:shd w:val="clear" w:color="auto" w:fill="E5E5E5"/>
          </w:tcPr>
          <w:p>
            <w:pPr>
              <w:spacing w:after="0"/>
              <w:rPr>
                <w:sz w:val="22"/>
                <w:szCs w:val="22"/>
                <w:color w:val="auto"/>
              </w:rPr>
            </w:pPr>
          </w:p>
        </w:tc>
        <w:tc>
          <w:tcPr>
            <w:tcW w:w="460" w:type="dxa"/>
            <w:vAlign w:val="bottom"/>
            <w:tcBorders>
              <w:top w:val="single" w:sz="8" w:color="E5E5E5"/>
              <w:right w:val="single" w:sz="8" w:color="E5E5E5"/>
            </w:tcBorders>
            <w:shd w:val="clear" w:color="auto" w:fill="E5E5E5"/>
          </w:tcPr>
          <w:p>
            <w:pPr>
              <w:spacing w:after="0"/>
              <w:rPr>
                <w:sz w:val="22"/>
                <w:szCs w:val="22"/>
                <w:color w:val="auto"/>
              </w:rPr>
            </w:pPr>
          </w:p>
        </w:tc>
        <w:tc>
          <w:tcPr>
            <w:tcW w:w="80" w:type="dxa"/>
            <w:vAlign w:val="bottom"/>
            <w:tcBorders>
              <w:top w:val="single" w:sz="8" w:color="E5E5E5"/>
            </w:tcBorders>
            <w:shd w:val="clear" w:color="auto" w:fill="E5E5E5"/>
          </w:tcPr>
          <w:p>
            <w:pPr>
              <w:spacing w:after="0"/>
              <w:rPr>
                <w:sz w:val="22"/>
                <w:szCs w:val="22"/>
                <w:color w:val="auto"/>
              </w:rPr>
            </w:pPr>
          </w:p>
        </w:tc>
        <w:tc>
          <w:tcPr>
            <w:tcW w:w="240" w:type="dxa"/>
            <w:vAlign w:val="bottom"/>
            <w:tcBorders>
              <w:top w:val="single" w:sz="8" w:color="E5E5E5"/>
              <w:right w:val="single" w:sz="8" w:color="E5E5E5"/>
            </w:tcBorders>
            <w:shd w:val="clear" w:color="auto" w:fill="E5E5E5"/>
          </w:tcPr>
          <w:p>
            <w:pPr>
              <w:spacing w:after="0"/>
              <w:rPr>
                <w:sz w:val="22"/>
                <w:szCs w:val="22"/>
                <w:color w:val="auto"/>
              </w:rPr>
            </w:pPr>
          </w:p>
        </w:tc>
        <w:tc>
          <w:tcPr>
            <w:tcW w:w="220" w:type="dxa"/>
            <w:vAlign w:val="bottom"/>
            <w:tcBorders>
              <w:top w:val="single" w:sz="8" w:color="E5E5E5"/>
            </w:tcBorders>
            <w:shd w:val="clear" w:color="auto" w:fill="E5E5E5"/>
          </w:tcPr>
          <w:p>
            <w:pPr>
              <w:spacing w:after="0"/>
              <w:rPr>
                <w:sz w:val="22"/>
                <w:szCs w:val="22"/>
                <w:color w:val="auto"/>
              </w:rPr>
            </w:pPr>
          </w:p>
        </w:tc>
        <w:tc>
          <w:tcPr>
            <w:tcW w:w="160" w:type="dxa"/>
            <w:vAlign w:val="bottom"/>
            <w:tcBorders>
              <w:top w:val="single" w:sz="8" w:color="E5E5E5"/>
            </w:tcBorders>
            <w:shd w:val="clear" w:color="auto" w:fill="E5E5E5"/>
          </w:tcPr>
          <w:p>
            <w:pPr>
              <w:spacing w:after="0"/>
              <w:rPr>
                <w:sz w:val="22"/>
                <w:szCs w:val="22"/>
                <w:color w:val="auto"/>
              </w:rPr>
            </w:pPr>
          </w:p>
        </w:tc>
        <w:tc>
          <w:tcPr>
            <w:tcW w:w="100" w:type="dxa"/>
            <w:vAlign w:val="bottom"/>
            <w:tcBorders>
              <w:top w:val="single" w:sz="8" w:color="E5E5E5"/>
            </w:tcBorders>
            <w:shd w:val="clear" w:color="auto" w:fill="E5E5E5"/>
          </w:tcPr>
          <w:p>
            <w:pPr>
              <w:spacing w:after="0"/>
              <w:rPr>
                <w:sz w:val="22"/>
                <w:szCs w:val="22"/>
                <w:color w:val="auto"/>
              </w:rPr>
            </w:pPr>
          </w:p>
        </w:tc>
        <w:tc>
          <w:tcPr>
            <w:tcW w:w="540" w:type="dxa"/>
            <w:vAlign w:val="bottom"/>
            <w:tcBorders>
              <w:top w:val="single" w:sz="8" w:color="E5E5E5"/>
            </w:tcBorders>
            <w:shd w:val="clear" w:color="auto" w:fill="E5E5E5"/>
          </w:tcPr>
          <w:p>
            <w:pPr>
              <w:spacing w:after="0"/>
              <w:rPr>
                <w:sz w:val="22"/>
                <w:szCs w:val="22"/>
                <w:color w:val="auto"/>
              </w:rPr>
            </w:pPr>
          </w:p>
        </w:tc>
        <w:tc>
          <w:tcPr>
            <w:tcW w:w="300" w:type="dxa"/>
            <w:vAlign w:val="bottom"/>
            <w:tcBorders>
              <w:top w:val="single" w:sz="8" w:color="E5E5E5"/>
            </w:tcBorders>
            <w:shd w:val="clear" w:color="auto" w:fill="E5E5E5"/>
          </w:tcPr>
          <w:p>
            <w:pPr>
              <w:spacing w:after="0"/>
              <w:rPr>
                <w:sz w:val="22"/>
                <w:szCs w:val="22"/>
                <w:color w:val="auto"/>
              </w:rPr>
            </w:pPr>
          </w:p>
        </w:tc>
        <w:tc>
          <w:tcPr>
            <w:tcW w:w="220" w:type="dxa"/>
            <w:vAlign w:val="bottom"/>
            <w:tcBorders>
              <w:top w:val="single" w:sz="8" w:color="E5E5E5"/>
            </w:tcBorders>
            <w:shd w:val="clear" w:color="auto" w:fill="E5E5E5"/>
          </w:tcPr>
          <w:p>
            <w:pPr>
              <w:spacing w:after="0"/>
              <w:rPr>
                <w:sz w:val="22"/>
                <w:szCs w:val="22"/>
                <w:color w:val="auto"/>
              </w:rPr>
            </w:pPr>
          </w:p>
        </w:tc>
        <w:tc>
          <w:tcPr>
            <w:tcW w:w="800" w:type="dxa"/>
            <w:vAlign w:val="bottom"/>
            <w:tcBorders>
              <w:top w:val="single" w:sz="8" w:color="E5E5E5"/>
            </w:tcBorders>
            <w:shd w:val="clear" w:color="auto" w:fill="E5E5E5"/>
          </w:tcPr>
          <w:p>
            <w:pPr>
              <w:spacing w:after="0"/>
              <w:rPr>
                <w:sz w:val="22"/>
                <w:szCs w:val="22"/>
                <w:color w:val="auto"/>
              </w:rPr>
            </w:pPr>
          </w:p>
        </w:tc>
        <w:tc>
          <w:tcPr>
            <w:tcW w:w="220" w:type="dxa"/>
            <w:vAlign w:val="bottom"/>
            <w:tcBorders>
              <w:top w:val="single" w:sz="8" w:color="E5E5E5"/>
            </w:tcBorders>
            <w:shd w:val="clear" w:color="auto" w:fill="E5E5E5"/>
          </w:tcPr>
          <w:p>
            <w:pPr>
              <w:spacing w:after="0"/>
              <w:rPr>
                <w:sz w:val="22"/>
                <w:szCs w:val="22"/>
                <w:color w:val="auto"/>
              </w:rPr>
            </w:pPr>
          </w:p>
        </w:tc>
        <w:tc>
          <w:tcPr>
            <w:tcW w:w="480" w:type="dxa"/>
            <w:vAlign w:val="bottom"/>
            <w:tcBorders>
              <w:top w:val="single" w:sz="8" w:color="E5E5E5"/>
            </w:tcBorders>
            <w:shd w:val="clear" w:color="auto" w:fill="E5E5E5"/>
          </w:tcPr>
          <w:p>
            <w:pPr>
              <w:spacing w:after="0"/>
              <w:rPr>
                <w:sz w:val="22"/>
                <w:szCs w:val="2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OUR NEOS AND COMPENSATION COMMITTEE</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Our Named Executive Officers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five executive officers are our NEOs for fiscal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6675120" cy="11379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75120" cy="113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840" w:type="dxa"/>
            <w:vAlign w:val="bottom"/>
          </w:tcPr>
          <w:p>
            <w:pPr>
              <w:spacing w:after="0"/>
              <w:rPr>
                <w:sz w:val="20"/>
                <w:szCs w:val="20"/>
                <w:color w:val="auto"/>
              </w:rPr>
            </w:pPr>
            <w:r>
              <w:rPr>
                <w:rFonts w:ascii="Arial" w:cs="Arial" w:eastAsia="Arial" w:hAnsi="Arial"/>
                <w:sz w:val="14"/>
                <w:szCs w:val="14"/>
                <w:b w:val="1"/>
                <w:bCs w:val="1"/>
                <w:color w:val="051D49"/>
              </w:rPr>
              <w:t>Robert M. Bakish</w:t>
            </w:r>
          </w:p>
        </w:tc>
        <w:tc>
          <w:tcPr>
            <w:tcW w:w="2160" w:type="dxa"/>
            <w:vAlign w:val="bottom"/>
          </w:tcPr>
          <w:p>
            <w:pPr>
              <w:ind w:left="380"/>
              <w:spacing w:after="0"/>
              <w:rPr>
                <w:sz w:val="20"/>
                <w:szCs w:val="20"/>
                <w:color w:val="auto"/>
              </w:rPr>
            </w:pPr>
            <w:r>
              <w:rPr>
                <w:rFonts w:ascii="Arial" w:cs="Arial" w:eastAsia="Arial" w:hAnsi="Arial"/>
                <w:sz w:val="14"/>
                <w:szCs w:val="14"/>
                <w:b w:val="1"/>
                <w:bCs w:val="1"/>
                <w:color w:val="051D49"/>
              </w:rPr>
              <w:t>Naveen Chopra</w:t>
            </w:r>
          </w:p>
        </w:tc>
        <w:tc>
          <w:tcPr>
            <w:tcW w:w="2400" w:type="dxa"/>
            <w:vAlign w:val="bottom"/>
          </w:tcPr>
          <w:p>
            <w:pPr>
              <w:ind w:left="160"/>
              <w:spacing w:after="0"/>
              <w:rPr>
                <w:sz w:val="20"/>
                <w:szCs w:val="20"/>
                <w:color w:val="auto"/>
              </w:rPr>
            </w:pPr>
            <w:r>
              <w:rPr>
                <w:rFonts w:ascii="Arial" w:cs="Arial" w:eastAsia="Arial" w:hAnsi="Arial"/>
                <w:sz w:val="14"/>
                <w:szCs w:val="14"/>
                <w:b w:val="1"/>
                <w:bCs w:val="1"/>
                <w:color w:val="051D49"/>
              </w:rPr>
              <w:t>Christa A. D’Alimonte</w:t>
            </w:r>
          </w:p>
        </w:tc>
        <w:tc>
          <w:tcPr>
            <w:tcW w:w="2220" w:type="dxa"/>
            <w:vAlign w:val="bottom"/>
          </w:tcPr>
          <w:p>
            <w:pPr>
              <w:ind w:left="60"/>
              <w:spacing w:after="0"/>
              <w:rPr>
                <w:sz w:val="20"/>
                <w:szCs w:val="20"/>
                <w:color w:val="auto"/>
              </w:rPr>
            </w:pPr>
            <w:r>
              <w:rPr>
                <w:rFonts w:ascii="Arial" w:cs="Arial" w:eastAsia="Arial" w:hAnsi="Arial"/>
                <w:sz w:val="14"/>
                <w:szCs w:val="14"/>
                <w:b w:val="1"/>
                <w:bCs w:val="1"/>
                <w:color w:val="051D49"/>
              </w:rPr>
              <w:t>Doretha F. Lea</w:t>
            </w:r>
          </w:p>
        </w:tc>
        <w:tc>
          <w:tcPr>
            <w:tcW w:w="2100" w:type="dxa"/>
            <w:vAlign w:val="bottom"/>
          </w:tcPr>
          <w:p>
            <w:pPr>
              <w:ind w:left="120"/>
              <w:spacing w:after="0"/>
              <w:rPr>
                <w:sz w:val="20"/>
                <w:szCs w:val="20"/>
                <w:color w:val="auto"/>
              </w:rPr>
            </w:pPr>
            <w:r>
              <w:rPr>
                <w:rFonts w:ascii="Arial" w:cs="Arial" w:eastAsia="Arial" w:hAnsi="Arial"/>
                <w:sz w:val="14"/>
                <w:szCs w:val="14"/>
                <w:b w:val="1"/>
                <w:bCs w:val="1"/>
                <w:color w:val="051D49"/>
              </w:rPr>
              <w:t>Nancy Phillips</w:t>
            </w:r>
          </w:p>
        </w:tc>
      </w:tr>
      <w:tr>
        <w:trPr>
          <w:trHeight w:val="160"/>
        </w:trPr>
        <w:tc>
          <w:tcPr>
            <w:tcW w:w="1840" w:type="dxa"/>
            <w:vAlign w:val="bottom"/>
          </w:tcPr>
          <w:p>
            <w:pPr>
              <w:spacing w:after="0"/>
              <w:rPr>
                <w:sz w:val="20"/>
                <w:szCs w:val="20"/>
                <w:color w:val="auto"/>
              </w:rPr>
            </w:pPr>
            <w:r>
              <w:rPr>
                <w:rFonts w:ascii="Arial" w:cs="Arial" w:eastAsia="Arial" w:hAnsi="Arial"/>
                <w:sz w:val="14"/>
                <w:szCs w:val="14"/>
                <w:color w:val="auto"/>
              </w:rPr>
              <w:t>President and</w:t>
            </w:r>
          </w:p>
        </w:tc>
        <w:tc>
          <w:tcPr>
            <w:tcW w:w="2160" w:type="dxa"/>
            <w:vAlign w:val="bottom"/>
          </w:tcPr>
          <w:p>
            <w:pPr>
              <w:ind w:left="380"/>
              <w:spacing w:after="0"/>
              <w:rPr>
                <w:sz w:val="20"/>
                <w:szCs w:val="20"/>
                <w:color w:val="auto"/>
              </w:rPr>
            </w:pPr>
            <w:r>
              <w:rPr>
                <w:rFonts w:ascii="Arial" w:cs="Arial" w:eastAsia="Arial" w:hAnsi="Arial"/>
                <w:sz w:val="14"/>
                <w:szCs w:val="14"/>
                <w:color w:val="auto"/>
              </w:rPr>
              <w:t>Executive Vice President,</w:t>
            </w:r>
          </w:p>
        </w:tc>
        <w:tc>
          <w:tcPr>
            <w:tcW w:w="2400" w:type="dxa"/>
            <w:vAlign w:val="bottom"/>
          </w:tcPr>
          <w:p>
            <w:pPr>
              <w:ind w:left="160"/>
              <w:spacing w:after="0"/>
              <w:rPr>
                <w:sz w:val="20"/>
                <w:szCs w:val="20"/>
                <w:color w:val="auto"/>
              </w:rPr>
            </w:pPr>
            <w:r>
              <w:rPr>
                <w:rFonts w:ascii="Arial" w:cs="Arial" w:eastAsia="Arial" w:hAnsi="Arial"/>
                <w:sz w:val="14"/>
                <w:szCs w:val="14"/>
                <w:color w:val="auto"/>
              </w:rPr>
              <w:t>Executive Vice President, General</w:t>
            </w:r>
          </w:p>
        </w:tc>
        <w:tc>
          <w:tcPr>
            <w:tcW w:w="2220" w:type="dxa"/>
            <w:vAlign w:val="bottom"/>
          </w:tcPr>
          <w:p>
            <w:pPr>
              <w:ind w:left="60"/>
              <w:spacing w:after="0"/>
              <w:rPr>
                <w:sz w:val="20"/>
                <w:szCs w:val="20"/>
                <w:color w:val="auto"/>
              </w:rPr>
            </w:pPr>
            <w:r>
              <w:rPr>
                <w:rFonts w:ascii="Arial" w:cs="Arial" w:eastAsia="Arial" w:hAnsi="Arial"/>
                <w:sz w:val="14"/>
                <w:szCs w:val="14"/>
                <w:color w:val="auto"/>
              </w:rPr>
              <w:t>Executive Vice President, Global</w:t>
            </w:r>
          </w:p>
        </w:tc>
        <w:tc>
          <w:tcPr>
            <w:tcW w:w="2100" w:type="dxa"/>
            <w:vAlign w:val="bottom"/>
          </w:tcPr>
          <w:p>
            <w:pPr>
              <w:ind w:left="120"/>
              <w:spacing w:after="0"/>
              <w:rPr>
                <w:sz w:val="20"/>
                <w:szCs w:val="20"/>
                <w:color w:val="auto"/>
              </w:rPr>
            </w:pPr>
            <w:r>
              <w:rPr>
                <w:rFonts w:ascii="Arial" w:cs="Arial" w:eastAsia="Arial" w:hAnsi="Arial"/>
                <w:sz w:val="14"/>
                <w:szCs w:val="14"/>
                <w:color w:val="auto"/>
              </w:rPr>
              <w:t>Executive Vice President, Chief</w:t>
            </w:r>
          </w:p>
        </w:tc>
      </w:tr>
      <w:tr>
        <w:trPr>
          <w:trHeight w:val="160"/>
        </w:trPr>
        <w:tc>
          <w:tcPr>
            <w:tcW w:w="1840" w:type="dxa"/>
            <w:vAlign w:val="bottom"/>
          </w:tcPr>
          <w:p>
            <w:pPr>
              <w:spacing w:after="0"/>
              <w:rPr>
                <w:sz w:val="20"/>
                <w:szCs w:val="20"/>
                <w:color w:val="auto"/>
              </w:rPr>
            </w:pPr>
            <w:r>
              <w:rPr>
                <w:rFonts w:ascii="Arial" w:cs="Arial" w:eastAsia="Arial" w:hAnsi="Arial"/>
                <w:sz w:val="14"/>
                <w:szCs w:val="14"/>
                <w:color w:val="auto"/>
              </w:rPr>
              <w:t>Chief Executive Officer</w:t>
            </w:r>
          </w:p>
        </w:tc>
        <w:tc>
          <w:tcPr>
            <w:tcW w:w="2160" w:type="dxa"/>
            <w:vAlign w:val="bottom"/>
          </w:tcPr>
          <w:p>
            <w:pPr>
              <w:ind w:left="380"/>
              <w:spacing w:after="0"/>
              <w:rPr>
                <w:sz w:val="20"/>
                <w:szCs w:val="20"/>
                <w:color w:val="auto"/>
              </w:rPr>
            </w:pPr>
            <w:r>
              <w:rPr>
                <w:rFonts w:ascii="Arial" w:cs="Arial" w:eastAsia="Arial" w:hAnsi="Arial"/>
                <w:sz w:val="14"/>
                <w:szCs w:val="14"/>
                <w:color w:val="auto"/>
              </w:rPr>
              <w:t>Chief Financial Officer</w:t>
            </w:r>
          </w:p>
        </w:tc>
        <w:tc>
          <w:tcPr>
            <w:tcW w:w="2400" w:type="dxa"/>
            <w:vAlign w:val="bottom"/>
          </w:tcPr>
          <w:p>
            <w:pPr>
              <w:ind w:left="160"/>
              <w:spacing w:after="0"/>
              <w:rPr>
                <w:sz w:val="20"/>
                <w:szCs w:val="20"/>
                <w:color w:val="auto"/>
              </w:rPr>
            </w:pPr>
            <w:r>
              <w:rPr>
                <w:rFonts w:ascii="Arial" w:cs="Arial" w:eastAsia="Arial" w:hAnsi="Arial"/>
                <w:sz w:val="14"/>
                <w:szCs w:val="14"/>
                <w:color w:val="auto"/>
              </w:rPr>
              <w:t>Counsel and Secretary</w:t>
            </w:r>
          </w:p>
        </w:tc>
        <w:tc>
          <w:tcPr>
            <w:tcW w:w="2220" w:type="dxa"/>
            <w:vAlign w:val="bottom"/>
          </w:tcPr>
          <w:p>
            <w:pPr>
              <w:ind w:left="60"/>
              <w:spacing w:after="0"/>
              <w:rPr>
                <w:sz w:val="20"/>
                <w:szCs w:val="20"/>
                <w:color w:val="auto"/>
              </w:rPr>
            </w:pPr>
            <w:r>
              <w:rPr>
                <w:rFonts w:ascii="Arial" w:cs="Arial" w:eastAsia="Arial" w:hAnsi="Arial"/>
                <w:sz w:val="14"/>
                <w:szCs w:val="14"/>
                <w:color w:val="auto"/>
              </w:rPr>
              <w:t>Public Policy and Government</w:t>
            </w:r>
          </w:p>
        </w:tc>
        <w:tc>
          <w:tcPr>
            <w:tcW w:w="2100" w:type="dxa"/>
            <w:vAlign w:val="bottom"/>
          </w:tcPr>
          <w:p>
            <w:pPr>
              <w:ind w:left="120"/>
              <w:spacing w:after="0"/>
              <w:rPr>
                <w:sz w:val="20"/>
                <w:szCs w:val="20"/>
                <w:color w:val="auto"/>
              </w:rPr>
            </w:pPr>
            <w:r>
              <w:rPr>
                <w:rFonts w:ascii="Arial" w:cs="Arial" w:eastAsia="Arial" w:hAnsi="Arial"/>
                <w:sz w:val="14"/>
                <w:szCs w:val="14"/>
                <w:color w:val="auto"/>
              </w:rPr>
              <w:t>People Officer</w:t>
            </w:r>
          </w:p>
        </w:tc>
      </w:tr>
      <w:tr>
        <w:trPr>
          <w:trHeight w:val="189"/>
        </w:trPr>
        <w:tc>
          <w:tcPr>
            <w:tcW w:w="18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220" w:type="dxa"/>
            <w:vAlign w:val="bottom"/>
          </w:tcPr>
          <w:p>
            <w:pPr>
              <w:ind w:left="60"/>
              <w:spacing w:after="0"/>
              <w:rPr>
                <w:sz w:val="20"/>
                <w:szCs w:val="20"/>
                <w:color w:val="auto"/>
              </w:rPr>
            </w:pPr>
            <w:r>
              <w:rPr>
                <w:rFonts w:ascii="Arial" w:cs="Arial" w:eastAsia="Arial" w:hAnsi="Arial"/>
                <w:sz w:val="14"/>
                <w:szCs w:val="14"/>
                <w:color w:val="auto"/>
              </w:rPr>
              <w:t>Relations</w:t>
            </w:r>
          </w:p>
        </w:tc>
        <w:tc>
          <w:tcPr>
            <w:tcW w:w="2100" w:type="dxa"/>
            <w:vAlign w:val="bottom"/>
          </w:tcPr>
          <w:p>
            <w:pPr>
              <w:spacing w:after="0"/>
              <w:rPr>
                <w:sz w:val="16"/>
                <w:szCs w:val="16"/>
                <w:color w:val="auto"/>
              </w:rPr>
            </w:pPr>
          </w:p>
        </w:tc>
      </w:tr>
    </w:tbl>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Our Compensation Committee</w:t>
      </w:r>
    </w:p>
    <w:p>
      <w:pPr>
        <w:spacing w:after="0" w:line="101" w:lineRule="exact"/>
        <w:rPr>
          <w:sz w:val="20"/>
          <w:szCs w:val="20"/>
          <w:color w:val="auto"/>
        </w:rPr>
      </w:pPr>
    </w:p>
    <w:p>
      <w:pPr>
        <w:ind w:left="160" w:right="440"/>
        <w:spacing w:after="0" w:line="243" w:lineRule="auto"/>
        <w:rPr>
          <w:sz w:val="20"/>
          <w:szCs w:val="20"/>
          <w:color w:val="auto"/>
        </w:rPr>
      </w:pPr>
      <w:r>
        <w:rPr>
          <w:rFonts w:ascii="Arial" w:cs="Arial" w:eastAsia="Arial" w:hAnsi="Arial"/>
          <w:sz w:val="18"/>
          <w:szCs w:val="18"/>
          <w:color w:val="auto"/>
        </w:rPr>
        <w:t>The Compensation Committee is composed of Linda M. Griego, Judith A. McHale (Chair) and Ronald L. Nelson, each of whom is an independent director. During fiscal year 2021, the Committee also included Brian Goldner, who was also an independent director and served as Chair of the Committee, until his death on October 12, 2021. Ms. McHale was appointed Chair of the Committee effective December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2374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08"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38</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80"/>
          </w:cols>
          <w:pgMar w:left="320" w:top="454" w:right="4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7540"/>
        <w:spacing w:after="0"/>
        <w:rPr>
          <w:sz w:val="20"/>
          <w:szCs w:val="20"/>
          <w:color w:val="auto"/>
        </w:rPr>
      </w:pPr>
      <w:r>
        <w:rPr>
          <w:rFonts w:ascii="Arial" w:cs="Arial" w:eastAsia="Arial" w:hAnsi="Arial"/>
          <w:sz w:val="15"/>
          <w:szCs w:val="15"/>
          <w:color w:val="auto"/>
        </w:rPr>
        <w:t>COMPENSATION DISCUSSION AND ANALYSIS</w:t>
      </w:r>
    </w:p>
    <w:p>
      <w:pPr>
        <w:spacing w:after="0" w:line="157"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The Committee is made up entirely of independent directors and reviews and approves our compensation arrangements with our NEOs and certain other senior executives. For 2021, the Committee reviewed all elements of NEO compensation, including base salary, annual and long-term incentives, severance arrangements and benefit programs, to ensure that they adhere to our core compensation philosophy and objectives, and approved, with respect to each senior executive under its purview, any salary increases, annual bonus payouts, long-term incentive award determinations and various other compensation actions.</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EXECUTIVE SUMMARY</w:t>
      </w:r>
    </w:p>
    <w:p>
      <w:pPr>
        <w:spacing w:after="0" w:line="94"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color w:val="auto"/>
        </w:rPr>
        <w:t>This CD&amp;A describes our executive compensation philosophy and objectives and provides context for the 2021 compensation actions approved by the Committee for the NEOs. In addition to reviewing and approving the compensation arrangements for our NEOs and certain other senior executives, the Committee adopts and periodically reviews our compensation philosophy, strategy, and principles, and oversees the administration of our cash-based and equity-based incentive plans.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Recent Compensation Committee Highlights</w:t>
      </w:r>
    </w:p>
    <w:p>
      <w:pPr>
        <w:spacing w:after="0" w:line="101" w:lineRule="exact"/>
        <w:rPr>
          <w:sz w:val="20"/>
          <w:szCs w:val="20"/>
          <w:color w:val="auto"/>
        </w:rPr>
      </w:pPr>
    </w:p>
    <w:p>
      <w:pPr>
        <w:ind w:left="160" w:right="180"/>
        <w:spacing w:after="0" w:line="295" w:lineRule="auto"/>
        <w:rPr>
          <w:sz w:val="20"/>
          <w:szCs w:val="20"/>
          <w:color w:val="auto"/>
        </w:rPr>
      </w:pPr>
      <w:r>
        <w:rPr>
          <w:rFonts w:ascii="Arial" w:cs="Arial" w:eastAsia="Arial" w:hAnsi="Arial"/>
          <w:sz w:val="17"/>
          <w:szCs w:val="17"/>
          <w:color w:val="auto"/>
        </w:rPr>
        <w:t>As further described elsewhere in this proxy statement, during 2021 the Committee continued to support our executive compensation programs, as outlined below, which demonstrate our pay-for-performance linkage and provide alignment with peer and market practices.</w:t>
      </w:r>
    </w:p>
    <w:p>
      <w:pPr>
        <w:spacing w:after="0" w:line="41" w:lineRule="exact"/>
        <w:rPr>
          <w:sz w:val="20"/>
          <w:szCs w:val="20"/>
          <w:color w:val="auto"/>
        </w:rPr>
      </w:pPr>
    </w:p>
    <w:p>
      <w:pPr>
        <w:ind w:left="380" w:right="20" w:hanging="213"/>
        <w:spacing w:after="0" w:line="249"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Executive Annual Bonus Plan Design</w:t>
      </w:r>
      <w:r>
        <w:rPr>
          <w:rFonts w:ascii="Arial" w:cs="Arial" w:eastAsia="Arial" w:hAnsi="Arial"/>
          <w:sz w:val="18"/>
          <w:szCs w:val="18"/>
          <w:color w:val="auto"/>
        </w:rPr>
        <w:t>: Bonus payouts to our NEOs and other executives in 2021 are primarily based on financial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quantitative performance measures intended to emphasize our focus on accelerated streaming while also meeting our bottom-line financial goals. See pages 46 to 50.</w:t>
      </w:r>
    </w:p>
    <w:p>
      <w:pPr>
        <w:spacing w:after="0" w:line="77" w:lineRule="exact"/>
        <w:rPr>
          <w:rFonts w:ascii="Arial" w:cs="Arial" w:eastAsia="Arial" w:hAnsi="Arial"/>
          <w:sz w:val="18"/>
          <w:szCs w:val="18"/>
          <w:color w:val="auto"/>
        </w:rPr>
      </w:pPr>
    </w:p>
    <w:p>
      <w:pPr>
        <w:ind w:left="380" w:right="320" w:hanging="213"/>
        <w:spacing w:after="0" w:line="256" w:lineRule="auto"/>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Stronger Pay-for-Performance Linkage</w:t>
      </w:r>
      <w:r>
        <w:rPr>
          <w:rFonts w:ascii="Arial" w:cs="Arial" w:eastAsia="Arial" w:hAnsi="Arial"/>
          <w:sz w:val="17"/>
          <w:szCs w:val="17"/>
          <w:color w:val="auto"/>
        </w:rPr>
        <w:t>: The Committee recognizes the importance of having long-term performance incentives as a</w:t>
      </w:r>
      <w:r>
        <w:rPr>
          <w:rFonts w:ascii="Arial" w:cs="Arial" w:eastAsia="Arial" w:hAnsi="Arial"/>
          <w:sz w:val="17"/>
          <w:szCs w:val="17"/>
          <w:i w:val="1"/>
          <w:iCs w:val="1"/>
          <w:color w:val="auto"/>
        </w:rPr>
        <w:t xml:space="preserve"> </w:t>
      </w:r>
      <w:r>
        <w:rPr>
          <w:rFonts w:ascii="Arial" w:cs="Arial" w:eastAsia="Arial" w:hAnsi="Arial"/>
          <w:sz w:val="17"/>
          <w:szCs w:val="17"/>
          <w:color w:val="auto"/>
        </w:rPr>
        <w:t>meaningful portion of our NEOs’ total long-term incentive compensation. Given the uncertain market environment present when our 2021 long-term incentive awards were granted (on November 30, 2020), the Committee determined to deliver 25% of the long-term incentive awards in performance-based equity, with the intent to increase the weighting in future years. For 2022, the Committee increased the percentage of long-term incentive awards delivered in performance-based equity from 25% to 50% for our Chief Executive Officer, and from 25% to 35% for the remaining NEOs and certain other senior executives. See pages 50 to 51.</w:t>
      </w:r>
    </w:p>
    <w:p>
      <w:pPr>
        <w:spacing w:after="0" w:line="72" w:lineRule="exact"/>
        <w:rPr>
          <w:rFonts w:ascii="Arial" w:cs="Arial" w:eastAsia="Arial" w:hAnsi="Arial"/>
          <w:sz w:val="17"/>
          <w:szCs w:val="17"/>
          <w:color w:val="auto"/>
        </w:rPr>
      </w:pPr>
    </w:p>
    <w:p>
      <w:pPr>
        <w:ind w:left="380" w:right="80" w:hanging="213"/>
        <w:spacing w:after="0" w:line="239"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Enhanced Risk Mitigation: </w:t>
      </w:r>
      <w:r>
        <w:rPr>
          <w:rFonts w:ascii="Arial" w:cs="Arial" w:eastAsia="Arial" w:hAnsi="Arial"/>
          <w:sz w:val="18"/>
          <w:szCs w:val="18"/>
          <w:color w:val="auto"/>
        </w:rPr>
        <w:t>To further discourage imprudent risk taking and avoid undue emphasis on any one metric or goal,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2021 awards, the Committee followed its practice of avoiding the duplication of metrics in the Company’s annual bonus plan and long-term incentive plan designs. The Committee intends to continue this practice for fiscal year 2022 awards and beyond. The Committee incorporated multiple risk mitigation concepts in the 2021 Short-Term Incentive Plan (“STIP”) design to incentivize our streaming growth while continuing to meet our financial expectations and avoiding unnecessary risk taking. Additionally, the Committee continues to maintain robust executive stock ownership guidelines. See pages 46 to 52.</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Our Strategic Growth Priorities</w:t>
      </w:r>
    </w:p>
    <w:p>
      <w:pPr>
        <w:spacing w:after="0" w:line="101" w:lineRule="exact"/>
        <w:rPr>
          <w:sz w:val="20"/>
          <w:szCs w:val="20"/>
          <w:color w:val="auto"/>
        </w:rPr>
      </w:pPr>
    </w:p>
    <w:p>
      <w:pPr>
        <w:ind w:left="160" w:right="40"/>
        <w:spacing w:after="0"/>
        <w:rPr>
          <w:sz w:val="20"/>
          <w:szCs w:val="20"/>
          <w:color w:val="auto"/>
        </w:rPr>
      </w:pPr>
      <w:r>
        <w:rPr>
          <w:rFonts w:ascii="Arial" w:cs="Arial" w:eastAsia="Arial" w:hAnsi="Arial"/>
          <w:sz w:val="18"/>
          <w:szCs w:val="18"/>
          <w:color w:val="auto"/>
        </w:rPr>
        <w:t>We are a leading global media and entertainment company that creates premium content and experiences for audiences worldwide. We offer broadcast and cable television programming, innovative streaming services and digital video products, and powerful capabilities in production, distribution and advertising solutions, and have one of the industry’s most extensive libraries of television and film titles. As the entertainment industry expands beyond linear-based platforms to streaming video, we have prioritized unlocking the incremental market opportunity in streaming and continue to grow our global ecosystem of pay, free and premium streaming services.</w:t>
      </w:r>
    </w:p>
    <w:p>
      <w:pPr>
        <w:spacing w:after="0" w:line="134"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39</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work from a comprehensive and differentiated streaming playbook, rooted in the following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160655</wp:posOffset>
            </wp:positionV>
            <wp:extent cx="5910580" cy="2853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10580" cy="285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The Committee considers these strategic priorities in its comprehensive annual review of our compensation programs, including its design, and determination, of performance-based compensation. (See “Annual Bonus Awards” for a discussion of changes to our annual bonus program intended to link performance to these priorities.)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Overview of Fiscal Year 2021 Performance</w:t>
      </w:r>
    </w:p>
    <w:p>
      <w:pPr>
        <w:spacing w:after="0" w:line="101" w:lineRule="exact"/>
        <w:rPr>
          <w:sz w:val="20"/>
          <w:szCs w:val="20"/>
          <w:color w:val="auto"/>
        </w:rPr>
      </w:pPr>
    </w:p>
    <w:p>
      <w:pPr>
        <w:ind w:left="160" w:right="60"/>
        <w:spacing w:after="0" w:line="265" w:lineRule="auto"/>
        <w:rPr>
          <w:sz w:val="20"/>
          <w:szCs w:val="20"/>
          <w:color w:val="auto"/>
        </w:rPr>
      </w:pPr>
      <w:r>
        <w:rPr>
          <w:rFonts w:ascii="Arial" w:cs="Arial" w:eastAsia="Arial" w:hAnsi="Arial"/>
          <w:sz w:val="18"/>
          <w:szCs w:val="18"/>
          <w:color w:val="auto"/>
        </w:rPr>
        <w:t>Despite the ongoing challenges presented by the COVID-19 pandemic and a workforce that is still largely remote, we continued to exceed our performance goals in 2021. We:</w:t>
      </w:r>
    </w:p>
    <w:p>
      <w:pPr>
        <w:spacing w:after="0" w:line="64" w:lineRule="exact"/>
        <w:rPr>
          <w:sz w:val="20"/>
          <w:szCs w:val="20"/>
          <w:color w:val="auto"/>
        </w:rPr>
      </w:pPr>
    </w:p>
    <w:p>
      <w:pPr>
        <w:ind w:left="380" w:right="320" w:hanging="213"/>
        <w:spacing w:after="0" w:line="265"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Successfully executed a strategy that shifted our focus to growing the number of global streaming subscribers and increasing global streaming revenue while maximizing revenues from traditional sources to help fund the growth opportunity in streaming;</w:t>
      </w:r>
    </w:p>
    <w:p>
      <w:pPr>
        <w:spacing w:after="0" w:line="64" w:lineRule="exact"/>
        <w:rPr>
          <w:rFonts w:ascii="Arial" w:cs="Arial" w:eastAsia="Arial" w:hAnsi="Arial"/>
          <w:sz w:val="18"/>
          <w:szCs w:val="18"/>
          <w:color w:val="auto"/>
        </w:rPr>
      </w:pPr>
    </w:p>
    <w:p>
      <w:pPr>
        <w:ind w:left="380" w:right="400" w:hanging="213"/>
        <w:spacing w:after="0" w:line="265"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Launched Paramount+ in March 2021, a global streaming service for our leading portfolio of brands, including originals, live sports, news, and over 30,000 episodes and movies;</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Globally expanded the reach of Pluto TV and Paramount+, including in Europe and Latin America;</w:t>
      </w:r>
    </w:p>
    <w:p>
      <w:pPr>
        <w:spacing w:after="0" w:line="113" w:lineRule="exact"/>
        <w:rPr>
          <w:rFonts w:ascii="Arial" w:cs="Arial" w:eastAsia="Arial" w:hAnsi="Arial"/>
          <w:sz w:val="18"/>
          <w:szCs w:val="18"/>
          <w:color w:val="auto"/>
        </w:rPr>
      </w:pPr>
    </w:p>
    <w:p>
      <w:pPr>
        <w:ind w:left="380" w:right="560" w:hanging="213"/>
        <w:spacing w:after="0" w:line="265"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Maintained leadership as the #1 portfolio in share of viewing, with more top 30 cable networks than any other media family in key demographics, and reached 4.2 billion cumulative TV homes, including 182 million broadcast homes;</w:t>
      </w:r>
    </w:p>
    <w:p>
      <w:pPr>
        <w:spacing w:after="0" w:line="64" w:lineRule="exact"/>
        <w:rPr>
          <w:rFonts w:ascii="Arial" w:cs="Arial" w:eastAsia="Arial" w:hAnsi="Arial"/>
          <w:sz w:val="18"/>
          <w:szCs w:val="18"/>
          <w:color w:val="auto"/>
        </w:rPr>
      </w:pPr>
    </w:p>
    <w:p>
      <w:pPr>
        <w:ind w:left="380" w:right="220" w:hanging="213"/>
        <w:spacing w:after="0" w:line="249"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Kept CBS the most-watched network across primetime, daytime and late night during the 2020-2021 broadcast season, with the top three dramas, the #1 new series, the #1 comedy series, seven of the top 10 comedy series, the #1 news program and the #1 show in late night (in each case, according to Nielsen NPOWER);</w:t>
      </w:r>
    </w:p>
    <w:p>
      <w:pPr>
        <w:spacing w:after="0" w:line="77" w:lineRule="exact"/>
        <w:rPr>
          <w:rFonts w:ascii="Arial" w:cs="Arial" w:eastAsia="Arial" w:hAnsi="Arial"/>
          <w:sz w:val="18"/>
          <w:szCs w:val="18"/>
          <w:color w:val="auto"/>
        </w:rPr>
      </w:pPr>
    </w:p>
    <w:p>
      <w:pPr>
        <w:ind w:left="380" w:right="80" w:hanging="213"/>
        <w:spacing w:after="0" w:line="265"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Acquired Chilevision and a majority ownership position in FoxTelecolombia &amp; Estudios TeleMexico, underpinning our position as one of the largest Spanish language content creators globally;</w:t>
      </w:r>
    </w:p>
    <w:p>
      <w:pPr>
        <w:spacing w:after="0" w:line="64" w:lineRule="exact"/>
        <w:rPr>
          <w:rFonts w:ascii="Arial" w:cs="Arial" w:eastAsia="Arial" w:hAnsi="Arial"/>
          <w:sz w:val="18"/>
          <w:szCs w:val="18"/>
          <w:color w:val="auto"/>
        </w:rPr>
      </w:pPr>
    </w:p>
    <w:p>
      <w:pPr>
        <w:ind w:left="380" w:right="400" w:hanging="213"/>
        <w:spacing w:after="0" w:line="265"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Finalized key platform and distribution deals with T-Mobile, Roku, Twitter, Comcast, Charter, Altice and Cox, among others, using a unified approach across our portfolio;</w:t>
      </w:r>
    </w:p>
    <w:p>
      <w:pPr>
        <w:spacing w:after="0" w:line="64" w:lineRule="exact"/>
        <w:rPr>
          <w:rFonts w:ascii="Arial" w:cs="Arial" w:eastAsia="Arial" w:hAnsi="Arial"/>
          <w:sz w:val="18"/>
          <w:szCs w:val="18"/>
          <w:color w:val="auto"/>
        </w:rPr>
      </w:pPr>
    </w:p>
    <w:p>
      <w:pPr>
        <w:ind w:left="380" w:right="260" w:hanging="213"/>
        <w:spacing w:after="0" w:line="265"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Continued to navigate COVID-19 issues while adhering to rigorous safety protocols that kept our productions running and supporting the health and wellness of our employees and partners globally; and</w:t>
      </w:r>
    </w:p>
    <w:p>
      <w:pPr>
        <w:spacing w:after="0" w:line="64" w:lineRule="exact"/>
        <w:rPr>
          <w:rFonts w:ascii="Arial" w:cs="Arial" w:eastAsia="Arial" w:hAnsi="Arial"/>
          <w:sz w:val="18"/>
          <w:szCs w:val="18"/>
          <w:color w:val="auto"/>
        </w:rPr>
      </w:pPr>
    </w:p>
    <w:p>
      <w:pPr>
        <w:ind w:left="380" w:right="220" w:hanging="213"/>
        <w:spacing w:after="0" w:line="265"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Continued to build and develop our best-in-class management team to support our business goals, harmonize operating models, and capitalize on people and process efficiencies across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374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188"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40</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80"/>
          </w:cols>
          <w:pgMar w:left="320" w:top="454" w:right="49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COMPENSATION DISCUSSION AND ANALYSIS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Pay for Performance</w:t>
      </w:r>
    </w:p>
    <w:p>
      <w:pPr>
        <w:spacing w:after="0" w:line="101" w:lineRule="exact"/>
        <w:rPr>
          <w:sz w:val="20"/>
          <w:szCs w:val="20"/>
          <w:color w:val="auto"/>
        </w:rPr>
      </w:pPr>
    </w:p>
    <w:p>
      <w:pPr>
        <w:ind w:left="160" w:right="80"/>
        <w:spacing w:after="0" w:line="256" w:lineRule="auto"/>
        <w:rPr>
          <w:sz w:val="20"/>
          <w:szCs w:val="20"/>
          <w:color w:val="auto"/>
        </w:rPr>
      </w:pPr>
      <w:r>
        <w:rPr>
          <w:rFonts w:ascii="Arial" w:cs="Arial" w:eastAsia="Arial" w:hAnsi="Arial"/>
          <w:sz w:val="17"/>
          <w:szCs w:val="17"/>
          <w:color w:val="auto"/>
        </w:rPr>
        <w:t>We believe that those executives with significant responsibility and a greater ability to influence our results should have a significant portion of their total compensation tied directly to business results, and we have continued to shift our executive compensation packages to further emphasize performance-based compensation that is aligned with our business and operational strategy. Accordingly, a high percentage of our NEOs’ and other senior executives’ total target compensation is “at risk” — meaning that we do not intend for them to receive targeted pay amounts if performance does not meet expectations. Additionally, for 2022, the Committee increased the percentage of Mr. Bakish’s and our other NEOs’ long-terms incentive awards that was delivered in PSUs to 50% and 35%, respectively.</w:t>
      </w:r>
    </w:p>
    <w:p>
      <w:pPr>
        <w:spacing w:after="0" w:line="60" w:lineRule="exact"/>
        <w:rPr>
          <w:sz w:val="20"/>
          <w:szCs w:val="20"/>
          <w:color w:val="auto"/>
        </w:rPr>
      </w:pPr>
    </w:p>
    <w:p>
      <w:pPr>
        <w:ind w:left="160" w:right="160"/>
        <w:spacing w:after="0" w:line="243" w:lineRule="auto"/>
        <w:rPr>
          <w:sz w:val="20"/>
          <w:szCs w:val="20"/>
          <w:color w:val="auto"/>
        </w:rPr>
      </w:pPr>
      <w:r>
        <w:rPr>
          <w:rFonts w:ascii="Arial" w:cs="Arial" w:eastAsia="Arial" w:hAnsi="Arial"/>
          <w:sz w:val="18"/>
          <w:szCs w:val="18"/>
          <w:color w:val="auto"/>
        </w:rPr>
        <w:t>Consistent with this philosophy, our performance-based compensation programs provide for the opportunity to reward NEOs and other senior executives for contributing to annual financial and operational performance (through annual bonus programs) and stock price appreciation (through long-term equity incentives). The only fixed component of pay is annual base salary. Annual cash incentive awards and long-term equity incentive awards are subject to company performance and/or stock price performance.</w:t>
      </w:r>
    </w:p>
    <w:p>
      <w:pPr>
        <w:spacing w:after="0" w:line="71" w:lineRule="exact"/>
        <w:rPr>
          <w:sz w:val="20"/>
          <w:szCs w:val="20"/>
          <w:color w:val="auto"/>
        </w:rPr>
      </w:pPr>
    </w:p>
    <w:p>
      <w:pPr>
        <w:jc w:val="both"/>
        <w:ind w:left="160" w:right="160"/>
        <w:spacing w:after="0" w:line="249" w:lineRule="auto"/>
        <w:rPr>
          <w:sz w:val="20"/>
          <w:szCs w:val="20"/>
          <w:color w:val="auto"/>
        </w:rPr>
      </w:pPr>
      <w:r>
        <w:rPr>
          <w:rFonts w:ascii="Arial" w:cs="Arial" w:eastAsia="Arial" w:hAnsi="Arial"/>
          <w:sz w:val="18"/>
          <w:szCs w:val="18"/>
          <w:color w:val="auto"/>
        </w:rPr>
        <w:t>As illustrated below, approximately 90% of Mr. Bakish’s total target compensation as of December 31, 2021 was at risk and thus strongly linked to our results. Similarly, on average, approximately 72% of total target compensation for the other NEOs as of December 31, 2021 was at risk.</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2021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237490</wp:posOffset>
            </wp:positionV>
            <wp:extent cx="4467225" cy="21907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467225" cy="219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 w:right="220"/>
        <w:spacing w:after="0" w:line="281" w:lineRule="auto"/>
        <w:rPr>
          <w:sz w:val="20"/>
          <w:szCs w:val="20"/>
          <w:color w:val="auto"/>
        </w:rPr>
      </w:pPr>
      <w:r>
        <w:rPr>
          <w:rFonts w:ascii="Arial" w:cs="Arial" w:eastAsia="Arial" w:hAnsi="Arial"/>
          <w:sz w:val="14"/>
          <w:szCs w:val="14"/>
          <w:color w:val="auto"/>
        </w:rPr>
        <w:t>Note: The amounts shown in these graphs reflect the target level compensation package for the NEOs as of December 31, 2021 and may differ from actual compensation amounts reflected in the Summary Compensation Table in this proxy statement.</w:t>
      </w:r>
    </w:p>
    <w:p>
      <w:pPr>
        <w:spacing w:after="0" w:line="41" w:lineRule="exact"/>
        <w:rPr>
          <w:sz w:val="20"/>
          <w:szCs w:val="20"/>
          <w:color w:val="auto"/>
        </w:rPr>
      </w:pPr>
    </w:p>
    <w:p>
      <w:pPr>
        <w:ind w:left="160" w:right="140"/>
        <w:spacing w:after="0"/>
        <w:rPr>
          <w:sz w:val="20"/>
          <w:szCs w:val="20"/>
          <w:color w:val="auto"/>
        </w:rPr>
      </w:pPr>
      <w:r>
        <w:rPr>
          <w:rFonts w:ascii="Arial" w:cs="Arial" w:eastAsia="Arial" w:hAnsi="Arial"/>
          <w:sz w:val="18"/>
          <w:szCs w:val="18"/>
          <w:color w:val="auto"/>
        </w:rPr>
        <w:t>In selecting the financial performance metrics and goals for the performance-based compensation programs each year, the Committee considers our annual operating budget for the upcoming year, as approved by the Board. Our budgeting process reflects aggressive goal setting and considers the expected performance of the media industry for that year, as determined by media industry analysts. The Committee believes that this goal-setting process results in challenging, yet realistic, financial and operational goals that, if achieved, will lead to a successful return of value for shareholders.</w:t>
      </w:r>
    </w:p>
    <w:p>
      <w:pPr>
        <w:spacing w:after="0" w:line="182"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For fiscal year 2021, the Committee determined to incorporate streaming-related metrics that incentivize growth in global subscribers and streaming revenue in order to align performance incentives with our strategic growth priorities. The Committee also determined that it was appropriate to continue utilizing our bottom-line financial metrics — budgeted Operating Income Before Depreciation and Amortization (“OIBDA”) and Free Cash Flow (“FCF”) — when setting quantitative performance goals that reflect our core pay for performance philosophy. See “Annual Bonus Awards” for additional discussion of these goals.</w:t>
      </w:r>
    </w:p>
    <w:p>
      <w:pPr>
        <w:spacing w:after="0" w:line="134"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41</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COMPENSATION PHILOSOPHY AND OBJECTIVES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Introduction</w:t>
      </w:r>
    </w:p>
    <w:p>
      <w:pPr>
        <w:spacing w:after="0" w:line="101" w:lineRule="exact"/>
        <w:rPr>
          <w:sz w:val="20"/>
          <w:szCs w:val="20"/>
          <w:color w:val="auto"/>
        </w:rPr>
      </w:pPr>
    </w:p>
    <w:p>
      <w:pPr>
        <w:ind w:left="160" w:right="200"/>
        <w:spacing w:after="0" w:line="265" w:lineRule="auto"/>
        <w:rPr>
          <w:sz w:val="20"/>
          <w:szCs w:val="20"/>
          <w:color w:val="auto"/>
        </w:rPr>
      </w:pPr>
      <w:r>
        <w:rPr>
          <w:rFonts w:ascii="Arial" w:cs="Arial" w:eastAsia="Arial" w:hAnsi="Arial"/>
          <w:sz w:val="18"/>
          <w:szCs w:val="18"/>
          <w:color w:val="auto"/>
        </w:rPr>
        <w:t>We designed our executive compensation programs to motivate and reward business success and to increase shareholder value, based on the following core objectives:</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596"/>
        </w:trPr>
        <w:tc>
          <w:tcPr>
            <w:tcW w:w="5340" w:type="dxa"/>
            <w:vAlign w:val="bottom"/>
            <w:shd w:val="clear" w:color="auto" w:fill="E5E5E5"/>
          </w:tcPr>
          <w:p>
            <w:pPr>
              <w:jc w:val="center"/>
              <w:spacing w:after="0"/>
              <w:rPr>
                <w:sz w:val="20"/>
                <w:szCs w:val="20"/>
                <w:color w:val="auto"/>
              </w:rPr>
            </w:pPr>
            <w:r>
              <w:rPr>
                <w:rFonts w:ascii="Arial" w:cs="Arial" w:eastAsia="Arial" w:hAnsi="Arial"/>
                <w:sz w:val="21"/>
                <w:szCs w:val="21"/>
                <w:color w:val="051D49"/>
              </w:rPr>
              <w:t>Pay for Performance</w:t>
            </w:r>
          </w:p>
        </w:tc>
        <w:tc>
          <w:tcPr>
            <w:tcW w:w="160" w:type="dxa"/>
            <w:vAlign w:val="bottom"/>
          </w:tcPr>
          <w:p>
            <w:pPr>
              <w:spacing w:after="0"/>
              <w:rPr>
                <w:sz w:val="24"/>
                <w:szCs w:val="24"/>
                <w:color w:val="auto"/>
              </w:rPr>
            </w:pPr>
          </w:p>
        </w:tc>
        <w:tc>
          <w:tcPr>
            <w:tcW w:w="5440" w:type="dxa"/>
            <w:vAlign w:val="bottom"/>
            <w:shd w:val="clear" w:color="auto" w:fill="E5E5E5"/>
          </w:tcPr>
          <w:p>
            <w:pPr>
              <w:jc w:val="center"/>
              <w:spacing w:after="0"/>
              <w:rPr>
                <w:sz w:val="20"/>
                <w:szCs w:val="20"/>
                <w:color w:val="auto"/>
              </w:rPr>
            </w:pPr>
            <w:r>
              <w:rPr>
                <w:rFonts w:ascii="Arial" w:cs="Arial" w:eastAsia="Arial" w:hAnsi="Arial"/>
                <w:sz w:val="21"/>
                <w:szCs w:val="21"/>
                <w:color w:val="051D49"/>
              </w:rPr>
              <w:t>Flexible</w:t>
            </w:r>
          </w:p>
        </w:tc>
      </w:tr>
      <w:tr>
        <w:trPr>
          <w:trHeight w:val="201"/>
        </w:trPr>
        <w:tc>
          <w:tcPr>
            <w:tcW w:w="5340" w:type="dxa"/>
            <w:vAlign w:val="bottom"/>
            <w:shd w:val="clear" w:color="auto" w:fill="E5E5E5"/>
          </w:tcPr>
          <w:p>
            <w:pPr>
              <w:jc w:val="center"/>
              <w:spacing w:after="0" w:line="201" w:lineRule="exact"/>
              <w:rPr>
                <w:sz w:val="20"/>
                <w:szCs w:val="20"/>
                <w:color w:val="auto"/>
              </w:rPr>
            </w:pPr>
            <w:r>
              <w:rPr>
                <w:rFonts w:ascii="Arial" w:cs="Arial" w:eastAsia="Arial" w:hAnsi="Arial"/>
                <w:sz w:val="18"/>
                <w:szCs w:val="18"/>
                <w:color w:val="333333"/>
                <w:w w:val="98"/>
              </w:rPr>
              <w:t>Ensure plans provide reward levels that</w:t>
            </w:r>
          </w:p>
        </w:tc>
        <w:tc>
          <w:tcPr>
            <w:tcW w:w="160" w:type="dxa"/>
            <w:vAlign w:val="bottom"/>
          </w:tcPr>
          <w:p>
            <w:pPr>
              <w:spacing w:after="0"/>
              <w:rPr>
                <w:sz w:val="17"/>
                <w:szCs w:val="17"/>
                <w:color w:val="auto"/>
              </w:rPr>
            </w:pPr>
          </w:p>
        </w:tc>
        <w:tc>
          <w:tcPr>
            <w:tcW w:w="5440" w:type="dxa"/>
            <w:vAlign w:val="bottom"/>
            <w:shd w:val="clear" w:color="auto" w:fill="E5E5E5"/>
          </w:tcPr>
          <w:p>
            <w:pPr>
              <w:jc w:val="center"/>
              <w:spacing w:after="0" w:line="201" w:lineRule="exact"/>
              <w:rPr>
                <w:sz w:val="20"/>
                <w:szCs w:val="20"/>
                <w:color w:val="auto"/>
              </w:rPr>
            </w:pPr>
            <w:r>
              <w:rPr>
                <w:rFonts w:ascii="Arial" w:cs="Arial" w:eastAsia="Arial" w:hAnsi="Arial"/>
                <w:sz w:val="18"/>
                <w:szCs w:val="18"/>
                <w:color w:val="333333"/>
                <w:w w:val="98"/>
              </w:rPr>
              <w:t>Enable management and the Board to</w:t>
            </w:r>
          </w:p>
        </w:tc>
      </w:tr>
      <w:tr>
        <w:trPr>
          <w:trHeight w:val="201"/>
        </w:trPr>
        <w:tc>
          <w:tcPr>
            <w:tcW w:w="5340" w:type="dxa"/>
            <w:vAlign w:val="bottom"/>
            <w:shd w:val="clear" w:color="auto" w:fill="E5E5E5"/>
          </w:tcPr>
          <w:p>
            <w:pPr>
              <w:jc w:val="center"/>
              <w:spacing w:after="0" w:line="201" w:lineRule="exact"/>
              <w:rPr>
                <w:sz w:val="20"/>
                <w:szCs w:val="20"/>
                <w:color w:val="auto"/>
              </w:rPr>
            </w:pPr>
            <w:r>
              <w:rPr>
                <w:rFonts w:ascii="Arial" w:cs="Arial" w:eastAsia="Arial" w:hAnsi="Arial"/>
                <w:sz w:val="18"/>
                <w:szCs w:val="18"/>
                <w:color w:val="333333"/>
                <w:w w:val="99"/>
              </w:rPr>
              <w:t>reflect variances between actual and</w:t>
            </w:r>
          </w:p>
        </w:tc>
        <w:tc>
          <w:tcPr>
            <w:tcW w:w="160" w:type="dxa"/>
            <w:vAlign w:val="bottom"/>
          </w:tcPr>
          <w:p>
            <w:pPr>
              <w:spacing w:after="0"/>
              <w:rPr>
                <w:sz w:val="17"/>
                <w:szCs w:val="17"/>
                <w:color w:val="auto"/>
              </w:rPr>
            </w:pPr>
          </w:p>
        </w:tc>
        <w:tc>
          <w:tcPr>
            <w:tcW w:w="5440" w:type="dxa"/>
            <w:vAlign w:val="bottom"/>
            <w:shd w:val="clear" w:color="auto" w:fill="E5E5E5"/>
          </w:tcPr>
          <w:p>
            <w:pPr>
              <w:jc w:val="center"/>
              <w:spacing w:after="0" w:line="201" w:lineRule="exact"/>
              <w:rPr>
                <w:sz w:val="20"/>
                <w:szCs w:val="20"/>
                <w:color w:val="auto"/>
              </w:rPr>
            </w:pPr>
            <w:r>
              <w:rPr>
                <w:rFonts w:ascii="Arial" w:cs="Arial" w:eastAsia="Arial" w:hAnsi="Arial"/>
                <w:sz w:val="18"/>
                <w:szCs w:val="18"/>
                <w:color w:val="333333"/>
                <w:w w:val="99"/>
              </w:rPr>
              <w:t>make decisions based on the needs of the</w:t>
            </w:r>
          </w:p>
        </w:tc>
      </w:tr>
      <w:tr>
        <w:trPr>
          <w:trHeight w:val="214"/>
        </w:trPr>
        <w:tc>
          <w:tcPr>
            <w:tcW w:w="5340" w:type="dxa"/>
            <w:vAlign w:val="bottom"/>
            <w:shd w:val="clear" w:color="auto" w:fill="E5E5E5"/>
          </w:tcPr>
          <w:p>
            <w:pPr>
              <w:jc w:val="center"/>
              <w:spacing w:after="0"/>
              <w:rPr>
                <w:sz w:val="20"/>
                <w:szCs w:val="20"/>
                <w:color w:val="auto"/>
              </w:rPr>
            </w:pPr>
            <w:r>
              <w:rPr>
                <w:rFonts w:ascii="Arial" w:cs="Arial" w:eastAsia="Arial" w:hAnsi="Arial"/>
                <w:sz w:val="18"/>
                <w:szCs w:val="18"/>
                <w:color w:val="333333"/>
                <w:w w:val="99"/>
              </w:rPr>
              <w:t>desired performance results.</w:t>
            </w:r>
          </w:p>
        </w:tc>
        <w:tc>
          <w:tcPr>
            <w:tcW w:w="160" w:type="dxa"/>
            <w:vAlign w:val="bottom"/>
          </w:tcPr>
          <w:p>
            <w:pPr>
              <w:spacing w:after="0"/>
              <w:rPr>
                <w:sz w:val="18"/>
                <w:szCs w:val="18"/>
                <w:color w:val="auto"/>
              </w:rPr>
            </w:pPr>
          </w:p>
        </w:tc>
        <w:tc>
          <w:tcPr>
            <w:tcW w:w="5440" w:type="dxa"/>
            <w:vAlign w:val="bottom"/>
            <w:shd w:val="clear" w:color="auto" w:fill="E5E5E5"/>
          </w:tcPr>
          <w:p>
            <w:pPr>
              <w:jc w:val="center"/>
              <w:spacing w:after="0"/>
              <w:rPr>
                <w:sz w:val="20"/>
                <w:szCs w:val="20"/>
                <w:color w:val="auto"/>
              </w:rPr>
            </w:pPr>
            <w:r>
              <w:rPr>
                <w:rFonts w:ascii="Arial" w:cs="Arial" w:eastAsia="Arial" w:hAnsi="Arial"/>
                <w:sz w:val="18"/>
                <w:szCs w:val="18"/>
                <w:color w:val="333333"/>
                <w:w w:val="99"/>
              </w:rPr>
              <w:t>business and to recognize different levels</w:t>
            </w:r>
          </w:p>
        </w:tc>
      </w:tr>
      <w:tr>
        <w:trPr>
          <w:trHeight w:val="235"/>
        </w:trPr>
        <w:tc>
          <w:tcPr>
            <w:tcW w:w="5340" w:type="dxa"/>
            <w:vAlign w:val="bottom"/>
            <w:shd w:val="clear" w:color="auto" w:fill="E5E5E5"/>
          </w:tcPr>
          <w:p>
            <w:pPr>
              <w:spacing w:after="0"/>
              <w:rPr>
                <w:sz w:val="20"/>
                <w:szCs w:val="20"/>
                <w:color w:val="auto"/>
              </w:rPr>
            </w:pPr>
          </w:p>
        </w:tc>
        <w:tc>
          <w:tcPr>
            <w:tcW w:w="160" w:type="dxa"/>
            <w:vAlign w:val="bottom"/>
          </w:tcPr>
          <w:p>
            <w:pPr>
              <w:spacing w:after="0"/>
              <w:rPr>
                <w:sz w:val="20"/>
                <w:szCs w:val="20"/>
                <w:color w:val="auto"/>
              </w:rPr>
            </w:pPr>
          </w:p>
        </w:tc>
        <w:tc>
          <w:tcPr>
            <w:tcW w:w="5440" w:type="dxa"/>
            <w:vAlign w:val="bottom"/>
            <w:shd w:val="clear" w:color="auto" w:fill="E5E5E5"/>
          </w:tcPr>
          <w:p>
            <w:pPr>
              <w:jc w:val="center"/>
              <w:spacing w:after="0"/>
              <w:rPr>
                <w:sz w:val="20"/>
                <w:szCs w:val="20"/>
                <w:color w:val="auto"/>
              </w:rPr>
            </w:pPr>
            <w:r>
              <w:rPr>
                <w:rFonts w:ascii="Arial" w:cs="Arial" w:eastAsia="Arial" w:hAnsi="Arial"/>
                <w:sz w:val="18"/>
                <w:szCs w:val="18"/>
                <w:color w:val="333333"/>
                <w:w w:val="98"/>
              </w:rPr>
              <w:t>of individual contribution.</w:t>
            </w:r>
          </w:p>
        </w:tc>
      </w:tr>
      <w:tr>
        <w:trPr>
          <w:trHeight w:val="506"/>
        </w:trPr>
        <w:tc>
          <w:tcPr>
            <w:tcW w:w="5340" w:type="dxa"/>
            <w:vAlign w:val="bottom"/>
            <w:shd w:val="clear" w:color="auto" w:fill="E5E5E5"/>
          </w:tcPr>
          <w:p>
            <w:pPr>
              <w:spacing w:after="0"/>
              <w:rPr>
                <w:sz w:val="24"/>
                <w:szCs w:val="24"/>
                <w:color w:val="auto"/>
              </w:rPr>
            </w:pPr>
          </w:p>
        </w:tc>
        <w:tc>
          <w:tcPr>
            <w:tcW w:w="160" w:type="dxa"/>
            <w:vAlign w:val="bottom"/>
          </w:tcPr>
          <w:p>
            <w:pPr>
              <w:spacing w:after="0"/>
              <w:rPr>
                <w:sz w:val="24"/>
                <w:szCs w:val="24"/>
                <w:color w:val="auto"/>
              </w:rPr>
            </w:pPr>
          </w:p>
        </w:tc>
        <w:tc>
          <w:tcPr>
            <w:tcW w:w="5440" w:type="dxa"/>
            <w:vAlign w:val="bottom"/>
            <w:shd w:val="clear" w:color="auto" w:fill="E5E5E5"/>
          </w:tcPr>
          <w:p>
            <w:pPr>
              <w:spacing w:after="0"/>
              <w:rPr>
                <w:sz w:val="24"/>
                <w:szCs w:val="24"/>
                <w:color w:val="auto"/>
              </w:rPr>
            </w:pPr>
          </w:p>
        </w:tc>
      </w:tr>
    </w:tbl>
    <w:p>
      <w:pPr>
        <w:spacing w:after="0" w:line="120" w:lineRule="exact"/>
        <w:rPr>
          <w:sz w:val="20"/>
          <w:szCs w:val="20"/>
          <w:color w:val="auto"/>
        </w:rPr>
      </w:pPr>
    </w:p>
    <w:tbl>
      <w:tblPr>
        <w:tblLayout w:type="fixed"/>
        <w:tblInd w:w="160" w:type="dxa"/>
        <w:tblCellMar>
          <w:top w:w="0" w:type="dxa"/>
          <w:left w:w="0" w:type="dxa"/>
          <w:bottom w:w="0" w:type="dxa"/>
          <w:right w:w="0" w:type="dxa"/>
        </w:tblCellMar>
      </w:tblPr>
      <w:tr>
        <w:trPr>
          <w:trHeight w:val="610"/>
        </w:trPr>
        <w:tc>
          <w:tcPr>
            <w:tcW w:w="5340" w:type="dxa"/>
            <w:vAlign w:val="bottom"/>
            <w:shd w:val="clear" w:color="auto" w:fill="E5E5E5"/>
          </w:tcPr>
          <w:p>
            <w:pPr>
              <w:jc w:val="center"/>
              <w:ind w:left="47"/>
              <w:spacing w:after="0"/>
              <w:rPr>
                <w:sz w:val="20"/>
                <w:szCs w:val="20"/>
                <w:color w:val="auto"/>
              </w:rPr>
            </w:pPr>
            <w:r>
              <w:rPr>
                <w:rFonts w:ascii="Arial" w:cs="Arial" w:eastAsia="Arial" w:hAnsi="Arial"/>
                <w:sz w:val="21"/>
                <w:szCs w:val="21"/>
                <w:color w:val="051D49"/>
              </w:rPr>
              <w:t>Market Competitive</w:t>
            </w:r>
          </w:p>
        </w:tc>
        <w:tc>
          <w:tcPr>
            <w:tcW w:w="160" w:type="dxa"/>
            <w:vAlign w:val="bottom"/>
          </w:tcPr>
          <w:p>
            <w:pPr>
              <w:spacing w:after="0"/>
              <w:rPr>
                <w:sz w:val="24"/>
                <w:szCs w:val="24"/>
                <w:color w:val="auto"/>
              </w:rPr>
            </w:pPr>
          </w:p>
        </w:tc>
        <w:tc>
          <w:tcPr>
            <w:tcW w:w="5440" w:type="dxa"/>
            <w:vAlign w:val="bottom"/>
            <w:shd w:val="clear" w:color="auto" w:fill="E5E5E5"/>
          </w:tcPr>
          <w:p>
            <w:pPr>
              <w:jc w:val="center"/>
              <w:spacing w:after="0"/>
              <w:rPr>
                <w:sz w:val="20"/>
                <w:szCs w:val="20"/>
                <w:color w:val="auto"/>
              </w:rPr>
            </w:pPr>
            <w:r>
              <w:rPr>
                <w:rFonts w:ascii="Arial" w:cs="Arial" w:eastAsia="Arial" w:hAnsi="Arial"/>
                <w:sz w:val="21"/>
                <w:szCs w:val="21"/>
                <w:color w:val="051D49"/>
              </w:rPr>
              <w:t>Focused on Shareholder Value</w:t>
            </w:r>
          </w:p>
        </w:tc>
      </w:tr>
      <w:tr>
        <w:trPr>
          <w:trHeight w:val="201"/>
        </w:trPr>
        <w:tc>
          <w:tcPr>
            <w:tcW w:w="5340" w:type="dxa"/>
            <w:vAlign w:val="bottom"/>
            <w:shd w:val="clear" w:color="auto" w:fill="E5E5E5"/>
          </w:tcPr>
          <w:p>
            <w:pPr>
              <w:jc w:val="center"/>
              <w:ind w:left="67"/>
              <w:spacing w:after="0" w:line="201" w:lineRule="exact"/>
              <w:rPr>
                <w:sz w:val="20"/>
                <w:szCs w:val="20"/>
                <w:color w:val="auto"/>
              </w:rPr>
            </w:pPr>
            <w:r>
              <w:rPr>
                <w:rFonts w:ascii="Arial" w:cs="Arial" w:eastAsia="Arial" w:hAnsi="Arial"/>
                <w:sz w:val="18"/>
                <w:szCs w:val="18"/>
                <w:color w:val="333333"/>
                <w:w w:val="99"/>
              </w:rPr>
              <w:t>Consider compensation programs of our</w:t>
            </w:r>
          </w:p>
        </w:tc>
        <w:tc>
          <w:tcPr>
            <w:tcW w:w="160" w:type="dxa"/>
            <w:vAlign w:val="bottom"/>
          </w:tcPr>
          <w:p>
            <w:pPr>
              <w:spacing w:after="0"/>
              <w:rPr>
                <w:sz w:val="17"/>
                <w:szCs w:val="17"/>
                <w:color w:val="auto"/>
              </w:rPr>
            </w:pPr>
          </w:p>
        </w:tc>
        <w:tc>
          <w:tcPr>
            <w:tcW w:w="5440" w:type="dxa"/>
            <w:vAlign w:val="bottom"/>
            <w:shd w:val="clear" w:color="auto" w:fill="E5E5E5"/>
          </w:tcPr>
          <w:p>
            <w:pPr>
              <w:jc w:val="center"/>
              <w:spacing w:after="0" w:line="201" w:lineRule="exact"/>
              <w:rPr>
                <w:sz w:val="20"/>
                <w:szCs w:val="20"/>
                <w:color w:val="auto"/>
              </w:rPr>
            </w:pPr>
            <w:r>
              <w:rPr>
                <w:rFonts w:ascii="Arial" w:cs="Arial" w:eastAsia="Arial" w:hAnsi="Arial"/>
                <w:sz w:val="18"/>
                <w:szCs w:val="18"/>
                <w:color w:val="333333"/>
                <w:w w:val="98"/>
              </w:rPr>
              <w:t>Align executives’ interests with shareholder</w:t>
            </w:r>
          </w:p>
        </w:tc>
      </w:tr>
      <w:tr>
        <w:trPr>
          <w:trHeight w:val="201"/>
        </w:trPr>
        <w:tc>
          <w:tcPr>
            <w:tcW w:w="5340" w:type="dxa"/>
            <w:vAlign w:val="bottom"/>
            <w:shd w:val="clear" w:color="auto" w:fill="E5E5E5"/>
          </w:tcPr>
          <w:p>
            <w:pPr>
              <w:jc w:val="center"/>
              <w:ind w:left="67"/>
              <w:spacing w:after="0" w:line="201" w:lineRule="exact"/>
              <w:rPr>
                <w:sz w:val="20"/>
                <w:szCs w:val="20"/>
                <w:color w:val="auto"/>
              </w:rPr>
            </w:pPr>
            <w:r>
              <w:rPr>
                <w:rFonts w:ascii="Arial" w:cs="Arial" w:eastAsia="Arial" w:hAnsi="Arial"/>
                <w:sz w:val="18"/>
                <w:szCs w:val="18"/>
                <w:color w:val="333333"/>
                <w:w w:val="99"/>
              </w:rPr>
              <w:t>peers to attract and retain the</w:t>
            </w:r>
          </w:p>
        </w:tc>
        <w:tc>
          <w:tcPr>
            <w:tcW w:w="160" w:type="dxa"/>
            <w:vAlign w:val="bottom"/>
          </w:tcPr>
          <w:p>
            <w:pPr>
              <w:spacing w:after="0"/>
              <w:rPr>
                <w:sz w:val="17"/>
                <w:szCs w:val="17"/>
                <w:color w:val="auto"/>
              </w:rPr>
            </w:pPr>
          </w:p>
        </w:tc>
        <w:tc>
          <w:tcPr>
            <w:tcW w:w="5440" w:type="dxa"/>
            <w:vAlign w:val="bottom"/>
            <w:shd w:val="clear" w:color="auto" w:fill="E5E5E5"/>
          </w:tcPr>
          <w:p>
            <w:pPr>
              <w:jc w:val="center"/>
              <w:spacing w:after="0" w:line="201" w:lineRule="exact"/>
              <w:rPr>
                <w:sz w:val="20"/>
                <w:szCs w:val="20"/>
                <w:color w:val="auto"/>
              </w:rPr>
            </w:pPr>
            <w:r>
              <w:rPr>
                <w:rFonts w:ascii="Arial" w:cs="Arial" w:eastAsia="Arial" w:hAnsi="Arial"/>
                <w:sz w:val="18"/>
                <w:szCs w:val="18"/>
                <w:color w:val="333333"/>
                <w:w w:val="98"/>
              </w:rPr>
              <w:t>interests, with particular emphasis on creating</w:t>
            </w:r>
          </w:p>
        </w:tc>
      </w:tr>
      <w:tr>
        <w:trPr>
          <w:trHeight w:val="201"/>
        </w:trPr>
        <w:tc>
          <w:tcPr>
            <w:tcW w:w="5340" w:type="dxa"/>
            <w:vAlign w:val="bottom"/>
            <w:shd w:val="clear" w:color="auto" w:fill="E5E5E5"/>
          </w:tcPr>
          <w:p>
            <w:pPr>
              <w:jc w:val="center"/>
              <w:ind w:left="67"/>
              <w:spacing w:after="0" w:line="201" w:lineRule="exact"/>
              <w:rPr>
                <w:sz w:val="20"/>
                <w:szCs w:val="20"/>
                <w:color w:val="auto"/>
              </w:rPr>
            </w:pPr>
            <w:r>
              <w:rPr>
                <w:rFonts w:ascii="Arial" w:cs="Arial" w:eastAsia="Arial" w:hAnsi="Arial"/>
                <w:sz w:val="18"/>
                <w:szCs w:val="18"/>
                <w:color w:val="333333"/>
                <w:w w:val="99"/>
              </w:rPr>
              <w:t>talent needed to drive sustainable competitive</w:t>
            </w:r>
          </w:p>
        </w:tc>
        <w:tc>
          <w:tcPr>
            <w:tcW w:w="160" w:type="dxa"/>
            <w:vAlign w:val="bottom"/>
          </w:tcPr>
          <w:p>
            <w:pPr>
              <w:spacing w:after="0"/>
              <w:rPr>
                <w:sz w:val="17"/>
                <w:szCs w:val="17"/>
                <w:color w:val="auto"/>
              </w:rPr>
            </w:pPr>
          </w:p>
        </w:tc>
        <w:tc>
          <w:tcPr>
            <w:tcW w:w="5440" w:type="dxa"/>
            <w:vAlign w:val="bottom"/>
            <w:shd w:val="clear" w:color="auto" w:fill="E5E5E5"/>
          </w:tcPr>
          <w:p>
            <w:pPr>
              <w:jc w:val="center"/>
              <w:spacing w:after="0" w:line="201" w:lineRule="exact"/>
              <w:rPr>
                <w:sz w:val="20"/>
                <w:szCs w:val="20"/>
                <w:color w:val="auto"/>
              </w:rPr>
            </w:pPr>
            <w:r>
              <w:rPr>
                <w:rFonts w:ascii="Arial" w:cs="Arial" w:eastAsia="Arial" w:hAnsi="Arial"/>
                <w:sz w:val="18"/>
                <w:szCs w:val="18"/>
                <w:color w:val="333333"/>
                <w:w w:val="99"/>
              </w:rPr>
              <w:t>incentives that reward executives for consistently increasing the</w:t>
            </w:r>
          </w:p>
        </w:tc>
      </w:tr>
      <w:tr>
        <w:trPr>
          <w:trHeight w:val="235"/>
        </w:trPr>
        <w:tc>
          <w:tcPr>
            <w:tcW w:w="5340" w:type="dxa"/>
            <w:vAlign w:val="bottom"/>
            <w:shd w:val="clear" w:color="auto" w:fill="E5E5E5"/>
          </w:tcPr>
          <w:p>
            <w:pPr>
              <w:jc w:val="center"/>
              <w:ind w:left="47"/>
              <w:spacing w:after="0"/>
              <w:rPr>
                <w:sz w:val="20"/>
                <w:szCs w:val="20"/>
                <w:color w:val="auto"/>
              </w:rPr>
            </w:pPr>
            <w:r>
              <w:rPr>
                <w:rFonts w:ascii="Arial" w:cs="Arial" w:eastAsia="Arial" w:hAnsi="Arial"/>
                <w:sz w:val="18"/>
                <w:szCs w:val="18"/>
                <w:color w:val="333333"/>
                <w:w w:val="99"/>
              </w:rPr>
              <w:t>advantage and deliver value to shareholders.</w:t>
            </w:r>
          </w:p>
        </w:tc>
        <w:tc>
          <w:tcPr>
            <w:tcW w:w="160" w:type="dxa"/>
            <w:vAlign w:val="bottom"/>
          </w:tcPr>
          <w:p>
            <w:pPr>
              <w:spacing w:after="0"/>
              <w:rPr>
                <w:sz w:val="20"/>
                <w:szCs w:val="20"/>
                <w:color w:val="auto"/>
              </w:rPr>
            </w:pPr>
          </w:p>
        </w:tc>
        <w:tc>
          <w:tcPr>
            <w:tcW w:w="5440" w:type="dxa"/>
            <w:vAlign w:val="bottom"/>
            <w:shd w:val="clear" w:color="auto" w:fill="E5E5E5"/>
          </w:tcPr>
          <w:p>
            <w:pPr>
              <w:jc w:val="center"/>
              <w:spacing w:after="0"/>
              <w:rPr>
                <w:sz w:val="20"/>
                <w:szCs w:val="20"/>
                <w:color w:val="auto"/>
              </w:rPr>
            </w:pPr>
            <w:r>
              <w:rPr>
                <w:rFonts w:ascii="Arial" w:cs="Arial" w:eastAsia="Arial" w:hAnsi="Arial"/>
                <w:sz w:val="18"/>
                <w:szCs w:val="18"/>
                <w:color w:val="333333"/>
                <w:w w:val="99"/>
              </w:rPr>
              <w:t>value of Paramount</w:t>
            </w:r>
          </w:p>
        </w:tc>
      </w:tr>
      <w:tr>
        <w:trPr>
          <w:trHeight w:val="506"/>
        </w:trPr>
        <w:tc>
          <w:tcPr>
            <w:tcW w:w="5340" w:type="dxa"/>
            <w:vAlign w:val="bottom"/>
            <w:shd w:val="clear" w:color="auto" w:fill="E5E5E5"/>
          </w:tcPr>
          <w:p>
            <w:pPr>
              <w:spacing w:after="0"/>
              <w:rPr>
                <w:sz w:val="24"/>
                <w:szCs w:val="24"/>
                <w:color w:val="auto"/>
              </w:rPr>
            </w:pPr>
          </w:p>
        </w:tc>
        <w:tc>
          <w:tcPr>
            <w:tcW w:w="160" w:type="dxa"/>
            <w:vAlign w:val="bottom"/>
          </w:tcPr>
          <w:p>
            <w:pPr>
              <w:spacing w:after="0"/>
              <w:rPr>
                <w:sz w:val="24"/>
                <w:szCs w:val="24"/>
                <w:color w:val="auto"/>
              </w:rPr>
            </w:pPr>
          </w:p>
        </w:tc>
        <w:tc>
          <w:tcPr>
            <w:tcW w:w="5440" w:type="dxa"/>
            <w:vAlign w:val="bottom"/>
            <w:shd w:val="clear" w:color="auto" w:fill="E5E5E5"/>
          </w:tcPr>
          <w:p>
            <w:pPr>
              <w:spacing w:after="0"/>
              <w:rPr>
                <w:sz w:val="24"/>
                <w:szCs w:val="24"/>
                <w:color w:val="auto"/>
              </w:rPr>
            </w:pPr>
          </w:p>
        </w:tc>
      </w:tr>
    </w:tbl>
    <w:p>
      <w:pPr>
        <w:spacing w:after="0" w:line="88" w:lineRule="exact"/>
        <w:rPr>
          <w:sz w:val="20"/>
          <w:szCs w:val="20"/>
          <w:color w:val="auto"/>
        </w:rPr>
      </w:pPr>
    </w:p>
    <w:p>
      <w:pPr>
        <w:ind w:left="160" w:right="260"/>
        <w:spacing w:after="0" w:line="265" w:lineRule="auto"/>
        <w:rPr>
          <w:sz w:val="20"/>
          <w:szCs w:val="20"/>
          <w:color w:val="auto"/>
        </w:rPr>
      </w:pPr>
      <w:r>
        <w:rPr>
          <w:rFonts w:ascii="Arial" w:cs="Arial" w:eastAsia="Arial" w:hAnsi="Arial"/>
          <w:sz w:val="18"/>
          <w:szCs w:val="18"/>
          <w:color w:val="auto"/>
        </w:rPr>
        <w:t>In determining our compensation policies and decisions for fiscal year 2021, we considered the results of the previous votes held on the compensation of our NEOs, and as a result, continued to base our compensation programs on the above-listed core objectives.</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Risk Oversight</w:t>
      </w:r>
    </w:p>
    <w:p>
      <w:pPr>
        <w:spacing w:after="0" w:line="101" w:lineRule="exact"/>
        <w:rPr>
          <w:sz w:val="20"/>
          <w:szCs w:val="20"/>
          <w:color w:val="auto"/>
        </w:rPr>
      </w:pPr>
    </w:p>
    <w:p>
      <w:pPr>
        <w:ind w:left="160" w:right="220"/>
        <w:spacing w:after="0" w:line="243" w:lineRule="auto"/>
        <w:rPr>
          <w:sz w:val="20"/>
          <w:szCs w:val="20"/>
          <w:color w:val="auto"/>
        </w:rPr>
      </w:pPr>
      <w:r>
        <w:rPr>
          <w:rFonts w:ascii="Arial" w:cs="Arial" w:eastAsia="Arial" w:hAnsi="Arial"/>
          <w:sz w:val="18"/>
          <w:szCs w:val="18"/>
          <w:color w:val="auto"/>
        </w:rPr>
        <w:t>The Compensation Committee has oversight over the design and administration of our compensation programs, including to ensure that such programs do not promote an environment that encourages unnecessary and excessive risk taking by our employees. Based on management’s assessment and input from the Committee’s independent compensation consultant, the Committee does not believe that our employee compensation policies and practices create risks that are reasonably likely to have a material adverse effect on us.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Our Compensation Strategies</w:t>
      </w:r>
    </w:p>
    <w:p>
      <w:pPr>
        <w:spacing w:after="0" w:line="101"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i w:val="1"/>
          <w:iCs w:val="1"/>
          <w:color w:val="auto"/>
        </w:rPr>
        <w:t xml:space="preserve">We use a mix of cash and equity incentives. </w:t>
      </w:r>
      <w:r>
        <w:rPr>
          <w:rFonts w:ascii="Arial" w:cs="Arial" w:eastAsia="Arial" w:hAnsi="Arial"/>
          <w:sz w:val="18"/>
          <w:szCs w:val="18"/>
          <w:color w:val="auto"/>
        </w:rPr>
        <w:t>The Committee believes that both cash and equity incentives are important to an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structure. Annual cash incentives reward executives for short-term financial and operating results that serve as a foundation for creating long-term value, while equity incentives motivate executives to execute long-term financial and strategic objectives to increase shareholder value.</w:t>
      </w:r>
    </w:p>
    <w:p>
      <w:pPr>
        <w:spacing w:after="0" w:line="71" w:lineRule="exact"/>
        <w:rPr>
          <w:sz w:val="20"/>
          <w:szCs w:val="20"/>
          <w:color w:val="auto"/>
        </w:rPr>
      </w:pPr>
    </w:p>
    <w:p>
      <w:pPr>
        <w:ind w:left="160" w:right="120"/>
        <w:spacing w:after="0" w:line="239" w:lineRule="auto"/>
        <w:rPr>
          <w:sz w:val="20"/>
          <w:szCs w:val="20"/>
          <w:color w:val="auto"/>
        </w:rPr>
      </w:pPr>
      <w:r>
        <w:rPr>
          <w:rFonts w:ascii="Arial" w:cs="Arial" w:eastAsia="Arial" w:hAnsi="Arial"/>
          <w:sz w:val="18"/>
          <w:szCs w:val="18"/>
          <w:i w:val="1"/>
          <w:iCs w:val="1"/>
          <w:color w:val="auto"/>
        </w:rPr>
        <w:t xml:space="preserve">We consider multiple factors when structuring compensation packages. </w:t>
      </w:r>
      <w:r>
        <w:rPr>
          <w:rFonts w:ascii="Arial" w:cs="Arial" w:eastAsia="Arial" w:hAnsi="Arial"/>
          <w:sz w:val="18"/>
          <w:szCs w:val="18"/>
          <w:color w:val="auto"/>
        </w:rPr>
        <w:t>In deciding the amount of cash and equity incentives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NEOs and other senior executives receive, the Committee does not use rigid guidelines to determine the mix of compensation elements (</w:t>
      </w:r>
      <w:r>
        <w:rPr>
          <w:rFonts w:ascii="Arial" w:cs="Arial" w:eastAsia="Arial" w:hAnsi="Arial"/>
          <w:sz w:val="18"/>
          <w:szCs w:val="18"/>
          <w:i w:val="1"/>
          <w:iCs w:val="1"/>
          <w:color w:val="auto"/>
        </w:rPr>
        <w:t>i.e.</w:t>
      </w:r>
      <w:r>
        <w:rPr>
          <w:rFonts w:ascii="Arial" w:cs="Arial" w:eastAsia="Arial" w:hAnsi="Arial"/>
          <w:sz w:val="18"/>
          <w:szCs w:val="18"/>
          <w:color w:val="auto"/>
        </w:rPr>
        <w:t>, short-term versus long-term compensation and cash versus non-cash compensation) for each senior executive. The Committee considers a multitude of factors, including the executive’s total target compensation, the amount of compensation that is delivered in fixed versus “at risk” elements of compensation, external market data, internal pay parity, our succession planning needs, the scope of the executive’s role and the executive’s performance and length of time in the role.</w:t>
      </w:r>
    </w:p>
    <w:p>
      <w:pPr>
        <w:spacing w:after="0" w:line="74" w:lineRule="exact"/>
        <w:rPr>
          <w:sz w:val="20"/>
          <w:szCs w:val="20"/>
          <w:color w:val="auto"/>
        </w:rPr>
      </w:pPr>
    </w:p>
    <w:p>
      <w:pPr>
        <w:ind w:left="160" w:right="20"/>
        <w:spacing w:after="0"/>
        <w:rPr>
          <w:sz w:val="20"/>
          <w:szCs w:val="20"/>
          <w:color w:val="auto"/>
        </w:rPr>
      </w:pPr>
      <w:r>
        <w:rPr>
          <w:rFonts w:ascii="Arial" w:cs="Arial" w:eastAsia="Arial" w:hAnsi="Arial"/>
          <w:sz w:val="18"/>
          <w:szCs w:val="18"/>
          <w:i w:val="1"/>
          <w:iCs w:val="1"/>
          <w:color w:val="auto"/>
        </w:rPr>
        <w:t xml:space="preserve">We choose performance metrics and establish performance goals that are intended to further our long -term strategic goals.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believes that a significant portion of our executives’ compensation should be subject to the achievement of performance goals that are objectively measurable and that represent aggressive performance standards that are reasonably attainable, and that any performance goals are based on easily understood metrics intended to drive shareholder value creation. Each year, the Committee selects the financial performance metrics and goals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29755" cy="2374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12"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42</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100"/>
          </w:cols>
          <w:pgMar w:left="320" w:top="454" w:right="4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7540"/>
        <w:spacing w:after="0"/>
        <w:rPr>
          <w:sz w:val="20"/>
          <w:szCs w:val="20"/>
          <w:color w:val="auto"/>
        </w:rPr>
      </w:pPr>
      <w:r>
        <w:rPr>
          <w:rFonts w:ascii="Arial" w:cs="Arial" w:eastAsia="Arial" w:hAnsi="Arial"/>
          <w:sz w:val="15"/>
          <w:szCs w:val="15"/>
          <w:color w:val="auto"/>
        </w:rPr>
        <w:t>COMPENSATION DISCUSSION AND ANALYSIS</w:t>
      </w:r>
    </w:p>
    <w:p>
      <w:pPr>
        <w:spacing w:after="0" w:line="157"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performance-based compensation programs and, to avoid distorted performance goals, approves adjustments to the calculation of those goals, which adjustments generally are pre-approved. The Committee believes this process results in performance goals that are challenging, yet realistic, and that will not encourage senior executives to engage in overly risky business activities to achieve unattainable goals or overcome lower results caused by unforeseen events.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Elements of Our Executive Compensation Program</w:t>
      </w:r>
    </w:p>
    <w:p>
      <w:pPr>
        <w:spacing w:after="0" w:line="101" w:lineRule="exact"/>
        <w:rPr>
          <w:sz w:val="20"/>
          <w:szCs w:val="20"/>
          <w:color w:val="auto"/>
        </w:rPr>
      </w:pPr>
    </w:p>
    <w:p>
      <w:pPr>
        <w:ind w:left="160" w:right="160"/>
        <w:spacing w:after="0" w:line="295" w:lineRule="auto"/>
        <w:rPr>
          <w:sz w:val="20"/>
          <w:szCs w:val="20"/>
          <w:color w:val="auto"/>
        </w:rPr>
      </w:pPr>
      <w:r>
        <w:rPr>
          <w:rFonts w:ascii="Arial" w:cs="Arial" w:eastAsia="Arial" w:hAnsi="Arial"/>
          <w:sz w:val="17"/>
          <w:szCs w:val="17"/>
          <w:color w:val="auto"/>
        </w:rPr>
        <w:t>The table below outlines the key elements of the compensation arrangements with our NEOs and other senior executives, and describes their purpose, key characteristics and, if applicable, the type of performance measured and how we deliver the compensation.</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Total Target Compensation:</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281"/>
        </w:trPr>
        <w:tc>
          <w:tcPr>
            <w:tcW w:w="2080" w:type="dxa"/>
            <w:vAlign w:val="bottom"/>
            <w:shd w:val="clear" w:color="auto" w:fill="E5E5E5"/>
          </w:tcPr>
          <w:p>
            <w:pPr>
              <w:ind w:left="80"/>
              <w:spacing w:after="0"/>
              <w:rPr>
                <w:sz w:val="20"/>
                <w:szCs w:val="20"/>
                <w:color w:val="auto"/>
              </w:rPr>
            </w:pPr>
            <w:r>
              <w:rPr>
                <w:rFonts w:ascii="Arial" w:cs="Arial" w:eastAsia="Arial" w:hAnsi="Arial"/>
                <w:sz w:val="16"/>
                <w:szCs w:val="16"/>
                <w:color w:val="051D49"/>
              </w:rPr>
              <w:t>Compensation Element</w:t>
            </w:r>
          </w:p>
        </w:tc>
        <w:tc>
          <w:tcPr>
            <w:tcW w:w="220" w:type="dxa"/>
            <w:vAlign w:val="bottom"/>
            <w:shd w:val="clear" w:color="auto" w:fill="E5E5E5"/>
          </w:tcPr>
          <w:p>
            <w:pPr>
              <w:spacing w:after="0"/>
              <w:rPr>
                <w:sz w:val="24"/>
                <w:szCs w:val="24"/>
                <w:color w:val="auto"/>
              </w:rPr>
            </w:pPr>
          </w:p>
        </w:tc>
        <w:tc>
          <w:tcPr>
            <w:tcW w:w="3600" w:type="dxa"/>
            <w:vAlign w:val="bottom"/>
            <w:shd w:val="clear" w:color="auto" w:fill="E5E5E5"/>
          </w:tcPr>
          <w:p>
            <w:pPr>
              <w:ind w:left="1340"/>
              <w:spacing w:after="0"/>
              <w:rPr>
                <w:sz w:val="20"/>
                <w:szCs w:val="20"/>
                <w:color w:val="auto"/>
              </w:rPr>
            </w:pPr>
            <w:r>
              <w:rPr>
                <w:rFonts w:ascii="Arial" w:cs="Arial" w:eastAsia="Arial" w:hAnsi="Arial"/>
                <w:sz w:val="16"/>
                <w:szCs w:val="16"/>
                <w:color w:val="051D49"/>
              </w:rPr>
              <w:t>Purpose</w:t>
            </w:r>
          </w:p>
        </w:tc>
        <w:tc>
          <w:tcPr>
            <w:tcW w:w="1640" w:type="dxa"/>
            <w:vAlign w:val="bottom"/>
            <w:shd w:val="clear" w:color="auto" w:fill="E5E5E5"/>
          </w:tcPr>
          <w:p>
            <w:pPr>
              <w:ind w:left="360"/>
              <w:spacing w:after="0"/>
              <w:rPr>
                <w:sz w:val="20"/>
                <w:szCs w:val="20"/>
                <w:color w:val="auto"/>
              </w:rPr>
            </w:pPr>
            <w:r>
              <w:rPr>
                <w:rFonts w:ascii="Arial" w:cs="Arial" w:eastAsia="Arial" w:hAnsi="Arial"/>
                <w:sz w:val="16"/>
                <w:szCs w:val="16"/>
                <w:color w:val="051D49"/>
              </w:rPr>
              <w:t>Fixed or At Risk</w:t>
            </w:r>
          </w:p>
        </w:tc>
        <w:tc>
          <w:tcPr>
            <w:tcW w:w="2140" w:type="dxa"/>
            <w:vAlign w:val="bottom"/>
            <w:shd w:val="clear" w:color="auto" w:fill="E5E5E5"/>
          </w:tcPr>
          <w:p>
            <w:pPr>
              <w:ind w:left="140"/>
              <w:spacing w:after="0"/>
              <w:rPr>
                <w:sz w:val="20"/>
                <w:szCs w:val="20"/>
                <w:color w:val="auto"/>
              </w:rPr>
            </w:pPr>
            <w:r>
              <w:rPr>
                <w:rFonts w:ascii="Arial" w:cs="Arial" w:eastAsia="Arial" w:hAnsi="Arial"/>
                <w:sz w:val="16"/>
                <w:szCs w:val="16"/>
                <w:color w:val="051D49"/>
              </w:rPr>
              <w:t>Performance Measured</w:t>
            </w:r>
          </w:p>
        </w:tc>
        <w:tc>
          <w:tcPr>
            <w:tcW w:w="1240" w:type="dxa"/>
            <w:vAlign w:val="bottom"/>
            <w:shd w:val="clear" w:color="auto" w:fill="E5E5E5"/>
          </w:tcPr>
          <w:p>
            <w:pPr>
              <w:ind w:left="60"/>
              <w:spacing w:after="0"/>
              <w:rPr>
                <w:sz w:val="20"/>
                <w:szCs w:val="20"/>
                <w:color w:val="auto"/>
              </w:rPr>
            </w:pPr>
            <w:r>
              <w:rPr>
                <w:rFonts w:ascii="Arial" w:cs="Arial" w:eastAsia="Arial" w:hAnsi="Arial"/>
                <w:sz w:val="16"/>
                <w:szCs w:val="16"/>
                <w:color w:val="051D49"/>
              </w:rPr>
              <w:t>Cash or Equity</w:t>
            </w:r>
          </w:p>
        </w:tc>
      </w:tr>
      <w:tr>
        <w:trPr>
          <w:trHeight w:val="249"/>
        </w:trPr>
        <w:tc>
          <w:tcPr>
            <w:tcW w:w="2080" w:type="dxa"/>
            <w:vAlign w:val="bottom"/>
          </w:tcPr>
          <w:p>
            <w:pPr>
              <w:ind w:left="80"/>
              <w:spacing w:after="0"/>
              <w:rPr>
                <w:sz w:val="20"/>
                <w:szCs w:val="20"/>
                <w:color w:val="auto"/>
              </w:rPr>
            </w:pPr>
            <w:r>
              <w:rPr>
                <w:rFonts w:ascii="Arial" w:cs="Arial" w:eastAsia="Arial" w:hAnsi="Arial"/>
                <w:sz w:val="18"/>
                <w:szCs w:val="18"/>
                <w:color w:val="auto"/>
              </w:rPr>
              <w:t>Base Salary</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600" w:type="dxa"/>
            <w:vAlign w:val="bottom"/>
          </w:tcPr>
          <w:p>
            <w:pPr>
              <w:ind w:left="60"/>
              <w:spacing w:after="0"/>
              <w:rPr>
                <w:sz w:val="20"/>
                <w:szCs w:val="20"/>
                <w:color w:val="auto"/>
              </w:rPr>
            </w:pPr>
            <w:r>
              <w:rPr>
                <w:rFonts w:ascii="Arial" w:cs="Arial" w:eastAsia="Arial" w:hAnsi="Arial"/>
                <w:sz w:val="18"/>
                <w:szCs w:val="18"/>
                <w:color w:val="auto"/>
              </w:rPr>
              <w:t>Provide competitive compensation to</w:t>
            </w:r>
          </w:p>
        </w:tc>
        <w:tc>
          <w:tcPr>
            <w:tcW w:w="1640" w:type="dxa"/>
            <w:vAlign w:val="bottom"/>
          </w:tcPr>
          <w:p>
            <w:pPr>
              <w:ind w:left="360"/>
              <w:spacing w:after="0"/>
              <w:rPr>
                <w:sz w:val="20"/>
                <w:szCs w:val="20"/>
                <w:color w:val="auto"/>
              </w:rPr>
            </w:pPr>
            <w:r>
              <w:rPr>
                <w:rFonts w:ascii="Arial" w:cs="Arial" w:eastAsia="Arial" w:hAnsi="Arial"/>
                <w:sz w:val="18"/>
                <w:szCs w:val="18"/>
                <w:color w:val="auto"/>
              </w:rPr>
              <w:t>Fixed</w:t>
            </w:r>
          </w:p>
        </w:tc>
        <w:tc>
          <w:tcPr>
            <w:tcW w:w="2140" w:type="dxa"/>
            <w:vAlign w:val="bottom"/>
          </w:tcPr>
          <w:p>
            <w:pPr>
              <w:ind w:left="140"/>
              <w:spacing w:after="0"/>
              <w:rPr>
                <w:sz w:val="20"/>
                <w:szCs w:val="20"/>
                <w:color w:val="auto"/>
              </w:rPr>
            </w:pPr>
            <w:r>
              <w:rPr>
                <w:rFonts w:ascii="Arial" w:cs="Arial" w:eastAsia="Arial" w:hAnsi="Arial"/>
                <w:sz w:val="18"/>
                <w:szCs w:val="18"/>
                <w:color w:val="auto"/>
              </w:rPr>
              <w:t>Individual</w:t>
            </w:r>
          </w:p>
        </w:tc>
        <w:tc>
          <w:tcPr>
            <w:tcW w:w="1240" w:type="dxa"/>
            <w:vAlign w:val="bottom"/>
          </w:tcPr>
          <w:p>
            <w:pPr>
              <w:ind w:left="60"/>
              <w:spacing w:after="0"/>
              <w:rPr>
                <w:sz w:val="20"/>
                <w:szCs w:val="20"/>
                <w:color w:val="auto"/>
              </w:rPr>
            </w:pPr>
            <w:r>
              <w:rPr>
                <w:rFonts w:ascii="Arial" w:cs="Arial" w:eastAsia="Arial" w:hAnsi="Arial"/>
                <w:sz w:val="18"/>
                <w:szCs w:val="18"/>
                <w:color w:val="auto"/>
              </w:rPr>
              <w:t>Cash</w:t>
            </w:r>
          </w:p>
        </w:tc>
      </w:tr>
      <w:tr>
        <w:trPr>
          <w:trHeight w:val="201"/>
        </w:trPr>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ind w:left="40"/>
              <w:spacing w:after="0" w:line="201" w:lineRule="exact"/>
              <w:rPr>
                <w:sz w:val="20"/>
                <w:szCs w:val="20"/>
                <w:color w:val="auto"/>
              </w:rPr>
            </w:pPr>
            <w:r>
              <w:rPr>
                <w:rFonts w:ascii="Arial" w:cs="Arial" w:eastAsia="Arial" w:hAnsi="Arial"/>
                <w:sz w:val="18"/>
                <w:szCs w:val="18"/>
                <w:color w:val="auto"/>
              </w:rPr>
              <w:t>attract and retain executive talent</w:t>
            </w:r>
          </w:p>
        </w:tc>
        <w:tc>
          <w:tcPr>
            <w:tcW w:w="1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2080" w:type="dxa"/>
            <w:vAlign w:val="bottom"/>
          </w:tcPr>
          <w:p>
            <w:pPr>
              <w:spacing w:after="0"/>
              <w:rPr>
                <w:sz w:val="17"/>
                <w:szCs w:val="17"/>
                <w:color w:val="auto"/>
              </w:rPr>
            </w:pPr>
          </w:p>
        </w:tc>
        <w:tc>
          <w:tcPr>
            <w:tcW w:w="22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3600" w:type="dxa"/>
            <w:vAlign w:val="bottom"/>
          </w:tcPr>
          <w:p>
            <w:pPr>
              <w:ind w:left="60"/>
              <w:spacing w:after="0" w:line="201" w:lineRule="exact"/>
              <w:rPr>
                <w:sz w:val="20"/>
                <w:szCs w:val="20"/>
                <w:color w:val="auto"/>
              </w:rPr>
            </w:pPr>
            <w:r>
              <w:rPr>
                <w:rFonts w:ascii="Arial" w:cs="Arial" w:eastAsia="Arial" w:hAnsi="Arial"/>
                <w:sz w:val="18"/>
                <w:szCs w:val="18"/>
                <w:color w:val="auto"/>
              </w:rPr>
              <w:t>Provide secure base of guaranteed cash</w:t>
            </w:r>
          </w:p>
        </w:tc>
        <w:tc>
          <w:tcPr>
            <w:tcW w:w="1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5"/>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ind w:left="40"/>
              <w:spacing w:after="0"/>
              <w:rPr>
                <w:sz w:val="20"/>
                <w:szCs w:val="20"/>
                <w:color w:val="auto"/>
              </w:rPr>
            </w:pPr>
            <w:r>
              <w:rPr>
                <w:rFonts w:ascii="Arial" w:cs="Arial" w:eastAsia="Arial" w:hAnsi="Arial"/>
                <w:sz w:val="18"/>
                <w:szCs w:val="18"/>
                <w:color w:val="auto"/>
              </w:rPr>
              <w:t>for services rendered</w:t>
            </w:r>
          </w:p>
        </w:tc>
        <w:tc>
          <w:tcPr>
            <w:tcW w:w="16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
        </w:trPr>
        <w:tc>
          <w:tcPr>
            <w:tcW w:w="2080" w:type="dxa"/>
            <w:vAlign w:val="bottom"/>
            <w:tcBorders>
              <w:bottom w:val="single" w:sz="8" w:color="051D49"/>
            </w:tcBorders>
          </w:tcPr>
          <w:p>
            <w:pPr>
              <w:spacing w:after="0"/>
              <w:rPr>
                <w:sz w:val="2"/>
                <w:szCs w:val="2"/>
                <w:color w:val="auto"/>
              </w:rPr>
            </w:pPr>
          </w:p>
        </w:tc>
        <w:tc>
          <w:tcPr>
            <w:tcW w:w="220" w:type="dxa"/>
            <w:vAlign w:val="bottom"/>
            <w:tcBorders>
              <w:bottom w:val="single" w:sz="8" w:color="051D49"/>
            </w:tcBorders>
          </w:tcPr>
          <w:p>
            <w:pPr>
              <w:spacing w:after="0"/>
              <w:rPr>
                <w:sz w:val="2"/>
                <w:szCs w:val="2"/>
                <w:color w:val="auto"/>
              </w:rPr>
            </w:pPr>
          </w:p>
        </w:tc>
        <w:tc>
          <w:tcPr>
            <w:tcW w:w="3600" w:type="dxa"/>
            <w:vAlign w:val="bottom"/>
            <w:tcBorders>
              <w:bottom w:val="single" w:sz="8" w:color="051D49"/>
            </w:tcBorders>
          </w:tcPr>
          <w:p>
            <w:pPr>
              <w:spacing w:after="0"/>
              <w:rPr>
                <w:sz w:val="2"/>
                <w:szCs w:val="2"/>
                <w:color w:val="auto"/>
              </w:rPr>
            </w:pPr>
          </w:p>
        </w:tc>
        <w:tc>
          <w:tcPr>
            <w:tcW w:w="1640" w:type="dxa"/>
            <w:vAlign w:val="bottom"/>
            <w:tcBorders>
              <w:bottom w:val="single" w:sz="8" w:color="051D49"/>
            </w:tcBorders>
          </w:tcPr>
          <w:p>
            <w:pPr>
              <w:spacing w:after="0"/>
              <w:rPr>
                <w:sz w:val="2"/>
                <w:szCs w:val="2"/>
                <w:color w:val="auto"/>
              </w:rPr>
            </w:pPr>
          </w:p>
        </w:tc>
        <w:tc>
          <w:tcPr>
            <w:tcW w:w="2140" w:type="dxa"/>
            <w:vAlign w:val="bottom"/>
            <w:tcBorders>
              <w:bottom w:val="single" w:sz="8" w:color="051D49"/>
            </w:tcBorders>
          </w:tcPr>
          <w:p>
            <w:pPr>
              <w:spacing w:after="0"/>
              <w:rPr>
                <w:sz w:val="2"/>
                <w:szCs w:val="2"/>
                <w:color w:val="auto"/>
              </w:rPr>
            </w:pPr>
          </w:p>
        </w:tc>
        <w:tc>
          <w:tcPr>
            <w:tcW w:w="1240" w:type="dxa"/>
            <w:vAlign w:val="bottom"/>
            <w:tcBorders>
              <w:bottom w:val="single" w:sz="8" w:color="051D49"/>
            </w:tcBorders>
          </w:tcPr>
          <w:p>
            <w:pPr>
              <w:spacing w:after="0"/>
              <w:rPr>
                <w:sz w:val="2"/>
                <w:szCs w:val="2"/>
                <w:color w:val="auto"/>
              </w:rPr>
            </w:pPr>
          </w:p>
        </w:tc>
      </w:tr>
      <w:tr>
        <w:trPr>
          <w:trHeight w:val="229"/>
        </w:trPr>
        <w:tc>
          <w:tcPr>
            <w:tcW w:w="2080" w:type="dxa"/>
            <w:vAlign w:val="bottom"/>
          </w:tcPr>
          <w:p>
            <w:pPr>
              <w:ind w:left="80"/>
              <w:spacing w:after="0"/>
              <w:rPr>
                <w:sz w:val="20"/>
                <w:szCs w:val="20"/>
                <w:color w:val="auto"/>
              </w:rPr>
            </w:pPr>
            <w:r>
              <w:rPr>
                <w:rFonts w:ascii="Arial" w:cs="Arial" w:eastAsia="Arial" w:hAnsi="Arial"/>
                <w:sz w:val="18"/>
                <w:szCs w:val="18"/>
                <w:color w:val="auto"/>
              </w:rPr>
              <w:t>Annual Bonus Awards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600" w:type="dxa"/>
            <w:vAlign w:val="bottom"/>
          </w:tcPr>
          <w:p>
            <w:pPr>
              <w:ind w:left="60"/>
              <w:spacing w:after="0"/>
              <w:rPr>
                <w:sz w:val="20"/>
                <w:szCs w:val="20"/>
                <w:color w:val="auto"/>
              </w:rPr>
            </w:pPr>
            <w:r>
              <w:rPr>
                <w:rFonts w:ascii="Arial" w:cs="Arial" w:eastAsia="Arial" w:hAnsi="Arial"/>
                <w:sz w:val="18"/>
                <w:szCs w:val="18"/>
                <w:color w:val="auto"/>
              </w:rPr>
              <w:t>Incentivize, and reward for, achievement</w:t>
            </w:r>
          </w:p>
        </w:tc>
        <w:tc>
          <w:tcPr>
            <w:tcW w:w="1640" w:type="dxa"/>
            <w:vAlign w:val="bottom"/>
          </w:tcPr>
          <w:p>
            <w:pPr>
              <w:ind w:left="360"/>
              <w:spacing w:after="0"/>
              <w:rPr>
                <w:sz w:val="20"/>
                <w:szCs w:val="20"/>
                <w:color w:val="auto"/>
              </w:rPr>
            </w:pPr>
            <w:r>
              <w:rPr>
                <w:rFonts w:ascii="Arial" w:cs="Arial" w:eastAsia="Arial" w:hAnsi="Arial"/>
                <w:sz w:val="18"/>
                <w:szCs w:val="18"/>
                <w:color w:val="auto"/>
              </w:rPr>
              <w:t>At Risk</w:t>
            </w:r>
          </w:p>
        </w:tc>
        <w:tc>
          <w:tcPr>
            <w:tcW w:w="2140" w:type="dxa"/>
            <w:vAlign w:val="bottom"/>
          </w:tcPr>
          <w:p>
            <w:pPr>
              <w:ind w:left="140"/>
              <w:spacing w:after="0"/>
              <w:rPr>
                <w:sz w:val="20"/>
                <w:szCs w:val="20"/>
                <w:color w:val="auto"/>
              </w:rPr>
            </w:pPr>
            <w:r>
              <w:rPr>
                <w:rFonts w:ascii="Arial" w:cs="Arial" w:eastAsia="Arial" w:hAnsi="Arial"/>
                <w:sz w:val="18"/>
                <w:szCs w:val="18"/>
                <w:color w:val="auto"/>
              </w:rPr>
              <w:t>Corporate and Individual</w:t>
            </w:r>
          </w:p>
        </w:tc>
        <w:tc>
          <w:tcPr>
            <w:tcW w:w="1240" w:type="dxa"/>
            <w:vAlign w:val="bottom"/>
          </w:tcPr>
          <w:p>
            <w:pPr>
              <w:ind w:left="60"/>
              <w:spacing w:after="0"/>
              <w:rPr>
                <w:sz w:val="20"/>
                <w:szCs w:val="20"/>
                <w:color w:val="auto"/>
              </w:rPr>
            </w:pPr>
            <w:r>
              <w:rPr>
                <w:rFonts w:ascii="Arial" w:cs="Arial" w:eastAsia="Arial" w:hAnsi="Arial"/>
                <w:sz w:val="18"/>
                <w:szCs w:val="18"/>
                <w:color w:val="auto"/>
              </w:rPr>
              <w:t>Cash</w:t>
            </w:r>
          </w:p>
        </w:tc>
      </w:tr>
      <w:tr>
        <w:trPr>
          <w:trHeight w:val="201"/>
        </w:trPr>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ind w:left="40"/>
              <w:spacing w:after="0" w:line="201" w:lineRule="exact"/>
              <w:rPr>
                <w:sz w:val="20"/>
                <w:szCs w:val="20"/>
                <w:color w:val="auto"/>
              </w:rPr>
            </w:pPr>
            <w:r>
              <w:rPr>
                <w:rFonts w:ascii="Arial" w:cs="Arial" w:eastAsia="Arial" w:hAnsi="Arial"/>
                <w:sz w:val="18"/>
                <w:szCs w:val="18"/>
                <w:color w:val="auto"/>
              </w:rPr>
              <w:t>of a combination of challenging annual</w:t>
            </w:r>
          </w:p>
        </w:tc>
        <w:tc>
          <w:tcPr>
            <w:tcW w:w="1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ind w:left="40"/>
              <w:spacing w:after="0" w:line="201" w:lineRule="exact"/>
              <w:rPr>
                <w:sz w:val="20"/>
                <w:szCs w:val="20"/>
                <w:color w:val="auto"/>
              </w:rPr>
            </w:pPr>
            <w:r>
              <w:rPr>
                <w:rFonts w:ascii="Arial" w:cs="Arial" w:eastAsia="Arial" w:hAnsi="Arial"/>
                <w:sz w:val="18"/>
                <w:szCs w:val="18"/>
                <w:color w:val="auto"/>
              </w:rPr>
              <w:t>financial and operational performance</w:t>
            </w:r>
          </w:p>
        </w:tc>
        <w:tc>
          <w:tcPr>
            <w:tcW w:w="1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1"/>
        </w:trPr>
        <w:tc>
          <w:tcPr>
            <w:tcW w:w="2080" w:type="dxa"/>
            <w:vAlign w:val="bottom"/>
            <w:tcBorders>
              <w:bottom w:val="single" w:sz="8" w:color="051D49"/>
            </w:tcBorders>
          </w:tcPr>
          <w:p>
            <w:pPr>
              <w:spacing w:after="0"/>
              <w:rPr>
                <w:sz w:val="20"/>
                <w:szCs w:val="20"/>
                <w:color w:val="auto"/>
              </w:rPr>
            </w:pPr>
          </w:p>
        </w:tc>
        <w:tc>
          <w:tcPr>
            <w:tcW w:w="220" w:type="dxa"/>
            <w:vAlign w:val="bottom"/>
            <w:tcBorders>
              <w:bottom w:val="single" w:sz="8" w:color="051D49"/>
            </w:tcBorders>
          </w:tcPr>
          <w:p>
            <w:pPr>
              <w:spacing w:after="0"/>
              <w:rPr>
                <w:sz w:val="20"/>
                <w:szCs w:val="20"/>
                <w:color w:val="auto"/>
              </w:rPr>
            </w:pPr>
          </w:p>
        </w:tc>
        <w:tc>
          <w:tcPr>
            <w:tcW w:w="3600" w:type="dxa"/>
            <w:vAlign w:val="bottom"/>
            <w:tcBorders>
              <w:bottom w:val="single" w:sz="8" w:color="051D49"/>
            </w:tcBorders>
          </w:tcPr>
          <w:p>
            <w:pPr>
              <w:ind w:left="40"/>
              <w:spacing w:after="0"/>
              <w:rPr>
                <w:sz w:val="20"/>
                <w:szCs w:val="20"/>
                <w:color w:val="auto"/>
              </w:rPr>
            </w:pPr>
            <w:r>
              <w:rPr>
                <w:rFonts w:ascii="Arial" w:cs="Arial" w:eastAsia="Arial" w:hAnsi="Arial"/>
                <w:sz w:val="18"/>
                <w:szCs w:val="18"/>
                <w:color w:val="auto"/>
              </w:rPr>
              <w:t>goals and individual contributions</w:t>
            </w:r>
          </w:p>
        </w:tc>
        <w:tc>
          <w:tcPr>
            <w:tcW w:w="1640" w:type="dxa"/>
            <w:vAlign w:val="bottom"/>
            <w:tcBorders>
              <w:bottom w:val="single" w:sz="8" w:color="051D49"/>
            </w:tcBorders>
          </w:tcPr>
          <w:p>
            <w:pPr>
              <w:spacing w:after="0"/>
              <w:rPr>
                <w:sz w:val="20"/>
                <w:szCs w:val="20"/>
                <w:color w:val="auto"/>
              </w:rPr>
            </w:pPr>
          </w:p>
        </w:tc>
        <w:tc>
          <w:tcPr>
            <w:tcW w:w="2140" w:type="dxa"/>
            <w:vAlign w:val="bottom"/>
            <w:tcBorders>
              <w:bottom w:val="single" w:sz="8" w:color="051D49"/>
            </w:tcBorders>
          </w:tcPr>
          <w:p>
            <w:pPr>
              <w:spacing w:after="0"/>
              <w:rPr>
                <w:sz w:val="20"/>
                <w:szCs w:val="20"/>
                <w:color w:val="auto"/>
              </w:rPr>
            </w:pPr>
          </w:p>
        </w:tc>
        <w:tc>
          <w:tcPr>
            <w:tcW w:w="1240" w:type="dxa"/>
            <w:vAlign w:val="bottom"/>
            <w:tcBorders>
              <w:bottom w:val="single" w:sz="8" w:color="051D49"/>
            </w:tcBorders>
          </w:tcPr>
          <w:p>
            <w:pPr>
              <w:spacing w:after="0"/>
              <w:rPr>
                <w:sz w:val="20"/>
                <w:szCs w:val="20"/>
                <w:color w:val="auto"/>
              </w:rPr>
            </w:pPr>
          </w:p>
        </w:tc>
      </w:tr>
      <w:tr>
        <w:trPr>
          <w:trHeight w:val="234"/>
        </w:trPr>
        <w:tc>
          <w:tcPr>
            <w:tcW w:w="2080" w:type="dxa"/>
            <w:vAlign w:val="bottom"/>
          </w:tcPr>
          <w:p>
            <w:pPr>
              <w:ind w:left="80"/>
              <w:spacing w:after="0"/>
              <w:rPr>
                <w:sz w:val="20"/>
                <w:szCs w:val="20"/>
                <w:color w:val="auto"/>
              </w:rPr>
            </w:pPr>
            <w:r>
              <w:rPr>
                <w:rFonts w:ascii="Arial" w:cs="Arial" w:eastAsia="Arial" w:hAnsi="Arial"/>
                <w:sz w:val="18"/>
                <w:szCs w:val="18"/>
                <w:color w:val="auto"/>
              </w:rPr>
              <w:t>Long-Term Incentives</w:t>
            </w: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 Align interests between executives and</w:t>
            </w:r>
          </w:p>
        </w:tc>
        <w:tc>
          <w:tcPr>
            <w:tcW w:w="1640" w:type="dxa"/>
            <w:vAlign w:val="bottom"/>
          </w:tcPr>
          <w:p>
            <w:pPr>
              <w:ind w:left="360"/>
              <w:spacing w:after="0"/>
              <w:rPr>
                <w:sz w:val="20"/>
                <w:szCs w:val="20"/>
                <w:color w:val="auto"/>
              </w:rPr>
            </w:pPr>
            <w:r>
              <w:rPr>
                <w:rFonts w:ascii="Arial" w:cs="Arial" w:eastAsia="Arial" w:hAnsi="Arial"/>
                <w:sz w:val="18"/>
                <w:szCs w:val="18"/>
                <w:color w:val="auto"/>
              </w:rPr>
              <w:t>At Risk</w:t>
            </w:r>
          </w:p>
        </w:tc>
        <w:tc>
          <w:tcPr>
            <w:tcW w:w="214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1240" w:type="dxa"/>
            <w:vAlign w:val="bottom"/>
          </w:tcPr>
          <w:p>
            <w:pPr>
              <w:ind w:left="60"/>
              <w:spacing w:after="0"/>
              <w:rPr>
                <w:sz w:val="20"/>
                <w:szCs w:val="20"/>
                <w:color w:val="auto"/>
              </w:rPr>
            </w:pPr>
            <w:r>
              <w:rPr>
                <w:rFonts w:ascii="Arial" w:cs="Arial" w:eastAsia="Arial" w:hAnsi="Arial"/>
                <w:sz w:val="18"/>
                <w:szCs w:val="18"/>
                <w:color w:val="auto"/>
              </w:rPr>
              <w:t>Equity</w:t>
            </w:r>
          </w:p>
        </w:tc>
      </w:tr>
      <w:tr>
        <w:trPr>
          <w:trHeight w:val="201"/>
        </w:trPr>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ind w:left="40"/>
              <w:spacing w:after="0" w:line="201" w:lineRule="exact"/>
              <w:rPr>
                <w:sz w:val="20"/>
                <w:szCs w:val="20"/>
                <w:color w:val="auto"/>
              </w:rPr>
            </w:pPr>
            <w:r>
              <w:rPr>
                <w:rFonts w:ascii="Arial" w:cs="Arial" w:eastAsia="Arial" w:hAnsi="Arial"/>
                <w:sz w:val="18"/>
                <w:szCs w:val="18"/>
                <w:color w:val="auto"/>
              </w:rPr>
              <w:t>shareholders</w:t>
            </w:r>
          </w:p>
        </w:tc>
        <w:tc>
          <w:tcPr>
            <w:tcW w:w="1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2080" w:type="dxa"/>
            <w:vAlign w:val="bottom"/>
          </w:tcPr>
          <w:p>
            <w:pPr>
              <w:spacing w:after="0"/>
              <w:rPr>
                <w:sz w:val="17"/>
                <w:szCs w:val="17"/>
                <w:color w:val="auto"/>
              </w:rPr>
            </w:pPr>
          </w:p>
        </w:tc>
        <w:tc>
          <w:tcPr>
            <w:tcW w:w="22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3600" w:type="dxa"/>
            <w:vAlign w:val="bottom"/>
          </w:tcPr>
          <w:p>
            <w:pPr>
              <w:ind w:left="60"/>
              <w:spacing w:after="0" w:line="201" w:lineRule="exact"/>
              <w:rPr>
                <w:sz w:val="20"/>
                <w:szCs w:val="20"/>
                <w:color w:val="auto"/>
              </w:rPr>
            </w:pPr>
            <w:r>
              <w:rPr>
                <w:rFonts w:ascii="Arial" w:cs="Arial" w:eastAsia="Arial" w:hAnsi="Arial"/>
                <w:sz w:val="18"/>
                <w:szCs w:val="18"/>
                <w:color w:val="auto"/>
              </w:rPr>
              <w:t>Retain talent and build executive</w:t>
            </w:r>
          </w:p>
        </w:tc>
        <w:tc>
          <w:tcPr>
            <w:tcW w:w="1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5"/>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ind w:left="40"/>
              <w:spacing w:after="0"/>
              <w:rPr>
                <w:sz w:val="20"/>
                <w:szCs w:val="20"/>
                <w:color w:val="auto"/>
              </w:rPr>
            </w:pPr>
            <w:r>
              <w:rPr>
                <w:rFonts w:ascii="Arial" w:cs="Arial" w:eastAsia="Arial" w:hAnsi="Arial"/>
                <w:sz w:val="18"/>
                <w:szCs w:val="18"/>
                <w:color w:val="auto"/>
              </w:rPr>
              <w:t>ownership</w:t>
            </w:r>
          </w:p>
        </w:tc>
        <w:tc>
          <w:tcPr>
            <w:tcW w:w="16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
        </w:trPr>
        <w:tc>
          <w:tcPr>
            <w:tcW w:w="2080" w:type="dxa"/>
            <w:vAlign w:val="bottom"/>
            <w:tcBorders>
              <w:bottom w:val="single" w:sz="8" w:color="051D49"/>
            </w:tcBorders>
          </w:tcPr>
          <w:p>
            <w:pPr>
              <w:spacing w:after="0"/>
              <w:rPr>
                <w:sz w:val="2"/>
                <w:szCs w:val="2"/>
                <w:color w:val="auto"/>
              </w:rPr>
            </w:pPr>
          </w:p>
        </w:tc>
        <w:tc>
          <w:tcPr>
            <w:tcW w:w="220" w:type="dxa"/>
            <w:vAlign w:val="bottom"/>
            <w:tcBorders>
              <w:bottom w:val="single" w:sz="8" w:color="051D49"/>
            </w:tcBorders>
          </w:tcPr>
          <w:p>
            <w:pPr>
              <w:spacing w:after="0"/>
              <w:rPr>
                <w:sz w:val="2"/>
                <w:szCs w:val="2"/>
                <w:color w:val="auto"/>
              </w:rPr>
            </w:pPr>
          </w:p>
        </w:tc>
        <w:tc>
          <w:tcPr>
            <w:tcW w:w="3600" w:type="dxa"/>
            <w:vAlign w:val="bottom"/>
            <w:tcBorders>
              <w:bottom w:val="single" w:sz="8" w:color="051D49"/>
            </w:tcBorders>
          </w:tcPr>
          <w:p>
            <w:pPr>
              <w:spacing w:after="0"/>
              <w:rPr>
                <w:sz w:val="2"/>
                <w:szCs w:val="2"/>
                <w:color w:val="auto"/>
              </w:rPr>
            </w:pPr>
          </w:p>
        </w:tc>
        <w:tc>
          <w:tcPr>
            <w:tcW w:w="1640" w:type="dxa"/>
            <w:vAlign w:val="bottom"/>
            <w:tcBorders>
              <w:bottom w:val="single" w:sz="8" w:color="051D49"/>
            </w:tcBorders>
          </w:tcPr>
          <w:p>
            <w:pPr>
              <w:spacing w:after="0"/>
              <w:rPr>
                <w:sz w:val="2"/>
                <w:szCs w:val="2"/>
                <w:color w:val="auto"/>
              </w:rPr>
            </w:pPr>
          </w:p>
        </w:tc>
        <w:tc>
          <w:tcPr>
            <w:tcW w:w="2140" w:type="dxa"/>
            <w:vAlign w:val="bottom"/>
            <w:tcBorders>
              <w:bottom w:val="single" w:sz="8" w:color="051D49"/>
            </w:tcBorders>
          </w:tcPr>
          <w:p>
            <w:pPr>
              <w:spacing w:after="0"/>
              <w:rPr>
                <w:sz w:val="2"/>
                <w:szCs w:val="2"/>
                <w:color w:val="auto"/>
              </w:rPr>
            </w:pPr>
          </w:p>
        </w:tc>
        <w:tc>
          <w:tcPr>
            <w:tcW w:w="1240" w:type="dxa"/>
            <w:vAlign w:val="bottom"/>
            <w:tcBorders>
              <w:bottom w:val="single" w:sz="8" w:color="051D49"/>
            </w:tcBorders>
          </w:tcPr>
          <w:p>
            <w:pPr>
              <w:spacing w:after="0"/>
              <w:rPr>
                <w:sz w:val="2"/>
                <w:szCs w:val="2"/>
                <w:color w:val="auto"/>
              </w:rPr>
            </w:pPr>
          </w:p>
        </w:tc>
      </w:tr>
    </w:tbl>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sets forth the total target compensation packages for our NEOs as of December 31, 2021.</w:t>
      </w:r>
    </w:p>
    <w:p>
      <w:pPr>
        <w:spacing w:after="0" w:line="253"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55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900" w:type="dxa"/>
            <w:vAlign w:val="bottom"/>
            <w:shd w:val="clear" w:color="auto" w:fill="E5E5E5"/>
          </w:tcPr>
          <w:p>
            <w:pPr>
              <w:jc w:val="right"/>
              <w:ind w:right="320"/>
              <w:spacing w:after="0"/>
              <w:rPr>
                <w:sz w:val="20"/>
                <w:szCs w:val="20"/>
                <w:color w:val="auto"/>
              </w:rPr>
            </w:pPr>
            <w:r>
              <w:rPr>
                <w:rFonts w:ascii="Arial" w:cs="Arial" w:eastAsia="Arial" w:hAnsi="Arial"/>
                <w:sz w:val="16"/>
                <w:szCs w:val="16"/>
                <w:color w:val="051D49"/>
              </w:rPr>
              <w:t>Base</w:t>
            </w:r>
          </w:p>
        </w:tc>
        <w:tc>
          <w:tcPr>
            <w:tcW w:w="280" w:type="dxa"/>
            <w:vAlign w:val="bottom"/>
            <w:shd w:val="clear" w:color="auto" w:fill="E5E5E5"/>
          </w:tcPr>
          <w:p>
            <w:pPr>
              <w:spacing w:after="0"/>
              <w:rPr>
                <w:sz w:val="20"/>
                <w:szCs w:val="20"/>
                <w:color w:val="auto"/>
              </w:rPr>
            </w:pPr>
          </w:p>
        </w:tc>
        <w:tc>
          <w:tcPr>
            <w:tcW w:w="1040" w:type="dxa"/>
            <w:vAlign w:val="bottom"/>
            <w:shd w:val="clear" w:color="auto" w:fill="E5E5E5"/>
          </w:tcPr>
          <w:p>
            <w:pPr>
              <w:jc w:val="right"/>
              <w:ind w:right="380"/>
              <w:spacing w:after="0"/>
              <w:rPr>
                <w:sz w:val="20"/>
                <w:szCs w:val="20"/>
                <w:color w:val="auto"/>
              </w:rPr>
            </w:pPr>
            <w:r>
              <w:rPr>
                <w:rFonts w:ascii="Arial" w:cs="Arial" w:eastAsia="Arial" w:hAnsi="Arial"/>
                <w:sz w:val="16"/>
                <w:szCs w:val="16"/>
                <w:color w:val="051D49"/>
              </w:rPr>
              <w:t>Target</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ind w:right="261"/>
              <w:spacing w:after="0"/>
              <w:rPr>
                <w:sz w:val="20"/>
                <w:szCs w:val="20"/>
                <w:color w:val="auto"/>
              </w:rPr>
            </w:pPr>
            <w:r>
              <w:rPr>
                <w:rFonts w:ascii="Arial" w:cs="Arial" w:eastAsia="Arial" w:hAnsi="Arial"/>
                <w:sz w:val="16"/>
                <w:szCs w:val="16"/>
                <w:color w:val="051D49"/>
                <w:w w:val="94"/>
              </w:rPr>
              <w:t>Target LTI</w:t>
            </w:r>
          </w:p>
        </w:tc>
        <w:tc>
          <w:tcPr>
            <w:tcW w:w="340" w:type="dxa"/>
            <w:vAlign w:val="bottom"/>
            <w:shd w:val="clear" w:color="auto" w:fill="E5E5E5"/>
          </w:tcPr>
          <w:p>
            <w:pPr>
              <w:spacing w:after="0"/>
              <w:rPr>
                <w:sz w:val="20"/>
                <w:szCs w:val="20"/>
                <w:color w:val="auto"/>
              </w:rPr>
            </w:pPr>
          </w:p>
        </w:tc>
        <w:tc>
          <w:tcPr>
            <w:tcW w:w="96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051D49"/>
                <w:w w:val="95"/>
              </w:rPr>
              <w:t>Total Target</w:t>
            </w:r>
          </w:p>
        </w:tc>
        <w:tc>
          <w:tcPr>
            <w:tcW w:w="240" w:type="dxa"/>
            <w:vAlign w:val="bottom"/>
            <w:shd w:val="clear" w:color="auto" w:fill="E5E5E5"/>
          </w:tcPr>
          <w:p>
            <w:pPr>
              <w:spacing w:after="0"/>
              <w:rPr>
                <w:sz w:val="20"/>
                <w:szCs w:val="20"/>
                <w:color w:val="auto"/>
              </w:rPr>
            </w:pPr>
          </w:p>
        </w:tc>
      </w:tr>
      <w:tr>
        <w:trPr>
          <w:trHeight w:val="228"/>
        </w:trPr>
        <w:tc>
          <w:tcPr>
            <w:tcW w:w="5580" w:type="dxa"/>
            <w:vAlign w:val="bottom"/>
            <w:shd w:val="clear" w:color="auto" w:fill="E5E5E5"/>
          </w:tcPr>
          <w:p>
            <w:pPr>
              <w:ind w:left="80"/>
              <w:spacing w:after="0"/>
              <w:rPr>
                <w:sz w:val="20"/>
                <w:szCs w:val="20"/>
                <w:color w:val="auto"/>
              </w:rPr>
            </w:pPr>
            <w:r>
              <w:rPr>
                <w:rFonts w:ascii="Arial" w:cs="Arial" w:eastAsia="Arial" w:hAnsi="Arial"/>
                <w:sz w:val="16"/>
                <w:szCs w:val="16"/>
                <w:color w:val="051D49"/>
              </w:rPr>
              <w:t>NEO</w:t>
            </w:r>
          </w:p>
        </w:tc>
        <w:tc>
          <w:tcPr>
            <w:tcW w:w="20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280"/>
              <w:spacing w:after="0"/>
              <w:rPr>
                <w:sz w:val="20"/>
                <w:szCs w:val="20"/>
                <w:color w:val="auto"/>
              </w:rPr>
            </w:pPr>
            <w:r>
              <w:rPr>
                <w:rFonts w:ascii="Arial" w:cs="Arial" w:eastAsia="Arial" w:hAnsi="Arial"/>
                <w:sz w:val="16"/>
                <w:szCs w:val="16"/>
                <w:color w:val="051D49"/>
              </w:rPr>
              <w:t>Salary</w:t>
            </w:r>
          </w:p>
        </w:tc>
        <w:tc>
          <w:tcPr>
            <w:tcW w:w="280" w:type="dxa"/>
            <w:vAlign w:val="bottom"/>
            <w:shd w:val="clear" w:color="auto" w:fill="E5E5E5"/>
          </w:tcPr>
          <w:p>
            <w:pPr>
              <w:spacing w:after="0"/>
              <w:rPr>
                <w:sz w:val="19"/>
                <w:szCs w:val="19"/>
                <w:color w:val="auto"/>
              </w:rPr>
            </w:pPr>
          </w:p>
        </w:tc>
        <w:tc>
          <w:tcPr>
            <w:tcW w:w="1040" w:type="dxa"/>
            <w:vAlign w:val="bottom"/>
            <w:shd w:val="clear" w:color="auto" w:fill="E5E5E5"/>
          </w:tcPr>
          <w:p>
            <w:pPr>
              <w:jc w:val="right"/>
              <w:ind w:right="380"/>
              <w:spacing w:after="0"/>
              <w:rPr>
                <w:sz w:val="20"/>
                <w:szCs w:val="20"/>
                <w:color w:val="auto"/>
              </w:rPr>
            </w:pPr>
            <w:r>
              <w:rPr>
                <w:rFonts w:ascii="Arial" w:cs="Arial" w:eastAsia="Arial" w:hAnsi="Arial"/>
                <w:sz w:val="16"/>
                <w:szCs w:val="16"/>
                <w:color w:val="051D49"/>
              </w:rPr>
              <w:t>Bonus</w:t>
            </w:r>
          </w:p>
        </w:tc>
        <w:tc>
          <w:tcPr>
            <w:tcW w:w="320" w:type="dxa"/>
            <w:vAlign w:val="bottom"/>
            <w:shd w:val="clear" w:color="auto" w:fill="E5E5E5"/>
          </w:tcPr>
          <w:p>
            <w:pPr>
              <w:spacing w:after="0"/>
              <w:rPr>
                <w:sz w:val="19"/>
                <w:szCs w:val="19"/>
                <w:color w:val="auto"/>
              </w:rPr>
            </w:pPr>
          </w:p>
        </w:tc>
        <w:tc>
          <w:tcPr>
            <w:tcW w:w="1060" w:type="dxa"/>
            <w:vAlign w:val="bottom"/>
            <w:shd w:val="clear" w:color="auto" w:fill="E5E5E5"/>
          </w:tcPr>
          <w:p>
            <w:pPr>
              <w:jc w:val="right"/>
              <w:ind w:right="381"/>
              <w:spacing w:after="0"/>
              <w:rPr>
                <w:sz w:val="20"/>
                <w:szCs w:val="20"/>
                <w:color w:val="auto"/>
              </w:rPr>
            </w:pPr>
            <w:r>
              <w:rPr>
                <w:rFonts w:ascii="Arial" w:cs="Arial" w:eastAsia="Arial" w:hAnsi="Arial"/>
                <w:sz w:val="16"/>
                <w:szCs w:val="16"/>
                <w:color w:val="051D49"/>
              </w:rPr>
              <w:t>Award</w:t>
            </w:r>
          </w:p>
        </w:tc>
        <w:tc>
          <w:tcPr>
            <w:tcW w:w="1300" w:type="dxa"/>
            <w:vAlign w:val="bottom"/>
            <w:gridSpan w:val="2"/>
            <w:shd w:val="clear" w:color="auto" w:fill="E5E5E5"/>
          </w:tcPr>
          <w:p>
            <w:pPr>
              <w:jc w:val="center"/>
              <w:ind w:left="160"/>
              <w:spacing w:after="0"/>
              <w:rPr>
                <w:sz w:val="20"/>
                <w:szCs w:val="20"/>
                <w:color w:val="auto"/>
              </w:rPr>
            </w:pPr>
            <w:r>
              <w:rPr>
                <w:rFonts w:ascii="Arial" w:cs="Arial" w:eastAsia="Arial" w:hAnsi="Arial"/>
                <w:sz w:val="16"/>
                <w:szCs w:val="16"/>
                <w:color w:val="051D49"/>
                <w:w w:val="98"/>
              </w:rPr>
              <w:t>Compensation</w:t>
            </w:r>
          </w:p>
        </w:tc>
        <w:tc>
          <w:tcPr>
            <w:tcW w:w="240" w:type="dxa"/>
            <w:vAlign w:val="bottom"/>
            <w:shd w:val="clear" w:color="auto" w:fill="E5E5E5"/>
          </w:tcPr>
          <w:p>
            <w:pPr>
              <w:spacing w:after="0"/>
              <w:rPr>
                <w:sz w:val="19"/>
                <w:szCs w:val="19"/>
                <w:color w:val="auto"/>
              </w:rPr>
            </w:pPr>
          </w:p>
        </w:tc>
      </w:tr>
      <w:tr>
        <w:trPr>
          <w:trHeight w:val="277"/>
        </w:trPr>
        <w:tc>
          <w:tcPr>
            <w:tcW w:w="5580" w:type="dxa"/>
            <w:vAlign w:val="bottom"/>
          </w:tcPr>
          <w:p>
            <w:pPr>
              <w:ind w:left="80"/>
              <w:spacing w:after="0"/>
              <w:rPr>
                <w:sz w:val="20"/>
                <w:szCs w:val="20"/>
                <w:color w:val="auto"/>
              </w:rPr>
            </w:pPr>
            <w:r>
              <w:rPr>
                <w:rFonts w:ascii="Arial" w:cs="Arial" w:eastAsia="Arial" w:hAnsi="Arial"/>
                <w:sz w:val="16"/>
                <w:szCs w:val="16"/>
                <w:color w:val="auto"/>
              </w:rPr>
              <w:t>Robert M. Bakish</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3,100,000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12,400,000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1"/>
              <w:spacing w:after="0"/>
              <w:rPr>
                <w:sz w:val="20"/>
                <w:szCs w:val="20"/>
                <w:color w:val="auto"/>
              </w:rPr>
            </w:pPr>
            <w:r>
              <w:rPr>
                <w:rFonts w:ascii="Arial" w:cs="Arial" w:eastAsia="Arial" w:hAnsi="Arial"/>
                <w:sz w:val="16"/>
                <w:szCs w:val="16"/>
                <w:color w:val="auto"/>
              </w:rPr>
              <w:t>16,000,000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9"/>
              <w:spacing w:after="0"/>
              <w:rPr>
                <w:sz w:val="20"/>
                <w:szCs w:val="20"/>
                <w:color w:val="auto"/>
              </w:rPr>
            </w:pPr>
            <w:r>
              <w:rPr>
                <w:rFonts w:ascii="Arial" w:cs="Arial" w:eastAsia="Arial" w:hAnsi="Arial"/>
                <w:sz w:val="16"/>
                <w:szCs w:val="16"/>
                <w:color w:val="auto"/>
              </w:rPr>
              <w:t>31,500,000</w:t>
            </w:r>
          </w:p>
        </w:tc>
      </w:tr>
      <w:tr>
        <w:trPr>
          <w:trHeight w:val="30"/>
        </w:trPr>
        <w:tc>
          <w:tcPr>
            <w:tcW w:w="5580" w:type="dxa"/>
            <w:vAlign w:val="bottom"/>
            <w:tcBorders>
              <w:bottom w:val="single" w:sz="8" w:color="051D49"/>
            </w:tcBorders>
          </w:tcPr>
          <w:p>
            <w:pPr>
              <w:spacing w:after="0"/>
              <w:rPr>
                <w:sz w:val="2"/>
                <w:szCs w:val="2"/>
                <w:color w:val="auto"/>
              </w:rPr>
            </w:pPr>
          </w:p>
        </w:tc>
        <w:tc>
          <w:tcPr>
            <w:tcW w:w="200" w:type="dxa"/>
            <w:vAlign w:val="bottom"/>
            <w:tcBorders>
              <w:bottom w:val="single" w:sz="8" w:color="051D49"/>
            </w:tcBorders>
          </w:tcPr>
          <w:p>
            <w:pPr>
              <w:spacing w:after="0"/>
              <w:rPr>
                <w:sz w:val="2"/>
                <w:szCs w:val="2"/>
                <w:color w:val="auto"/>
              </w:rPr>
            </w:pPr>
          </w:p>
        </w:tc>
        <w:tc>
          <w:tcPr>
            <w:tcW w:w="900" w:type="dxa"/>
            <w:vAlign w:val="bottom"/>
            <w:tcBorders>
              <w:bottom w:val="single" w:sz="8" w:color="051D49"/>
            </w:tcBorders>
          </w:tcPr>
          <w:p>
            <w:pPr>
              <w:spacing w:after="0"/>
              <w:rPr>
                <w:sz w:val="2"/>
                <w:szCs w:val="2"/>
                <w:color w:val="auto"/>
              </w:rPr>
            </w:pPr>
          </w:p>
        </w:tc>
        <w:tc>
          <w:tcPr>
            <w:tcW w:w="28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c>
          <w:tcPr>
            <w:tcW w:w="320" w:type="dxa"/>
            <w:vAlign w:val="bottom"/>
            <w:tcBorders>
              <w:bottom w:val="single" w:sz="8" w:color="051D49"/>
            </w:tcBorders>
          </w:tcPr>
          <w:p>
            <w:pPr>
              <w:spacing w:after="0"/>
              <w:rPr>
                <w:sz w:val="2"/>
                <w:szCs w:val="2"/>
                <w:color w:val="auto"/>
              </w:rPr>
            </w:pPr>
          </w:p>
        </w:tc>
        <w:tc>
          <w:tcPr>
            <w:tcW w:w="1060" w:type="dxa"/>
            <w:vAlign w:val="bottom"/>
            <w:tcBorders>
              <w:bottom w:val="single" w:sz="8" w:color="051D49"/>
            </w:tcBorders>
          </w:tcPr>
          <w:p>
            <w:pPr>
              <w:spacing w:after="0"/>
              <w:rPr>
                <w:sz w:val="2"/>
                <w:szCs w:val="2"/>
                <w:color w:val="auto"/>
              </w:rPr>
            </w:pPr>
          </w:p>
        </w:tc>
        <w:tc>
          <w:tcPr>
            <w:tcW w:w="340" w:type="dxa"/>
            <w:vAlign w:val="bottom"/>
            <w:tcBorders>
              <w:bottom w:val="single" w:sz="8" w:color="051D49"/>
            </w:tcBorders>
          </w:tcPr>
          <w:p>
            <w:pPr>
              <w:spacing w:after="0"/>
              <w:rPr>
                <w:sz w:val="2"/>
                <w:szCs w:val="2"/>
                <w:color w:val="auto"/>
              </w:rPr>
            </w:pPr>
          </w:p>
        </w:tc>
        <w:tc>
          <w:tcPr>
            <w:tcW w:w="1200" w:type="dxa"/>
            <w:vAlign w:val="bottom"/>
            <w:tcBorders>
              <w:bottom w:val="single" w:sz="8" w:color="051D49"/>
            </w:tcBorders>
            <w:gridSpan w:val="2"/>
          </w:tcPr>
          <w:p>
            <w:pPr>
              <w:spacing w:after="0"/>
              <w:rPr>
                <w:sz w:val="2"/>
                <w:szCs w:val="2"/>
                <w:color w:val="auto"/>
              </w:rPr>
            </w:pPr>
          </w:p>
        </w:tc>
      </w:tr>
      <w:tr>
        <w:trPr>
          <w:trHeight w:val="257"/>
        </w:trPr>
        <w:tc>
          <w:tcPr>
            <w:tcW w:w="5580" w:type="dxa"/>
            <w:vAlign w:val="bottom"/>
          </w:tcPr>
          <w:p>
            <w:pPr>
              <w:ind w:left="80"/>
              <w:spacing w:after="0"/>
              <w:rPr>
                <w:sz w:val="20"/>
                <w:szCs w:val="20"/>
                <w:color w:val="auto"/>
              </w:rPr>
            </w:pPr>
            <w:r>
              <w:rPr>
                <w:rFonts w:ascii="Arial" w:cs="Arial" w:eastAsia="Arial" w:hAnsi="Arial"/>
                <w:sz w:val="16"/>
                <w:szCs w:val="16"/>
                <w:color w:val="auto"/>
              </w:rPr>
              <w:t>Naveen Chopra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1,400,000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2,100,000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1"/>
              <w:spacing w:after="0"/>
              <w:rPr>
                <w:sz w:val="20"/>
                <w:szCs w:val="20"/>
                <w:color w:val="auto"/>
              </w:rPr>
            </w:pPr>
            <w:r>
              <w:rPr>
                <w:rFonts w:ascii="Arial" w:cs="Arial" w:eastAsia="Arial" w:hAnsi="Arial"/>
                <w:sz w:val="16"/>
                <w:szCs w:val="16"/>
                <w:color w:val="auto"/>
              </w:rPr>
              <w:t>3,000,000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9"/>
              <w:spacing w:after="0"/>
              <w:rPr>
                <w:sz w:val="20"/>
                <w:szCs w:val="20"/>
                <w:color w:val="auto"/>
              </w:rPr>
            </w:pPr>
            <w:r>
              <w:rPr>
                <w:rFonts w:ascii="Arial" w:cs="Arial" w:eastAsia="Arial" w:hAnsi="Arial"/>
                <w:sz w:val="16"/>
                <w:szCs w:val="16"/>
                <w:color w:val="auto"/>
              </w:rPr>
              <w:t>6,500,000</w:t>
            </w:r>
          </w:p>
        </w:tc>
      </w:tr>
      <w:tr>
        <w:trPr>
          <w:trHeight w:val="30"/>
        </w:trPr>
        <w:tc>
          <w:tcPr>
            <w:tcW w:w="5580" w:type="dxa"/>
            <w:vAlign w:val="bottom"/>
            <w:tcBorders>
              <w:bottom w:val="single" w:sz="8" w:color="051D49"/>
            </w:tcBorders>
          </w:tcPr>
          <w:p>
            <w:pPr>
              <w:spacing w:after="0"/>
              <w:rPr>
                <w:sz w:val="2"/>
                <w:szCs w:val="2"/>
                <w:color w:val="auto"/>
              </w:rPr>
            </w:pPr>
          </w:p>
        </w:tc>
        <w:tc>
          <w:tcPr>
            <w:tcW w:w="200" w:type="dxa"/>
            <w:vAlign w:val="bottom"/>
            <w:tcBorders>
              <w:bottom w:val="single" w:sz="8" w:color="051D49"/>
            </w:tcBorders>
          </w:tcPr>
          <w:p>
            <w:pPr>
              <w:spacing w:after="0"/>
              <w:rPr>
                <w:sz w:val="2"/>
                <w:szCs w:val="2"/>
                <w:color w:val="auto"/>
              </w:rPr>
            </w:pPr>
          </w:p>
        </w:tc>
        <w:tc>
          <w:tcPr>
            <w:tcW w:w="900" w:type="dxa"/>
            <w:vAlign w:val="bottom"/>
            <w:tcBorders>
              <w:bottom w:val="single" w:sz="8" w:color="051D49"/>
            </w:tcBorders>
          </w:tcPr>
          <w:p>
            <w:pPr>
              <w:spacing w:after="0"/>
              <w:rPr>
                <w:sz w:val="2"/>
                <w:szCs w:val="2"/>
                <w:color w:val="auto"/>
              </w:rPr>
            </w:pPr>
          </w:p>
        </w:tc>
        <w:tc>
          <w:tcPr>
            <w:tcW w:w="28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c>
          <w:tcPr>
            <w:tcW w:w="320" w:type="dxa"/>
            <w:vAlign w:val="bottom"/>
            <w:tcBorders>
              <w:bottom w:val="single" w:sz="8" w:color="051D49"/>
            </w:tcBorders>
          </w:tcPr>
          <w:p>
            <w:pPr>
              <w:spacing w:after="0"/>
              <w:rPr>
                <w:sz w:val="2"/>
                <w:szCs w:val="2"/>
                <w:color w:val="auto"/>
              </w:rPr>
            </w:pPr>
          </w:p>
        </w:tc>
        <w:tc>
          <w:tcPr>
            <w:tcW w:w="1060" w:type="dxa"/>
            <w:vAlign w:val="bottom"/>
            <w:tcBorders>
              <w:bottom w:val="single" w:sz="8" w:color="051D49"/>
            </w:tcBorders>
          </w:tcPr>
          <w:p>
            <w:pPr>
              <w:spacing w:after="0"/>
              <w:rPr>
                <w:sz w:val="2"/>
                <w:szCs w:val="2"/>
                <w:color w:val="auto"/>
              </w:rPr>
            </w:pPr>
          </w:p>
        </w:tc>
        <w:tc>
          <w:tcPr>
            <w:tcW w:w="340" w:type="dxa"/>
            <w:vAlign w:val="bottom"/>
            <w:tcBorders>
              <w:bottom w:val="single" w:sz="8" w:color="051D49"/>
            </w:tcBorders>
          </w:tcPr>
          <w:p>
            <w:pPr>
              <w:spacing w:after="0"/>
              <w:rPr>
                <w:sz w:val="2"/>
                <w:szCs w:val="2"/>
                <w:color w:val="auto"/>
              </w:rPr>
            </w:pPr>
          </w:p>
        </w:tc>
        <w:tc>
          <w:tcPr>
            <w:tcW w:w="1200" w:type="dxa"/>
            <w:vAlign w:val="bottom"/>
            <w:tcBorders>
              <w:bottom w:val="single" w:sz="8" w:color="051D49"/>
            </w:tcBorders>
            <w:gridSpan w:val="2"/>
          </w:tcPr>
          <w:p>
            <w:pPr>
              <w:spacing w:after="0"/>
              <w:rPr>
                <w:sz w:val="2"/>
                <w:szCs w:val="2"/>
                <w:color w:val="auto"/>
              </w:rPr>
            </w:pPr>
          </w:p>
        </w:tc>
      </w:tr>
      <w:tr>
        <w:trPr>
          <w:trHeight w:val="257"/>
        </w:trPr>
        <w:tc>
          <w:tcPr>
            <w:tcW w:w="5580" w:type="dxa"/>
            <w:vAlign w:val="bottom"/>
          </w:tcPr>
          <w:p>
            <w:pPr>
              <w:ind w:left="80"/>
              <w:spacing w:after="0"/>
              <w:rPr>
                <w:sz w:val="20"/>
                <w:szCs w:val="20"/>
                <w:color w:val="auto"/>
              </w:rPr>
            </w:pPr>
            <w:r>
              <w:rPr>
                <w:rFonts w:ascii="Arial" w:cs="Arial" w:eastAsia="Arial" w:hAnsi="Arial"/>
                <w:sz w:val="16"/>
                <w:szCs w:val="16"/>
                <w:color w:val="auto"/>
              </w:rPr>
              <w:t>Christa A. D’Alimonte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1,250,000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1,562,500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1"/>
              <w:spacing w:after="0"/>
              <w:rPr>
                <w:sz w:val="20"/>
                <w:szCs w:val="20"/>
                <w:color w:val="auto"/>
              </w:rPr>
            </w:pPr>
            <w:r>
              <w:rPr>
                <w:rFonts w:ascii="Arial" w:cs="Arial" w:eastAsia="Arial" w:hAnsi="Arial"/>
                <w:sz w:val="16"/>
                <w:szCs w:val="16"/>
                <w:color w:val="auto"/>
              </w:rPr>
              <w:t>2,187,500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9"/>
              <w:spacing w:after="0"/>
              <w:rPr>
                <w:sz w:val="20"/>
                <w:szCs w:val="20"/>
                <w:color w:val="auto"/>
              </w:rPr>
            </w:pPr>
            <w:r>
              <w:rPr>
                <w:rFonts w:ascii="Arial" w:cs="Arial" w:eastAsia="Arial" w:hAnsi="Arial"/>
                <w:sz w:val="16"/>
                <w:szCs w:val="16"/>
                <w:color w:val="auto"/>
              </w:rPr>
              <w:t>5,000,000</w:t>
            </w:r>
          </w:p>
        </w:tc>
      </w:tr>
      <w:tr>
        <w:trPr>
          <w:trHeight w:val="30"/>
        </w:trPr>
        <w:tc>
          <w:tcPr>
            <w:tcW w:w="5580" w:type="dxa"/>
            <w:vAlign w:val="bottom"/>
            <w:tcBorders>
              <w:bottom w:val="single" w:sz="8" w:color="051D49"/>
            </w:tcBorders>
          </w:tcPr>
          <w:p>
            <w:pPr>
              <w:spacing w:after="0"/>
              <w:rPr>
                <w:sz w:val="2"/>
                <w:szCs w:val="2"/>
                <w:color w:val="auto"/>
              </w:rPr>
            </w:pPr>
          </w:p>
        </w:tc>
        <w:tc>
          <w:tcPr>
            <w:tcW w:w="200" w:type="dxa"/>
            <w:vAlign w:val="bottom"/>
            <w:tcBorders>
              <w:bottom w:val="single" w:sz="8" w:color="051D49"/>
            </w:tcBorders>
          </w:tcPr>
          <w:p>
            <w:pPr>
              <w:spacing w:after="0"/>
              <w:rPr>
                <w:sz w:val="2"/>
                <w:szCs w:val="2"/>
                <w:color w:val="auto"/>
              </w:rPr>
            </w:pPr>
          </w:p>
        </w:tc>
        <w:tc>
          <w:tcPr>
            <w:tcW w:w="900" w:type="dxa"/>
            <w:vAlign w:val="bottom"/>
            <w:tcBorders>
              <w:bottom w:val="single" w:sz="8" w:color="051D49"/>
            </w:tcBorders>
          </w:tcPr>
          <w:p>
            <w:pPr>
              <w:spacing w:after="0"/>
              <w:rPr>
                <w:sz w:val="2"/>
                <w:szCs w:val="2"/>
                <w:color w:val="auto"/>
              </w:rPr>
            </w:pPr>
          </w:p>
        </w:tc>
        <w:tc>
          <w:tcPr>
            <w:tcW w:w="28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c>
          <w:tcPr>
            <w:tcW w:w="320" w:type="dxa"/>
            <w:vAlign w:val="bottom"/>
            <w:tcBorders>
              <w:bottom w:val="single" w:sz="8" w:color="051D49"/>
            </w:tcBorders>
          </w:tcPr>
          <w:p>
            <w:pPr>
              <w:spacing w:after="0"/>
              <w:rPr>
                <w:sz w:val="2"/>
                <w:szCs w:val="2"/>
                <w:color w:val="auto"/>
              </w:rPr>
            </w:pPr>
          </w:p>
        </w:tc>
        <w:tc>
          <w:tcPr>
            <w:tcW w:w="1060" w:type="dxa"/>
            <w:vAlign w:val="bottom"/>
            <w:tcBorders>
              <w:bottom w:val="single" w:sz="8" w:color="051D49"/>
            </w:tcBorders>
          </w:tcPr>
          <w:p>
            <w:pPr>
              <w:spacing w:after="0"/>
              <w:rPr>
                <w:sz w:val="2"/>
                <w:szCs w:val="2"/>
                <w:color w:val="auto"/>
              </w:rPr>
            </w:pPr>
          </w:p>
        </w:tc>
        <w:tc>
          <w:tcPr>
            <w:tcW w:w="340" w:type="dxa"/>
            <w:vAlign w:val="bottom"/>
            <w:tcBorders>
              <w:bottom w:val="single" w:sz="8" w:color="051D49"/>
            </w:tcBorders>
          </w:tcPr>
          <w:p>
            <w:pPr>
              <w:spacing w:after="0"/>
              <w:rPr>
                <w:sz w:val="2"/>
                <w:szCs w:val="2"/>
                <w:color w:val="auto"/>
              </w:rPr>
            </w:pPr>
          </w:p>
        </w:tc>
        <w:tc>
          <w:tcPr>
            <w:tcW w:w="1200" w:type="dxa"/>
            <w:vAlign w:val="bottom"/>
            <w:tcBorders>
              <w:bottom w:val="single" w:sz="8" w:color="051D49"/>
            </w:tcBorders>
            <w:gridSpan w:val="2"/>
          </w:tcPr>
          <w:p>
            <w:pPr>
              <w:spacing w:after="0"/>
              <w:rPr>
                <w:sz w:val="2"/>
                <w:szCs w:val="2"/>
                <w:color w:val="auto"/>
              </w:rPr>
            </w:pPr>
          </w:p>
        </w:tc>
      </w:tr>
      <w:tr>
        <w:trPr>
          <w:trHeight w:val="257"/>
        </w:trPr>
        <w:tc>
          <w:tcPr>
            <w:tcW w:w="5580" w:type="dxa"/>
            <w:vAlign w:val="bottom"/>
          </w:tcPr>
          <w:p>
            <w:pPr>
              <w:ind w:left="80"/>
              <w:spacing w:after="0"/>
              <w:rPr>
                <w:sz w:val="20"/>
                <w:szCs w:val="20"/>
                <w:color w:val="auto"/>
              </w:rPr>
            </w:pPr>
            <w:r>
              <w:rPr>
                <w:rFonts w:ascii="Arial" w:cs="Arial" w:eastAsia="Arial" w:hAnsi="Arial"/>
                <w:sz w:val="16"/>
                <w:szCs w:val="16"/>
                <w:color w:val="auto"/>
              </w:rPr>
              <w:t>Doretha F. Lea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911,550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911,550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1"/>
              <w:spacing w:after="0"/>
              <w:rPr>
                <w:sz w:val="20"/>
                <w:szCs w:val="20"/>
                <w:color w:val="auto"/>
              </w:rPr>
            </w:pPr>
            <w:r>
              <w:rPr>
                <w:rFonts w:ascii="Arial" w:cs="Arial" w:eastAsia="Arial" w:hAnsi="Arial"/>
                <w:sz w:val="16"/>
                <w:szCs w:val="16"/>
                <w:color w:val="auto"/>
              </w:rPr>
              <w:t>750,000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9"/>
              <w:spacing w:after="0"/>
              <w:rPr>
                <w:sz w:val="20"/>
                <w:szCs w:val="20"/>
                <w:color w:val="auto"/>
              </w:rPr>
            </w:pPr>
            <w:r>
              <w:rPr>
                <w:rFonts w:ascii="Arial" w:cs="Arial" w:eastAsia="Arial" w:hAnsi="Arial"/>
                <w:sz w:val="16"/>
                <w:szCs w:val="16"/>
                <w:color w:val="auto"/>
              </w:rPr>
              <w:t>2,573,100</w:t>
            </w:r>
          </w:p>
        </w:tc>
      </w:tr>
      <w:tr>
        <w:trPr>
          <w:trHeight w:val="30"/>
        </w:trPr>
        <w:tc>
          <w:tcPr>
            <w:tcW w:w="5580" w:type="dxa"/>
            <w:vAlign w:val="bottom"/>
            <w:tcBorders>
              <w:bottom w:val="single" w:sz="8" w:color="051D49"/>
            </w:tcBorders>
          </w:tcPr>
          <w:p>
            <w:pPr>
              <w:spacing w:after="0"/>
              <w:rPr>
                <w:sz w:val="2"/>
                <w:szCs w:val="2"/>
                <w:color w:val="auto"/>
              </w:rPr>
            </w:pPr>
          </w:p>
        </w:tc>
        <w:tc>
          <w:tcPr>
            <w:tcW w:w="200" w:type="dxa"/>
            <w:vAlign w:val="bottom"/>
            <w:tcBorders>
              <w:bottom w:val="single" w:sz="8" w:color="051D49"/>
            </w:tcBorders>
          </w:tcPr>
          <w:p>
            <w:pPr>
              <w:spacing w:after="0"/>
              <w:rPr>
                <w:sz w:val="2"/>
                <w:szCs w:val="2"/>
                <w:color w:val="auto"/>
              </w:rPr>
            </w:pPr>
          </w:p>
        </w:tc>
        <w:tc>
          <w:tcPr>
            <w:tcW w:w="900" w:type="dxa"/>
            <w:vAlign w:val="bottom"/>
            <w:tcBorders>
              <w:bottom w:val="single" w:sz="8" w:color="051D49"/>
            </w:tcBorders>
          </w:tcPr>
          <w:p>
            <w:pPr>
              <w:spacing w:after="0"/>
              <w:rPr>
                <w:sz w:val="2"/>
                <w:szCs w:val="2"/>
                <w:color w:val="auto"/>
              </w:rPr>
            </w:pPr>
          </w:p>
        </w:tc>
        <w:tc>
          <w:tcPr>
            <w:tcW w:w="28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c>
          <w:tcPr>
            <w:tcW w:w="320" w:type="dxa"/>
            <w:vAlign w:val="bottom"/>
            <w:tcBorders>
              <w:bottom w:val="single" w:sz="8" w:color="051D49"/>
            </w:tcBorders>
          </w:tcPr>
          <w:p>
            <w:pPr>
              <w:spacing w:after="0"/>
              <w:rPr>
                <w:sz w:val="2"/>
                <w:szCs w:val="2"/>
                <w:color w:val="auto"/>
              </w:rPr>
            </w:pPr>
          </w:p>
        </w:tc>
        <w:tc>
          <w:tcPr>
            <w:tcW w:w="1060" w:type="dxa"/>
            <w:vAlign w:val="bottom"/>
            <w:tcBorders>
              <w:bottom w:val="single" w:sz="8" w:color="051D49"/>
            </w:tcBorders>
          </w:tcPr>
          <w:p>
            <w:pPr>
              <w:spacing w:after="0"/>
              <w:rPr>
                <w:sz w:val="2"/>
                <w:szCs w:val="2"/>
                <w:color w:val="auto"/>
              </w:rPr>
            </w:pPr>
          </w:p>
        </w:tc>
        <w:tc>
          <w:tcPr>
            <w:tcW w:w="340" w:type="dxa"/>
            <w:vAlign w:val="bottom"/>
            <w:tcBorders>
              <w:bottom w:val="single" w:sz="8" w:color="051D49"/>
            </w:tcBorders>
          </w:tcPr>
          <w:p>
            <w:pPr>
              <w:spacing w:after="0"/>
              <w:rPr>
                <w:sz w:val="2"/>
                <w:szCs w:val="2"/>
                <w:color w:val="auto"/>
              </w:rPr>
            </w:pPr>
          </w:p>
        </w:tc>
        <w:tc>
          <w:tcPr>
            <w:tcW w:w="1200" w:type="dxa"/>
            <w:vAlign w:val="bottom"/>
            <w:tcBorders>
              <w:bottom w:val="single" w:sz="8" w:color="051D49"/>
            </w:tcBorders>
            <w:gridSpan w:val="2"/>
          </w:tcPr>
          <w:p>
            <w:pPr>
              <w:spacing w:after="0"/>
              <w:rPr>
                <w:sz w:val="2"/>
                <w:szCs w:val="2"/>
                <w:color w:val="auto"/>
              </w:rPr>
            </w:pPr>
          </w:p>
        </w:tc>
      </w:tr>
      <w:tr>
        <w:trPr>
          <w:trHeight w:val="257"/>
        </w:trPr>
        <w:tc>
          <w:tcPr>
            <w:tcW w:w="5580" w:type="dxa"/>
            <w:vAlign w:val="bottom"/>
          </w:tcPr>
          <w:p>
            <w:pPr>
              <w:ind w:left="80"/>
              <w:spacing w:after="0"/>
              <w:rPr>
                <w:sz w:val="20"/>
                <w:szCs w:val="20"/>
                <w:color w:val="auto"/>
              </w:rPr>
            </w:pPr>
            <w:r>
              <w:rPr>
                <w:rFonts w:ascii="Arial" w:cs="Arial" w:eastAsia="Arial" w:hAnsi="Arial"/>
                <w:sz w:val="16"/>
                <w:szCs w:val="16"/>
                <w:color w:val="auto"/>
              </w:rPr>
              <w:t>Nancy Phillips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787,500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787,500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1"/>
              <w:spacing w:after="0"/>
              <w:rPr>
                <w:sz w:val="20"/>
                <w:szCs w:val="20"/>
                <w:color w:val="auto"/>
              </w:rPr>
            </w:pPr>
            <w:r>
              <w:rPr>
                <w:rFonts w:ascii="Arial" w:cs="Arial" w:eastAsia="Arial" w:hAnsi="Arial"/>
                <w:sz w:val="16"/>
                <w:szCs w:val="16"/>
                <w:color w:val="auto"/>
              </w:rPr>
              <w:t>1,000,000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9"/>
              <w:spacing w:after="0"/>
              <w:rPr>
                <w:sz w:val="20"/>
                <w:szCs w:val="20"/>
                <w:color w:val="auto"/>
              </w:rPr>
            </w:pPr>
            <w:r>
              <w:rPr>
                <w:rFonts w:ascii="Arial" w:cs="Arial" w:eastAsia="Arial" w:hAnsi="Arial"/>
                <w:sz w:val="16"/>
                <w:szCs w:val="16"/>
                <w:color w:val="auto"/>
              </w:rPr>
              <w:t>2,575,000</w:t>
            </w:r>
          </w:p>
        </w:tc>
      </w:tr>
      <w:tr>
        <w:trPr>
          <w:trHeight w:val="30"/>
        </w:trPr>
        <w:tc>
          <w:tcPr>
            <w:tcW w:w="5580" w:type="dxa"/>
            <w:vAlign w:val="bottom"/>
            <w:tcBorders>
              <w:bottom w:val="single" w:sz="8" w:color="051D49"/>
            </w:tcBorders>
          </w:tcPr>
          <w:p>
            <w:pPr>
              <w:spacing w:after="0"/>
              <w:rPr>
                <w:sz w:val="2"/>
                <w:szCs w:val="2"/>
                <w:color w:val="auto"/>
              </w:rPr>
            </w:pPr>
          </w:p>
        </w:tc>
        <w:tc>
          <w:tcPr>
            <w:tcW w:w="200" w:type="dxa"/>
            <w:vAlign w:val="bottom"/>
            <w:tcBorders>
              <w:bottom w:val="single" w:sz="8" w:color="051D49"/>
            </w:tcBorders>
          </w:tcPr>
          <w:p>
            <w:pPr>
              <w:spacing w:after="0"/>
              <w:rPr>
                <w:sz w:val="2"/>
                <w:szCs w:val="2"/>
                <w:color w:val="auto"/>
              </w:rPr>
            </w:pPr>
          </w:p>
        </w:tc>
        <w:tc>
          <w:tcPr>
            <w:tcW w:w="900" w:type="dxa"/>
            <w:vAlign w:val="bottom"/>
            <w:tcBorders>
              <w:bottom w:val="single" w:sz="8" w:color="051D49"/>
            </w:tcBorders>
          </w:tcPr>
          <w:p>
            <w:pPr>
              <w:spacing w:after="0"/>
              <w:rPr>
                <w:sz w:val="2"/>
                <w:szCs w:val="2"/>
                <w:color w:val="auto"/>
              </w:rPr>
            </w:pPr>
          </w:p>
        </w:tc>
        <w:tc>
          <w:tcPr>
            <w:tcW w:w="280" w:type="dxa"/>
            <w:vAlign w:val="bottom"/>
            <w:tcBorders>
              <w:bottom w:val="single" w:sz="8" w:color="051D49"/>
            </w:tcBorders>
          </w:tcPr>
          <w:p>
            <w:pPr>
              <w:spacing w:after="0"/>
              <w:rPr>
                <w:sz w:val="2"/>
                <w:szCs w:val="2"/>
                <w:color w:val="auto"/>
              </w:rPr>
            </w:pPr>
          </w:p>
        </w:tc>
        <w:tc>
          <w:tcPr>
            <w:tcW w:w="1040" w:type="dxa"/>
            <w:vAlign w:val="bottom"/>
            <w:tcBorders>
              <w:bottom w:val="single" w:sz="8" w:color="051D49"/>
            </w:tcBorders>
          </w:tcPr>
          <w:p>
            <w:pPr>
              <w:spacing w:after="0"/>
              <w:rPr>
                <w:sz w:val="2"/>
                <w:szCs w:val="2"/>
                <w:color w:val="auto"/>
              </w:rPr>
            </w:pPr>
          </w:p>
        </w:tc>
        <w:tc>
          <w:tcPr>
            <w:tcW w:w="320" w:type="dxa"/>
            <w:vAlign w:val="bottom"/>
            <w:tcBorders>
              <w:bottom w:val="single" w:sz="8" w:color="051D49"/>
            </w:tcBorders>
          </w:tcPr>
          <w:p>
            <w:pPr>
              <w:spacing w:after="0"/>
              <w:rPr>
                <w:sz w:val="2"/>
                <w:szCs w:val="2"/>
                <w:color w:val="auto"/>
              </w:rPr>
            </w:pPr>
          </w:p>
        </w:tc>
        <w:tc>
          <w:tcPr>
            <w:tcW w:w="2360" w:type="dxa"/>
            <w:vAlign w:val="bottom"/>
            <w:tcBorders>
              <w:bottom w:val="single" w:sz="8" w:color="051D49"/>
            </w:tcBorders>
            <w:gridSpan w:val="3"/>
          </w:tcPr>
          <w:p>
            <w:pPr>
              <w:spacing w:after="0"/>
              <w:rPr>
                <w:sz w:val="2"/>
                <w:szCs w:val="2"/>
                <w:color w:val="auto"/>
              </w:rPr>
            </w:pPr>
          </w:p>
        </w:tc>
        <w:tc>
          <w:tcPr>
            <w:tcW w:w="240" w:type="dxa"/>
            <w:vAlign w:val="bottom"/>
            <w:tcBorders>
              <w:bottom w:val="single" w:sz="8" w:color="051D49"/>
            </w:tcBorders>
          </w:tcPr>
          <w:p>
            <w:pPr>
              <w:spacing w:after="0"/>
              <w:rPr>
                <w:sz w:val="2"/>
                <w:szCs w:val="2"/>
                <w:color w:val="auto"/>
              </w:rPr>
            </w:pPr>
          </w:p>
        </w:tc>
      </w:tr>
      <w:tr>
        <w:trPr>
          <w:trHeight w:val="140"/>
        </w:trPr>
        <w:tc>
          <w:tcPr>
            <w:tcW w:w="5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60" w:type="dxa"/>
            <w:vAlign w:val="bottom"/>
            <w:gridSpan w:val="3"/>
          </w:tcPr>
          <w:p>
            <w:pPr>
              <w:spacing w:after="0"/>
              <w:rPr>
                <w:sz w:val="12"/>
                <w:szCs w:val="12"/>
                <w:color w:val="auto"/>
              </w:rPr>
            </w:pPr>
          </w:p>
        </w:tc>
        <w:tc>
          <w:tcPr>
            <w:tcW w:w="240" w:type="dxa"/>
            <w:vAlign w:val="bottom"/>
          </w:tcPr>
          <w:p>
            <w:pPr>
              <w:spacing w:after="0"/>
              <w:rPr>
                <w:sz w:val="12"/>
                <w:szCs w:val="12"/>
                <w:color w:val="auto"/>
              </w:rPr>
            </w:pPr>
          </w:p>
        </w:tc>
      </w:tr>
      <w:tr>
        <w:trPr>
          <w:trHeight w:val="293"/>
        </w:trPr>
        <w:tc>
          <w:tcPr>
            <w:tcW w:w="5580" w:type="dxa"/>
            <w:vAlign w:val="bottom"/>
            <w:shd w:val="clear" w:color="auto" w:fill="051D49"/>
          </w:tcPr>
          <w:p>
            <w:pPr>
              <w:spacing w:after="0"/>
              <w:rPr>
                <w:sz w:val="24"/>
                <w:szCs w:val="24"/>
                <w:color w:val="auto"/>
              </w:rPr>
            </w:pPr>
          </w:p>
        </w:tc>
        <w:tc>
          <w:tcPr>
            <w:tcW w:w="200" w:type="dxa"/>
            <w:vAlign w:val="bottom"/>
            <w:shd w:val="clear" w:color="auto" w:fill="051D49"/>
          </w:tcPr>
          <w:p>
            <w:pPr>
              <w:spacing w:after="0"/>
              <w:rPr>
                <w:sz w:val="24"/>
                <w:szCs w:val="24"/>
                <w:color w:val="auto"/>
              </w:rPr>
            </w:pPr>
          </w:p>
        </w:tc>
        <w:tc>
          <w:tcPr>
            <w:tcW w:w="900" w:type="dxa"/>
            <w:vAlign w:val="bottom"/>
            <w:shd w:val="clear" w:color="auto" w:fill="051D49"/>
          </w:tcPr>
          <w:p>
            <w:pPr>
              <w:spacing w:after="0"/>
              <w:rPr>
                <w:sz w:val="24"/>
                <w:szCs w:val="24"/>
                <w:color w:val="auto"/>
              </w:rPr>
            </w:pPr>
          </w:p>
        </w:tc>
        <w:tc>
          <w:tcPr>
            <w:tcW w:w="280" w:type="dxa"/>
            <w:vAlign w:val="bottom"/>
            <w:shd w:val="clear" w:color="auto" w:fill="051D49"/>
          </w:tcPr>
          <w:p>
            <w:pPr>
              <w:spacing w:after="0"/>
              <w:rPr>
                <w:sz w:val="24"/>
                <w:szCs w:val="24"/>
                <w:color w:val="auto"/>
              </w:rPr>
            </w:pPr>
          </w:p>
        </w:tc>
        <w:tc>
          <w:tcPr>
            <w:tcW w:w="1040" w:type="dxa"/>
            <w:vAlign w:val="bottom"/>
            <w:shd w:val="clear" w:color="auto" w:fill="051D49"/>
          </w:tcPr>
          <w:p>
            <w:pPr>
              <w:spacing w:after="0"/>
              <w:rPr>
                <w:sz w:val="24"/>
                <w:szCs w:val="24"/>
                <w:color w:val="auto"/>
              </w:rPr>
            </w:pPr>
          </w:p>
        </w:tc>
        <w:tc>
          <w:tcPr>
            <w:tcW w:w="320" w:type="dxa"/>
            <w:vAlign w:val="bottom"/>
            <w:shd w:val="clear" w:color="auto" w:fill="051D49"/>
          </w:tcPr>
          <w:p>
            <w:pPr>
              <w:spacing w:after="0"/>
              <w:rPr>
                <w:sz w:val="24"/>
                <w:szCs w:val="24"/>
                <w:color w:val="auto"/>
              </w:rPr>
            </w:pPr>
          </w:p>
        </w:tc>
        <w:tc>
          <w:tcPr>
            <w:tcW w:w="2360" w:type="dxa"/>
            <w:vAlign w:val="bottom"/>
            <w:gridSpan w:val="3"/>
            <w:shd w:val="clear" w:color="auto" w:fill="051D49"/>
          </w:tcPr>
          <w:p>
            <w:pPr>
              <w:ind w:left="300"/>
              <w:spacing w:after="0"/>
              <w:rPr>
                <w:sz w:val="20"/>
                <w:szCs w:val="20"/>
                <w:color w:val="auto"/>
              </w:rPr>
            </w:pPr>
            <w:r>
              <w:rPr>
                <w:rFonts w:ascii="Arial" w:cs="Arial" w:eastAsia="Arial" w:hAnsi="Arial"/>
                <w:sz w:val="14"/>
                <w:szCs w:val="14"/>
                <w:color w:val="FFFFFF"/>
              </w:rPr>
              <w:t>2022 PROXY STATEMENT</w:t>
            </w:r>
          </w:p>
        </w:tc>
        <w:tc>
          <w:tcPr>
            <w:tcW w:w="24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w w:val="89"/>
              </w:rPr>
              <w:t>43</w:t>
            </w:r>
          </w:p>
        </w:tc>
      </w:tr>
      <w:tr>
        <w:trPr>
          <w:trHeight w:val="95"/>
        </w:trPr>
        <w:tc>
          <w:tcPr>
            <w:tcW w:w="5580" w:type="dxa"/>
            <w:vAlign w:val="bottom"/>
            <w:shd w:val="clear" w:color="auto" w:fill="051D49"/>
          </w:tcPr>
          <w:p>
            <w:pPr>
              <w:spacing w:after="0"/>
              <w:rPr>
                <w:sz w:val="8"/>
                <w:szCs w:val="8"/>
                <w:color w:val="auto"/>
              </w:rPr>
            </w:pPr>
          </w:p>
        </w:tc>
        <w:tc>
          <w:tcPr>
            <w:tcW w:w="200" w:type="dxa"/>
            <w:vAlign w:val="bottom"/>
            <w:shd w:val="clear" w:color="auto" w:fill="051D49"/>
          </w:tcPr>
          <w:p>
            <w:pPr>
              <w:spacing w:after="0"/>
              <w:rPr>
                <w:sz w:val="8"/>
                <w:szCs w:val="8"/>
                <w:color w:val="auto"/>
              </w:rPr>
            </w:pPr>
          </w:p>
        </w:tc>
        <w:tc>
          <w:tcPr>
            <w:tcW w:w="900" w:type="dxa"/>
            <w:vAlign w:val="bottom"/>
            <w:shd w:val="clear" w:color="auto" w:fill="051D49"/>
          </w:tcPr>
          <w:p>
            <w:pPr>
              <w:spacing w:after="0"/>
              <w:rPr>
                <w:sz w:val="8"/>
                <w:szCs w:val="8"/>
                <w:color w:val="auto"/>
              </w:rPr>
            </w:pPr>
          </w:p>
        </w:tc>
        <w:tc>
          <w:tcPr>
            <w:tcW w:w="280" w:type="dxa"/>
            <w:vAlign w:val="bottom"/>
            <w:shd w:val="clear" w:color="auto" w:fill="051D49"/>
          </w:tcPr>
          <w:p>
            <w:pPr>
              <w:spacing w:after="0"/>
              <w:rPr>
                <w:sz w:val="8"/>
                <w:szCs w:val="8"/>
                <w:color w:val="auto"/>
              </w:rPr>
            </w:pPr>
          </w:p>
        </w:tc>
        <w:tc>
          <w:tcPr>
            <w:tcW w:w="1040" w:type="dxa"/>
            <w:vAlign w:val="bottom"/>
            <w:shd w:val="clear" w:color="auto" w:fill="051D49"/>
          </w:tcPr>
          <w:p>
            <w:pPr>
              <w:spacing w:after="0"/>
              <w:rPr>
                <w:sz w:val="8"/>
                <w:szCs w:val="8"/>
                <w:color w:val="auto"/>
              </w:rPr>
            </w:pPr>
          </w:p>
        </w:tc>
        <w:tc>
          <w:tcPr>
            <w:tcW w:w="320" w:type="dxa"/>
            <w:vAlign w:val="bottom"/>
            <w:shd w:val="clear" w:color="auto" w:fill="051D49"/>
          </w:tcPr>
          <w:p>
            <w:pPr>
              <w:spacing w:after="0"/>
              <w:rPr>
                <w:sz w:val="8"/>
                <w:szCs w:val="8"/>
                <w:color w:val="auto"/>
              </w:rPr>
            </w:pPr>
          </w:p>
        </w:tc>
        <w:tc>
          <w:tcPr>
            <w:tcW w:w="1060" w:type="dxa"/>
            <w:vAlign w:val="bottom"/>
            <w:shd w:val="clear" w:color="auto" w:fill="051D49"/>
          </w:tcPr>
          <w:p>
            <w:pPr>
              <w:spacing w:after="0"/>
              <w:rPr>
                <w:sz w:val="8"/>
                <w:szCs w:val="8"/>
                <w:color w:val="auto"/>
              </w:rPr>
            </w:pPr>
          </w:p>
        </w:tc>
        <w:tc>
          <w:tcPr>
            <w:tcW w:w="340" w:type="dxa"/>
            <w:vAlign w:val="bottom"/>
            <w:shd w:val="clear" w:color="auto" w:fill="051D49"/>
          </w:tcPr>
          <w:p>
            <w:pPr>
              <w:spacing w:after="0"/>
              <w:rPr>
                <w:sz w:val="8"/>
                <w:szCs w:val="8"/>
                <w:color w:val="auto"/>
              </w:rPr>
            </w:pPr>
          </w:p>
        </w:tc>
        <w:tc>
          <w:tcPr>
            <w:tcW w:w="960" w:type="dxa"/>
            <w:vAlign w:val="bottom"/>
            <w:shd w:val="clear" w:color="auto" w:fill="051D49"/>
          </w:tcPr>
          <w:p>
            <w:pPr>
              <w:spacing w:after="0"/>
              <w:rPr>
                <w:sz w:val="8"/>
                <w:szCs w:val="8"/>
                <w:color w:val="auto"/>
              </w:rPr>
            </w:pPr>
          </w:p>
        </w:tc>
        <w:tc>
          <w:tcPr>
            <w:tcW w:w="24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Forms of Compensation:</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281"/>
        </w:trPr>
        <w:tc>
          <w:tcPr>
            <w:tcW w:w="2520" w:type="dxa"/>
            <w:vAlign w:val="bottom"/>
            <w:shd w:val="clear" w:color="auto" w:fill="E5E5E5"/>
          </w:tcPr>
          <w:p>
            <w:pPr>
              <w:ind w:left="80"/>
              <w:spacing w:after="0"/>
              <w:rPr>
                <w:sz w:val="20"/>
                <w:szCs w:val="20"/>
                <w:color w:val="auto"/>
              </w:rPr>
            </w:pPr>
            <w:r>
              <w:rPr>
                <w:rFonts w:ascii="Arial" w:cs="Arial" w:eastAsia="Arial" w:hAnsi="Arial"/>
                <w:sz w:val="16"/>
                <w:szCs w:val="16"/>
                <w:color w:val="051D49"/>
              </w:rPr>
              <w:t>Compensation Component</w:t>
            </w:r>
          </w:p>
        </w:tc>
        <w:tc>
          <w:tcPr>
            <w:tcW w:w="8400" w:type="dxa"/>
            <w:vAlign w:val="bottom"/>
            <w:gridSpan w:val="2"/>
            <w:shd w:val="clear" w:color="auto" w:fill="E5E5E5"/>
          </w:tcPr>
          <w:p>
            <w:pPr>
              <w:ind w:left="100"/>
              <w:spacing w:after="0"/>
              <w:rPr>
                <w:sz w:val="20"/>
                <w:szCs w:val="20"/>
                <w:color w:val="auto"/>
              </w:rPr>
            </w:pPr>
            <w:r>
              <w:rPr>
                <w:rFonts w:ascii="Arial" w:cs="Arial" w:eastAsia="Arial" w:hAnsi="Arial"/>
                <w:sz w:val="16"/>
                <w:szCs w:val="16"/>
                <w:color w:val="051D49"/>
              </w:rPr>
              <w:t>Purpose</w:t>
            </w:r>
          </w:p>
        </w:tc>
      </w:tr>
      <w:tr>
        <w:trPr>
          <w:trHeight w:val="249"/>
        </w:trPr>
        <w:tc>
          <w:tcPr>
            <w:tcW w:w="2520" w:type="dxa"/>
            <w:vAlign w:val="bottom"/>
          </w:tcPr>
          <w:p>
            <w:pPr>
              <w:ind w:left="80"/>
              <w:spacing w:after="0"/>
              <w:rPr>
                <w:sz w:val="20"/>
                <w:szCs w:val="20"/>
                <w:color w:val="auto"/>
              </w:rPr>
            </w:pPr>
            <w:r>
              <w:rPr>
                <w:rFonts w:ascii="Arial" w:cs="Arial" w:eastAsia="Arial" w:hAnsi="Arial"/>
                <w:sz w:val="18"/>
                <w:szCs w:val="18"/>
                <w:color w:val="auto"/>
              </w:rPr>
              <w:t>Health and Welfare,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8180" w:type="dxa"/>
            <w:vAlign w:val="bottom"/>
          </w:tcPr>
          <w:p>
            <w:pPr>
              <w:ind w:left="60"/>
              <w:spacing w:after="0"/>
              <w:rPr>
                <w:sz w:val="20"/>
                <w:szCs w:val="20"/>
                <w:color w:val="auto"/>
              </w:rPr>
            </w:pPr>
            <w:r>
              <w:rPr>
                <w:rFonts w:ascii="Arial" w:cs="Arial" w:eastAsia="Arial" w:hAnsi="Arial"/>
                <w:sz w:val="18"/>
                <w:szCs w:val="18"/>
                <w:color w:val="auto"/>
              </w:rPr>
              <w:t>Promote employee health and financial security for retirement</w:t>
            </w:r>
          </w:p>
        </w:tc>
      </w:tr>
      <w:tr>
        <w:trPr>
          <w:trHeight w:val="201"/>
        </w:trPr>
        <w:tc>
          <w:tcPr>
            <w:tcW w:w="2520" w:type="dxa"/>
            <w:vAlign w:val="bottom"/>
          </w:tcPr>
          <w:p>
            <w:pPr>
              <w:ind w:left="80"/>
              <w:spacing w:after="0" w:line="201" w:lineRule="exact"/>
              <w:rPr>
                <w:sz w:val="20"/>
                <w:szCs w:val="20"/>
                <w:color w:val="auto"/>
              </w:rPr>
            </w:pPr>
            <w:r>
              <w:rPr>
                <w:rFonts w:ascii="Arial" w:cs="Arial" w:eastAsia="Arial" w:hAnsi="Arial"/>
                <w:sz w:val="18"/>
                <w:szCs w:val="18"/>
                <w:color w:val="auto"/>
              </w:rPr>
              <w:t>Retirement and Deferred</w:t>
            </w:r>
          </w:p>
        </w:tc>
        <w:tc>
          <w:tcPr>
            <w:tcW w:w="22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8180" w:type="dxa"/>
            <w:vAlign w:val="bottom"/>
          </w:tcPr>
          <w:p>
            <w:pPr>
              <w:ind w:left="60"/>
              <w:spacing w:after="0" w:line="201" w:lineRule="exact"/>
              <w:rPr>
                <w:sz w:val="20"/>
                <w:szCs w:val="20"/>
                <w:color w:val="auto"/>
              </w:rPr>
            </w:pPr>
            <w:r>
              <w:rPr>
                <w:rFonts w:ascii="Arial" w:cs="Arial" w:eastAsia="Arial" w:hAnsi="Arial"/>
                <w:sz w:val="18"/>
                <w:szCs w:val="18"/>
                <w:color w:val="auto"/>
              </w:rPr>
              <w:t>Provide competitive benefits to attract and retain executive talent</w:t>
            </w:r>
          </w:p>
        </w:tc>
      </w:tr>
      <w:tr>
        <w:trPr>
          <w:trHeight w:val="241"/>
        </w:trPr>
        <w:tc>
          <w:tcPr>
            <w:tcW w:w="2520" w:type="dxa"/>
            <w:vAlign w:val="bottom"/>
            <w:tcBorders>
              <w:bottom w:val="single" w:sz="8" w:color="051D49"/>
            </w:tcBorders>
          </w:tcPr>
          <w:p>
            <w:pPr>
              <w:ind w:left="80"/>
              <w:spacing w:after="0"/>
              <w:rPr>
                <w:sz w:val="20"/>
                <w:szCs w:val="20"/>
                <w:color w:val="auto"/>
              </w:rPr>
            </w:pPr>
            <w:r>
              <w:rPr>
                <w:rFonts w:ascii="Arial" w:cs="Arial" w:eastAsia="Arial" w:hAnsi="Arial"/>
                <w:sz w:val="18"/>
                <w:szCs w:val="18"/>
                <w:color w:val="auto"/>
              </w:rPr>
              <w:t>Compensation Plans</w:t>
            </w:r>
          </w:p>
        </w:tc>
        <w:tc>
          <w:tcPr>
            <w:tcW w:w="220" w:type="dxa"/>
            <w:vAlign w:val="bottom"/>
            <w:tcBorders>
              <w:bottom w:val="single" w:sz="8" w:color="051D49"/>
            </w:tcBorders>
          </w:tcPr>
          <w:p>
            <w:pPr>
              <w:spacing w:after="0"/>
              <w:rPr>
                <w:sz w:val="20"/>
                <w:szCs w:val="20"/>
                <w:color w:val="auto"/>
              </w:rPr>
            </w:pPr>
          </w:p>
        </w:tc>
        <w:tc>
          <w:tcPr>
            <w:tcW w:w="8180" w:type="dxa"/>
            <w:vAlign w:val="bottom"/>
            <w:tcBorders>
              <w:bottom w:val="single" w:sz="8" w:color="051D49"/>
            </w:tcBorders>
          </w:tcPr>
          <w:p>
            <w:pPr>
              <w:spacing w:after="0"/>
              <w:rPr>
                <w:sz w:val="20"/>
                <w:szCs w:val="20"/>
                <w:color w:val="auto"/>
              </w:rPr>
            </w:pPr>
          </w:p>
        </w:tc>
      </w:tr>
      <w:tr>
        <w:trPr>
          <w:trHeight w:val="234"/>
        </w:trPr>
        <w:tc>
          <w:tcPr>
            <w:tcW w:w="2520" w:type="dxa"/>
            <w:vAlign w:val="bottom"/>
          </w:tcPr>
          <w:p>
            <w:pPr>
              <w:ind w:left="80"/>
              <w:spacing w:after="0"/>
              <w:rPr>
                <w:sz w:val="20"/>
                <w:szCs w:val="20"/>
                <w:color w:val="auto"/>
              </w:rPr>
            </w:pPr>
            <w:r>
              <w:rPr>
                <w:rFonts w:ascii="Arial" w:cs="Arial" w:eastAsia="Arial" w:hAnsi="Arial"/>
                <w:sz w:val="18"/>
                <w:szCs w:val="18"/>
                <w:color w:val="auto"/>
              </w:rPr>
              <w:t>Perquisites and Other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8180" w:type="dxa"/>
            <w:vAlign w:val="bottom"/>
          </w:tcPr>
          <w:p>
            <w:pPr>
              <w:ind w:left="60"/>
              <w:spacing w:after="0"/>
              <w:rPr>
                <w:sz w:val="20"/>
                <w:szCs w:val="20"/>
                <w:color w:val="auto"/>
              </w:rPr>
            </w:pPr>
            <w:r>
              <w:rPr>
                <w:rFonts w:ascii="Arial" w:cs="Arial" w:eastAsia="Arial" w:hAnsi="Arial"/>
                <w:sz w:val="18"/>
                <w:szCs w:val="18"/>
                <w:color w:val="auto"/>
              </w:rPr>
              <w:t>Provide business-related benefits</w:t>
            </w:r>
          </w:p>
        </w:tc>
      </w:tr>
      <w:tr>
        <w:trPr>
          <w:trHeight w:val="235"/>
        </w:trPr>
        <w:tc>
          <w:tcPr>
            <w:tcW w:w="2520" w:type="dxa"/>
            <w:vAlign w:val="bottom"/>
          </w:tcPr>
          <w:p>
            <w:pPr>
              <w:ind w:left="80"/>
              <w:spacing w:after="0"/>
              <w:rPr>
                <w:sz w:val="20"/>
                <w:szCs w:val="20"/>
                <w:color w:val="auto"/>
              </w:rPr>
            </w:pPr>
            <w:r>
              <w:rPr>
                <w:rFonts w:ascii="Arial" w:cs="Arial" w:eastAsia="Arial" w:hAnsi="Arial"/>
                <w:sz w:val="18"/>
                <w:szCs w:val="18"/>
                <w:color w:val="auto"/>
              </w:rPr>
              <w:t>Personal Benefits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8180" w:type="dxa"/>
            <w:vAlign w:val="bottom"/>
          </w:tcPr>
          <w:p>
            <w:pPr>
              <w:ind w:left="40"/>
              <w:spacing w:after="0"/>
              <w:rPr>
                <w:sz w:val="20"/>
                <w:szCs w:val="20"/>
                <w:color w:val="auto"/>
              </w:rPr>
            </w:pPr>
            <w:r>
              <w:rPr>
                <w:rFonts w:ascii="Arial" w:cs="Arial" w:eastAsia="Arial" w:hAnsi="Arial"/>
                <w:sz w:val="18"/>
                <w:szCs w:val="18"/>
                <w:color w:val="auto"/>
              </w:rPr>
              <w:t>Assist in attracting and retaining executive talent</w:t>
            </w:r>
          </w:p>
        </w:tc>
      </w:tr>
      <w:tr>
        <w:trPr>
          <w:trHeight w:val="24"/>
        </w:trPr>
        <w:tc>
          <w:tcPr>
            <w:tcW w:w="2520" w:type="dxa"/>
            <w:vAlign w:val="bottom"/>
            <w:tcBorders>
              <w:bottom w:val="single" w:sz="8" w:color="051D49"/>
            </w:tcBorders>
          </w:tcPr>
          <w:p>
            <w:pPr>
              <w:spacing w:after="0"/>
              <w:rPr>
                <w:sz w:val="2"/>
                <w:szCs w:val="2"/>
                <w:color w:val="auto"/>
              </w:rPr>
            </w:pPr>
          </w:p>
        </w:tc>
        <w:tc>
          <w:tcPr>
            <w:tcW w:w="8400" w:type="dxa"/>
            <w:vAlign w:val="bottom"/>
            <w:tcBorders>
              <w:bottom w:val="single" w:sz="8" w:color="051D49"/>
            </w:tcBorders>
            <w:gridSpan w:val="2"/>
          </w:tcPr>
          <w:p>
            <w:pPr>
              <w:spacing w:after="0"/>
              <w:rPr>
                <w:sz w:val="2"/>
                <w:szCs w:val="2"/>
                <w:color w:val="auto"/>
              </w:rPr>
            </w:pPr>
          </w:p>
        </w:tc>
      </w:tr>
      <w:tr>
        <w:trPr>
          <w:trHeight w:val="229"/>
        </w:trPr>
        <w:tc>
          <w:tcPr>
            <w:tcW w:w="2520" w:type="dxa"/>
            <w:vAlign w:val="bottom"/>
          </w:tcPr>
          <w:p>
            <w:pPr>
              <w:ind w:left="80"/>
              <w:spacing w:after="0"/>
              <w:rPr>
                <w:sz w:val="20"/>
                <w:szCs w:val="20"/>
                <w:color w:val="auto"/>
              </w:rPr>
            </w:pPr>
            <w:r>
              <w:rPr>
                <w:rFonts w:ascii="Arial" w:cs="Arial" w:eastAsia="Arial" w:hAnsi="Arial"/>
                <w:sz w:val="18"/>
                <w:szCs w:val="18"/>
                <w:color w:val="auto"/>
              </w:rPr>
              <w:t>Post-Termination</w:t>
            </w:r>
          </w:p>
        </w:tc>
        <w:tc>
          <w:tcPr>
            <w:tcW w:w="8400" w:type="dxa"/>
            <w:vAlign w:val="bottom"/>
            <w:gridSpan w:val="2"/>
          </w:tcPr>
          <w:p>
            <w:pPr>
              <w:ind w:left="100"/>
              <w:spacing w:after="0"/>
              <w:rPr>
                <w:sz w:val="20"/>
                <w:szCs w:val="20"/>
                <w:color w:val="auto"/>
              </w:rPr>
            </w:pPr>
            <w:r>
              <w:rPr>
                <w:rFonts w:ascii="Arial" w:cs="Arial" w:eastAsia="Arial" w:hAnsi="Arial"/>
                <w:sz w:val="18"/>
                <w:szCs w:val="18"/>
                <w:color w:val="auto"/>
              </w:rPr>
              <w:t>• Attract and retain executive talent in a competitive market by providing temporary income following an</w:t>
            </w:r>
          </w:p>
        </w:tc>
      </w:tr>
      <w:tr>
        <w:trPr>
          <w:trHeight w:val="201"/>
        </w:trPr>
        <w:tc>
          <w:tcPr>
            <w:tcW w:w="2520" w:type="dxa"/>
            <w:vAlign w:val="bottom"/>
          </w:tcPr>
          <w:p>
            <w:pPr>
              <w:ind w:left="80"/>
              <w:spacing w:after="0" w:line="201" w:lineRule="exact"/>
              <w:rPr>
                <w:sz w:val="20"/>
                <w:szCs w:val="20"/>
                <w:color w:val="auto"/>
              </w:rPr>
            </w:pPr>
            <w:r>
              <w:rPr>
                <w:rFonts w:ascii="Arial" w:cs="Arial" w:eastAsia="Arial" w:hAnsi="Arial"/>
                <w:sz w:val="18"/>
                <w:szCs w:val="18"/>
                <w:color w:val="auto"/>
              </w:rPr>
              <w:t>Arrangements</w:t>
            </w:r>
          </w:p>
        </w:tc>
        <w:tc>
          <w:tcPr>
            <w:tcW w:w="220" w:type="dxa"/>
            <w:vAlign w:val="bottom"/>
          </w:tcPr>
          <w:p>
            <w:pPr>
              <w:spacing w:after="0"/>
              <w:rPr>
                <w:sz w:val="17"/>
                <w:szCs w:val="17"/>
                <w:color w:val="auto"/>
              </w:rPr>
            </w:pPr>
          </w:p>
        </w:tc>
        <w:tc>
          <w:tcPr>
            <w:tcW w:w="8180" w:type="dxa"/>
            <w:vAlign w:val="bottom"/>
          </w:tcPr>
          <w:p>
            <w:pPr>
              <w:ind w:left="40"/>
              <w:spacing w:after="0" w:line="201" w:lineRule="exact"/>
              <w:rPr>
                <w:sz w:val="20"/>
                <w:szCs w:val="20"/>
                <w:color w:val="auto"/>
              </w:rPr>
            </w:pPr>
            <w:r>
              <w:rPr>
                <w:rFonts w:ascii="Arial" w:cs="Arial" w:eastAsia="Arial" w:hAnsi="Arial"/>
                <w:sz w:val="18"/>
                <w:szCs w:val="18"/>
                <w:color w:val="auto"/>
              </w:rPr>
              <w:t>involuntary termination of employment</w:t>
            </w:r>
          </w:p>
        </w:tc>
      </w:tr>
      <w:tr>
        <w:trPr>
          <w:trHeight w:val="201"/>
        </w:trPr>
        <w:tc>
          <w:tcPr>
            <w:tcW w:w="2520" w:type="dxa"/>
            <w:vAlign w:val="bottom"/>
          </w:tcPr>
          <w:p>
            <w:pPr>
              <w:spacing w:after="0"/>
              <w:rPr>
                <w:sz w:val="17"/>
                <w:szCs w:val="17"/>
                <w:color w:val="auto"/>
              </w:rPr>
            </w:pPr>
          </w:p>
        </w:tc>
        <w:tc>
          <w:tcPr>
            <w:tcW w:w="22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8180" w:type="dxa"/>
            <w:vAlign w:val="bottom"/>
          </w:tcPr>
          <w:p>
            <w:pPr>
              <w:ind w:left="60"/>
              <w:spacing w:after="0" w:line="201" w:lineRule="exact"/>
              <w:rPr>
                <w:sz w:val="20"/>
                <w:szCs w:val="20"/>
                <w:color w:val="auto"/>
              </w:rPr>
            </w:pPr>
            <w:r>
              <w:rPr>
                <w:rFonts w:ascii="Arial" w:cs="Arial" w:eastAsia="Arial" w:hAnsi="Arial"/>
                <w:sz w:val="18"/>
                <w:szCs w:val="18"/>
                <w:color w:val="auto"/>
              </w:rPr>
              <w:t>Provide continuity of management</w:t>
            </w:r>
          </w:p>
        </w:tc>
      </w:tr>
      <w:tr>
        <w:trPr>
          <w:trHeight w:val="201"/>
        </w:trPr>
        <w:tc>
          <w:tcPr>
            <w:tcW w:w="2520" w:type="dxa"/>
            <w:vAlign w:val="bottom"/>
          </w:tcPr>
          <w:p>
            <w:pPr>
              <w:spacing w:after="0"/>
              <w:rPr>
                <w:sz w:val="17"/>
                <w:szCs w:val="17"/>
                <w:color w:val="auto"/>
              </w:rPr>
            </w:pPr>
          </w:p>
        </w:tc>
        <w:tc>
          <w:tcPr>
            <w:tcW w:w="22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8180" w:type="dxa"/>
            <w:vAlign w:val="bottom"/>
          </w:tcPr>
          <w:p>
            <w:pPr>
              <w:ind w:left="60"/>
              <w:spacing w:after="0" w:line="201" w:lineRule="exact"/>
              <w:rPr>
                <w:sz w:val="20"/>
                <w:szCs w:val="20"/>
                <w:color w:val="auto"/>
              </w:rPr>
            </w:pPr>
            <w:r>
              <w:rPr>
                <w:rFonts w:ascii="Arial" w:cs="Arial" w:eastAsia="Arial" w:hAnsi="Arial"/>
                <w:sz w:val="18"/>
                <w:szCs w:val="18"/>
                <w:color w:val="auto"/>
              </w:rPr>
              <w:t>Compensate executives for restrictive covenants and other obligations following a termination without</w:t>
            </w:r>
          </w:p>
        </w:tc>
      </w:tr>
      <w:tr>
        <w:trPr>
          <w:trHeight w:val="235"/>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180" w:type="dxa"/>
            <w:vAlign w:val="bottom"/>
          </w:tcPr>
          <w:p>
            <w:pPr>
              <w:ind w:left="40"/>
              <w:spacing w:after="0"/>
              <w:rPr>
                <w:sz w:val="20"/>
                <w:szCs w:val="20"/>
                <w:color w:val="auto"/>
              </w:rPr>
            </w:pPr>
            <w:r>
              <w:rPr>
                <w:rFonts w:ascii="Arial" w:cs="Arial" w:eastAsia="Arial" w:hAnsi="Arial"/>
                <w:sz w:val="18"/>
                <w:szCs w:val="18"/>
                <w:color w:val="auto"/>
              </w:rPr>
              <w:t>cause or a resignation for good reason</w:t>
            </w:r>
          </w:p>
        </w:tc>
      </w:tr>
      <w:tr>
        <w:trPr>
          <w:trHeight w:val="24"/>
        </w:trPr>
        <w:tc>
          <w:tcPr>
            <w:tcW w:w="2520" w:type="dxa"/>
            <w:vAlign w:val="bottom"/>
            <w:tcBorders>
              <w:bottom w:val="single" w:sz="8" w:color="051D49"/>
            </w:tcBorders>
          </w:tcPr>
          <w:p>
            <w:pPr>
              <w:spacing w:after="0"/>
              <w:rPr>
                <w:sz w:val="2"/>
                <w:szCs w:val="2"/>
                <w:color w:val="auto"/>
              </w:rPr>
            </w:pPr>
          </w:p>
        </w:tc>
        <w:tc>
          <w:tcPr>
            <w:tcW w:w="220" w:type="dxa"/>
            <w:vAlign w:val="bottom"/>
            <w:tcBorders>
              <w:bottom w:val="single" w:sz="8" w:color="051D49"/>
            </w:tcBorders>
          </w:tcPr>
          <w:p>
            <w:pPr>
              <w:spacing w:after="0"/>
              <w:rPr>
                <w:sz w:val="2"/>
                <w:szCs w:val="2"/>
                <w:color w:val="auto"/>
              </w:rPr>
            </w:pPr>
          </w:p>
        </w:tc>
        <w:tc>
          <w:tcPr>
            <w:tcW w:w="8180" w:type="dxa"/>
            <w:vAlign w:val="bottom"/>
            <w:tcBorders>
              <w:bottom w:val="single" w:sz="8" w:color="051D49"/>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229235</wp:posOffset>
            </wp:positionV>
            <wp:extent cx="6861810" cy="3481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61810" cy="3481705"/>
                    </a:xfrm>
                    <a:prstGeom prst="rect">
                      <a:avLst/>
                    </a:prstGeom>
                    <a:noFill/>
                  </pic:spPr>
                </pic:pic>
              </a:graphicData>
            </a:graphic>
          </wp:anchor>
        </w:drawing>
      </w:r>
    </w:p>
    <w:p>
      <w:pPr>
        <w:spacing w:after="0" w:line="349" w:lineRule="exact"/>
        <w:rPr>
          <w:sz w:val="20"/>
          <w:szCs w:val="20"/>
          <w:color w:val="auto"/>
        </w:rPr>
      </w:pPr>
    </w:p>
    <w:p>
      <w:pPr>
        <w:jc w:val="center"/>
        <w:ind w:left="3020"/>
        <w:spacing w:after="0"/>
        <w:rPr>
          <w:sz w:val="20"/>
          <w:szCs w:val="20"/>
          <w:color w:val="auto"/>
        </w:rPr>
      </w:pPr>
      <w:r>
        <w:rPr>
          <w:rFonts w:ascii="Arial" w:cs="Arial" w:eastAsia="Arial" w:hAnsi="Arial"/>
          <w:sz w:val="18"/>
          <w:szCs w:val="18"/>
          <w:b w:val="1"/>
          <w:bCs w:val="1"/>
          <w:color w:val="051D49"/>
        </w:rPr>
        <w:t>WHAT WE DO AND DON’T DO</w:t>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0"/>
        <w:spacing w:after="0" w:line="253" w:lineRule="auto"/>
        <w:rPr>
          <w:sz w:val="20"/>
          <w:szCs w:val="20"/>
          <w:color w:val="auto"/>
        </w:rPr>
      </w:pPr>
      <w:r>
        <w:rPr>
          <w:rFonts w:ascii="Arial" w:cs="Arial" w:eastAsia="Arial" w:hAnsi="Arial"/>
          <w:sz w:val="16"/>
          <w:szCs w:val="16"/>
          <w:color w:val="auto"/>
        </w:rPr>
        <w:t>We design our executive compensation programs to create long-term stockholder value, align pay and performance and avoid excessive risk taking</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216" w:right="1220" w:hanging="216"/>
        <w:spacing w:after="0" w:line="288" w:lineRule="auto"/>
        <w:tabs>
          <w:tab w:leader="none" w:pos="217" w:val="left"/>
        </w:tabs>
        <w:numPr>
          <w:ilvl w:val="0"/>
          <w:numId w:val="47"/>
        </w:numPr>
        <w:rPr>
          <w:rFonts w:ascii="MS PGothic" w:cs="MS PGothic" w:eastAsia="MS PGothic" w:hAnsi="MS PGothic"/>
          <w:sz w:val="16"/>
          <w:szCs w:val="16"/>
          <w:color w:val="051D49"/>
        </w:rPr>
      </w:pPr>
      <w:r>
        <w:rPr>
          <w:rFonts w:ascii="Arial" w:cs="Arial" w:eastAsia="Arial" w:hAnsi="Arial"/>
          <w:sz w:val="16"/>
          <w:szCs w:val="16"/>
          <w:color w:val="auto"/>
        </w:rPr>
        <w:t>Include a relative market-based performance metric (</w:t>
      </w:r>
      <w:r>
        <w:rPr>
          <w:rFonts w:ascii="Arial" w:cs="Arial" w:eastAsia="Arial" w:hAnsi="Arial"/>
          <w:sz w:val="16"/>
          <w:szCs w:val="16"/>
          <w:i w:val="1"/>
          <w:iCs w:val="1"/>
          <w:color w:val="auto"/>
        </w:rPr>
        <w:t>i.e.</w:t>
      </w:r>
      <w:r>
        <w:rPr>
          <w:rFonts w:ascii="Arial" w:cs="Arial" w:eastAsia="Arial" w:hAnsi="Arial"/>
          <w:sz w:val="16"/>
          <w:szCs w:val="16"/>
          <w:color w:val="auto"/>
        </w:rPr>
        <w:t>, Relative TSR) in our long-term compensation program</w:t>
      </w:r>
    </w:p>
    <w:p>
      <w:pPr>
        <w:spacing w:after="0" w:line="26" w:lineRule="exact"/>
        <w:rPr>
          <w:rFonts w:ascii="MS PGothic" w:cs="MS PGothic" w:eastAsia="MS PGothic" w:hAnsi="MS PGothic"/>
          <w:sz w:val="16"/>
          <w:szCs w:val="16"/>
          <w:color w:val="051D49"/>
        </w:rPr>
      </w:pPr>
    </w:p>
    <w:p>
      <w:pPr>
        <w:ind w:left="216" w:hanging="216"/>
        <w:spacing w:after="0"/>
        <w:tabs>
          <w:tab w:leader="none" w:pos="216" w:val="left"/>
        </w:tabs>
        <w:numPr>
          <w:ilvl w:val="0"/>
          <w:numId w:val="47"/>
        </w:numPr>
        <w:rPr>
          <w:rFonts w:ascii="MS PGothic" w:cs="MS PGothic" w:eastAsia="MS PGothic" w:hAnsi="MS PGothic"/>
          <w:sz w:val="16"/>
          <w:szCs w:val="16"/>
          <w:color w:val="051D49"/>
        </w:rPr>
      </w:pPr>
      <w:r>
        <w:rPr>
          <w:rFonts w:ascii="Arial" w:cs="Arial" w:eastAsia="Arial" w:hAnsi="Arial"/>
          <w:sz w:val="16"/>
          <w:szCs w:val="16"/>
          <w:color w:val="auto"/>
        </w:rPr>
        <w:t>Maintain robust stock ownership guidelines for officers and directors</w:t>
      </w:r>
    </w:p>
    <w:p>
      <w:pPr>
        <w:spacing w:after="0" w:line="96" w:lineRule="exact"/>
        <w:rPr>
          <w:rFonts w:ascii="MS PGothic" w:cs="MS PGothic" w:eastAsia="MS PGothic" w:hAnsi="MS PGothic"/>
          <w:sz w:val="16"/>
          <w:szCs w:val="16"/>
          <w:color w:val="051D49"/>
        </w:rPr>
      </w:pPr>
    </w:p>
    <w:p>
      <w:pPr>
        <w:ind w:left="216" w:right="800" w:hanging="216"/>
        <w:spacing w:after="0" w:line="288" w:lineRule="auto"/>
        <w:tabs>
          <w:tab w:leader="none" w:pos="217" w:val="left"/>
        </w:tabs>
        <w:numPr>
          <w:ilvl w:val="0"/>
          <w:numId w:val="47"/>
        </w:numPr>
        <w:rPr>
          <w:rFonts w:ascii="MS PGothic" w:cs="MS PGothic" w:eastAsia="MS PGothic" w:hAnsi="MS PGothic"/>
          <w:sz w:val="16"/>
          <w:szCs w:val="16"/>
          <w:color w:val="051D49"/>
        </w:rPr>
      </w:pPr>
      <w:r>
        <w:rPr>
          <w:rFonts w:ascii="Arial" w:cs="Arial" w:eastAsia="Arial" w:hAnsi="Arial"/>
          <w:sz w:val="16"/>
          <w:szCs w:val="16"/>
          <w:color w:val="auto"/>
        </w:rPr>
        <w:t>Cap payouts under our annual bonus program and performance-based equity awards through maximum payouts</w:t>
      </w:r>
    </w:p>
    <w:p>
      <w:pPr>
        <w:spacing w:after="0" w:line="26" w:lineRule="exact"/>
        <w:rPr>
          <w:rFonts w:ascii="MS PGothic" w:cs="MS PGothic" w:eastAsia="MS PGothic" w:hAnsi="MS PGothic"/>
          <w:sz w:val="16"/>
          <w:szCs w:val="16"/>
          <w:color w:val="051D49"/>
        </w:rPr>
      </w:pPr>
    </w:p>
    <w:p>
      <w:pPr>
        <w:ind w:left="216" w:right="740" w:hanging="216"/>
        <w:spacing w:after="0" w:line="288" w:lineRule="auto"/>
        <w:tabs>
          <w:tab w:leader="none" w:pos="217" w:val="left"/>
        </w:tabs>
        <w:numPr>
          <w:ilvl w:val="0"/>
          <w:numId w:val="47"/>
        </w:numPr>
        <w:rPr>
          <w:rFonts w:ascii="MS PGothic" w:cs="MS PGothic" w:eastAsia="MS PGothic" w:hAnsi="MS PGothic"/>
          <w:sz w:val="16"/>
          <w:szCs w:val="16"/>
          <w:color w:val="051D49"/>
        </w:rPr>
      </w:pPr>
      <w:r>
        <w:rPr>
          <w:rFonts w:ascii="Arial" w:cs="Arial" w:eastAsia="Arial" w:hAnsi="Arial"/>
          <w:sz w:val="16"/>
          <w:szCs w:val="16"/>
          <w:color w:val="auto"/>
        </w:rPr>
        <w:t>Vary performance metrics and measurement periods in our compensation programs to mitigate excessive risk-taking</w:t>
      </w:r>
    </w:p>
    <w:p>
      <w:pPr>
        <w:spacing w:after="0" w:line="26" w:lineRule="exact"/>
        <w:rPr>
          <w:rFonts w:ascii="MS PGothic" w:cs="MS PGothic" w:eastAsia="MS PGothic" w:hAnsi="MS PGothic"/>
          <w:sz w:val="16"/>
          <w:szCs w:val="16"/>
          <w:color w:val="051D49"/>
        </w:rPr>
      </w:pPr>
    </w:p>
    <w:p>
      <w:pPr>
        <w:ind w:left="216" w:right="1220" w:hanging="216"/>
        <w:spacing w:after="0" w:line="288" w:lineRule="auto"/>
        <w:tabs>
          <w:tab w:leader="none" w:pos="217" w:val="left"/>
        </w:tabs>
        <w:numPr>
          <w:ilvl w:val="0"/>
          <w:numId w:val="47"/>
        </w:numPr>
        <w:rPr>
          <w:rFonts w:ascii="MS PGothic" w:cs="MS PGothic" w:eastAsia="MS PGothic" w:hAnsi="MS PGothic"/>
          <w:sz w:val="16"/>
          <w:szCs w:val="16"/>
          <w:color w:val="051D49"/>
        </w:rPr>
      </w:pPr>
      <w:r>
        <w:rPr>
          <w:rFonts w:ascii="Arial" w:cs="Arial" w:eastAsia="Arial" w:hAnsi="Arial"/>
          <w:sz w:val="16"/>
          <w:szCs w:val="16"/>
          <w:color w:val="auto"/>
        </w:rPr>
        <w:t>Structure overall target compensation so that a substantial majority of our NEOs’ annual compensation is at risk</w:t>
      </w:r>
    </w:p>
    <w:p>
      <w:pPr>
        <w:spacing w:after="0" w:line="26" w:lineRule="exact"/>
        <w:rPr>
          <w:rFonts w:ascii="MS PGothic" w:cs="MS PGothic" w:eastAsia="MS PGothic" w:hAnsi="MS PGothic"/>
          <w:sz w:val="16"/>
          <w:szCs w:val="16"/>
          <w:color w:val="051D49"/>
        </w:rPr>
      </w:pPr>
    </w:p>
    <w:p>
      <w:pPr>
        <w:ind w:left="216" w:hanging="216"/>
        <w:spacing w:after="0"/>
        <w:tabs>
          <w:tab w:leader="none" w:pos="216" w:val="left"/>
        </w:tabs>
        <w:numPr>
          <w:ilvl w:val="0"/>
          <w:numId w:val="47"/>
        </w:numPr>
        <w:rPr>
          <w:rFonts w:ascii="MS PGothic" w:cs="MS PGothic" w:eastAsia="MS PGothic" w:hAnsi="MS PGothic"/>
          <w:sz w:val="16"/>
          <w:szCs w:val="16"/>
          <w:color w:val="051D49"/>
        </w:rPr>
      </w:pPr>
      <w:r>
        <w:rPr>
          <w:rFonts w:ascii="Arial" w:cs="Arial" w:eastAsia="Arial" w:hAnsi="Arial"/>
          <w:sz w:val="16"/>
          <w:szCs w:val="16"/>
          <w:color w:val="auto"/>
        </w:rPr>
        <w:t>Conduct a robust annual risk assessment of our compensation programs, policies and practices</w:t>
      </w:r>
    </w:p>
    <w:p>
      <w:pPr>
        <w:spacing w:after="0" w:line="200" w:lineRule="exact"/>
        <w:rPr>
          <w:sz w:val="20"/>
          <w:szCs w:val="20"/>
          <w:color w:val="auto"/>
        </w:rPr>
      </w:pPr>
    </w:p>
    <w:p>
      <w:pPr>
        <w:sectPr>
          <w:pgSz w:w="11900" w:h="16838" w:orient="portrait"/>
          <w:cols w:equalWidth="0" w:num="2">
            <w:col w:w="3200" w:space="204"/>
            <w:col w:w="7676"/>
          </w:cols>
          <w:pgMar w:left="320" w:top="45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0"/>
        <w:spacing w:after="0" w:line="279" w:lineRule="auto"/>
        <w:rPr>
          <w:sz w:val="20"/>
          <w:szCs w:val="20"/>
          <w:color w:val="auto"/>
        </w:rPr>
      </w:pPr>
      <w:r>
        <w:rPr>
          <w:rFonts w:ascii="Arial" w:cs="Arial" w:eastAsia="Arial" w:hAnsi="Arial"/>
          <w:sz w:val="16"/>
          <w:szCs w:val="16"/>
          <w:color w:val="auto"/>
        </w:rPr>
        <w:t>We incorporate best practices in our compensation programs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56" w:right="40" w:hanging="156"/>
        <w:spacing w:after="0" w:line="257" w:lineRule="auto"/>
        <w:tabs>
          <w:tab w:leader="none" w:pos="161" w:val="left"/>
        </w:tabs>
        <w:numPr>
          <w:ilvl w:val="0"/>
          <w:numId w:val="48"/>
        </w:numPr>
        <w:rPr>
          <w:rFonts w:ascii="MS PGothic" w:cs="MS PGothic" w:eastAsia="MS PGothic" w:hAnsi="MS PGothic"/>
          <w:sz w:val="16"/>
          <w:szCs w:val="16"/>
          <w:color w:val="051D49"/>
        </w:rPr>
      </w:pPr>
      <w:r>
        <w:rPr>
          <w:rFonts w:ascii="Arial" w:cs="Arial" w:eastAsia="Arial" w:hAnsi="Arial"/>
          <w:sz w:val="16"/>
          <w:szCs w:val="16"/>
          <w:color w:val="auto"/>
        </w:rPr>
        <w:t>Clawback Policy: Provide for forfeiture, repayment or adjustment of incentive compensation in the event of a financial restatement without regard to misconduct in our NEOs’ employment agreements</w:t>
      </w:r>
    </w:p>
    <w:p>
      <w:pPr>
        <w:spacing w:after="0" w:line="44" w:lineRule="exact"/>
        <w:rPr>
          <w:rFonts w:ascii="MS PGothic" w:cs="MS PGothic" w:eastAsia="MS PGothic" w:hAnsi="MS PGothic"/>
          <w:sz w:val="16"/>
          <w:szCs w:val="16"/>
          <w:color w:val="051D49"/>
        </w:rPr>
      </w:pPr>
    </w:p>
    <w:p>
      <w:pPr>
        <w:ind w:left="156" w:right="300" w:hanging="156"/>
        <w:spacing w:after="0" w:line="307" w:lineRule="auto"/>
        <w:tabs>
          <w:tab w:leader="none" w:pos="153" w:val="left"/>
        </w:tabs>
        <w:numPr>
          <w:ilvl w:val="0"/>
          <w:numId w:val="48"/>
        </w:numPr>
        <w:rPr>
          <w:rFonts w:ascii="MS PGothic" w:cs="MS PGothic" w:eastAsia="MS PGothic" w:hAnsi="MS PGothic"/>
          <w:sz w:val="15"/>
          <w:szCs w:val="15"/>
          <w:color w:val="051D49"/>
        </w:rPr>
      </w:pPr>
      <w:r>
        <w:rPr>
          <w:rFonts w:ascii="Arial" w:cs="Arial" w:eastAsia="Arial" w:hAnsi="Arial"/>
          <w:sz w:val="15"/>
          <w:szCs w:val="15"/>
          <w:color w:val="auto"/>
        </w:rPr>
        <w:t>Anti-Hedging Policy: Prohibit our employees from hedging our securities</w:t>
      </w:r>
    </w:p>
    <w:p>
      <w:pPr>
        <w:spacing w:after="0" w:line="26" w:lineRule="exact"/>
        <w:rPr>
          <w:rFonts w:ascii="MS PGothic" w:cs="MS PGothic" w:eastAsia="MS PGothic" w:hAnsi="MS PGothic"/>
          <w:sz w:val="15"/>
          <w:szCs w:val="15"/>
          <w:color w:val="051D49"/>
        </w:rPr>
      </w:pPr>
    </w:p>
    <w:p>
      <w:pPr>
        <w:ind w:left="156" w:hanging="156"/>
        <w:spacing w:after="0"/>
        <w:tabs>
          <w:tab w:leader="none" w:pos="156" w:val="left"/>
        </w:tabs>
        <w:numPr>
          <w:ilvl w:val="0"/>
          <w:numId w:val="48"/>
        </w:numPr>
        <w:rPr>
          <w:rFonts w:ascii="MS PGothic" w:cs="MS PGothic" w:eastAsia="MS PGothic" w:hAnsi="MS PGothic"/>
          <w:sz w:val="15"/>
          <w:szCs w:val="15"/>
          <w:color w:val="051D49"/>
        </w:rPr>
      </w:pPr>
      <w:r>
        <w:rPr>
          <w:rFonts w:ascii="Arial" w:cs="Arial" w:eastAsia="Arial" w:hAnsi="Arial"/>
          <w:sz w:val="15"/>
          <w:szCs w:val="15"/>
          <w:color w:val="auto"/>
        </w:rPr>
        <w:t>Re-evaluate our peer group on an annual basis</w:t>
      </w:r>
    </w:p>
    <w:p>
      <w:pPr>
        <w:spacing w:after="0" w:line="108" w:lineRule="exact"/>
        <w:rPr>
          <w:rFonts w:ascii="MS PGothic" w:cs="MS PGothic" w:eastAsia="MS PGothic" w:hAnsi="MS PGothic"/>
          <w:sz w:val="15"/>
          <w:szCs w:val="15"/>
          <w:color w:val="051D49"/>
        </w:rPr>
      </w:pPr>
    </w:p>
    <w:p>
      <w:pPr>
        <w:ind w:left="156" w:hanging="156"/>
        <w:spacing w:after="0"/>
        <w:tabs>
          <w:tab w:leader="none" w:pos="156" w:val="left"/>
        </w:tabs>
        <w:numPr>
          <w:ilvl w:val="0"/>
          <w:numId w:val="48"/>
        </w:numPr>
        <w:rPr>
          <w:rFonts w:ascii="MS PGothic" w:cs="MS PGothic" w:eastAsia="MS PGothic" w:hAnsi="MS PGothic"/>
          <w:sz w:val="15"/>
          <w:szCs w:val="15"/>
          <w:color w:val="051D49"/>
        </w:rPr>
      </w:pPr>
      <w:r>
        <w:rPr>
          <w:rFonts w:ascii="Arial" w:cs="Arial" w:eastAsia="Arial" w:hAnsi="Arial"/>
          <w:sz w:val="15"/>
          <w:szCs w:val="15"/>
          <w:color w:val="auto"/>
        </w:rPr>
        <w:t>Retain an independent compensation consultant</w:t>
      </w:r>
    </w:p>
    <w:p>
      <w:pPr>
        <w:spacing w:after="0" w:line="108" w:lineRule="exact"/>
        <w:rPr>
          <w:rFonts w:ascii="MS PGothic" w:cs="MS PGothic" w:eastAsia="MS PGothic" w:hAnsi="MS PGothic"/>
          <w:sz w:val="15"/>
          <w:szCs w:val="15"/>
          <w:color w:val="051D49"/>
        </w:rPr>
      </w:pPr>
    </w:p>
    <w:p>
      <w:pPr>
        <w:ind w:left="156" w:hanging="156"/>
        <w:spacing w:after="0"/>
        <w:tabs>
          <w:tab w:leader="none" w:pos="156" w:val="left"/>
        </w:tabs>
        <w:numPr>
          <w:ilvl w:val="0"/>
          <w:numId w:val="48"/>
        </w:numPr>
        <w:rPr>
          <w:rFonts w:ascii="MS PGothic" w:cs="MS PGothic" w:eastAsia="MS PGothic" w:hAnsi="MS PGothic"/>
          <w:sz w:val="15"/>
          <w:szCs w:val="15"/>
          <w:color w:val="051D49"/>
        </w:rPr>
      </w:pPr>
      <w:r>
        <w:rPr>
          <w:rFonts w:ascii="Arial" w:cs="Arial" w:eastAsia="Arial" w:hAnsi="Arial"/>
          <w:sz w:val="15"/>
          <w:szCs w:val="15"/>
          <w:color w:val="auto"/>
        </w:rPr>
        <w:t>Engage with shareholders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64" w:right="360" w:hanging="164"/>
        <w:spacing w:after="0" w:line="261" w:lineRule="auto"/>
        <w:tabs>
          <w:tab w:leader="none" w:pos="137" w:val="left"/>
        </w:tabs>
        <w:numPr>
          <w:ilvl w:val="0"/>
          <w:numId w:val="49"/>
        </w:numPr>
        <w:rPr>
          <w:rFonts w:ascii="Times New Roman" w:cs="Times New Roman" w:eastAsia="Times New Roman" w:hAnsi="Times New Roman"/>
          <w:sz w:val="16"/>
          <w:szCs w:val="16"/>
          <w:b w:val="1"/>
          <w:bCs w:val="1"/>
          <w:i w:val="1"/>
          <w:iCs w:val="1"/>
          <w:color w:val="051D49"/>
        </w:rPr>
      </w:pPr>
      <w:r>
        <w:rPr>
          <w:rFonts w:ascii="Arial" w:cs="Arial" w:eastAsia="Arial" w:hAnsi="Arial"/>
          <w:sz w:val="16"/>
          <w:szCs w:val="16"/>
          <w:color w:val="auto"/>
        </w:rPr>
        <w:t>No Tax Gross-Ups – We do not provide excise tax gross-ups in the event of a change in control in our executive employment agreements</w:t>
      </w:r>
    </w:p>
    <w:p>
      <w:pPr>
        <w:spacing w:after="0" w:line="41" w:lineRule="exact"/>
        <w:rPr>
          <w:rFonts w:ascii="Times New Roman" w:cs="Times New Roman" w:eastAsia="Times New Roman" w:hAnsi="Times New Roman"/>
          <w:sz w:val="16"/>
          <w:szCs w:val="16"/>
          <w:b w:val="1"/>
          <w:bCs w:val="1"/>
          <w:i w:val="1"/>
          <w:iCs w:val="1"/>
          <w:color w:val="051D49"/>
        </w:rPr>
      </w:pPr>
    </w:p>
    <w:p>
      <w:pPr>
        <w:ind w:left="164" w:right="860" w:hanging="164"/>
        <w:spacing w:after="0" w:line="296" w:lineRule="auto"/>
        <w:tabs>
          <w:tab w:leader="none" w:pos="137" w:val="left"/>
        </w:tabs>
        <w:numPr>
          <w:ilvl w:val="0"/>
          <w:numId w:val="49"/>
        </w:numPr>
        <w:rPr>
          <w:rFonts w:ascii="Times New Roman" w:cs="Times New Roman" w:eastAsia="Times New Roman" w:hAnsi="Times New Roman"/>
          <w:sz w:val="16"/>
          <w:szCs w:val="16"/>
          <w:b w:val="1"/>
          <w:bCs w:val="1"/>
          <w:i w:val="1"/>
          <w:iCs w:val="1"/>
          <w:color w:val="051D49"/>
        </w:rPr>
      </w:pPr>
      <w:r>
        <w:rPr>
          <w:rFonts w:ascii="Arial" w:cs="Arial" w:eastAsia="Arial" w:hAnsi="Arial"/>
          <w:sz w:val="16"/>
          <w:szCs w:val="16"/>
          <w:color w:val="auto"/>
        </w:rPr>
        <w:t>No payment of dividends or dividend equivalents on unvested equity awards</w:t>
      </w:r>
    </w:p>
    <w:p>
      <w:pPr>
        <w:spacing w:after="0" w:line="13" w:lineRule="exact"/>
        <w:rPr>
          <w:rFonts w:ascii="Times New Roman" w:cs="Times New Roman" w:eastAsia="Times New Roman" w:hAnsi="Times New Roman"/>
          <w:sz w:val="16"/>
          <w:szCs w:val="16"/>
          <w:b w:val="1"/>
          <w:bCs w:val="1"/>
          <w:i w:val="1"/>
          <w:iCs w:val="1"/>
          <w:color w:val="051D49"/>
        </w:rPr>
      </w:pPr>
    </w:p>
    <w:p>
      <w:pPr>
        <w:ind w:left="124" w:hanging="124"/>
        <w:spacing w:after="0"/>
        <w:tabs>
          <w:tab w:leader="none" w:pos="124" w:val="left"/>
        </w:tabs>
        <w:numPr>
          <w:ilvl w:val="0"/>
          <w:numId w:val="49"/>
        </w:numPr>
        <w:rPr>
          <w:rFonts w:ascii="Times New Roman" w:cs="Times New Roman" w:eastAsia="Times New Roman" w:hAnsi="Times New Roman"/>
          <w:sz w:val="16"/>
          <w:szCs w:val="16"/>
          <w:b w:val="1"/>
          <w:bCs w:val="1"/>
          <w:i w:val="1"/>
          <w:iCs w:val="1"/>
          <w:color w:val="051D49"/>
        </w:rPr>
      </w:pPr>
      <w:r>
        <w:rPr>
          <w:rFonts w:ascii="Arial" w:cs="Arial" w:eastAsia="Arial" w:hAnsi="Arial"/>
          <w:sz w:val="16"/>
          <w:szCs w:val="16"/>
          <w:color w:val="auto"/>
        </w:rPr>
        <w:t>No repricing of underwater stock options</w:t>
      </w:r>
    </w:p>
    <w:p>
      <w:pPr>
        <w:spacing w:after="0" w:line="96" w:lineRule="exact"/>
        <w:rPr>
          <w:rFonts w:ascii="Times New Roman" w:cs="Times New Roman" w:eastAsia="Times New Roman" w:hAnsi="Times New Roman"/>
          <w:sz w:val="16"/>
          <w:szCs w:val="16"/>
          <w:b w:val="1"/>
          <w:bCs w:val="1"/>
          <w:i w:val="1"/>
          <w:iCs w:val="1"/>
          <w:color w:val="051D49"/>
        </w:rPr>
      </w:pPr>
    </w:p>
    <w:p>
      <w:pPr>
        <w:ind w:left="164" w:right="1200" w:hanging="164"/>
        <w:spacing w:after="0" w:line="296" w:lineRule="auto"/>
        <w:tabs>
          <w:tab w:leader="none" w:pos="137" w:val="left"/>
        </w:tabs>
        <w:numPr>
          <w:ilvl w:val="0"/>
          <w:numId w:val="49"/>
        </w:numPr>
        <w:rPr>
          <w:rFonts w:ascii="Times New Roman" w:cs="Times New Roman" w:eastAsia="Times New Roman" w:hAnsi="Times New Roman"/>
          <w:sz w:val="16"/>
          <w:szCs w:val="16"/>
          <w:b w:val="1"/>
          <w:bCs w:val="1"/>
          <w:i w:val="1"/>
          <w:iCs w:val="1"/>
          <w:color w:val="051D49"/>
        </w:rPr>
      </w:pPr>
      <w:r>
        <w:rPr>
          <w:rFonts w:ascii="Arial" w:cs="Arial" w:eastAsia="Arial" w:hAnsi="Arial"/>
          <w:sz w:val="16"/>
          <w:szCs w:val="16"/>
          <w:color w:val="auto"/>
        </w:rPr>
        <w:t>No single-trigger change in control agreements</w:t>
      </w:r>
    </w:p>
    <w:p>
      <w:pPr>
        <w:spacing w:after="0" w:line="385" w:lineRule="exact"/>
        <w:rPr>
          <w:sz w:val="20"/>
          <w:szCs w:val="20"/>
          <w:color w:val="auto"/>
        </w:rPr>
      </w:pPr>
    </w:p>
    <w:p>
      <w:pPr>
        <w:sectPr>
          <w:pgSz w:w="11900" w:h="16838" w:orient="portrait"/>
          <w:cols w:equalWidth="0" w:num="3">
            <w:col w:w="2960" w:space="444"/>
            <w:col w:w="3596" w:space="296"/>
            <w:col w:w="3784"/>
          </w:cols>
          <w:pgMar w:left="320" w:top="454" w:right="499" w:bottom="1440" w:gutter="0" w:footer="0" w:header="0"/>
          <w:type w:val="continuous"/>
        </w:sectPr>
      </w:pPr>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Role of Compensation Consultants</w:t>
      </w:r>
    </w:p>
    <w:p>
      <w:pPr>
        <w:spacing w:after="0" w:line="101" w:lineRule="exact"/>
        <w:rPr>
          <w:sz w:val="20"/>
          <w:szCs w:val="20"/>
          <w:color w:val="auto"/>
        </w:rPr>
      </w:pPr>
    </w:p>
    <w:p>
      <w:pPr>
        <w:ind w:left="160" w:right="120"/>
        <w:spacing w:after="0" w:line="258" w:lineRule="auto"/>
        <w:rPr>
          <w:sz w:val="20"/>
          <w:szCs w:val="20"/>
          <w:color w:val="auto"/>
        </w:rPr>
      </w:pPr>
      <w:r>
        <w:rPr>
          <w:rFonts w:ascii="Arial" w:cs="Arial" w:eastAsia="Arial" w:hAnsi="Arial"/>
          <w:sz w:val="17"/>
          <w:szCs w:val="17"/>
          <w:color w:val="auto"/>
        </w:rPr>
        <w:t>The Committee retains an independent compensation consultant to advise the Committee in its review of senior executive compensation. For fiscal year 2021, the independent compensation consultant was ClearBridge Compensation Group LLC (“ClearBridge”). The Committee has the sole authority to retain and terminate the independent compensation consultant and to review and approve the firm’s fees and other retention terms. The Committee adopted a policy in 2008 requiring that its independent compensation consultant not provide services to the Company other than its services to the Committee, and ClearBridge did not provide any such services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74930</wp:posOffset>
            </wp:positionV>
            <wp:extent cx="6929755" cy="2374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196"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44</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80"/>
          </w:cols>
          <w:pgMar w:left="320" w:top="454" w:right="49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COMPENSATION DISCUSSION AND ANALYSIS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PEER GROUP COMPOSITION</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Fiscal Year 2021 Peer Group</w:t>
      </w:r>
    </w:p>
    <w:p>
      <w:pPr>
        <w:spacing w:after="0" w:line="101"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In reviewing senior executive compensation, the Committee considers data regarding the competitive market for comparable senior executive talent. The Committee reviews the peer group to be used for benchmarking NEO and other senior executive compensation packages with ClearBridge annually. The Committee seeks to include companies with which we compete for executive and creative talent and with a business of similar scope and complexity. The Committee also seeks to ensure that the number of companies in the peer group is sufficient to provide a degree of continuity year-over-year to avoid statistical distortion.</w:t>
      </w:r>
    </w:p>
    <w:p>
      <w:pPr>
        <w:spacing w:after="0" w:line="75" w:lineRule="exact"/>
        <w:rPr>
          <w:sz w:val="20"/>
          <w:szCs w:val="20"/>
          <w:color w:val="auto"/>
        </w:rPr>
      </w:pPr>
    </w:p>
    <w:p>
      <w:pPr>
        <w:ind w:left="160" w:right="200"/>
        <w:spacing w:after="0" w:line="249" w:lineRule="auto"/>
        <w:rPr>
          <w:sz w:val="20"/>
          <w:szCs w:val="20"/>
          <w:color w:val="auto"/>
        </w:rPr>
      </w:pPr>
      <w:r>
        <w:rPr>
          <w:rFonts w:ascii="Arial" w:cs="Arial" w:eastAsia="Arial" w:hAnsi="Arial"/>
          <w:sz w:val="18"/>
          <w:szCs w:val="18"/>
          <w:color w:val="auto"/>
        </w:rPr>
        <w:t>Following the Committee’s review for 2021, the Committee determined that the established peer group, below, continued to reflect those companies with which we compete for talent and that are of a similar size to the Company when measured by revenue and enterprise value and no changes were necessary.</w:t>
      </w:r>
    </w:p>
    <w:p>
      <w:pPr>
        <w:spacing w:after="0" w:line="97" w:lineRule="exact"/>
        <w:rPr>
          <w:sz w:val="20"/>
          <w:szCs w:val="20"/>
          <w:color w:val="auto"/>
        </w:rPr>
      </w:pPr>
    </w:p>
    <w:tbl>
      <w:tblPr>
        <w:tblLayout w:type="fixed"/>
        <w:tblInd w:w="2360" w:type="dxa"/>
        <w:tblCellMar>
          <w:top w:w="0" w:type="dxa"/>
          <w:left w:w="0" w:type="dxa"/>
          <w:bottom w:w="0" w:type="dxa"/>
          <w:right w:w="0" w:type="dxa"/>
        </w:tblCellMar>
      </w:tblPr>
      <w:tr>
        <w:trPr>
          <w:trHeight w:val="301"/>
        </w:trPr>
        <w:tc>
          <w:tcPr>
            <w:tcW w:w="2560" w:type="dxa"/>
            <w:vAlign w:val="bottom"/>
            <w:tcBorders>
              <w:bottom w:val="single" w:sz="8" w:color="051D49"/>
            </w:tcBorders>
            <w:shd w:val="clear" w:color="auto" w:fill="051D49"/>
          </w:tcPr>
          <w:p>
            <w:pPr>
              <w:spacing w:after="0"/>
              <w:rPr>
                <w:sz w:val="24"/>
                <w:szCs w:val="24"/>
                <w:color w:val="auto"/>
              </w:rPr>
            </w:pPr>
          </w:p>
        </w:tc>
        <w:tc>
          <w:tcPr>
            <w:tcW w:w="3980" w:type="dxa"/>
            <w:vAlign w:val="bottom"/>
            <w:tcBorders>
              <w:bottom w:val="single" w:sz="8" w:color="051D49"/>
            </w:tcBorders>
            <w:shd w:val="clear" w:color="auto" w:fill="051D49"/>
          </w:tcPr>
          <w:p>
            <w:pPr>
              <w:ind w:left="120"/>
              <w:spacing w:after="0"/>
              <w:rPr>
                <w:sz w:val="20"/>
                <w:szCs w:val="20"/>
                <w:color w:val="auto"/>
              </w:rPr>
            </w:pPr>
            <w:r>
              <w:rPr>
                <w:rFonts w:ascii="Arial" w:cs="Arial" w:eastAsia="Arial" w:hAnsi="Arial"/>
                <w:sz w:val="16"/>
                <w:szCs w:val="16"/>
                <w:color w:val="FFFFFF"/>
              </w:rPr>
              <w:t>2021 Peer Group</w:t>
            </w:r>
          </w:p>
        </w:tc>
      </w:tr>
      <w:tr>
        <w:trPr>
          <w:trHeight w:val="350"/>
        </w:trPr>
        <w:tc>
          <w:tcPr>
            <w:tcW w:w="2560" w:type="dxa"/>
            <w:vAlign w:val="bottom"/>
            <w:shd w:val="clear" w:color="auto" w:fill="E5E5E5"/>
          </w:tcPr>
          <w:p>
            <w:pPr>
              <w:ind w:left="60"/>
              <w:spacing w:after="0"/>
              <w:rPr>
                <w:sz w:val="20"/>
                <w:szCs w:val="20"/>
                <w:color w:val="auto"/>
              </w:rPr>
            </w:pPr>
            <w:r>
              <w:rPr>
                <w:rFonts w:ascii="Arial" w:cs="Arial" w:eastAsia="Arial" w:hAnsi="Arial"/>
                <w:sz w:val="18"/>
                <w:szCs w:val="18"/>
                <w:color w:val="auto"/>
              </w:rPr>
              <w:t>AT&amp;T Inc.</w:t>
            </w:r>
          </w:p>
        </w:tc>
        <w:tc>
          <w:tcPr>
            <w:tcW w:w="3980" w:type="dxa"/>
            <w:vAlign w:val="bottom"/>
            <w:shd w:val="clear" w:color="auto" w:fill="E5E5E5"/>
          </w:tcPr>
          <w:p>
            <w:pPr>
              <w:ind w:left="1040"/>
              <w:spacing w:after="0"/>
              <w:rPr>
                <w:sz w:val="20"/>
                <w:szCs w:val="20"/>
                <w:color w:val="auto"/>
              </w:rPr>
            </w:pPr>
            <w:r>
              <w:rPr>
                <w:rFonts w:ascii="Arial" w:cs="Arial" w:eastAsia="Arial" w:hAnsi="Arial"/>
                <w:sz w:val="18"/>
                <w:szCs w:val="18"/>
                <w:color w:val="auto"/>
              </w:rPr>
              <w:t>Liberty Global plc</w:t>
            </w:r>
          </w:p>
        </w:tc>
      </w:tr>
      <w:tr>
        <w:trPr>
          <w:trHeight w:val="321"/>
        </w:trPr>
        <w:tc>
          <w:tcPr>
            <w:tcW w:w="2560" w:type="dxa"/>
            <w:vAlign w:val="bottom"/>
            <w:shd w:val="clear" w:color="auto" w:fill="E5E5E5"/>
          </w:tcPr>
          <w:p>
            <w:pPr>
              <w:ind w:left="60"/>
              <w:spacing w:after="0"/>
              <w:rPr>
                <w:sz w:val="20"/>
                <w:szCs w:val="20"/>
                <w:color w:val="auto"/>
              </w:rPr>
            </w:pPr>
            <w:r>
              <w:rPr>
                <w:rFonts w:ascii="Arial" w:cs="Arial" w:eastAsia="Arial" w:hAnsi="Arial"/>
                <w:sz w:val="18"/>
                <w:szCs w:val="18"/>
                <w:color w:val="auto"/>
              </w:rPr>
              <w:t>Charter Communications, Inc.</w:t>
            </w:r>
          </w:p>
        </w:tc>
        <w:tc>
          <w:tcPr>
            <w:tcW w:w="3980" w:type="dxa"/>
            <w:vAlign w:val="bottom"/>
            <w:shd w:val="clear" w:color="auto" w:fill="E5E5E5"/>
          </w:tcPr>
          <w:p>
            <w:pPr>
              <w:ind w:left="1040"/>
              <w:spacing w:after="0"/>
              <w:rPr>
                <w:sz w:val="20"/>
                <w:szCs w:val="20"/>
                <w:color w:val="auto"/>
              </w:rPr>
            </w:pPr>
            <w:r>
              <w:rPr>
                <w:rFonts w:ascii="Arial" w:cs="Arial" w:eastAsia="Arial" w:hAnsi="Arial"/>
                <w:sz w:val="18"/>
                <w:szCs w:val="18"/>
                <w:color w:val="auto"/>
              </w:rPr>
              <w:t>Lions Gate Entertainment Corp.</w:t>
            </w:r>
          </w:p>
        </w:tc>
      </w:tr>
      <w:tr>
        <w:trPr>
          <w:trHeight w:val="321"/>
        </w:trPr>
        <w:tc>
          <w:tcPr>
            <w:tcW w:w="2560" w:type="dxa"/>
            <w:vAlign w:val="bottom"/>
            <w:shd w:val="clear" w:color="auto" w:fill="E5E5E5"/>
          </w:tcPr>
          <w:p>
            <w:pPr>
              <w:ind w:left="60"/>
              <w:spacing w:after="0"/>
              <w:rPr>
                <w:sz w:val="20"/>
                <w:szCs w:val="20"/>
                <w:color w:val="auto"/>
              </w:rPr>
            </w:pPr>
            <w:r>
              <w:rPr>
                <w:rFonts w:ascii="Arial" w:cs="Arial" w:eastAsia="Arial" w:hAnsi="Arial"/>
                <w:sz w:val="18"/>
                <w:szCs w:val="18"/>
                <w:color w:val="auto"/>
              </w:rPr>
              <w:t>Comcast Corporation</w:t>
            </w:r>
          </w:p>
        </w:tc>
        <w:tc>
          <w:tcPr>
            <w:tcW w:w="3980" w:type="dxa"/>
            <w:vAlign w:val="bottom"/>
            <w:shd w:val="clear" w:color="auto" w:fill="E5E5E5"/>
          </w:tcPr>
          <w:p>
            <w:pPr>
              <w:ind w:left="1040"/>
              <w:spacing w:after="0"/>
              <w:rPr>
                <w:sz w:val="20"/>
                <w:szCs w:val="20"/>
                <w:color w:val="auto"/>
              </w:rPr>
            </w:pPr>
            <w:r>
              <w:rPr>
                <w:rFonts w:ascii="Arial" w:cs="Arial" w:eastAsia="Arial" w:hAnsi="Arial"/>
                <w:sz w:val="18"/>
                <w:szCs w:val="18"/>
                <w:color w:val="auto"/>
              </w:rPr>
              <w:t>Netflix, Inc.</w:t>
            </w:r>
          </w:p>
        </w:tc>
      </w:tr>
      <w:tr>
        <w:trPr>
          <w:trHeight w:val="321"/>
        </w:trPr>
        <w:tc>
          <w:tcPr>
            <w:tcW w:w="2560" w:type="dxa"/>
            <w:vAlign w:val="bottom"/>
            <w:shd w:val="clear" w:color="auto" w:fill="E5E5E5"/>
          </w:tcPr>
          <w:p>
            <w:pPr>
              <w:ind w:left="60"/>
              <w:spacing w:after="0"/>
              <w:rPr>
                <w:sz w:val="20"/>
                <w:szCs w:val="20"/>
                <w:color w:val="auto"/>
              </w:rPr>
            </w:pPr>
            <w:r>
              <w:rPr>
                <w:rFonts w:ascii="Arial" w:cs="Arial" w:eastAsia="Arial" w:hAnsi="Arial"/>
                <w:sz w:val="18"/>
                <w:szCs w:val="18"/>
                <w:color w:val="auto"/>
              </w:rPr>
              <w:t>Discovery, Inc.</w:t>
            </w:r>
          </w:p>
        </w:tc>
        <w:tc>
          <w:tcPr>
            <w:tcW w:w="3980" w:type="dxa"/>
            <w:vAlign w:val="bottom"/>
            <w:shd w:val="clear" w:color="auto" w:fill="E5E5E5"/>
          </w:tcPr>
          <w:p>
            <w:pPr>
              <w:ind w:left="1040"/>
              <w:spacing w:after="0"/>
              <w:rPr>
                <w:sz w:val="20"/>
                <w:szCs w:val="20"/>
                <w:color w:val="auto"/>
              </w:rPr>
            </w:pPr>
            <w:r>
              <w:rPr>
                <w:rFonts w:ascii="Arial" w:cs="Arial" w:eastAsia="Arial" w:hAnsi="Arial"/>
                <w:sz w:val="18"/>
                <w:szCs w:val="18"/>
                <w:color w:val="auto"/>
              </w:rPr>
              <w:t>News Corporation</w:t>
            </w:r>
          </w:p>
        </w:tc>
      </w:tr>
      <w:tr>
        <w:trPr>
          <w:trHeight w:val="321"/>
        </w:trPr>
        <w:tc>
          <w:tcPr>
            <w:tcW w:w="2560" w:type="dxa"/>
            <w:vAlign w:val="bottom"/>
            <w:shd w:val="clear" w:color="auto" w:fill="E5E5E5"/>
          </w:tcPr>
          <w:p>
            <w:pPr>
              <w:ind w:left="60"/>
              <w:spacing w:after="0"/>
              <w:rPr>
                <w:sz w:val="20"/>
                <w:szCs w:val="20"/>
                <w:color w:val="auto"/>
              </w:rPr>
            </w:pPr>
            <w:r>
              <w:rPr>
                <w:rFonts w:ascii="Arial" w:cs="Arial" w:eastAsia="Arial" w:hAnsi="Arial"/>
                <w:sz w:val="18"/>
                <w:szCs w:val="18"/>
                <w:color w:val="auto"/>
              </w:rPr>
              <w:t>DISH Network Corp.</w:t>
            </w:r>
          </w:p>
        </w:tc>
        <w:tc>
          <w:tcPr>
            <w:tcW w:w="3980" w:type="dxa"/>
            <w:vAlign w:val="bottom"/>
            <w:shd w:val="clear" w:color="auto" w:fill="E5E5E5"/>
          </w:tcPr>
          <w:p>
            <w:pPr>
              <w:ind w:left="1040"/>
              <w:spacing w:after="0"/>
              <w:rPr>
                <w:sz w:val="20"/>
                <w:szCs w:val="20"/>
                <w:color w:val="auto"/>
              </w:rPr>
            </w:pPr>
            <w:r>
              <w:rPr>
                <w:rFonts w:ascii="Arial" w:cs="Arial" w:eastAsia="Arial" w:hAnsi="Arial"/>
                <w:sz w:val="18"/>
                <w:szCs w:val="18"/>
                <w:color w:val="auto"/>
              </w:rPr>
              <w:t>The Walt Disney Co.</w:t>
            </w:r>
          </w:p>
        </w:tc>
      </w:tr>
      <w:tr>
        <w:trPr>
          <w:trHeight w:val="321"/>
        </w:trPr>
        <w:tc>
          <w:tcPr>
            <w:tcW w:w="2560" w:type="dxa"/>
            <w:vAlign w:val="bottom"/>
            <w:shd w:val="clear" w:color="auto" w:fill="E5E5E5"/>
          </w:tcPr>
          <w:p>
            <w:pPr>
              <w:ind w:left="60"/>
              <w:spacing w:after="0"/>
              <w:rPr>
                <w:sz w:val="20"/>
                <w:szCs w:val="20"/>
                <w:color w:val="auto"/>
              </w:rPr>
            </w:pPr>
            <w:r>
              <w:rPr>
                <w:rFonts w:ascii="Arial" w:cs="Arial" w:eastAsia="Arial" w:hAnsi="Arial"/>
                <w:sz w:val="18"/>
                <w:szCs w:val="18"/>
                <w:color w:val="auto"/>
              </w:rPr>
              <w:t>Fox Corporation</w:t>
            </w:r>
          </w:p>
        </w:tc>
        <w:tc>
          <w:tcPr>
            <w:tcW w:w="3980" w:type="dxa"/>
            <w:vAlign w:val="bottom"/>
            <w:shd w:val="clear" w:color="auto" w:fill="E5E5E5"/>
          </w:tcPr>
          <w:p>
            <w:pPr>
              <w:spacing w:after="0"/>
              <w:rPr>
                <w:sz w:val="24"/>
                <w:szCs w:val="24"/>
                <w:color w:val="auto"/>
              </w:rPr>
            </w:pPr>
          </w:p>
        </w:tc>
      </w:tr>
      <w:tr>
        <w:trPr>
          <w:trHeight w:val="238"/>
        </w:trPr>
        <w:tc>
          <w:tcPr>
            <w:tcW w:w="2560" w:type="dxa"/>
            <w:vAlign w:val="bottom"/>
            <w:shd w:val="clear" w:color="auto" w:fill="E5E5E5"/>
          </w:tcPr>
          <w:p>
            <w:pPr>
              <w:spacing w:after="0"/>
              <w:rPr>
                <w:sz w:val="20"/>
                <w:szCs w:val="20"/>
                <w:color w:val="auto"/>
              </w:rPr>
            </w:pPr>
          </w:p>
        </w:tc>
        <w:tc>
          <w:tcPr>
            <w:tcW w:w="3980" w:type="dxa"/>
            <w:vAlign w:val="bottom"/>
            <w:shd w:val="clear" w:color="auto" w:fill="E5E5E5"/>
          </w:tcPr>
          <w:p>
            <w:pPr>
              <w:spacing w:after="0"/>
              <w:rPr>
                <w:sz w:val="20"/>
                <w:szCs w:val="20"/>
                <w:color w:val="auto"/>
              </w:rPr>
            </w:pPr>
          </w:p>
        </w:tc>
      </w:tr>
    </w:tbl>
    <w:p>
      <w:pPr>
        <w:spacing w:after="0" w:line="88"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The Committee believes that utilizing data from this peer group will continue to allow it to evaluate our NEO compensation to attract, retain and appropriately compensate our executives, while preserving sufficient year-over-year continuity of our peer group. The Committee will continue to use the publicly reported NEO compensation data from companies in this group as reference points in assessing the compensation levels for our NEOs. Consistent with its past practice and overall compensation philosophy, the Committee does not target a benchmark level of compensation and intends to continue to refrain from doing so. The Committee will also maintain its practice of considering the scope of each NEO’s responsibility and his or her length of time in the role, in addition to other factors.</w:t>
      </w:r>
    </w:p>
    <w:p>
      <w:pPr>
        <w:spacing w:after="0" w:line="74" w:lineRule="exact"/>
        <w:rPr>
          <w:sz w:val="20"/>
          <w:szCs w:val="20"/>
          <w:color w:val="auto"/>
        </w:rPr>
      </w:pPr>
    </w:p>
    <w:p>
      <w:pPr>
        <w:ind w:left="160" w:right="240"/>
        <w:spacing w:after="0" w:line="265" w:lineRule="auto"/>
        <w:rPr>
          <w:sz w:val="20"/>
          <w:szCs w:val="20"/>
          <w:color w:val="auto"/>
        </w:rPr>
      </w:pPr>
      <w:r>
        <w:rPr>
          <w:rFonts w:ascii="Arial" w:cs="Arial" w:eastAsia="Arial" w:hAnsi="Arial"/>
          <w:sz w:val="18"/>
          <w:szCs w:val="18"/>
          <w:color w:val="auto"/>
        </w:rPr>
        <w:t>For 2022, the Committee determined not to make any changes to the peer group. The Committee will continue to review our peer group on an ongoing basis and adjust the composition of the peer group as appropriate to ensure its continued relevance.</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FISCAL YEAR 2021 COMPENSATION</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Changes in NEOs’ Compensation Arrangements in 2021</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did not make any changes to our NEOs’ compensation levels with respect to fiscal year 2021.</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Fiscal Year 2021 Compensation Elements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Committee’s decisions with respect to fiscal year 2021 compensation are discussed below.</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Base Salary</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reviewing proposals for changes to base salary for NEOs, the Committee considers the following:</w:t>
      </w:r>
    </w:p>
    <w:p>
      <w:pPr>
        <w:spacing w:after="0" w:line="114" w:lineRule="exact"/>
        <w:rPr>
          <w:sz w:val="20"/>
          <w:szCs w:val="20"/>
          <w:color w:val="auto"/>
        </w:rPr>
      </w:pPr>
    </w:p>
    <w:p>
      <w:pPr>
        <w:ind w:left="380" w:hanging="213"/>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Appropriate competitive compensation data for the position;</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 salary level for the executive in relation to the executive’s total target compensation;</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 salary level as it relates to the allocation of fixed versus at risk compensation;</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Input and recommendations of the Chief Executive Officer (for NEOs other than himself);</w:t>
      </w:r>
    </w:p>
    <w:p>
      <w:pPr>
        <w:spacing w:after="0" w:line="160"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45</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46" w:lineRule="exact"/>
        <w:rPr>
          <w:sz w:val="20"/>
          <w:szCs w:val="20"/>
          <w:color w:val="auto"/>
        </w:rPr>
      </w:pPr>
    </w:p>
    <w:p>
      <w:pPr>
        <w:ind w:left="380" w:hanging="213"/>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level of the annual merit increase budget across the Company as a whole;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Existing contractual obligations, if any.</w:t>
      </w:r>
    </w:p>
    <w:p>
      <w:pPr>
        <w:spacing w:after="0" w:line="3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Annual Bonus Awards</w:t>
      </w:r>
    </w:p>
    <w:p>
      <w:pPr>
        <w:spacing w:after="0" w:line="99" w:lineRule="exact"/>
        <w:rPr>
          <w:sz w:val="20"/>
          <w:szCs w:val="20"/>
          <w:color w:val="auto"/>
        </w:rPr>
      </w:pPr>
    </w:p>
    <w:p>
      <w:pPr>
        <w:jc w:val="both"/>
        <w:ind w:left="160" w:right="280"/>
        <w:spacing w:after="0" w:line="249" w:lineRule="auto"/>
        <w:rPr>
          <w:sz w:val="20"/>
          <w:szCs w:val="20"/>
          <w:color w:val="auto"/>
        </w:rPr>
      </w:pPr>
      <w:r>
        <w:rPr>
          <w:rFonts w:ascii="Arial" w:cs="Arial" w:eastAsia="Arial" w:hAnsi="Arial"/>
          <w:sz w:val="18"/>
          <w:szCs w:val="18"/>
          <w:color w:val="auto"/>
        </w:rPr>
        <w:t>We use annual cash bonuses to reward achievement of financial performance and individual strategic and operational objectives under our STIP, which is the same bonus program in which our broader bonus-eligible employee base participates. In establishing the bonus program for 2021, the following process was utilized:</w:t>
      </w:r>
    </w:p>
    <w:p>
      <w:pPr>
        <w:spacing w:after="0" w:line="78" w:lineRule="exact"/>
        <w:rPr>
          <w:sz w:val="20"/>
          <w:szCs w:val="20"/>
          <w:color w:val="auto"/>
        </w:rPr>
      </w:pPr>
    </w:p>
    <w:p>
      <w:pPr>
        <w:ind w:left="600" w:hanging="433"/>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the beginning of the fiscal year:</w:t>
      </w:r>
    </w:p>
    <w:p>
      <w:pPr>
        <w:spacing w:after="0" w:line="100" w:lineRule="exact"/>
        <w:rPr>
          <w:rFonts w:ascii="Arial" w:cs="Arial" w:eastAsia="Arial" w:hAnsi="Arial"/>
          <w:sz w:val="18"/>
          <w:szCs w:val="18"/>
          <w:color w:val="auto"/>
        </w:rPr>
      </w:pPr>
    </w:p>
    <w:p>
      <w:pPr>
        <w:ind w:left="600"/>
        <w:spacing w:after="0" w:line="265" w:lineRule="auto"/>
        <w:rPr>
          <w:rFonts w:ascii="Arial" w:cs="Arial" w:eastAsia="Arial" w:hAnsi="Arial"/>
          <w:sz w:val="18"/>
          <w:szCs w:val="18"/>
          <w:color w:val="auto"/>
        </w:rPr>
      </w:pPr>
      <w:r>
        <w:rPr>
          <w:rFonts w:ascii="Arial" w:cs="Arial" w:eastAsia="Arial" w:hAnsi="Arial"/>
          <w:sz w:val="18"/>
          <w:szCs w:val="18"/>
          <w:i w:val="1"/>
          <w:iCs w:val="1"/>
          <w:color w:val="auto"/>
        </w:rPr>
        <w:t>Approval of the 2021 STIP Design</w:t>
      </w:r>
      <w:r>
        <w:rPr>
          <w:rFonts w:ascii="Arial" w:cs="Arial" w:eastAsia="Arial" w:hAnsi="Arial"/>
          <w:sz w:val="18"/>
          <w:szCs w:val="18"/>
          <w:color w:val="auto"/>
        </w:rPr>
        <w:t>. The Committee approved the framework under which individual bonus amounts for NEOs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other bonus-eligible employees) would be determined under the STIP, which consisted of two steps.</w:t>
      </w:r>
    </w:p>
    <w:p>
      <w:pPr>
        <w:spacing w:after="0" w:line="64" w:lineRule="exact"/>
        <w:rPr>
          <w:rFonts w:ascii="Arial" w:cs="Arial" w:eastAsia="Arial" w:hAnsi="Arial"/>
          <w:sz w:val="18"/>
          <w:szCs w:val="18"/>
          <w:color w:val="auto"/>
        </w:rPr>
      </w:pPr>
    </w:p>
    <w:p>
      <w:pPr>
        <w:ind w:left="1140" w:right="260" w:hanging="545"/>
        <w:spacing w:after="0" w:line="243" w:lineRule="auto"/>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Step 1: At or shortly following the end of fiscal year 2021, the Committee will assess the degree of achievement against the quantitative and qualitative performance goals previously set for fiscal year 2021, which will provide a preliminary bonus funding percentage for each NEO. For the quantitative performance goals, bonus amounts will be assessed in relation to pre-established threshold, target and maximum goals.</w:t>
      </w:r>
    </w:p>
    <w:p>
      <w:pPr>
        <w:spacing w:after="0" w:line="84" w:lineRule="exact"/>
        <w:rPr>
          <w:rFonts w:ascii="Arial" w:cs="Arial" w:eastAsia="Arial" w:hAnsi="Arial"/>
          <w:sz w:val="18"/>
          <w:szCs w:val="18"/>
          <w:color w:val="auto"/>
        </w:rPr>
      </w:pPr>
    </w:p>
    <w:p>
      <w:pPr>
        <w:ind w:left="1140" w:right="440" w:hanging="545"/>
        <w:spacing w:after="0" w:line="249" w:lineRule="auto"/>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Step 2: The Committee will have the opportunity to modify the preliminary bonus amount for each NEO based on the Committee’s assessment of each NEO’s individual performance for fiscal year 2021 after consideration of management’s recommendation.</w:t>
      </w:r>
    </w:p>
    <w:p>
      <w:pPr>
        <w:spacing w:after="0" w:line="65" w:lineRule="exact"/>
        <w:rPr>
          <w:sz w:val="20"/>
          <w:szCs w:val="20"/>
          <w:color w:val="auto"/>
        </w:rPr>
      </w:pPr>
    </w:p>
    <w:p>
      <w:pPr>
        <w:ind w:left="600" w:right="40"/>
        <w:spacing w:after="0" w:line="249" w:lineRule="auto"/>
        <w:rPr>
          <w:sz w:val="20"/>
          <w:szCs w:val="20"/>
          <w:color w:val="auto"/>
        </w:rPr>
      </w:pPr>
      <w:r>
        <w:rPr>
          <w:rFonts w:ascii="Arial" w:cs="Arial" w:eastAsia="Arial" w:hAnsi="Arial"/>
          <w:sz w:val="18"/>
          <w:szCs w:val="18"/>
          <w:color w:val="auto"/>
        </w:rPr>
        <w:t>This two-step approach reflects the Committee’s view that Company-wide quantitative and qualitative performance, in combination with individual performance, should be the factors used in determining bonuses for NEOs. To avoid undue risk taking, the Committee determined that the final STIP payout for any NEO may not exceed 200% of the NEO’s target bonus amount.</w:t>
      </w:r>
    </w:p>
    <w:p>
      <w:pPr>
        <w:spacing w:after="0" w:line="65" w:lineRule="exact"/>
        <w:rPr>
          <w:sz w:val="20"/>
          <w:szCs w:val="20"/>
          <w:color w:val="auto"/>
        </w:rPr>
      </w:pPr>
    </w:p>
    <w:p>
      <w:pPr>
        <w:ind w:left="600" w:right="300"/>
        <w:spacing w:after="0" w:line="243" w:lineRule="auto"/>
        <w:rPr>
          <w:sz w:val="20"/>
          <w:szCs w:val="20"/>
          <w:color w:val="auto"/>
        </w:rPr>
      </w:pPr>
      <w:r>
        <w:rPr>
          <w:rFonts w:ascii="Arial" w:cs="Arial" w:eastAsia="Arial" w:hAnsi="Arial"/>
          <w:sz w:val="18"/>
          <w:szCs w:val="18"/>
          <w:i w:val="1"/>
          <w:iCs w:val="1"/>
          <w:color w:val="auto"/>
        </w:rPr>
        <w:t>Setting the 2021 STIP Performance Goals</w:t>
      </w:r>
      <w:r>
        <w:rPr>
          <w:rFonts w:ascii="Arial" w:cs="Arial" w:eastAsia="Arial" w:hAnsi="Arial"/>
          <w:sz w:val="18"/>
          <w:szCs w:val="18"/>
          <w:color w:val="auto"/>
        </w:rPr>
        <w:t>. The Committee established the quantitative performance goals applicable to the 2021</w:t>
      </w:r>
      <w:r>
        <w:rPr>
          <w:rFonts w:ascii="Arial" w:cs="Arial" w:eastAsia="Arial" w:hAnsi="Arial"/>
          <w:sz w:val="18"/>
          <w:szCs w:val="18"/>
          <w:i w:val="1"/>
          <w:iCs w:val="1"/>
          <w:color w:val="auto"/>
        </w:rPr>
        <w:t xml:space="preserve"> </w:t>
      </w:r>
      <w:r>
        <w:rPr>
          <w:rFonts w:ascii="Arial" w:cs="Arial" w:eastAsia="Arial" w:hAnsi="Arial"/>
          <w:sz w:val="18"/>
          <w:szCs w:val="18"/>
          <w:color w:val="auto"/>
        </w:rPr>
        <w:t>STIP, which were not certain of achievement at the time they were set, and the qualitative performance factors for the year. The goals were developed to encourage and reinforce a “One Paramount” mindset, as well as incentivize maximizing our traditional businesses to help drive our streaming growth.</w:t>
      </w:r>
    </w:p>
    <w:p>
      <w:pPr>
        <w:spacing w:after="0" w:line="71" w:lineRule="exact"/>
        <w:rPr>
          <w:sz w:val="20"/>
          <w:szCs w:val="20"/>
          <w:color w:val="auto"/>
        </w:rPr>
      </w:pPr>
    </w:p>
    <w:p>
      <w:pPr>
        <w:ind w:left="600"/>
        <w:spacing w:after="0" w:line="243" w:lineRule="auto"/>
        <w:rPr>
          <w:sz w:val="20"/>
          <w:szCs w:val="20"/>
          <w:color w:val="auto"/>
        </w:rPr>
      </w:pPr>
      <w:r>
        <w:rPr>
          <w:rFonts w:ascii="Arial" w:cs="Arial" w:eastAsia="Arial" w:hAnsi="Arial"/>
          <w:sz w:val="18"/>
          <w:szCs w:val="18"/>
          <w:color w:val="auto"/>
        </w:rPr>
        <w:t>In setting the 2021 STIP quantitative performance goals, the Committee sought to establish performance goals that were meaningful, challenging, and designed to motivate collaborative performance, without encouraging senior executives to engage in excessively risky business activities in order to achieve unattainable goals or overcome lower results caused by unforeseen events. The Committee determined to base 2021 STIP bonus amounts on the following structure:</w:t>
      </w:r>
    </w:p>
    <w:p>
      <w:pPr>
        <w:spacing w:after="0" w:line="85" w:lineRule="exact"/>
        <w:rPr>
          <w:sz w:val="20"/>
          <w:szCs w:val="20"/>
          <w:color w:val="auto"/>
        </w:rPr>
      </w:pPr>
    </w:p>
    <w:p>
      <w:pPr>
        <w:ind w:left="1140" w:right="40" w:hanging="545"/>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80% based on the degree of achievement of pre-established quantitative performance goals (</w:t>
      </w:r>
      <w:r>
        <w:rPr>
          <w:rFonts w:ascii="Arial" w:cs="Arial" w:eastAsia="Arial" w:hAnsi="Arial"/>
          <w:sz w:val="18"/>
          <w:szCs w:val="18"/>
          <w:i w:val="1"/>
          <w:iCs w:val="1"/>
          <w:color w:val="auto"/>
        </w:rPr>
        <w:t>i.e.,</w:t>
      </w:r>
      <w:r>
        <w:rPr>
          <w:rFonts w:ascii="Arial" w:cs="Arial" w:eastAsia="Arial" w:hAnsi="Arial"/>
          <w:sz w:val="18"/>
          <w:szCs w:val="18"/>
          <w:color w:val="auto"/>
        </w:rPr>
        <w:t xml:space="preserve"> collectively, the quantitative performance factor, calculated using weighted average of the payout percentage set for the applicable achievement level). The threshold, target and maximum goals associated with each metric are established annually so that they remain rigorous and in line with our strategic plan. The target established for each metric was set as follows: OIBDA, $4.528 billion; Free Cash Flow, $1.231 billion; Streaming Subscribers, 46 million; and Streaming Revenue, $3.762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29755" cy="2374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12"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46</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80"/>
          </w:cols>
          <w:pgMar w:left="320" w:top="454" w:right="4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7540"/>
        <w:spacing w:after="0"/>
        <w:rPr>
          <w:sz w:val="20"/>
          <w:szCs w:val="20"/>
          <w:color w:val="auto"/>
        </w:rPr>
      </w:pPr>
      <w:r>
        <w:rPr>
          <w:rFonts w:ascii="Arial" w:cs="Arial" w:eastAsia="Arial" w:hAnsi="Arial"/>
          <w:sz w:val="15"/>
          <w:szCs w:val="15"/>
          <w:color w:val="auto"/>
        </w:rPr>
        <w:t>COMPENSATION DISCUSSION AND ANALYSIS</w:t>
      </w:r>
    </w:p>
    <w:p>
      <w:pPr>
        <w:spacing w:after="0" w:line="157" w:lineRule="exact"/>
        <w:rPr>
          <w:sz w:val="20"/>
          <w:szCs w:val="20"/>
          <w:color w:val="auto"/>
        </w:rPr>
      </w:pPr>
    </w:p>
    <w:p>
      <w:pPr>
        <w:ind w:left="600" w:right="120"/>
        <w:spacing w:after="0" w:line="265" w:lineRule="auto"/>
        <w:rPr>
          <w:sz w:val="20"/>
          <w:szCs w:val="20"/>
          <w:color w:val="auto"/>
        </w:rPr>
      </w:pPr>
      <w:r>
        <w:rPr>
          <w:rFonts w:ascii="Arial" w:cs="Arial" w:eastAsia="Arial" w:hAnsi="Arial"/>
          <w:sz w:val="18"/>
          <w:szCs w:val="18"/>
          <w:color w:val="auto"/>
        </w:rPr>
        <w:t>The following chart explains the Committee’s rationale in selecting OIBDA, FCF, Streaming Subscribers and Streaming Revenue as the applicable quantitative performance metrics, and the manner in which each such metric is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35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16" w:lineRule="exact"/>
        <w:rPr>
          <w:sz w:val="20"/>
          <w:szCs w:val="20"/>
          <w:color w:val="auto"/>
        </w:rPr>
      </w:pPr>
    </w:p>
    <w:p>
      <w:pPr>
        <w:ind w:left="3280"/>
        <w:spacing w:after="0"/>
        <w:tabs>
          <w:tab w:leader="none" w:pos="5740" w:val="left"/>
        </w:tabs>
        <w:rPr>
          <w:sz w:val="20"/>
          <w:szCs w:val="20"/>
          <w:color w:val="auto"/>
        </w:rPr>
      </w:pPr>
      <w:r>
        <w:rPr>
          <w:rFonts w:ascii="Arial" w:cs="Arial" w:eastAsia="Arial" w:hAnsi="Arial"/>
          <w:sz w:val="16"/>
          <w:szCs w:val="16"/>
          <w:color w:val="051D49"/>
        </w:rPr>
        <w:t>Performance Metric</w:t>
      </w:r>
      <w:r>
        <w:rPr>
          <w:sz w:val="20"/>
          <w:szCs w:val="20"/>
          <w:color w:val="auto"/>
        </w:rPr>
        <w:tab/>
      </w:r>
      <w:r>
        <w:rPr>
          <w:rFonts w:ascii="Arial" w:cs="Arial" w:eastAsia="Arial" w:hAnsi="Arial"/>
          <w:sz w:val="16"/>
          <w:szCs w:val="16"/>
          <w:color w:val="051D49"/>
        </w:rPr>
        <w:t>Why Chosen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-107315</wp:posOffset>
            </wp:positionV>
            <wp:extent cx="5061585" cy="1187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61585" cy="118745"/>
                    </a:xfrm>
                    <a:prstGeom prst="rect">
                      <a:avLst/>
                    </a:prstGeom>
                    <a:noFill/>
                  </pic:spPr>
                </pic:pic>
              </a:graphicData>
            </a:graphic>
          </wp:anchor>
        </w:drawing>
      </w:r>
    </w:p>
    <w:p>
      <w:pPr>
        <w:spacing w:after="0" w:line="2" w:lineRule="exact"/>
        <w:rPr>
          <w:sz w:val="20"/>
          <w:szCs w:val="20"/>
          <w:color w:val="auto"/>
        </w:rPr>
      </w:pPr>
    </w:p>
    <w:p>
      <w:pPr>
        <w:ind w:left="3280"/>
        <w:spacing w:after="0"/>
        <w:tabs>
          <w:tab w:leader="none" w:pos="5060" w:val="left"/>
        </w:tabs>
        <w:rPr>
          <w:sz w:val="20"/>
          <w:szCs w:val="20"/>
          <w:color w:val="auto"/>
        </w:rPr>
      </w:pPr>
      <w:r>
        <w:rPr>
          <w:rFonts w:ascii="Arial" w:cs="Arial" w:eastAsia="Arial" w:hAnsi="Arial"/>
          <w:sz w:val="14"/>
          <w:szCs w:val="14"/>
          <w:color w:val="auto"/>
        </w:rPr>
        <w:t>Operating Income</w:t>
      </w:r>
      <w:r>
        <w:rPr>
          <w:sz w:val="20"/>
          <w:szCs w:val="20"/>
          <w:color w:val="auto"/>
        </w:rPr>
        <w:tab/>
      </w:r>
      <w:r>
        <w:rPr>
          <w:rFonts w:ascii="Arial" w:cs="Arial" w:eastAsia="Arial" w:hAnsi="Arial"/>
          <w:sz w:val="14"/>
          <w:szCs w:val="14"/>
          <w:color w:val="auto"/>
        </w:rPr>
        <w:t>An important indicator of our</w:t>
      </w:r>
    </w:p>
    <w:p>
      <w:pPr>
        <w:ind w:left="3280"/>
        <w:spacing w:after="0"/>
        <w:tabs>
          <w:tab w:leader="none" w:pos="5060" w:val="left"/>
        </w:tabs>
        <w:rPr>
          <w:sz w:val="20"/>
          <w:szCs w:val="20"/>
          <w:color w:val="auto"/>
        </w:rPr>
      </w:pPr>
      <w:r>
        <w:rPr>
          <w:rFonts w:ascii="Arial" w:cs="Arial" w:eastAsia="Arial" w:hAnsi="Arial"/>
          <w:sz w:val="14"/>
          <w:szCs w:val="14"/>
          <w:color w:val="auto"/>
        </w:rPr>
        <w:t>Before Depreciation</w:t>
      </w:r>
      <w:r>
        <w:rPr>
          <w:sz w:val="20"/>
          <w:szCs w:val="20"/>
          <w:color w:val="auto"/>
        </w:rPr>
        <w:tab/>
      </w:r>
      <w:r>
        <w:rPr>
          <w:rFonts w:ascii="Arial" w:cs="Arial" w:eastAsia="Arial" w:hAnsi="Arial"/>
          <w:sz w:val="14"/>
          <w:szCs w:val="14"/>
          <w:color w:val="auto"/>
        </w:rPr>
        <w:t>operational strength and</w:t>
      </w:r>
    </w:p>
    <w:p>
      <w:pPr>
        <w:ind w:left="3280"/>
        <w:spacing w:after="0"/>
        <w:tabs>
          <w:tab w:leader="none" w:pos="5060" w:val="left"/>
        </w:tabs>
        <w:rPr>
          <w:sz w:val="20"/>
          <w:szCs w:val="20"/>
          <w:color w:val="auto"/>
        </w:rPr>
      </w:pPr>
      <w:r>
        <w:rPr>
          <w:rFonts w:ascii="Arial" w:cs="Arial" w:eastAsia="Arial" w:hAnsi="Arial"/>
          <w:sz w:val="14"/>
          <w:szCs w:val="14"/>
          <w:color w:val="auto"/>
        </w:rPr>
        <w:t>and Amortization</w:t>
      </w:r>
      <w:r>
        <w:rPr>
          <w:sz w:val="20"/>
          <w:szCs w:val="20"/>
          <w:color w:val="auto"/>
        </w:rPr>
        <w:tab/>
      </w:r>
      <w:r>
        <w:rPr>
          <w:rFonts w:ascii="Arial" w:cs="Arial" w:eastAsia="Arial" w:hAnsi="Arial"/>
          <w:sz w:val="14"/>
          <w:szCs w:val="14"/>
          <w:color w:val="auto"/>
        </w:rPr>
        <w:t>performance, as it measures</w:t>
      </w:r>
    </w:p>
    <w:p>
      <w:pPr>
        <w:ind w:left="5080" w:hanging="1787"/>
        <w:spacing w:after="0" w:line="245" w:lineRule="auto"/>
        <w:tabs>
          <w:tab w:leader="none" w:pos="5060" w:val="left"/>
        </w:tabs>
        <w:rPr>
          <w:sz w:val="20"/>
          <w:szCs w:val="20"/>
          <w:color w:val="auto"/>
        </w:rPr>
      </w:pPr>
      <w:r>
        <w:rPr>
          <w:rFonts w:ascii="Arial" w:cs="Arial" w:eastAsia="Arial" w:hAnsi="Arial"/>
          <w:sz w:val="14"/>
          <w:szCs w:val="14"/>
          <w:color w:val="auto"/>
        </w:rPr>
        <w:t>(OIBDA) Weighting: 25%</w:t>
        <w:tab/>
        <w:t>efficiency and profitability and incentivizes management to better control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-34925</wp:posOffset>
            </wp:positionV>
            <wp:extent cx="6887210" cy="1545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87210" cy="1545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051D49"/>
        </w:rPr>
        <w:t>How Calculated</w:t>
      </w:r>
    </w:p>
    <w:p>
      <w:pPr>
        <w:spacing w:after="0" w:line="22"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Using our 2021 budget for OIBDA and then adjusting for items, if any, approved by the Committee that would otherwise distort the calculation of the performance goal.</w:t>
      </w:r>
    </w:p>
    <w:p>
      <w:pPr>
        <w:spacing w:after="0" w:line="474" w:lineRule="exact"/>
        <w:rPr>
          <w:sz w:val="20"/>
          <w:szCs w:val="20"/>
          <w:color w:val="auto"/>
        </w:rPr>
      </w:pPr>
    </w:p>
    <w:p>
      <w:pPr>
        <w:sectPr>
          <w:pgSz w:w="11900" w:h="16838" w:orient="portrait"/>
          <w:cols w:equalWidth="0" w:num="2">
            <w:col w:w="7240" w:space="240"/>
            <w:col w:w="3600"/>
          </w:cols>
          <w:pgMar w:left="320" w:top="454" w:right="499" w:bottom="1440" w:gutter="0" w:footer="0" w:header="0"/>
          <w:type w:val="continuous"/>
        </w:sectPr>
      </w:pPr>
    </w:p>
    <w:p>
      <w:pPr>
        <w:ind w:left="3280"/>
        <w:spacing w:after="0"/>
        <w:tabs>
          <w:tab w:leader="none" w:pos="5060" w:val="left"/>
        </w:tabs>
        <w:rPr>
          <w:sz w:val="20"/>
          <w:szCs w:val="20"/>
          <w:color w:val="auto"/>
        </w:rPr>
      </w:pPr>
      <w:r>
        <w:rPr>
          <w:rFonts w:ascii="Arial" w:cs="Arial" w:eastAsia="Arial" w:hAnsi="Arial"/>
          <w:sz w:val="14"/>
          <w:szCs w:val="14"/>
          <w:color w:val="auto"/>
        </w:rPr>
        <w:t>Free Cash Flow</w:t>
      </w:r>
      <w:r>
        <w:rPr>
          <w:sz w:val="20"/>
          <w:szCs w:val="20"/>
          <w:color w:val="auto"/>
        </w:rPr>
        <w:tab/>
      </w:r>
      <w:r>
        <w:rPr>
          <w:rFonts w:ascii="Arial" w:cs="Arial" w:eastAsia="Arial" w:hAnsi="Arial"/>
          <w:sz w:val="14"/>
          <w:szCs w:val="14"/>
          <w:color w:val="auto"/>
        </w:rPr>
        <w:t>Provides a clear view of our ability</w:t>
      </w:r>
    </w:p>
    <w:p>
      <w:pPr>
        <w:ind w:left="3280"/>
        <w:spacing w:after="0"/>
        <w:tabs>
          <w:tab w:leader="none" w:pos="5060" w:val="left"/>
        </w:tabs>
        <w:rPr>
          <w:sz w:val="20"/>
          <w:szCs w:val="20"/>
          <w:color w:val="auto"/>
        </w:rPr>
      </w:pPr>
      <w:r>
        <w:rPr>
          <w:rFonts w:ascii="Arial" w:cs="Arial" w:eastAsia="Arial" w:hAnsi="Arial"/>
          <w:sz w:val="14"/>
          <w:szCs w:val="14"/>
          <w:color w:val="auto"/>
        </w:rPr>
        <w:t>(FCF) Weighting: 15%</w:t>
      </w:r>
      <w:r>
        <w:rPr>
          <w:sz w:val="20"/>
          <w:szCs w:val="20"/>
          <w:color w:val="auto"/>
        </w:rPr>
        <w:tab/>
      </w:r>
      <w:r>
        <w:rPr>
          <w:rFonts w:ascii="Arial" w:cs="Arial" w:eastAsia="Arial" w:hAnsi="Arial"/>
          <w:sz w:val="14"/>
          <w:szCs w:val="14"/>
          <w:color w:val="auto"/>
        </w:rPr>
        <w:t>to generate cash (and thus profits),</w:t>
      </w:r>
    </w:p>
    <w:p>
      <w:pPr>
        <w:ind w:left="5080"/>
        <w:spacing w:after="0"/>
        <w:rPr>
          <w:sz w:val="20"/>
          <w:szCs w:val="20"/>
          <w:color w:val="auto"/>
        </w:rPr>
      </w:pPr>
      <w:r>
        <w:rPr>
          <w:rFonts w:ascii="Arial" w:cs="Arial" w:eastAsia="Arial" w:hAnsi="Arial"/>
          <w:sz w:val="14"/>
          <w:szCs w:val="14"/>
          <w:color w:val="auto"/>
        </w:rPr>
        <w:t>which allows us to pursue</w:t>
      </w:r>
    </w:p>
    <w:p>
      <w:pPr>
        <w:ind w:left="5080"/>
        <w:spacing w:after="0"/>
        <w:rPr>
          <w:sz w:val="20"/>
          <w:szCs w:val="20"/>
          <w:color w:val="auto"/>
        </w:rPr>
      </w:pPr>
      <w:r>
        <w:rPr>
          <w:rFonts w:ascii="Arial" w:cs="Arial" w:eastAsia="Arial" w:hAnsi="Arial"/>
          <w:sz w:val="14"/>
          <w:szCs w:val="14"/>
          <w:color w:val="auto"/>
        </w:rPr>
        <w:t>opportunities that enhance</w:t>
      </w:r>
    </w:p>
    <w:p>
      <w:pPr>
        <w:ind w:left="5080"/>
        <w:spacing w:after="0"/>
        <w:rPr>
          <w:sz w:val="20"/>
          <w:szCs w:val="20"/>
          <w:color w:val="auto"/>
        </w:rPr>
      </w:pPr>
      <w:r>
        <w:rPr>
          <w:rFonts w:ascii="Arial" w:cs="Arial" w:eastAsia="Arial" w:hAnsi="Arial"/>
          <w:sz w:val="14"/>
          <w:szCs w:val="14"/>
          <w:color w:val="auto"/>
        </w:rPr>
        <w:t>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55880</wp:posOffset>
            </wp:positionV>
            <wp:extent cx="50615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615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49" w:lineRule="auto"/>
        <w:rPr>
          <w:sz w:val="20"/>
          <w:szCs w:val="20"/>
          <w:color w:val="auto"/>
        </w:rPr>
      </w:pPr>
      <w:r>
        <w:rPr>
          <w:rFonts w:ascii="Arial" w:cs="Arial" w:eastAsia="Arial" w:hAnsi="Arial"/>
          <w:sz w:val="14"/>
          <w:szCs w:val="14"/>
          <w:color w:val="auto"/>
        </w:rPr>
        <w:t>Using our 2021 budget for FCF and then adjusting for items, if any, approved by the Committee that would otherwise distort the calculation of the performance goal.</w:t>
      </w:r>
    </w:p>
    <w:p>
      <w:pPr>
        <w:spacing w:after="0" w:line="393" w:lineRule="exact"/>
        <w:rPr>
          <w:sz w:val="20"/>
          <w:szCs w:val="20"/>
          <w:color w:val="auto"/>
        </w:rPr>
      </w:pPr>
    </w:p>
    <w:p>
      <w:pPr>
        <w:sectPr>
          <w:pgSz w:w="11900" w:h="16838" w:orient="portrait"/>
          <w:cols w:equalWidth="0" w:num="2">
            <w:col w:w="7280" w:space="200"/>
            <w:col w:w="3600"/>
          </w:cols>
          <w:pgMar w:left="320" w:top="454" w:right="499" w:bottom="1440" w:gutter="0" w:footer="0" w:header="0"/>
          <w:type w:val="continuous"/>
        </w:sectPr>
      </w:pPr>
    </w:p>
    <w:p>
      <w:pPr>
        <w:ind w:left="3280"/>
        <w:spacing w:after="0"/>
        <w:tabs>
          <w:tab w:leader="none" w:pos="5060" w:val="left"/>
        </w:tabs>
        <w:rPr>
          <w:sz w:val="20"/>
          <w:szCs w:val="20"/>
          <w:color w:val="auto"/>
        </w:rPr>
      </w:pPr>
      <w:r>
        <w:rPr>
          <w:rFonts w:ascii="Arial" w:cs="Arial" w:eastAsia="Arial" w:hAnsi="Arial"/>
          <w:sz w:val="14"/>
          <w:szCs w:val="14"/>
          <w:color w:val="auto"/>
        </w:rPr>
        <w:t>Streaming</w:t>
      </w:r>
      <w:r>
        <w:rPr>
          <w:sz w:val="20"/>
          <w:szCs w:val="20"/>
          <w:color w:val="auto"/>
        </w:rPr>
        <w:tab/>
      </w:r>
      <w:r>
        <w:rPr>
          <w:rFonts w:ascii="Arial" w:cs="Arial" w:eastAsia="Arial" w:hAnsi="Arial"/>
          <w:sz w:val="14"/>
          <w:szCs w:val="14"/>
          <w:color w:val="auto"/>
        </w:rPr>
        <w:t>An important indicator of the overall</w:t>
      </w:r>
    </w:p>
    <w:p>
      <w:pPr>
        <w:spacing w:after="0" w:line="13" w:lineRule="exact"/>
        <w:rPr>
          <w:sz w:val="20"/>
          <w:szCs w:val="20"/>
          <w:color w:val="auto"/>
        </w:rPr>
      </w:pPr>
    </w:p>
    <w:p>
      <w:pPr>
        <w:ind w:left="3280"/>
        <w:spacing w:after="0"/>
        <w:tabs>
          <w:tab w:leader="none" w:pos="5060" w:val="left"/>
        </w:tabs>
        <w:rPr>
          <w:sz w:val="20"/>
          <w:szCs w:val="20"/>
          <w:color w:val="auto"/>
        </w:rPr>
      </w:pPr>
      <w:r>
        <w:rPr>
          <w:rFonts w:ascii="Arial" w:cs="Arial" w:eastAsia="Arial" w:hAnsi="Arial"/>
          <w:sz w:val="14"/>
          <w:szCs w:val="14"/>
          <w:color w:val="auto"/>
        </w:rPr>
        <w:t>Subscribers</w:t>
      </w:r>
      <w:r>
        <w:rPr>
          <w:sz w:val="20"/>
          <w:szCs w:val="20"/>
          <w:color w:val="auto"/>
        </w:rPr>
        <w:tab/>
      </w:r>
      <w:r>
        <w:rPr>
          <w:rFonts w:ascii="Arial" w:cs="Arial" w:eastAsia="Arial" w:hAnsi="Arial"/>
          <w:sz w:val="14"/>
          <w:szCs w:val="14"/>
          <w:color w:val="auto"/>
        </w:rPr>
        <w:t>competitiveness of our Streaming</w:t>
      </w:r>
    </w:p>
    <w:p>
      <w:pPr>
        <w:ind w:left="3280"/>
        <w:spacing w:after="0"/>
        <w:tabs>
          <w:tab w:leader="none" w:pos="5060" w:val="left"/>
        </w:tabs>
        <w:rPr>
          <w:sz w:val="20"/>
          <w:szCs w:val="20"/>
          <w:color w:val="auto"/>
        </w:rPr>
      </w:pPr>
      <w:r>
        <w:rPr>
          <w:rFonts w:ascii="Arial" w:cs="Arial" w:eastAsia="Arial" w:hAnsi="Arial"/>
          <w:sz w:val="14"/>
          <w:szCs w:val="14"/>
          <w:color w:val="auto"/>
        </w:rPr>
        <w:t>Weighting: 20%</w:t>
      </w:r>
      <w:r>
        <w:rPr>
          <w:sz w:val="20"/>
          <w:szCs w:val="20"/>
          <w:color w:val="auto"/>
        </w:rPr>
        <w:tab/>
      </w:r>
      <w:r>
        <w:rPr>
          <w:rFonts w:ascii="Arial" w:cs="Arial" w:eastAsia="Arial" w:hAnsi="Arial"/>
          <w:sz w:val="14"/>
          <w:szCs w:val="14"/>
          <w:color w:val="auto"/>
        </w:rPr>
        <w:t>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404495</wp:posOffset>
            </wp:positionV>
            <wp:extent cx="50615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0615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45" w:lineRule="auto"/>
        <w:rPr>
          <w:sz w:val="20"/>
          <w:szCs w:val="20"/>
          <w:color w:val="auto"/>
        </w:rPr>
      </w:pPr>
      <w:r>
        <w:rPr>
          <w:rFonts w:ascii="Arial" w:cs="Arial" w:eastAsia="Arial" w:hAnsi="Arial"/>
          <w:sz w:val="14"/>
          <w:szCs w:val="14"/>
          <w:color w:val="auto"/>
        </w:rPr>
        <w:t xml:space="preserve">Using our 2021 budget for Streaming Subscribers – </w:t>
      </w:r>
      <w:r>
        <w:rPr>
          <w:rFonts w:ascii="Arial" w:cs="Arial" w:eastAsia="Arial" w:hAnsi="Arial"/>
          <w:sz w:val="14"/>
          <w:szCs w:val="14"/>
          <w:i w:val="1"/>
          <w:iCs w:val="1"/>
          <w:color w:val="auto"/>
        </w:rPr>
        <w:t>i.e.,</w:t>
      </w:r>
      <w:r>
        <w:rPr>
          <w:rFonts w:ascii="Arial" w:cs="Arial" w:eastAsia="Arial" w:hAnsi="Arial"/>
          <w:sz w:val="14"/>
          <w:szCs w:val="14"/>
          <w:color w:val="auto"/>
        </w:rPr>
        <w:t xml:space="preserve"> global customers who access our domestic or international streaming services, either directly through our owned and operated apps and websites, or through third-party distributors – and then adjusting for items, if any, approved by the Committee that would otherwise distort the calculation of the performance goal.</w:t>
      </w:r>
    </w:p>
    <w:p>
      <w:pPr>
        <w:spacing w:after="0" w:line="1" w:lineRule="exact"/>
        <w:rPr>
          <w:sz w:val="20"/>
          <w:szCs w:val="20"/>
          <w:color w:val="auto"/>
        </w:rPr>
      </w:pPr>
    </w:p>
    <w:p>
      <w:pPr>
        <w:sectPr>
          <w:pgSz w:w="11900" w:h="16838" w:orient="portrait"/>
          <w:cols w:equalWidth="0" w:num="2">
            <w:col w:w="7320" w:space="160"/>
            <w:col w:w="3600"/>
          </w:cols>
          <w:pgMar w:left="320" w:top="454" w:right="499" w:bottom="1440" w:gutter="0" w:footer="0" w:header="0"/>
          <w:type w:val="continuous"/>
        </w:sectPr>
      </w:pPr>
    </w:p>
    <w:p>
      <w:pPr>
        <w:ind w:left="3280"/>
        <w:spacing w:after="0"/>
        <w:tabs>
          <w:tab w:leader="none" w:pos="5060" w:val="left"/>
        </w:tabs>
        <w:rPr>
          <w:sz w:val="20"/>
          <w:szCs w:val="20"/>
          <w:color w:val="auto"/>
        </w:rPr>
      </w:pPr>
      <w:r>
        <w:rPr>
          <w:rFonts w:ascii="Arial" w:cs="Arial" w:eastAsia="Arial" w:hAnsi="Arial"/>
          <w:sz w:val="14"/>
          <w:szCs w:val="14"/>
          <w:color w:val="auto"/>
        </w:rPr>
        <w:t>Streaming</w:t>
      </w:r>
      <w:r>
        <w:rPr>
          <w:sz w:val="20"/>
          <w:szCs w:val="20"/>
          <w:color w:val="auto"/>
        </w:rPr>
        <w:tab/>
      </w:r>
      <w:r>
        <w:rPr>
          <w:rFonts w:ascii="Arial" w:cs="Arial" w:eastAsia="Arial" w:hAnsi="Arial"/>
          <w:sz w:val="14"/>
          <w:szCs w:val="14"/>
          <w:color w:val="auto"/>
        </w:rPr>
        <w:t>An important driver of our valuation</w:t>
      </w:r>
    </w:p>
    <w:p>
      <w:pPr>
        <w:ind w:left="3280"/>
        <w:spacing w:after="0"/>
        <w:tabs>
          <w:tab w:leader="none" w:pos="5060" w:val="left"/>
        </w:tabs>
        <w:rPr>
          <w:sz w:val="20"/>
          <w:szCs w:val="20"/>
          <w:color w:val="auto"/>
        </w:rPr>
      </w:pPr>
      <w:r>
        <w:rPr>
          <w:rFonts w:ascii="Arial" w:cs="Arial" w:eastAsia="Arial" w:hAnsi="Arial"/>
          <w:sz w:val="14"/>
          <w:szCs w:val="14"/>
          <w:color w:val="auto"/>
        </w:rPr>
        <w:t>Revenue</w:t>
      </w:r>
      <w:r>
        <w:rPr>
          <w:sz w:val="20"/>
          <w:szCs w:val="20"/>
          <w:color w:val="auto"/>
        </w:rPr>
        <w:tab/>
      </w:r>
      <w:r>
        <w:rPr>
          <w:rFonts w:ascii="Arial" w:cs="Arial" w:eastAsia="Arial" w:hAnsi="Arial"/>
          <w:sz w:val="14"/>
          <w:szCs w:val="14"/>
          <w:color w:val="auto"/>
        </w:rPr>
        <w:t>and a key indicator of the future</w:t>
      </w:r>
    </w:p>
    <w:p>
      <w:pPr>
        <w:ind w:left="3280"/>
        <w:spacing w:after="0"/>
        <w:tabs>
          <w:tab w:leader="none" w:pos="5060" w:val="left"/>
        </w:tabs>
        <w:rPr>
          <w:sz w:val="20"/>
          <w:szCs w:val="20"/>
          <w:color w:val="auto"/>
        </w:rPr>
      </w:pPr>
      <w:r>
        <w:rPr>
          <w:rFonts w:ascii="Arial" w:cs="Arial" w:eastAsia="Arial" w:hAnsi="Arial"/>
          <w:sz w:val="14"/>
          <w:szCs w:val="14"/>
          <w:color w:val="auto"/>
        </w:rPr>
        <w:t>Weighting: 20%</w:t>
      </w:r>
      <w:r>
        <w:rPr>
          <w:sz w:val="20"/>
          <w:szCs w:val="20"/>
          <w:color w:val="auto"/>
        </w:rPr>
        <w:tab/>
      </w:r>
      <w:r>
        <w:rPr>
          <w:rFonts w:ascii="Arial" w:cs="Arial" w:eastAsia="Arial" w:hAnsi="Arial"/>
          <w:sz w:val="14"/>
          <w:szCs w:val="14"/>
          <w:color w:val="auto"/>
        </w:rPr>
        <w:t>profitability of our Streaming</w:t>
      </w:r>
    </w:p>
    <w:p>
      <w:pPr>
        <w:ind w:left="5080"/>
        <w:spacing w:after="0"/>
        <w:rPr>
          <w:sz w:val="20"/>
          <w:szCs w:val="20"/>
          <w:color w:val="auto"/>
        </w:rPr>
      </w:pPr>
      <w:r>
        <w:rPr>
          <w:rFonts w:ascii="Arial" w:cs="Arial" w:eastAsia="Arial" w:hAnsi="Arial"/>
          <w:sz w:val="14"/>
          <w:szCs w:val="14"/>
          <w:color w:val="auto"/>
        </w:rPr>
        <w:t>business.</w:t>
      </w:r>
    </w:p>
    <w:p>
      <w:pPr>
        <w:spacing w:after="0" w:line="20" w:lineRule="exact"/>
        <w:rPr>
          <w:sz w:val="20"/>
          <w:szCs w:val="20"/>
          <w:color w:val="auto"/>
        </w:rPr>
      </w:pPr>
      <w:r>
        <w:rPr>
          <w:sz w:val="20"/>
          <w:szCs w:val="20"/>
          <w:color w:val="auto"/>
        </w:rPr>
        <w:br w:type="column"/>
      </w:r>
    </w:p>
    <w:p>
      <w:pPr>
        <w:ind w:right="60"/>
        <w:spacing w:after="0" w:line="242" w:lineRule="auto"/>
        <w:rPr>
          <w:sz w:val="20"/>
          <w:szCs w:val="20"/>
          <w:color w:val="auto"/>
        </w:rPr>
      </w:pPr>
      <w:r>
        <w:rPr>
          <w:rFonts w:ascii="Arial" w:cs="Arial" w:eastAsia="Arial" w:hAnsi="Arial"/>
          <w:sz w:val="14"/>
          <w:szCs w:val="14"/>
          <w:color w:val="auto"/>
        </w:rPr>
        <w:t xml:space="preserve">Using our 2021 budget for Streaming Revenue – </w:t>
      </w:r>
      <w:r>
        <w:rPr>
          <w:rFonts w:ascii="Arial" w:cs="Arial" w:eastAsia="Arial" w:hAnsi="Arial"/>
          <w:sz w:val="14"/>
          <w:szCs w:val="14"/>
          <w:i w:val="1"/>
          <w:iCs w:val="1"/>
          <w:color w:val="auto"/>
        </w:rPr>
        <w:t>i.e.,</w:t>
      </w:r>
      <w:r>
        <w:rPr>
          <w:rFonts w:ascii="Arial" w:cs="Arial" w:eastAsia="Arial" w:hAnsi="Arial"/>
          <w:sz w:val="14"/>
          <w:szCs w:val="14"/>
          <w:color w:val="auto"/>
        </w:rPr>
        <w:t xml:space="preserve"> global subscription fees and advertising revenue generated by our streaming services, including Paramount+, Showtime, BET+ and PlutoTV, as well as advertising and subscriptions for our other digital video products – and then adjusting for items, if any, approved by the Committee that would otherwise distort the calculation of the performance goal.</w:t>
      </w:r>
    </w:p>
    <w:p>
      <w:pPr>
        <w:spacing w:after="0" w:line="82" w:lineRule="exact"/>
        <w:rPr>
          <w:sz w:val="20"/>
          <w:szCs w:val="20"/>
          <w:color w:val="auto"/>
        </w:rPr>
      </w:pPr>
    </w:p>
    <w:p>
      <w:pPr>
        <w:sectPr>
          <w:pgSz w:w="11900" w:h="16838" w:orient="portrait"/>
          <w:cols w:equalWidth="0" w:num="2">
            <w:col w:w="7300" w:space="180"/>
            <w:col w:w="3600"/>
          </w:cols>
          <w:pgMar w:left="320" w:top="454" w:right="499" w:bottom="1440" w:gutter="0" w:footer="0" w:header="0"/>
          <w:type w:val="continuous"/>
        </w:sectPr>
      </w:pPr>
    </w:p>
    <w:p>
      <w:pPr>
        <w:ind w:left="1140" w:right="80" w:hanging="545"/>
        <w:spacing w:after="0" w:line="265" w:lineRule="auto"/>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20% based on the Committee’s assessment of management’s qualitative performance as a whole with regard to the following factors:</w:t>
      </w:r>
    </w:p>
    <w:p>
      <w:pPr>
        <w:spacing w:after="0" w:line="64" w:lineRule="exact"/>
        <w:rPr>
          <w:rFonts w:ascii="Arial" w:cs="Arial" w:eastAsia="Arial" w:hAnsi="Arial"/>
          <w:sz w:val="18"/>
          <w:szCs w:val="18"/>
          <w:color w:val="auto"/>
        </w:rPr>
      </w:pPr>
    </w:p>
    <w:p>
      <w:pPr>
        <w:ind w:left="1580" w:right="700" w:hanging="428"/>
        <w:spacing w:after="0" w:line="265" w:lineRule="auto"/>
        <w:rPr>
          <w:rFonts w:ascii="Arial" w:cs="Arial" w:eastAsia="Arial" w:hAnsi="Arial"/>
          <w:sz w:val="18"/>
          <w:szCs w:val="18"/>
          <w:color w:val="auto"/>
        </w:rPr>
      </w:pPr>
      <w:r>
        <w:rPr>
          <w:rFonts w:ascii="Arial" w:cs="Arial" w:eastAsia="Arial" w:hAnsi="Arial"/>
          <w:sz w:val="18"/>
          <w:szCs w:val="18"/>
          <w:color w:val="auto"/>
        </w:rPr>
        <w:t>o Achievement against a combined synergy goal (certain company-wide post-merger integration and cost synergy objectives) (5%);</w:t>
      </w:r>
    </w:p>
    <w:p>
      <w:pPr>
        <w:spacing w:after="0" w:line="64" w:lineRule="exact"/>
        <w:rPr>
          <w:rFonts w:ascii="Arial" w:cs="Arial" w:eastAsia="Arial" w:hAnsi="Arial"/>
          <w:sz w:val="18"/>
          <w:szCs w:val="18"/>
          <w:color w:val="auto"/>
        </w:rPr>
      </w:pPr>
    </w:p>
    <w:p>
      <w:pPr>
        <w:ind w:left="1580" w:right="20" w:hanging="428"/>
        <w:spacing w:after="0" w:line="243" w:lineRule="auto"/>
        <w:rPr>
          <w:rFonts w:ascii="Arial" w:cs="Arial" w:eastAsia="Arial" w:hAnsi="Arial"/>
          <w:sz w:val="18"/>
          <w:szCs w:val="18"/>
          <w:color w:val="auto"/>
        </w:rPr>
      </w:pPr>
      <w:r>
        <w:rPr>
          <w:rFonts w:ascii="Arial" w:cs="Arial" w:eastAsia="Arial" w:hAnsi="Arial"/>
          <w:sz w:val="18"/>
          <w:szCs w:val="18"/>
          <w:color w:val="auto"/>
        </w:rPr>
        <w:t>o Execution of our fiscal year 2021 strategy (5%), including how well we executed in evolving the Company into a leading global, multi-platform, premium content company, capitalizing on opportunities to realize cost synergies and improve business operations, producing high quality content across the entire Company, launching our ad- and non-ad supported streaming strategy, and continuing to tailor our asset portfolio;</w:t>
      </w:r>
    </w:p>
    <w:p>
      <w:pPr>
        <w:spacing w:after="0" w:line="84" w:lineRule="exact"/>
        <w:rPr>
          <w:rFonts w:ascii="Arial" w:cs="Arial" w:eastAsia="Arial" w:hAnsi="Arial"/>
          <w:sz w:val="18"/>
          <w:szCs w:val="18"/>
          <w:color w:val="auto"/>
        </w:rPr>
      </w:pPr>
    </w:p>
    <w:p>
      <w:pPr>
        <w:ind w:left="1580" w:hanging="428"/>
        <w:spacing w:after="0" w:line="249" w:lineRule="auto"/>
        <w:rPr>
          <w:rFonts w:ascii="Arial" w:cs="Arial" w:eastAsia="Arial" w:hAnsi="Arial"/>
          <w:sz w:val="18"/>
          <w:szCs w:val="18"/>
          <w:color w:val="auto"/>
        </w:rPr>
      </w:pPr>
      <w:r>
        <w:rPr>
          <w:rFonts w:ascii="Arial" w:cs="Arial" w:eastAsia="Arial" w:hAnsi="Arial"/>
          <w:sz w:val="18"/>
          <w:szCs w:val="18"/>
          <w:color w:val="auto"/>
        </w:rPr>
        <w:t>o Organization Development (5%), continuing to navigate the impact of the COVID pandemic on the workplace, integrating values into all people processes and continuing to build a high-performing and inclusive culture that is a competitive advantage for us; and</w:t>
      </w:r>
    </w:p>
    <w:p>
      <w:pPr>
        <w:spacing w:after="0" w:line="77" w:lineRule="exact"/>
        <w:rPr>
          <w:rFonts w:ascii="Arial" w:cs="Arial" w:eastAsia="Arial" w:hAnsi="Arial"/>
          <w:sz w:val="18"/>
          <w:szCs w:val="18"/>
          <w:color w:val="auto"/>
        </w:rPr>
      </w:pPr>
    </w:p>
    <w:p>
      <w:pPr>
        <w:ind w:left="1580" w:right="200" w:hanging="428"/>
        <w:spacing w:after="0" w:line="249" w:lineRule="auto"/>
        <w:rPr>
          <w:rFonts w:ascii="Arial" w:cs="Arial" w:eastAsia="Arial" w:hAnsi="Arial"/>
          <w:sz w:val="18"/>
          <w:szCs w:val="18"/>
          <w:color w:val="auto"/>
        </w:rPr>
      </w:pPr>
      <w:r>
        <w:rPr>
          <w:rFonts w:ascii="Arial" w:cs="Arial" w:eastAsia="Arial" w:hAnsi="Arial"/>
          <w:sz w:val="18"/>
          <w:szCs w:val="18"/>
          <w:color w:val="auto"/>
        </w:rPr>
        <w:t>o Diversity, Equity &amp; Inclusion (5%), continuing to make tangible progress on company-wide Diversity, Equity &amp; Inclusion representation goals by hiring, retaining, promoting and developing diverse talent while fostering an inclusive work environment.</w:t>
      </w:r>
    </w:p>
    <w:p>
      <w:pPr>
        <w:spacing w:after="0" w:line="65" w:lineRule="exact"/>
        <w:rPr>
          <w:sz w:val="20"/>
          <w:szCs w:val="20"/>
          <w:color w:val="auto"/>
        </w:rPr>
      </w:pPr>
    </w:p>
    <w:p>
      <w:pPr>
        <w:ind w:left="600"/>
        <w:spacing w:after="0" w:line="237" w:lineRule="auto"/>
        <w:rPr>
          <w:sz w:val="20"/>
          <w:szCs w:val="20"/>
          <w:color w:val="auto"/>
        </w:rPr>
      </w:pPr>
      <w:r>
        <w:rPr>
          <w:rFonts w:ascii="Arial" w:cs="Arial" w:eastAsia="Arial" w:hAnsi="Arial"/>
          <w:sz w:val="18"/>
          <w:szCs w:val="18"/>
          <w:color w:val="auto"/>
        </w:rPr>
        <w:t>Multiple risk mitigation concepts were incorporated into the 2021 STIP design in an effort to strike the appropriate balance in management’s focus on our bottom-line financial goals and our streaming growth strategy. OIBDA and FCF payouts were each subject to a maximum payout below 200% of target in order to incentivize a shift in efforts towards driving streaming growth. The streaming factors were subject to maximum payouts of 300% for achievement of maximum performance, provided that if threshold performance for either of the OIBDA or FCF metric was not achieved, both streaming metrics would be capped at a maximum payout percentage of 150%. The Committee determined that these limitations on streaming metric payouts were appropriate to ensure that our bottom-line financial goals continued to remain a priority for management. Additionally, the maximum amount of STIP funding was capped at 200% of the STIP pool at target.</w:t>
      </w:r>
    </w:p>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47</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46" w:lineRule="exact"/>
        <w:rPr>
          <w:sz w:val="20"/>
          <w:szCs w:val="20"/>
          <w:color w:val="auto"/>
        </w:rPr>
      </w:pPr>
    </w:p>
    <w:p>
      <w:pPr>
        <w:ind w:left="600" w:hanging="433"/>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or shortly following the end of the fiscal year:</w:t>
      </w:r>
    </w:p>
    <w:p>
      <w:pPr>
        <w:spacing w:after="0" w:line="100" w:lineRule="exact"/>
        <w:rPr>
          <w:rFonts w:ascii="Arial" w:cs="Arial" w:eastAsia="Arial" w:hAnsi="Arial"/>
          <w:sz w:val="18"/>
          <w:szCs w:val="18"/>
          <w:color w:val="auto"/>
        </w:rPr>
      </w:pPr>
    </w:p>
    <w:p>
      <w:pPr>
        <w:ind w:left="600"/>
        <w:spacing w:after="0" w:line="236" w:lineRule="auto"/>
        <w:rPr>
          <w:rFonts w:ascii="Arial" w:cs="Arial" w:eastAsia="Arial" w:hAnsi="Arial"/>
          <w:sz w:val="18"/>
          <w:szCs w:val="18"/>
          <w:color w:val="auto"/>
        </w:rPr>
      </w:pPr>
      <w:r>
        <w:rPr>
          <w:rFonts w:ascii="Arial" w:cs="Arial" w:eastAsia="Arial" w:hAnsi="Arial"/>
          <w:sz w:val="18"/>
          <w:szCs w:val="18"/>
          <w:i w:val="1"/>
          <w:iCs w:val="1"/>
          <w:color w:val="auto"/>
        </w:rPr>
        <w:t>Determining Actual Bonus Payments</w:t>
      </w:r>
      <w:r>
        <w:rPr>
          <w:rFonts w:ascii="Arial" w:cs="Arial" w:eastAsia="Arial" w:hAnsi="Arial"/>
          <w:sz w:val="18"/>
          <w:szCs w:val="18"/>
          <w:color w:val="auto"/>
        </w:rPr>
        <w:t>. In accordance with the framework described above, the OIBDA, FCF, Streaming Subscribers</w:t>
      </w:r>
      <w:r>
        <w:rPr>
          <w:rFonts w:ascii="Arial" w:cs="Arial" w:eastAsia="Arial" w:hAnsi="Arial"/>
          <w:sz w:val="18"/>
          <w:szCs w:val="18"/>
          <w:i w:val="1"/>
          <w:iCs w:val="1"/>
          <w:color w:val="auto"/>
        </w:rPr>
        <w:t xml:space="preserve"> </w:t>
      </w:r>
      <w:r>
        <w:rPr>
          <w:rFonts w:ascii="Arial" w:cs="Arial" w:eastAsia="Arial" w:hAnsi="Arial"/>
          <w:sz w:val="18"/>
          <w:szCs w:val="18"/>
          <w:color w:val="auto"/>
        </w:rPr>
        <w:t>and Streaming Revenue results were calculated by starting with our 2021 results for each metric and then adjusting for items approved by the Committee that would otherwise have distorted the calculation of the performance goals. Actual performance, including such adjustments, with respect to OIBDA was $4.778 billion, with respect to FCF was $1.763 billion, with respect to Streaming Subscribers was 53.5 million and with respect to Streaming Revenue was $4.124 billion. The Committee determined to adjust our quantitative performance to account for the Company’s decision to significantly increase its spending on content to fuel the growth of Paramount+ and the Company’s other streaming services, which incremental content investments were not factored into the original budgeted performance goals. Additionally, the Committee decided to adjust our cash results to account for the unbudgeted impact of taxes paid on the divestiture of certain real estate holdings. Each of the foregoing adjustments was made as contemplated by the STIP design approved by the Committee in February 2021.</w:t>
      </w:r>
    </w:p>
    <w:p>
      <w:pPr>
        <w:spacing w:after="0" w:line="230" w:lineRule="exact"/>
        <w:rPr>
          <w:sz w:val="20"/>
          <w:szCs w:val="20"/>
          <w:color w:val="auto"/>
        </w:rPr>
      </w:pPr>
    </w:p>
    <w:tbl>
      <w:tblPr>
        <w:tblLayout w:type="fixed"/>
        <w:tblInd w:w="600" w:type="dxa"/>
        <w:tblCellMar>
          <w:top w:w="0" w:type="dxa"/>
          <w:left w:w="0" w:type="dxa"/>
          <w:bottom w:w="0" w:type="dxa"/>
          <w:right w:w="0" w:type="dxa"/>
        </w:tblCellMar>
      </w:tblPr>
      <w:tr>
        <w:trPr>
          <w:trHeight w:val="187"/>
        </w:trPr>
        <w:tc>
          <w:tcPr>
            <w:tcW w:w="2500" w:type="dxa"/>
            <w:vAlign w:val="bottom"/>
            <w:shd w:val="clear" w:color="auto" w:fill="051D49"/>
          </w:tcPr>
          <w:p>
            <w:pPr>
              <w:spacing w:after="0"/>
              <w:rPr>
                <w:sz w:val="16"/>
                <w:szCs w:val="16"/>
                <w:color w:val="auto"/>
              </w:rPr>
            </w:pPr>
          </w:p>
        </w:tc>
        <w:tc>
          <w:tcPr>
            <w:tcW w:w="780" w:type="dxa"/>
            <w:vAlign w:val="bottom"/>
            <w:shd w:val="clear" w:color="auto" w:fill="051D49"/>
          </w:tcPr>
          <w:p>
            <w:pPr>
              <w:spacing w:after="0"/>
              <w:rPr>
                <w:sz w:val="16"/>
                <w:szCs w:val="16"/>
                <w:color w:val="auto"/>
              </w:rPr>
            </w:pPr>
          </w:p>
        </w:tc>
        <w:tc>
          <w:tcPr>
            <w:tcW w:w="780" w:type="dxa"/>
            <w:vAlign w:val="bottom"/>
            <w:shd w:val="clear" w:color="auto" w:fill="051D49"/>
          </w:tcPr>
          <w:p>
            <w:pPr>
              <w:spacing w:after="0"/>
              <w:rPr>
                <w:sz w:val="16"/>
                <w:szCs w:val="16"/>
                <w:color w:val="auto"/>
              </w:rPr>
            </w:pPr>
          </w:p>
        </w:tc>
        <w:tc>
          <w:tcPr>
            <w:tcW w:w="880" w:type="dxa"/>
            <w:vAlign w:val="bottom"/>
            <w:shd w:val="clear" w:color="auto" w:fill="051D49"/>
          </w:tcPr>
          <w:p>
            <w:pPr>
              <w:spacing w:after="0"/>
              <w:rPr>
                <w:sz w:val="16"/>
                <w:szCs w:val="16"/>
                <w:color w:val="auto"/>
              </w:rPr>
            </w:pPr>
          </w:p>
        </w:tc>
        <w:tc>
          <w:tcPr>
            <w:tcW w:w="3460" w:type="dxa"/>
            <w:vAlign w:val="bottom"/>
            <w:gridSpan w:val="2"/>
            <w:shd w:val="clear" w:color="auto" w:fill="051D49"/>
          </w:tcPr>
          <w:p>
            <w:pPr>
              <w:jc w:val="right"/>
              <w:ind w:right="120"/>
              <w:spacing w:after="0"/>
              <w:rPr>
                <w:sz w:val="20"/>
                <w:szCs w:val="20"/>
                <w:color w:val="auto"/>
              </w:rPr>
            </w:pPr>
            <w:r>
              <w:rPr>
                <w:rFonts w:ascii="Arial" w:cs="Arial" w:eastAsia="Arial" w:hAnsi="Arial"/>
                <w:sz w:val="14"/>
                <w:szCs w:val="14"/>
                <w:color w:val="FFFFFF"/>
              </w:rPr>
              <w:t>Adjusted Quantitative Performance Results (80%)</w:t>
            </w:r>
          </w:p>
        </w:tc>
        <w:tc>
          <w:tcPr>
            <w:tcW w:w="1640" w:type="dxa"/>
            <w:vAlign w:val="bottom"/>
            <w:shd w:val="clear" w:color="auto" w:fill="051D49"/>
          </w:tcPr>
          <w:p>
            <w:pPr>
              <w:spacing w:after="0"/>
              <w:rPr>
                <w:sz w:val="16"/>
                <w:szCs w:val="16"/>
                <w:color w:val="auto"/>
              </w:rPr>
            </w:pPr>
          </w:p>
        </w:tc>
      </w:tr>
      <w:tr>
        <w:trPr>
          <w:trHeight w:val="240"/>
        </w:trPr>
        <w:tc>
          <w:tcPr>
            <w:tcW w:w="2500" w:type="dxa"/>
            <w:vAlign w:val="bottom"/>
            <w:shd w:val="clear" w:color="auto" w:fill="E5E5E5"/>
          </w:tcPr>
          <w:p>
            <w:pPr>
              <w:spacing w:after="0"/>
              <w:rPr>
                <w:sz w:val="20"/>
                <w:szCs w:val="20"/>
                <w:color w:val="auto"/>
              </w:rPr>
            </w:pPr>
          </w:p>
        </w:tc>
        <w:tc>
          <w:tcPr>
            <w:tcW w:w="1560" w:type="dxa"/>
            <w:vAlign w:val="bottom"/>
            <w:gridSpan w:val="2"/>
            <w:shd w:val="clear" w:color="auto" w:fill="E5E5E5"/>
          </w:tcPr>
          <w:p>
            <w:pPr>
              <w:ind w:left="660"/>
              <w:spacing w:after="0"/>
              <w:rPr>
                <w:sz w:val="20"/>
                <w:szCs w:val="20"/>
                <w:color w:val="auto"/>
              </w:rPr>
            </w:pPr>
            <w:r>
              <w:rPr>
                <w:rFonts w:ascii="Arial" w:cs="Arial" w:eastAsia="Arial" w:hAnsi="Arial"/>
                <w:sz w:val="16"/>
                <w:szCs w:val="16"/>
                <w:color w:val="051D49"/>
              </w:rPr>
              <w:t>OIBDA</w:t>
            </w:r>
          </w:p>
        </w:tc>
        <w:tc>
          <w:tcPr>
            <w:tcW w:w="1860" w:type="dxa"/>
            <w:vAlign w:val="bottom"/>
            <w:gridSpan w:val="2"/>
            <w:shd w:val="clear" w:color="auto" w:fill="E5E5E5"/>
          </w:tcPr>
          <w:p>
            <w:pPr>
              <w:jc w:val="right"/>
              <w:ind w:right="282"/>
              <w:spacing w:after="0"/>
              <w:rPr>
                <w:sz w:val="20"/>
                <w:szCs w:val="20"/>
                <w:color w:val="auto"/>
              </w:rPr>
            </w:pPr>
            <w:r>
              <w:rPr>
                <w:rFonts w:ascii="Arial" w:cs="Arial" w:eastAsia="Arial" w:hAnsi="Arial"/>
                <w:sz w:val="16"/>
                <w:szCs w:val="16"/>
                <w:color w:val="051D49"/>
              </w:rPr>
              <w:t>Free Cash Flow</w:t>
            </w:r>
          </w:p>
        </w:tc>
        <w:tc>
          <w:tcPr>
            <w:tcW w:w="2480" w:type="dxa"/>
            <w:vAlign w:val="bottom"/>
            <w:shd w:val="clear" w:color="auto" w:fill="E5E5E5"/>
          </w:tcPr>
          <w:p>
            <w:pPr>
              <w:jc w:val="right"/>
              <w:ind w:right="400"/>
              <w:spacing w:after="0"/>
              <w:rPr>
                <w:sz w:val="20"/>
                <w:szCs w:val="20"/>
                <w:color w:val="auto"/>
              </w:rPr>
            </w:pPr>
            <w:r>
              <w:rPr>
                <w:rFonts w:ascii="Arial" w:cs="Arial" w:eastAsia="Arial" w:hAnsi="Arial"/>
                <w:sz w:val="16"/>
                <w:szCs w:val="16"/>
                <w:color w:val="051D49"/>
              </w:rPr>
              <w:t>Streaming Subscribers</w:t>
            </w:r>
          </w:p>
        </w:tc>
        <w:tc>
          <w:tcPr>
            <w:tcW w:w="1640" w:type="dxa"/>
            <w:vAlign w:val="bottom"/>
            <w:shd w:val="clear" w:color="auto" w:fill="E5E5E5"/>
          </w:tcPr>
          <w:p>
            <w:pPr>
              <w:jc w:val="right"/>
              <w:spacing w:after="0"/>
              <w:rPr>
                <w:sz w:val="20"/>
                <w:szCs w:val="20"/>
                <w:color w:val="auto"/>
              </w:rPr>
            </w:pPr>
            <w:r>
              <w:rPr>
                <w:rFonts w:ascii="Arial" w:cs="Arial" w:eastAsia="Arial" w:hAnsi="Arial"/>
                <w:sz w:val="16"/>
                <w:szCs w:val="16"/>
                <w:color w:val="051D49"/>
              </w:rPr>
              <w:t>Streaming Revenue</w:t>
            </w:r>
          </w:p>
        </w:tc>
      </w:tr>
      <w:tr>
        <w:trPr>
          <w:trHeight w:val="228"/>
        </w:trPr>
        <w:tc>
          <w:tcPr>
            <w:tcW w:w="2500" w:type="dxa"/>
            <w:vAlign w:val="bottom"/>
            <w:shd w:val="clear" w:color="auto" w:fill="E5E5E5"/>
          </w:tcPr>
          <w:p>
            <w:pPr>
              <w:ind w:left="80"/>
              <w:spacing w:after="0"/>
              <w:rPr>
                <w:sz w:val="20"/>
                <w:szCs w:val="20"/>
                <w:color w:val="auto"/>
              </w:rPr>
            </w:pPr>
            <w:r>
              <w:rPr>
                <w:rFonts w:ascii="Arial" w:cs="Arial" w:eastAsia="Arial" w:hAnsi="Arial"/>
                <w:sz w:val="16"/>
                <w:szCs w:val="16"/>
                <w:color w:val="051D49"/>
              </w:rPr>
              <w:t>(in millions)</w:t>
            </w:r>
          </w:p>
        </w:tc>
        <w:tc>
          <w:tcPr>
            <w:tcW w:w="1560" w:type="dxa"/>
            <w:vAlign w:val="bottom"/>
            <w:gridSpan w:val="2"/>
            <w:shd w:val="clear" w:color="auto" w:fill="E5E5E5"/>
          </w:tcPr>
          <w:p>
            <w:pPr>
              <w:ind w:left="700"/>
              <w:spacing w:after="0"/>
              <w:rPr>
                <w:sz w:val="20"/>
                <w:szCs w:val="20"/>
                <w:color w:val="auto"/>
              </w:rPr>
            </w:pPr>
            <w:r>
              <w:rPr>
                <w:rFonts w:ascii="Arial" w:cs="Arial" w:eastAsia="Arial" w:hAnsi="Arial"/>
                <w:sz w:val="16"/>
                <w:szCs w:val="16"/>
                <w:color w:val="051D49"/>
              </w:rPr>
              <w:t>(25%)</w:t>
            </w:r>
          </w:p>
        </w:tc>
        <w:tc>
          <w:tcPr>
            <w:tcW w:w="1860" w:type="dxa"/>
            <w:vAlign w:val="bottom"/>
            <w:gridSpan w:val="2"/>
            <w:shd w:val="clear" w:color="auto" w:fill="E5E5E5"/>
          </w:tcPr>
          <w:p>
            <w:pPr>
              <w:jc w:val="right"/>
              <w:ind w:right="642"/>
              <w:spacing w:after="0"/>
              <w:rPr>
                <w:sz w:val="20"/>
                <w:szCs w:val="20"/>
                <w:color w:val="auto"/>
              </w:rPr>
            </w:pPr>
            <w:r>
              <w:rPr>
                <w:rFonts w:ascii="Arial" w:cs="Arial" w:eastAsia="Arial" w:hAnsi="Arial"/>
                <w:sz w:val="16"/>
                <w:szCs w:val="16"/>
                <w:color w:val="051D49"/>
              </w:rPr>
              <w:t>(15%)</w:t>
            </w:r>
          </w:p>
        </w:tc>
        <w:tc>
          <w:tcPr>
            <w:tcW w:w="2480" w:type="dxa"/>
            <w:vAlign w:val="bottom"/>
            <w:shd w:val="clear" w:color="auto" w:fill="E5E5E5"/>
          </w:tcPr>
          <w:p>
            <w:pPr>
              <w:jc w:val="right"/>
              <w:ind w:right="1000"/>
              <w:spacing w:after="0"/>
              <w:rPr>
                <w:sz w:val="20"/>
                <w:szCs w:val="20"/>
                <w:color w:val="auto"/>
              </w:rPr>
            </w:pPr>
            <w:r>
              <w:rPr>
                <w:rFonts w:ascii="Arial" w:cs="Arial" w:eastAsia="Arial" w:hAnsi="Arial"/>
                <w:sz w:val="16"/>
                <w:szCs w:val="16"/>
                <w:color w:val="051D49"/>
              </w:rPr>
              <w:t>(20%)</w:t>
            </w:r>
          </w:p>
        </w:tc>
        <w:tc>
          <w:tcPr>
            <w:tcW w:w="1640" w:type="dxa"/>
            <w:vAlign w:val="bottom"/>
            <w:shd w:val="clear" w:color="auto" w:fill="E5E5E5"/>
          </w:tcPr>
          <w:p>
            <w:pPr>
              <w:jc w:val="right"/>
              <w:ind w:right="420"/>
              <w:spacing w:after="0"/>
              <w:rPr>
                <w:sz w:val="20"/>
                <w:szCs w:val="20"/>
                <w:color w:val="auto"/>
              </w:rPr>
            </w:pPr>
            <w:r>
              <w:rPr>
                <w:rFonts w:ascii="Arial" w:cs="Arial" w:eastAsia="Arial" w:hAnsi="Arial"/>
                <w:sz w:val="16"/>
                <w:szCs w:val="16"/>
                <w:color w:val="051D49"/>
              </w:rPr>
              <w:t>(20%)</w:t>
            </w:r>
          </w:p>
        </w:tc>
      </w:tr>
      <w:tr>
        <w:trPr>
          <w:trHeight w:val="277"/>
        </w:trPr>
        <w:tc>
          <w:tcPr>
            <w:tcW w:w="2500" w:type="dxa"/>
            <w:vAlign w:val="bottom"/>
          </w:tcPr>
          <w:p>
            <w:pPr>
              <w:ind w:left="80"/>
              <w:spacing w:after="0"/>
              <w:rPr>
                <w:sz w:val="20"/>
                <w:szCs w:val="20"/>
                <w:color w:val="auto"/>
              </w:rPr>
            </w:pPr>
            <w:r>
              <w:rPr>
                <w:rFonts w:ascii="Arial" w:cs="Arial" w:eastAsia="Arial" w:hAnsi="Arial"/>
                <w:sz w:val="16"/>
                <w:szCs w:val="16"/>
                <w:color w:val="auto"/>
              </w:rPr>
              <w:t>Unadjusted Result</w:t>
            </w:r>
          </w:p>
        </w:tc>
        <w:tc>
          <w:tcPr>
            <w:tcW w:w="780" w:type="dxa"/>
            <w:vAlign w:val="bottom"/>
          </w:tcPr>
          <w:p>
            <w:pPr>
              <w:ind w:left="6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00"/>
              <w:spacing w:after="0"/>
              <w:rPr>
                <w:sz w:val="20"/>
                <w:szCs w:val="20"/>
                <w:color w:val="auto"/>
              </w:rPr>
            </w:pPr>
            <w:r>
              <w:rPr>
                <w:rFonts w:ascii="Arial" w:cs="Arial" w:eastAsia="Arial" w:hAnsi="Arial"/>
                <w:sz w:val="16"/>
                <w:szCs w:val="16"/>
                <w:color w:val="auto"/>
                <w:w w:val="94"/>
              </w:rPr>
              <w:t>4,546</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82"/>
              <w:spacing w:after="0"/>
              <w:rPr>
                <w:sz w:val="20"/>
                <w:szCs w:val="20"/>
                <w:color w:val="auto"/>
              </w:rPr>
            </w:pPr>
            <w:r>
              <w:rPr>
                <w:rFonts w:ascii="Arial" w:cs="Arial" w:eastAsia="Arial" w:hAnsi="Arial"/>
                <w:sz w:val="16"/>
                <w:szCs w:val="16"/>
                <w:color w:val="auto"/>
              </w:rPr>
              <w:t>843</w:t>
            </w:r>
          </w:p>
        </w:tc>
        <w:tc>
          <w:tcPr>
            <w:tcW w:w="2480" w:type="dxa"/>
            <w:vAlign w:val="bottom"/>
          </w:tcPr>
          <w:p>
            <w:pPr>
              <w:jc w:val="right"/>
              <w:ind w:right="960"/>
              <w:spacing w:after="0"/>
              <w:rPr>
                <w:sz w:val="20"/>
                <w:szCs w:val="20"/>
                <w:color w:val="auto"/>
              </w:rPr>
            </w:pPr>
            <w:r>
              <w:rPr>
                <w:rFonts w:ascii="Arial" w:cs="Arial" w:eastAsia="Arial" w:hAnsi="Arial"/>
                <w:sz w:val="16"/>
                <w:szCs w:val="16"/>
                <w:color w:val="auto"/>
              </w:rPr>
              <w:t>56.1</w:t>
            </w:r>
          </w:p>
        </w:tc>
        <w:tc>
          <w:tcPr>
            <w:tcW w:w="1640" w:type="dxa"/>
            <w:vAlign w:val="bottom"/>
          </w:tcPr>
          <w:p>
            <w:pPr>
              <w:jc w:val="right"/>
              <w:ind w:right="280"/>
              <w:spacing w:after="0"/>
              <w:rPr>
                <w:sz w:val="20"/>
                <w:szCs w:val="20"/>
                <w:color w:val="auto"/>
              </w:rPr>
            </w:pPr>
            <w:r>
              <w:rPr>
                <w:rFonts w:ascii="Arial" w:cs="Arial" w:eastAsia="Arial" w:hAnsi="Arial"/>
                <w:sz w:val="16"/>
                <w:szCs w:val="16"/>
                <w:color w:val="auto"/>
              </w:rPr>
              <w:t>$4,193</w:t>
            </w:r>
          </w:p>
        </w:tc>
      </w:tr>
      <w:tr>
        <w:trPr>
          <w:trHeight w:val="30"/>
        </w:trPr>
        <w:tc>
          <w:tcPr>
            <w:tcW w:w="2500" w:type="dxa"/>
            <w:vAlign w:val="bottom"/>
            <w:tcBorders>
              <w:bottom w:val="single" w:sz="8" w:color="051D49"/>
            </w:tcBorders>
          </w:tcPr>
          <w:p>
            <w:pPr>
              <w:spacing w:after="0"/>
              <w:rPr>
                <w:sz w:val="2"/>
                <w:szCs w:val="2"/>
                <w:color w:val="auto"/>
              </w:rPr>
            </w:pPr>
          </w:p>
        </w:tc>
        <w:tc>
          <w:tcPr>
            <w:tcW w:w="780" w:type="dxa"/>
            <w:vAlign w:val="bottom"/>
            <w:tcBorders>
              <w:bottom w:val="single" w:sz="8" w:color="051D49"/>
            </w:tcBorders>
          </w:tcPr>
          <w:p>
            <w:pPr>
              <w:spacing w:after="0"/>
              <w:rPr>
                <w:sz w:val="2"/>
                <w:szCs w:val="2"/>
                <w:color w:val="auto"/>
              </w:rPr>
            </w:pPr>
          </w:p>
        </w:tc>
        <w:tc>
          <w:tcPr>
            <w:tcW w:w="780" w:type="dxa"/>
            <w:vAlign w:val="bottom"/>
            <w:tcBorders>
              <w:bottom w:val="single" w:sz="8" w:color="051D49"/>
            </w:tcBorders>
          </w:tcPr>
          <w:p>
            <w:pPr>
              <w:spacing w:after="0"/>
              <w:rPr>
                <w:sz w:val="2"/>
                <w:szCs w:val="2"/>
                <w:color w:val="auto"/>
              </w:rPr>
            </w:pPr>
          </w:p>
        </w:tc>
        <w:tc>
          <w:tcPr>
            <w:tcW w:w="880" w:type="dxa"/>
            <w:vAlign w:val="bottom"/>
            <w:tcBorders>
              <w:bottom w:val="single" w:sz="8" w:color="051D49"/>
            </w:tcBorders>
          </w:tcPr>
          <w:p>
            <w:pPr>
              <w:spacing w:after="0"/>
              <w:rPr>
                <w:sz w:val="2"/>
                <w:szCs w:val="2"/>
                <w:color w:val="auto"/>
              </w:rPr>
            </w:pPr>
          </w:p>
        </w:tc>
        <w:tc>
          <w:tcPr>
            <w:tcW w:w="980" w:type="dxa"/>
            <w:vAlign w:val="bottom"/>
            <w:tcBorders>
              <w:bottom w:val="single" w:sz="8" w:color="051D49"/>
            </w:tcBorders>
          </w:tcPr>
          <w:p>
            <w:pPr>
              <w:spacing w:after="0"/>
              <w:rPr>
                <w:sz w:val="2"/>
                <w:szCs w:val="2"/>
                <w:color w:val="auto"/>
              </w:rPr>
            </w:pPr>
          </w:p>
        </w:tc>
        <w:tc>
          <w:tcPr>
            <w:tcW w:w="2480" w:type="dxa"/>
            <w:vAlign w:val="bottom"/>
            <w:tcBorders>
              <w:bottom w:val="single" w:sz="8" w:color="051D49"/>
            </w:tcBorders>
          </w:tcPr>
          <w:p>
            <w:pPr>
              <w:spacing w:after="0"/>
              <w:rPr>
                <w:sz w:val="2"/>
                <w:szCs w:val="2"/>
                <w:color w:val="auto"/>
              </w:rPr>
            </w:pPr>
          </w:p>
        </w:tc>
        <w:tc>
          <w:tcPr>
            <w:tcW w:w="1640" w:type="dxa"/>
            <w:vAlign w:val="bottom"/>
            <w:tcBorders>
              <w:bottom w:val="single" w:sz="8" w:color="051D49"/>
            </w:tcBorders>
          </w:tcPr>
          <w:p>
            <w:pPr>
              <w:spacing w:after="0"/>
              <w:rPr>
                <w:sz w:val="2"/>
                <w:szCs w:val="2"/>
                <w:color w:val="auto"/>
              </w:rPr>
            </w:pPr>
          </w:p>
        </w:tc>
      </w:tr>
      <w:tr>
        <w:trPr>
          <w:trHeight w:val="257"/>
        </w:trPr>
        <w:tc>
          <w:tcPr>
            <w:tcW w:w="2500" w:type="dxa"/>
            <w:vAlign w:val="bottom"/>
          </w:tcPr>
          <w:p>
            <w:pPr>
              <w:ind w:left="80"/>
              <w:spacing w:after="0"/>
              <w:rPr>
                <w:sz w:val="20"/>
                <w:szCs w:val="20"/>
                <w:color w:val="auto"/>
              </w:rPr>
            </w:pPr>
            <w:r>
              <w:rPr>
                <w:rFonts w:ascii="Arial" w:cs="Arial" w:eastAsia="Arial" w:hAnsi="Arial"/>
                <w:sz w:val="16"/>
                <w:szCs w:val="16"/>
                <w:color w:val="auto"/>
              </w:rPr>
              <w:t>Adjustment</w:t>
            </w:r>
          </w:p>
        </w:tc>
        <w:tc>
          <w:tcPr>
            <w:tcW w:w="780" w:type="dxa"/>
            <w:vAlign w:val="bottom"/>
          </w:tcPr>
          <w:p>
            <w:pPr>
              <w:ind w:left="6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00"/>
              <w:spacing w:after="0"/>
              <w:rPr>
                <w:sz w:val="20"/>
                <w:szCs w:val="20"/>
                <w:color w:val="auto"/>
              </w:rPr>
            </w:pPr>
            <w:r>
              <w:rPr>
                <w:rFonts w:ascii="Arial" w:cs="Arial" w:eastAsia="Arial" w:hAnsi="Arial"/>
                <w:sz w:val="16"/>
                <w:szCs w:val="16"/>
                <w:color w:val="auto"/>
              </w:rPr>
              <w:t>232</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82"/>
              <w:spacing w:after="0"/>
              <w:rPr>
                <w:sz w:val="20"/>
                <w:szCs w:val="20"/>
                <w:color w:val="auto"/>
              </w:rPr>
            </w:pPr>
            <w:r>
              <w:rPr>
                <w:rFonts w:ascii="Arial" w:cs="Arial" w:eastAsia="Arial" w:hAnsi="Arial"/>
                <w:sz w:val="16"/>
                <w:szCs w:val="16"/>
                <w:color w:val="auto"/>
              </w:rPr>
              <w:t>920</w:t>
            </w:r>
          </w:p>
        </w:tc>
        <w:tc>
          <w:tcPr>
            <w:tcW w:w="2480" w:type="dxa"/>
            <w:vAlign w:val="bottom"/>
          </w:tcPr>
          <w:p>
            <w:pPr>
              <w:jc w:val="right"/>
              <w:ind w:right="920"/>
              <w:spacing w:after="0"/>
              <w:rPr>
                <w:sz w:val="20"/>
                <w:szCs w:val="20"/>
                <w:color w:val="auto"/>
              </w:rPr>
            </w:pPr>
            <w:r>
              <w:rPr>
                <w:rFonts w:ascii="Arial" w:cs="Arial" w:eastAsia="Arial" w:hAnsi="Arial"/>
                <w:sz w:val="16"/>
                <w:szCs w:val="16"/>
                <w:color w:val="auto"/>
              </w:rPr>
              <w:t>(2.6)</w:t>
            </w:r>
          </w:p>
        </w:tc>
        <w:tc>
          <w:tcPr>
            <w:tcW w:w="1640" w:type="dxa"/>
            <w:vAlign w:val="bottom"/>
          </w:tcPr>
          <w:p>
            <w:pPr>
              <w:jc w:val="right"/>
              <w:ind w:right="220"/>
              <w:spacing w:after="0"/>
              <w:rPr>
                <w:sz w:val="20"/>
                <w:szCs w:val="20"/>
                <w:color w:val="auto"/>
              </w:rPr>
            </w:pPr>
            <w:r>
              <w:rPr>
                <w:rFonts w:ascii="Arial" w:cs="Arial" w:eastAsia="Arial" w:hAnsi="Arial"/>
                <w:sz w:val="16"/>
                <w:szCs w:val="16"/>
                <w:color w:val="auto"/>
              </w:rPr>
              <w:t>($69)</w:t>
            </w:r>
          </w:p>
        </w:tc>
      </w:tr>
      <w:tr>
        <w:trPr>
          <w:trHeight w:val="30"/>
        </w:trPr>
        <w:tc>
          <w:tcPr>
            <w:tcW w:w="2500" w:type="dxa"/>
            <w:vAlign w:val="bottom"/>
            <w:tcBorders>
              <w:bottom w:val="single" w:sz="8" w:color="051D49"/>
            </w:tcBorders>
          </w:tcPr>
          <w:p>
            <w:pPr>
              <w:spacing w:after="0"/>
              <w:rPr>
                <w:sz w:val="2"/>
                <w:szCs w:val="2"/>
                <w:color w:val="auto"/>
              </w:rPr>
            </w:pPr>
          </w:p>
        </w:tc>
        <w:tc>
          <w:tcPr>
            <w:tcW w:w="780" w:type="dxa"/>
            <w:vAlign w:val="bottom"/>
            <w:tcBorders>
              <w:bottom w:val="single" w:sz="8" w:color="051D49"/>
            </w:tcBorders>
          </w:tcPr>
          <w:p>
            <w:pPr>
              <w:spacing w:after="0"/>
              <w:rPr>
                <w:sz w:val="2"/>
                <w:szCs w:val="2"/>
                <w:color w:val="auto"/>
              </w:rPr>
            </w:pPr>
          </w:p>
        </w:tc>
        <w:tc>
          <w:tcPr>
            <w:tcW w:w="780" w:type="dxa"/>
            <w:vAlign w:val="bottom"/>
            <w:tcBorders>
              <w:bottom w:val="single" w:sz="8" w:color="051D49"/>
            </w:tcBorders>
          </w:tcPr>
          <w:p>
            <w:pPr>
              <w:spacing w:after="0"/>
              <w:rPr>
                <w:sz w:val="2"/>
                <w:szCs w:val="2"/>
                <w:color w:val="auto"/>
              </w:rPr>
            </w:pPr>
          </w:p>
        </w:tc>
        <w:tc>
          <w:tcPr>
            <w:tcW w:w="880" w:type="dxa"/>
            <w:vAlign w:val="bottom"/>
            <w:tcBorders>
              <w:bottom w:val="single" w:sz="8" w:color="051D49"/>
            </w:tcBorders>
          </w:tcPr>
          <w:p>
            <w:pPr>
              <w:spacing w:after="0"/>
              <w:rPr>
                <w:sz w:val="2"/>
                <w:szCs w:val="2"/>
                <w:color w:val="auto"/>
              </w:rPr>
            </w:pPr>
          </w:p>
        </w:tc>
        <w:tc>
          <w:tcPr>
            <w:tcW w:w="980" w:type="dxa"/>
            <w:vAlign w:val="bottom"/>
            <w:tcBorders>
              <w:bottom w:val="single" w:sz="8" w:color="051D49"/>
            </w:tcBorders>
          </w:tcPr>
          <w:p>
            <w:pPr>
              <w:spacing w:after="0"/>
              <w:rPr>
                <w:sz w:val="2"/>
                <w:szCs w:val="2"/>
                <w:color w:val="auto"/>
              </w:rPr>
            </w:pPr>
          </w:p>
        </w:tc>
        <w:tc>
          <w:tcPr>
            <w:tcW w:w="2480" w:type="dxa"/>
            <w:vAlign w:val="bottom"/>
            <w:tcBorders>
              <w:bottom w:val="single" w:sz="8" w:color="051D49"/>
            </w:tcBorders>
          </w:tcPr>
          <w:p>
            <w:pPr>
              <w:spacing w:after="0"/>
              <w:rPr>
                <w:sz w:val="2"/>
                <w:szCs w:val="2"/>
                <w:color w:val="auto"/>
              </w:rPr>
            </w:pPr>
          </w:p>
        </w:tc>
        <w:tc>
          <w:tcPr>
            <w:tcW w:w="1640" w:type="dxa"/>
            <w:vAlign w:val="bottom"/>
            <w:tcBorders>
              <w:bottom w:val="single" w:sz="8" w:color="051D49"/>
            </w:tcBorders>
          </w:tcPr>
          <w:p>
            <w:pPr>
              <w:spacing w:after="0"/>
              <w:rPr>
                <w:sz w:val="2"/>
                <w:szCs w:val="2"/>
                <w:color w:val="auto"/>
              </w:rPr>
            </w:pPr>
          </w:p>
        </w:tc>
      </w:tr>
      <w:tr>
        <w:trPr>
          <w:trHeight w:val="257"/>
        </w:trPr>
        <w:tc>
          <w:tcPr>
            <w:tcW w:w="2500" w:type="dxa"/>
            <w:vAlign w:val="bottom"/>
          </w:tcPr>
          <w:p>
            <w:pPr>
              <w:ind w:left="80"/>
              <w:spacing w:after="0"/>
              <w:rPr>
                <w:sz w:val="20"/>
                <w:szCs w:val="20"/>
                <w:color w:val="auto"/>
              </w:rPr>
            </w:pPr>
            <w:r>
              <w:rPr>
                <w:rFonts w:ascii="Arial" w:cs="Arial" w:eastAsia="Arial" w:hAnsi="Arial"/>
                <w:sz w:val="16"/>
                <w:szCs w:val="16"/>
                <w:color w:val="auto"/>
              </w:rPr>
              <w:t>Adjusted Result</w:t>
            </w:r>
          </w:p>
        </w:tc>
        <w:tc>
          <w:tcPr>
            <w:tcW w:w="780" w:type="dxa"/>
            <w:vAlign w:val="bottom"/>
          </w:tcPr>
          <w:p>
            <w:pPr>
              <w:ind w:left="6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00"/>
              <w:spacing w:after="0"/>
              <w:rPr>
                <w:sz w:val="20"/>
                <w:szCs w:val="20"/>
                <w:color w:val="auto"/>
              </w:rPr>
            </w:pPr>
            <w:r>
              <w:rPr>
                <w:rFonts w:ascii="Arial" w:cs="Arial" w:eastAsia="Arial" w:hAnsi="Arial"/>
                <w:sz w:val="16"/>
                <w:szCs w:val="16"/>
                <w:color w:val="auto"/>
                <w:w w:val="94"/>
              </w:rPr>
              <w:t>4,778</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82"/>
              <w:spacing w:after="0"/>
              <w:rPr>
                <w:sz w:val="20"/>
                <w:szCs w:val="20"/>
                <w:color w:val="auto"/>
              </w:rPr>
            </w:pPr>
            <w:r>
              <w:rPr>
                <w:rFonts w:ascii="Arial" w:cs="Arial" w:eastAsia="Arial" w:hAnsi="Arial"/>
                <w:sz w:val="16"/>
                <w:szCs w:val="16"/>
                <w:color w:val="auto"/>
                <w:w w:val="99"/>
              </w:rPr>
              <w:t>1,763</w:t>
            </w:r>
          </w:p>
        </w:tc>
        <w:tc>
          <w:tcPr>
            <w:tcW w:w="2480" w:type="dxa"/>
            <w:vAlign w:val="bottom"/>
          </w:tcPr>
          <w:p>
            <w:pPr>
              <w:jc w:val="right"/>
              <w:ind w:right="960"/>
              <w:spacing w:after="0"/>
              <w:rPr>
                <w:sz w:val="20"/>
                <w:szCs w:val="20"/>
                <w:color w:val="auto"/>
              </w:rPr>
            </w:pPr>
            <w:r>
              <w:rPr>
                <w:rFonts w:ascii="Arial" w:cs="Arial" w:eastAsia="Arial" w:hAnsi="Arial"/>
                <w:sz w:val="16"/>
                <w:szCs w:val="16"/>
                <w:color w:val="auto"/>
              </w:rPr>
              <w:t>53.5</w:t>
            </w:r>
          </w:p>
        </w:tc>
        <w:tc>
          <w:tcPr>
            <w:tcW w:w="1640" w:type="dxa"/>
            <w:vAlign w:val="bottom"/>
          </w:tcPr>
          <w:p>
            <w:pPr>
              <w:jc w:val="right"/>
              <w:ind w:right="280"/>
              <w:spacing w:after="0"/>
              <w:rPr>
                <w:sz w:val="20"/>
                <w:szCs w:val="20"/>
                <w:color w:val="auto"/>
              </w:rPr>
            </w:pPr>
            <w:r>
              <w:rPr>
                <w:rFonts w:ascii="Arial" w:cs="Arial" w:eastAsia="Arial" w:hAnsi="Arial"/>
                <w:sz w:val="16"/>
                <w:szCs w:val="16"/>
                <w:color w:val="auto"/>
              </w:rPr>
              <w:t>$4,124</w:t>
            </w:r>
          </w:p>
        </w:tc>
      </w:tr>
      <w:tr>
        <w:trPr>
          <w:trHeight w:val="30"/>
        </w:trPr>
        <w:tc>
          <w:tcPr>
            <w:tcW w:w="2500" w:type="dxa"/>
            <w:vAlign w:val="bottom"/>
            <w:tcBorders>
              <w:bottom w:val="single" w:sz="8" w:color="051D49"/>
            </w:tcBorders>
          </w:tcPr>
          <w:p>
            <w:pPr>
              <w:spacing w:after="0"/>
              <w:rPr>
                <w:sz w:val="2"/>
                <w:szCs w:val="2"/>
                <w:color w:val="auto"/>
              </w:rPr>
            </w:pPr>
          </w:p>
        </w:tc>
        <w:tc>
          <w:tcPr>
            <w:tcW w:w="780" w:type="dxa"/>
            <w:vAlign w:val="bottom"/>
            <w:tcBorders>
              <w:bottom w:val="single" w:sz="8" w:color="051D49"/>
            </w:tcBorders>
          </w:tcPr>
          <w:p>
            <w:pPr>
              <w:spacing w:after="0"/>
              <w:rPr>
                <w:sz w:val="2"/>
                <w:szCs w:val="2"/>
                <w:color w:val="auto"/>
              </w:rPr>
            </w:pPr>
          </w:p>
        </w:tc>
        <w:tc>
          <w:tcPr>
            <w:tcW w:w="780" w:type="dxa"/>
            <w:vAlign w:val="bottom"/>
            <w:tcBorders>
              <w:bottom w:val="single" w:sz="8" w:color="051D49"/>
            </w:tcBorders>
          </w:tcPr>
          <w:p>
            <w:pPr>
              <w:spacing w:after="0"/>
              <w:rPr>
                <w:sz w:val="2"/>
                <w:szCs w:val="2"/>
                <w:color w:val="auto"/>
              </w:rPr>
            </w:pPr>
          </w:p>
        </w:tc>
        <w:tc>
          <w:tcPr>
            <w:tcW w:w="880" w:type="dxa"/>
            <w:vAlign w:val="bottom"/>
            <w:tcBorders>
              <w:bottom w:val="single" w:sz="8" w:color="051D49"/>
            </w:tcBorders>
          </w:tcPr>
          <w:p>
            <w:pPr>
              <w:spacing w:after="0"/>
              <w:rPr>
                <w:sz w:val="2"/>
                <w:szCs w:val="2"/>
                <w:color w:val="auto"/>
              </w:rPr>
            </w:pPr>
          </w:p>
        </w:tc>
        <w:tc>
          <w:tcPr>
            <w:tcW w:w="980" w:type="dxa"/>
            <w:vAlign w:val="bottom"/>
            <w:tcBorders>
              <w:bottom w:val="single" w:sz="8" w:color="051D49"/>
            </w:tcBorders>
          </w:tcPr>
          <w:p>
            <w:pPr>
              <w:spacing w:after="0"/>
              <w:rPr>
                <w:sz w:val="2"/>
                <w:szCs w:val="2"/>
                <w:color w:val="auto"/>
              </w:rPr>
            </w:pPr>
          </w:p>
        </w:tc>
        <w:tc>
          <w:tcPr>
            <w:tcW w:w="2480" w:type="dxa"/>
            <w:vAlign w:val="bottom"/>
            <w:tcBorders>
              <w:bottom w:val="single" w:sz="8" w:color="051D49"/>
            </w:tcBorders>
          </w:tcPr>
          <w:p>
            <w:pPr>
              <w:spacing w:after="0"/>
              <w:rPr>
                <w:sz w:val="2"/>
                <w:szCs w:val="2"/>
                <w:color w:val="auto"/>
              </w:rPr>
            </w:pPr>
          </w:p>
        </w:tc>
        <w:tc>
          <w:tcPr>
            <w:tcW w:w="1640" w:type="dxa"/>
            <w:vAlign w:val="bottom"/>
            <w:tcBorders>
              <w:bottom w:val="single" w:sz="8" w:color="051D49"/>
            </w:tcBorders>
          </w:tcPr>
          <w:p>
            <w:pPr>
              <w:spacing w:after="0"/>
              <w:rPr>
                <w:sz w:val="2"/>
                <w:szCs w:val="2"/>
                <w:color w:val="auto"/>
              </w:rPr>
            </w:pPr>
          </w:p>
        </w:tc>
      </w:tr>
    </w:tbl>
    <w:p>
      <w:pPr>
        <w:spacing w:after="0" w:line="88" w:lineRule="exact"/>
        <w:rPr>
          <w:sz w:val="20"/>
          <w:szCs w:val="20"/>
          <w:color w:val="auto"/>
        </w:rPr>
      </w:pPr>
    </w:p>
    <w:p>
      <w:pPr>
        <w:ind w:left="600" w:right="40"/>
        <w:spacing w:after="0"/>
        <w:rPr>
          <w:sz w:val="20"/>
          <w:szCs w:val="20"/>
          <w:color w:val="auto"/>
        </w:rPr>
      </w:pPr>
      <w:r>
        <w:rPr>
          <w:rFonts w:ascii="Arial" w:cs="Arial" w:eastAsia="Arial" w:hAnsi="Arial"/>
          <w:sz w:val="18"/>
          <w:szCs w:val="18"/>
          <w:color w:val="auto"/>
        </w:rPr>
        <w:t>In accordance with step one of the two-step STIP design process discussed above, in February 2022, the Committee evaluated our adjusted performance for 2021 against the pre-established quantitative performance goals and our qualitative performance after receiving the Chief Executive Officer’s overall assessment of the Company’s 2021 qualitative performance goals. Based on its quantitative and qualitative assessment, the Committee determined the preliminary bonus funding percentage for 2021 to be 120.1% of target.</w:t>
      </w:r>
    </w:p>
    <w:p>
      <w:pPr>
        <w:spacing w:after="0" w:line="75" w:lineRule="exact"/>
        <w:rPr>
          <w:sz w:val="20"/>
          <w:szCs w:val="20"/>
          <w:color w:val="auto"/>
        </w:rPr>
      </w:pPr>
    </w:p>
    <w:p>
      <w:pPr>
        <w:ind w:left="600" w:right="40"/>
        <w:spacing w:after="0" w:line="236" w:lineRule="auto"/>
        <w:rPr>
          <w:sz w:val="20"/>
          <w:szCs w:val="20"/>
          <w:color w:val="auto"/>
        </w:rPr>
      </w:pPr>
      <w:r>
        <w:rPr>
          <w:rFonts w:ascii="Arial" w:cs="Arial" w:eastAsia="Arial" w:hAnsi="Arial"/>
          <w:sz w:val="18"/>
          <w:szCs w:val="18"/>
          <w:color w:val="auto"/>
        </w:rPr>
        <w:t>In accordance with step two of the two-step STIP design process discussed above, the Committee then modified the 120.1% preliminary bonus funding percentage for each NEO based on the Committee’s assessment of each NEO’s individual performance after consideration of management’s recommendation. When making its 2021 bonus determinations, the Committee considered the input and recommendations of Mr. Bakish with respect to NEOs other than himself. With respect to Mr. Bakish, the Committee took into account his performance evaluation conducted by the Committee, together with the Nominating and Governance Committee, after the close of the fiscal year. The Committee’s determination of the NEOs’ annual bonus amounts, as set forth in the Summary Compensation Table for Fiscal Year 2021 following this CD&amp;A, took into account each NEO’s contributions toward the qualitative performance factors described above, as well as a variety of factors it deemed appropriate, with no pre-determined emphasis on any individual factor. The Committee also considered each NEO’s target bonus amount for 2021, which amounts are based on competitive practice and are included in the table below. The differences in the target bonus amounts set forth in the NEOs’ agreements partly reflect the level of relative impact of each of their positions on our performance.</w:t>
      </w:r>
    </w:p>
    <w:p>
      <w:pPr>
        <w:spacing w:after="0" w:line="75" w:lineRule="exact"/>
        <w:rPr>
          <w:sz w:val="20"/>
          <w:szCs w:val="20"/>
          <w:color w:val="auto"/>
        </w:rPr>
      </w:pPr>
    </w:p>
    <w:p>
      <w:pPr>
        <w:ind w:left="600" w:right="100"/>
        <w:spacing w:after="0" w:line="249" w:lineRule="auto"/>
        <w:rPr>
          <w:sz w:val="20"/>
          <w:szCs w:val="20"/>
          <w:color w:val="auto"/>
        </w:rPr>
      </w:pPr>
      <w:r>
        <w:rPr>
          <w:rFonts w:ascii="Arial" w:cs="Arial" w:eastAsia="Arial" w:hAnsi="Arial"/>
          <w:sz w:val="18"/>
          <w:szCs w:val="18"/>
          <w:color w:val="auto"/>
        </w:rPr>
        <w:t>Because of our NEOs’ performance, we continued to deliver on our streaming strategy and were positioned to return value to our shareholders. In addition to the accomplishments and other considerations discussed earlier in this CD&amp;A, the Committee noted the following accomplishments within this context:</w:t>
      </w:r>
    </w:p>
    <w:p>
      <w:pPr>
        <w:spacing w:after="0" w:line="78" w:lineRule="exact"/>
        <w:rPr>
          <w:sz w:val="20"/>
          <w:szCs w:val="20"/>
          <w:color w:val="auto"/>
        </w:rPr>
      </w:pPr>
    </w:p>
    <w:p>
      <w:pPr>
        <w:ind w:left="1140" w:right="780" w:hanging="545"/>
        <w:spacing w:after="0" w:line="265" w:lineRule="auto"/>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Mr. Bakish continued to provide strategic leadership and management for our Company during a time of tremendous challenges and opportunities. He and his senior executive team:</w:t>
      </w:r>
    </w:p>
    <w:p>
      <w:pPr>
        <w:spacing w:after="0" w:line="64" w:lineRule="exact"/>
        <w:rPr>
          <w:rFonts w:ascii="Arial" w:cs="Arial" w:eastAsia="Arial" w:hAnsi="Arial"/>
          <w:sz w:val="18"/>
          <w:szCs w:val="18"/>
          <w:color w:val="auto"/>
        </w:rPr>
      </w:pPr>
    </w:p>
    <w:p>
      <w:pPr>
        <w:ind w:left="1580" w:right="180" w:hanging="428"/>
        <w:spacing w:after="0" w:line="270" w:lineRule="auto"/>
        <w:rPr>
          <w:rFonts w:ascii="Arial" w:cs="Arial" w:eastAsia="Arial" w:hAnsi="Arial"/>
          <w:sz w:val="18"/>
          <w:szCs w:val="18"/>
          <w:color w:val="auto"/>
        </w:rPr>
      </w:pPr>
      <w:r>
        <w:rPr>
          <w:rFonts w:ascii="Arial" w:cs="Arial" w:eastAsia="Arial" w:hAnsi="Arial"/>
          <w:sz w:val="17"/>
          <w:szCs w:val="17"/>
          <w:color w:val="auto"/>
        </w:rPr>
        <w:t>o successfully executed a strategy that shifted our focus to growing our number of global streaming subscribers and increasing global streaming revenue while maximizing revenues from traditional sources, growing global streaming subscribers 88% year-over-year to 56.1 million and increasing revenues for 2021 13% year-over-year to $28.59 billion;</w:t>
      </w:r>
    </w:p>
    <w:p>
      <w:pPr>
        <w:spacing w:after="0" w:line="62" w:lineRule="exact"/>
        <w:rPr>
          <w:rFonts w:ascii="Arial" w:cs="Arial" w:eastAsia="Arial" w:hAnsi="Arial"/>
          <w:sz w:val="18"/>
          <w:szCs w:val="18"/>
          <w:color w:val="auto"/>
        </w:rPr>
      </w:pPr>
    </w:p>
    <w:p>
      <w:pPr>
        <w:ind w:left="1580" w:right="180" w:hanging="428"/>
        <w:spacing w:after="0" w:line="249" w:lineRule="auto"/>
        <w:rPr>
          <w:rFonts w:ascii="Arial" w:cs="Arial" w:eastAsia="Arial" w:hAnsi="Arial"/>
          <w:sz w:val="18"/>
          <w:szCs w:val="18"/>
          <w:color w:val="auto"/>
        </w:rPr>
      </w:pPr>
      <w:r>
        <w:rPr>
          <w:rFonts w:ascii="Arial" w:cs="Arial" w:eastAsia="Arial" w:hAnsi="Arial"/>
          <w:sz w:val="18"/>
          <w:szCs w:val="18"/>
          <w:color w:val="auto"/>
        </w:rPr>
        <w:t>o launched Paramount+ in March 2021, a global streaming service for our leading portfolio of brands, including originals, live sports, news, and over 30,000 episodes and movies, reaching 32.8 million global subscribers as of December 31, 2021;</w:t>
      </w:r>
    </w:p>
    <w:p>
      <w:pPr>
        <w:spacing w:after="0" w:line="77" w:lineRule="exact"/>
        <w:rPr>
          <w:rFonts w:ascii="Arial" w:cs="Arial" w:eastAsia="Arial" w:hAnsi="Arial"/>
          <w:sz w:val="18"/>
          <w:szCs w:val="18"/>
          <w:color w:val="auto"/>
        </w:rPr>
      </w:pPr>
    </w:p>
    <w:p>
      <w:pPr>
        <w:ind w:left="1580" w:right="360" w:hanging="428"/>
        <w:spacing w:after="0" w:line="265" w:lineRule="auto"/>
        <w:rPr>
          <w:rFonts w:ascii="Arial" w:cs="Arial" w:eastAsia="Arial" w:hAnsi="Arial"/>
          <w:sz w:val="18"/>
          <w:szCs w:val="18"/>
          <w:color w:val="auto"/>
        </w:rPr>
      </w:pPr>
      <w:r>
        <w:rPr>
          <w:rFonts w:ascii="Arial" w:cs="Arial" w:eastAsia="Arial" w:hAnsi="Arial"/>
          <w:sz w:val="18"/>
          <w:szCs w:val="18"/>
          <w:color w:val="auto"/>
        </w:rPr>
        <w:t>o expanded the global reach of Paramount+, Pluto TV and our other streaming services, including in Europe and Latin America, positioning Pluto TV to generate over $1 billion in revenue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374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188"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48</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80"/>
          </w:cols>
          <w:pgMar w:left="320" w:top="454" w:right="49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COMPENSATION DISCUSSION AND ANALYSIS</w:t>
      </w:r>
    </w:p>
    <w:p>
      <w:pPr>
        <w:spacing w:after="0" w:line="146" w:lineRule="exact"/>
        <w:rPr>
          <w:sz w:val="20"/>
          <w:szCs w:val="20"/>
          <w:color w:val="auto"/>
        </w:rPr>
      </w:pPr>
    </w:p>
    <w:p>
      <w:pPr>
        <w:ind w:left="1580" w:right="100" w:hanging="436"/>
        <w:spacing w:after="0" w:line="249" w:lineRule="auto"/>
        <w:tabs>
          <w:tab w:leader="none" w:pos="15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delivered on key strategic and operational goals, such as achieving cost synergy goals and improving business operations while continuing to lead a high-performing senior management team during a global pandemic while working remotely;</w:t>
      </w:r>
    </w:p>
    <w:p>
      <w:pPr>
        <w:spacing w:after="0" w:line="77" w:lineRule="exact"/>
        <w:rPr>
          <w:rFonts w:ascii="Arial" w:cs="Arial" w:eastAsia="Arial" w:hAnsi="Arial"/>
          <w:sz w:val="18"/>
          <w:szCs w:val="18"/>
          <w:color w:val="auto"/>
        </w:rPr>
      </w:pPr>
    </w:p>
    <w:p>
      <w:pPr>
        <w:ind w:left="1580" w:hanging="436"/>
        <w:spacing w:after="0"/>
        <w:tabs>
          <w:tab w:leader="none" w:pos="15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successfully concluded key distribution agreements using a unified approach across our portfolio;</w:t>
      </w:r>
    </w:p>
    <w:p>
      <w:pPr>
        <w:spacing w:after="0" w:line="113" w:lineRule="exact"/>
        <w:rPr>
          <w:rFonts w:ascii="Arial" w:cs="Arial" w:eastAsia="Arial" w:hAnsi="Arial"/>
          <w:sz w:val="18"/>
          <w:szCs w:val="18"/>
          <w:color w:val="auto"/>
        </w:rPr>
      </w:pPr>
    </w:p>
    <w:p>
      <w:pPr>
        <w:ind w:left="1580" w:right="620" w:hanging="436"/>
        <w:spacing w:after="0" w:line="265" w:lineRule="auto"/>
        <w:tabs>
          <w:tab w:leader="none" w:pos="15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successfully pursued opportunities to divest or exit non-core properties and businesses, including the Black Rock building in Manhattan and the CBS Studios campus in Los Angeles; and</w:t>
      </w:r>
    </w:p>
    <w:p>
      <w:pPr>
        <w:spacing w:after="0" w:line="64" w:lineRule="exact"/>
        <w:rPr>
          <w:rFonts w:ascii="Arial" w:cs="Arial" w:eastAsia="Arial" w:hAnsi="Arial"/>
          <w:sz w:val="18"/>
          <w:szCs w:val="18"/>
          <w:color w:val="auto"/>
        </w:rPr>
      </w:pPr>
    </w:p>
    <w:p>
      <w:pPr>
        <w:ind w:left="1580" w:right="100" w:hanging="436"/>
        <w:spacing w:after="0" w:line="265" w:lineRule="auto"/>
        <w:tabs>
          <w:tab w:leader="none" w:pos="15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continued to focus on developing a high-performing workforce, fostering an inclusive workplace, protecting the health of our employees and supporting our communities and audiences that we serve.</w:t>
      </w:r>
    </w:p>
    <w:p>
      <w:pPr>
        <w:spacing w:after="0" w:line="64" w:lineRule="exact"/>
        <w:rPr>
          <w:rFonts w:ascii="Arial" w:cs="Arial" w:eastAsia="Arial" w:hAnsi="Arial"/>
          <w:sz w:val="18"/>
          <w:szCs w:val="18"/>
          <w:color w:val="auto"/>
        </w:rPr>
      </w:pPr>
    </w:p>
    <w:p>
      <w:pPr>
        <w:ind w:left="1140" w:hanging="545"/>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Chopra and Mses. D’Alimonte, Lea and Phillips were key members of the senior management team.</w:t>
      </w:r>
    </w:p>
    <w:p>
      <w:pPr>
        <w:spacing w:after="0" w:line="113" w:lineRule="exact"/>
        <w:rPr>
          <w:rFonts w:ascii="Arial" w:cs="Arial" w:eastAsia="Arial" w:hAnsi="Arial"/>
          <w:sz w:val="18"/>
          <w:szCs w:val="18"/>
          <w:color w:val="auto"/>
        </w:rPr>
      </w:pPr>
    </w:p>
    <w:p>
      <w:pPr>
        <w:ind w:left="1580" w:right="220" w:hanging="436"/>
        <w:spacing w:after="0" w:line="238" w:lineRule="auto"/>
        <w:tabs>
          <w:tab w:leader="none" w:pos="15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Mr. Chopra participated in and advised the senior management team and provided leadership of our finance, accounting, tax, treasury, investor relations, strategy and corporate development, technology and facilities and real estate functions, and continued to strengthen and streamline our finance organization and processes. Mr. Chopra was instrumental in developing and executing on our accelerated streaming strategy and oversaw numerous initiatives to drive efficiencies and manage costs, including the development of a strategy to optimize decision-making across the Company as it pertains to the monetization of content. Mr. Chopra continues to be a strong advocate and voice in our inclusive, values-driven corporate culture.</w:t>
      </w:r>
    </w:p>
    <w:p>
      <w:pPr>
        <w:spacing w:after="0" w:line="87" w:lineRule="exact"/>
        <w:rPr>
          <w:rFonts w:ascii="Arial" w:cs="Arial" w:eastAsia="Arial" w:hAnsi="Arial"/>
          <w:sz w:val="18"/>
          <w:szCs w:val="18"/>
          <w:color w:val="auto"/>
        </w:rPr>
      </w:pPr>
    </w:p>
    <w:p>
      <w:pPr>
        <w:ind w:left="1580" w:right="80" w:hanging="436"/>
        <w:spacing w:after="0" w:line="237" w:lineRule="auto"/>
        <w:tabs>
          <w:tab w:leader="none" w:pos="15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Ms. D’Alimonte was a member of our senior management team and provided leadership of our global legal and compliance functions, providing expert counsel and sound judgement to the Board and senior management on a wide variety of matters, including commercial transactions and negotiations, litigation and dispute resolution, regulatory matters, and ongoing business counseling and advice. The Committee recognized that Ms. D’Alimonte provided strategic and legal guidance to our Board of Directors as it addressed complex issues relating to executive management, corporate governance and shareholder matters. Ms. D’Alimonte supported steady execution of our accelerated streaming strategy, and other strategic initiatives including content distribution partnerships and divestitures of non-core assets. She has also been a strong advocate for enabling a diverse, equitable and inclusive law department and Company as a whole.</w:t>
      </w:r>
    </w:p>
    <w:p>
      <w:pPr>
        <w:spacing w:after="0" w:line="86" w:lineRule="exact"/>
        <w:rPr>
          <w:rFonts w:ascii="Arial" w:cs="Arial" w:eastAsia="Arial" w:hAnsi="Arial"/>
          <w:sz w:val="18"/>
          <w:szCs w:val="18"/>
          <w:color w:val="auto"/>
        </w:rPr>
      </w:pPr>
    </w:p>
    <w:p>
      <w:pPr>
        <w:ind w:left="1580" w:right="40" w:hanging="436"/>
        <w:spacing w:after="0" w:line="239" w:lineRule="auto"/>
        <w:tabs>
          <w:tab w:leader="none" w:pos="15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Ms. Lea participated in and advised the senior management team and provided leadership of our worldwide government relations function, overseeing the development and execution of our government relations strategy both domestically and internationally. Ms. Lea advocated public policy positions for the content distribution and film industries at the international, national, state, and local levels, worked extensively on television and film production tax credits, and provided political, policy and regulatory expertise to our executives, including continued regulatory advice with respect to federal, state and local rules and mandates pertaining to the COVID pandemic.</w:t>
      </w:r>
    </w:p>
    <w:p>
      <w:pPr>
        <w:spacing w:after="0" w:line="87" w:lineRule="exact"/>
        <w:rPr>
          <w:rFonts w:ascii="Arial" w:cs="Arial" w:eastAsia="Arial" w:hAnsi="Arial"/>
          <w:sz w:val="18"/>
          <w:szCs w:val="18"/>
          <w:color w:val="auto"/>
        </w:rPr>
      </w:pPr>
    </w:p>
    <w:p>
      <w:pPr>
        <w:ind w:left="1580" w:hanging="436"/>
        <w:spacing w:after="0"/>
        <w:tabs>
          <w:tab w:leader="none" w:pos="15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Ms. Phillips participated in and advised the senior management team and led our people strategy and operations.</w:t>
      </w:r>
    </w:p>
    <w:p>
      <w:pPr>
        <w:spacing w:after="0" w:line="11" w:lineRule="exact"/>
        <w:rPr>
          <w:rFonts w:ascii="Arial" w:cs="Arial" w:eastAsia="Arial" w:hAnsi="Arial"/>
          <w:sz w:val="18"/>
          <w:szCs w:val="18"/>
          <w:color w:val="auto"/>
        </w:rPr>
      </w:pPr>
    </w:p>
    <w:p>
      <w:pPr>
        <w:ind w:left="1580"/>
        <w:spacing w:after="0" w:line="235" w:lineRule="auto"/>
        <w:rPr>
          <w:rFonts w:ascii="Arial" w:cs="Arial" w:eastAsia="Arial" w:hAnsi="Arial"/>
          <w:sz w:val="18"/>
          <w:szCs w:val="18"/>
          <w:color w:val="auto"/>
        </w:rPr>
      </w:pPr>
      <w:r>
        <w:rPr>
          <w:rFonts w:ascii="Arial" w:cs="Arial" w:eastAsia="Arial" w:hAnsi="Arial"/>
          <w:sz w:val="18"/>
          <w:szCs w:val="18"/>
          <w:color w:val="auto"/>
        </w:rPr>
        <w:t>Ms. Phillips provided leadership of our human resources and security functions, including our talent acquisition, people development, people operations and total rewards strategies, and managed several significant leadership and organizational changes. Ms. Phillips was instrumental in working to integrate engagement, diversity, equity and inclusion into all aspects of the people strategy, creating a high-performing, high-development organizational culture that is diverse, equitable, and inclusive, as well as an organizational culture that will serve as a competitive advantage for us. In addition, Ms. Phillips continued to chair our COVID Task Force, which included meeting with medical experts and federal, state and local officials to leverage best practice protocols that enabled our programming to remain in production throughout the year.</w:t>
      </w:r>
    </w:p>
    <w:p>
      <w:pPr>
        <w:spacing w:after="0" w:line="131"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49</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46" w:lineRule="exact"/>
        <w:rPr>
          <w:sz w:val="20"/>
          <w:szCs w:val="20"/>
          <w:color w:val="auto"/>
        </w:rPr>
      </w:pPr>
    </w:p>
    <w:p>
      <w:pPr>
        <w:ind w:left="600" w:right="20"/>
        <w:spacing w:after="0" w:line="265" w:lineRule="auto"/>
        <w:rPr>
          <w:sz w:val="20"/>
          <w:szCs w:val="20"/>
          <w:color w:val="auto"/>
        </w:rPr>
      </w:pPr>
      <w:r>
        <w:rPr>
          <w:rFonts w:ascii="Arial" w:cs="Arial" w:eastAsia="Arial" w:hAnsi="Arial"/>
          <w:sz w:val="18"/>
          <w:szCs w:val="18"/>
          <w:color w:val="auto"/>
        </w:rPr>
        <w:t>Based on the foregoing, the Committee approved the specific annual bonus amounts set forth in the table below and in the Summary Compensation Table for Fiscal Year 2021 under the “Non-Equity Incentive” column for each of the above NEOs.</w:t>
      </w:r>
    </w:p>
    <w:p>
      <w:pPr>
        <w:spacing w:after="0" w:line="204" w:lineRule="exact"/>
        <w:rPr>
          <w:sz w:val="20"/>
          <w:szCs w:val="20"/>
          <w:color w:val="auto"/>
        </w:rPr>
      </w:pPr>
    </w:p>
    <w:tbl>
      <w:tblPr>
        <w:tblLayout w:type="fixed"/>
        <w:tblInd w:w="720" w:type="dxa"/>
        <w:tblCellMar>
          <w:top w:w="0" w:type="dxa"/>
          <w:left w:w="0" w:type="dxa"/>
          <w:bottom w:w="0" w:type="dxa"/>
          <w:right w:w="0" w:type="dxa"/>
        </w:tblCellMar>
      </w:tblPr>
      <w:tr>
        <w:trPr>
          <w:trHeight w:val="240"/>
        </w:trPr>
        <w:tc>
          <w:tcPr>
            <w:tcW w:w="420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940" w:type="dxa"/>
            <w:vAlign w:val="bottom"/>
            <w:shd w:val="clear" w:color="auto" w:fill="E5E5E5"/>
          </w:tcPr>
          <w:p>
            <w:pPr>
              <w:spacing w:after="0"/>
              <w:rPr>
                <w:sz w:val="20"/>
                <w:szCs w:val="20"/>
                <w:color w:val="auto"/>
              </w:rPr>
            </w:pP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051D49"/>
                <w:w w:val="99"/>
              </w:rPr>
              <w:t>Preliminary</w:t>
            </w:r>
          </w:p>
        </w:tc>
        <w:tc>
          <w:tcPr>
            <w:tcW w:w="220" w:type="dxa"/>
            <w:vAlign w:val="bottom"/>
            <w:shd w:val="clear" w:color="auto" w:fill="E5E5E5"/>
          </w:tcPr>
          <w:p>
            <w:pPr>
              <w:spacing w:after="0"/>
              <w:rPr>
                <w:sz w:val="20"/>
                <w:szCs w:val="20"/>
                <w:color w:val="auto"/>
              </w:rPr>
            </w:pPr>
          </w:p>
        </w:tc>
        <w:tc>
          <w:tcPr>
            <w:tcW w:w="960" w:type="dxa"/>
            <w:vAlign w:val="bottom"/>
            <w:shd w:val="clear" w:color="auto" w:fill="E5E5E5"/>
          </w:tcPr>
          <w:p>
            <w:pPr>
              <w:spacing w:after="0"/>
              <w:rPr>
                <w:sz w:val="20"/>
                <w:szCs w:val="20"/>
                <w:color w:val="auto"/>
              </w:rPr>
            </w:pPr>
          </w:p>
        </w:tc>
        <w:tc>
          <w:tcPr>
            <w:tcW w:w="9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r>
      <w:tr>
        <w:trPr>
          <w:trHeight w:val="187"/>
        </w:trPr>
        <w:tc>
          <w:tcPr>
            <w:tcW w:w="42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051D49"/>
              </w:rPr>
              <w:t>Bonus</w:t>
            </w:r>
          </w:p>
        </w:tc>
        <w:tc>
          <w:tcPr>
            <w:tcW w:w="2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r>
      <w:tr>
        <w:trPr>
          <w:trHeight w:val="187"/>
        </w:trPr>
        <w:tc>
          <w:tcPr>
            <w:tcW w:w="42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320"/>
              <w:spacing w:after="0"/>
              <w:rPr>
                <w:sz w:val="20"/>
                <w:szCs w:val="20"/>
                <w:color w:val="auto"/>
              </w:rPr>
            </w:pPr>
            <w:r>
              <w:rPr>
                <w:rFonts w:ascii="Arial" w:cs="Arial" w:eastAsia="Arial" w:hAnsi="Arial"/>
                <w:sz w:val="16"/>
                <w:szCs w:val="16"/>
                <w:color w:val="051D49"/>
              </w:rPr>
              <w:t>Target</w:t>
            </w: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051D49"/>
              </w:rPr>
              <w:t>Funding</w:t>
            </w:r>
          </w:p>
        </w:tc>
        <w:tc>
          <w:tcPr>
            <w:tcW w:w="11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051D49"/>
              </w:rPr>
              <w:t>Preliminary</w:t>
            </w:r>
          </w:p>
        </w:tc>
        <w:tc>
          <w:tcPr>
            <w:tcW w:w="980" w:type="dxa"/>
            <w:vAlign w:val="bottom"/>
            <w:shd w:val="clear" w:color="auto" w:fill="E5E5E5"/>
          </w:tcPr>
          <w:p>
            <w:pPr>
              <w:jc w:val="center"/>
              <w:spacing w:after="0"/>
              <w:rPr>
                <w:sz w:val="20"/>
                <w:szCs w:val="20"/>
                <w:color w:val="auto"/>
              </w:rPr>
            </w:pPr>
            <w:r>
              <w:rPr>
                <w:rFonts w:ascii="Arial" w:cs="Arial" w:eastAsia="Arial" w:hAnsi="Arial"/>
                <w:sz w:val="16"/>
                <w:szCs w:val="16"/>
                <w:color w:val="051D49"/>
              </w:rPr>
              <w:t>Individual</w:t>
            </w:r>
          </w:p>
        </w:tc>
        <w:tc>
          <w:tcPr>
            <w:tcW w:w="22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051D49"/>
              </w:rPr>
              <w:t>Final</w:t>
            </w:r>
          </w:p>
        </w:tc>
      </w:tr>
      <w:tr>
        <w:trPr>
          <w:trHeight w:val="228"/>
        </w:trPr>
        <w:tc>
          <w:tcPr>
            <w:tcW w:w="4200" w:type="dxa"/>
            <w:vAlign w:val="bottom"/>
            <w:shd w:val="clear" w:color="auto" w:fill="E5E5E5"/>
          </w:tcPr>
          <w:p>
            <w:pPr>
              <w:ind w:left="60"/>
              <w:spacing w:after="0"/>
              <w:rPr>
                <w:sz w:val="20"/>
                <w:szCs w:val="20"/>
                <w:color w:val="auto"/>
              </w:rPr>
            </w:pPr>
            <w:r>
              <w:rPr>
                <w:rFonts w:ascii="Arial" w:cs="Arial" w:eastAsia="Arial" w:hAnsi="Arial"/>
                <w:sz w:val="16"/>
                <w:szCs w:val="16"/>
                <w:color w:val="051D49"/>
              </w:rPr>
              <w:t>NEO</w:t>
            </w:r>
          </w:p>
        </w:tc>
        <w:tc>
          <w:tcPr>
            <w:tcW w:w="360" w:type="dxa"/>
            <w:vAlign w:val="bottom"/>
            <w:shd w:val="clear" w:color="auto" w:fill="E5E5E5"/>
          </w:tcPr>
          <w:p>
            <w:pPr>
              <w:spacing w:after="0"/>
              <w:rPr>
                <w:sz w:val="19"/>
                <w:szCs w:val="19"/>
                <w:color w:val="auto"/>
              </w:rPr>
            </w:pPr>
          </w:p>
        </w:tc>
        <w:tc>
          <w:tcPr>
            <w:tcW w:w="940" w:type="dxa"/>
            <w:vAlign w:val="bottom"/>
            <w:shd w:val="clear" w:color="auto" w:fill="E5E5E5"/>
          </w:tcPr>
          <w:p>
            <w:pPr>
              <w:jc w:val="right"/>
              <w:ind w:right="320"/>
              <w:spacing w:after="0"/>
              <w:rPr>
                <w:sz w:val="20"/>
                <w:szCs w:val="20"/>
                <w:color w:val="auto"/>
              </w:rPr>
            </w:pPr>
            <w:r>
              <w:rPr>
                <w:rFonts w:ascii="Arial" w:cs="Arial" w:eastAsia="Arial" w:hAnsi="Arial"/>
                <w:sz w:val="16"/>
                <w:szCs w:val="16"/>
                <w:color w:val="051D49"/>
              </w:rPr>
              <w:t>Award</w:t>
            </w: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051D49"/>
              </w:rPr>
              <w:t>Percentage</w:t>
            </w:r>
          </w:p>
        </w:tc>
        <w:tc>
          <w:tcPr>
            <w:tcW w:w="220" w:type="dxa"/>
            <w:vAlign w:val="bottom"/>
            <w:shd w:val="clear" w:color="auto" w:fill="E5E5E5"/>
          </w:tcPr>
          <w:p>
            <w:pPr>
              <w:spacing w:after="0"/>
              <w:rPr>
                <w:sz w:val="19"/>
                <w:szCs w:val="19"/>
                <w:color w:val="auto"/>
              </w:rPr>
            </w:pPr>
          </w:p>
        </w:tc>
        <w:tc>
          <w:tcPr>
            <w:tcW w:w="960" w:type="dxa"/>
            <w:vAlign w:val="bottom"/>
            <w:shd w:val="clear" w:color="auto" w:fill="E5E5E5"/>
          </w:tcPr>
          <w:p>
            <w:pPr>
              <w:jc w:val="right"/>
              <w:ind w:right="300"/>
              <w:spacing w:after="0"/>
              <w:rPr>
                <w:sz w:val="20"/>
                <w:szCs w:val="20"/>
                <w:color w:val="auto"/>
              </w:rPr>
            </w:pPr>
            <w:r>
              <w:rPr>
                <w:rFonts w:ascii="Arial" w:cs="Arial" w:eastAsia="Arial" w:hAnsi="Arial"/>
                <w:sz w:val="16"/>
                <w:szCs w:val="16"/>
                <w:color w:val="051D49"/>
              </w:rPr>
              <w:t>Award</w:t>
            </w:r>
          </w:p>
        </w:tc>
        <w:tc>
          <w:tcPr>
            <w:tcW w:w="980" w:type="dxa"/>
            <w:vAlign w:val="bottom"/>
            <w:shd w:val="clear" w:color="auto" w:fill="E5E5E5"/>
          </w:tcPr>
          <w:p>
            <w:pPr>
              <w:jc w:val="center"/>
              <w:spacing w:after="0"/>
              <w:rPr>
                <w:sz w:val="20"/>
                <w:szCs w:val="20"/>
                <w:color w:val="auto"/>
              </w:rPr>
            </w:pPr>
            <w:r>
              <w:rPr>
                <w:rFonts w:ascii="Arial" w:cs="Arial" w:eastAsia="Arial" w:hAnsi="Arial"/>
                <w:sz w:val="16"/>
                <w:szCs w:val="16"/>
                <w:color w:val="051D49"/>
                <w:w w:val="99"/>
              </w:rPr>
              <w:t>Multiplier</w:t>
            </w:r>
          </w:p>
        </w:tc>
        <w:tc>
          <w:tcPr>
            <w:tcW w:w="22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051D49"/>
              </w:rPr>
              <w:t>Award</w:t>
            </w:r>
          </w:p>
        </w:tc>
      </w:tr>
      <w:tr>
        <w:trPr>
          <w:trHeight w:val="277"/>
        </w:trPr>
        <w:tc>
          <w:tcPr>
            <w:tcW w:w="4200" w:type="dxa"/>
            <w:vAlign w:val="bottom"/>
          </w:tcPr>
          <w:p>
            <w:pPr>
              <w:ind w:left="60"/>
              <w:spacing w:after="0"/>
              <w:rPr>
                <w:sz w:val="20"/>
                <w:szCs w:val="20"/>
                <w:color w:val="auto"/>
              </w:rPr>
            </w:pPr>
            <w:r>
              <w:rPr>
                <w:rFonts w:ascii="Arial" w:cs="Arial" w:eastAsia="Arial" w:hAnsi="Arial"/>
                <w:sz w:val="16"/>
                <w:szCs w:val="16"/>
                <w:color w:val="auto"/>
              </w:rPr>
              <w:t>Robert M. Bakish</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$12,400,000</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120.1%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w w:val="97"/>
              </w:rPr>
              <w:t>14,892,400</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113%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97"/>
              </w:rPr>
              <w:t>16,828,412</w:t>
            </w:r>
          </w:p>
        </w:tc>
      </w:tr>
      <w:tr>
        <w:trPr>
          <w:trHeight w:val="30"/>
        </w:trPr>
        <w:tc>
          <w:tcPr>
            <w:tcW w:w="4200" w:type="dxa"/>
            <w:vAlign w:val="bottom"/>
            <w:tcBorders>
              <w:bottom w:val="single" w:sz="8" w:color="051D49"/>
            </w:tcBorders>
          </w:tcPr>
          <w:p>
            <w:pPr>
              <w:spacing w:after="0"/>
              <w:rPr>
                <w:sz w:val="2"/>
                <w:szCs w:val="2"/>
                <w:color w:val="auto"/>
              </w:rPr>
            </w:pPr>
          </w:p>
        </w:tc>
        <w:tc>
          <w:tcPr>
            <w:tcW w:w="360" w:type="dxa"/>
            <w:vAlign w:val="bottom"/>
            <w:tcBorders>
              <w:bottom w:val="single" w:sz="8" w:color="051D49"/>
            </w:tcBorders>
          </w:tcPr>
          <w:p>
            <w:pPr>
              <w:spacing w:after="0"/>
              <w:rPr>
                <w:sz w:val="2"/>
                <w:szCs w:val="2"/>
                <w:color w:val="auto"/>
              </w:rPr>
            </w:pPr>
          </w:p>
        </w:tc>
        <w:tc>
          <w:tcPr>
            <w:tcW w:w="940" w:type="dxa"/>
            <w:vAlign w:val="bottom"/>
            <w:tcBorders>
              <w:bottom w:val="single" w:sz="8" w:color="051D49"/>
            </w:tcBorders>
          </w:tcPr>
          <w:p>
            <w:pPr>
              <w:spacing w:after="0"/>
              <w:rPr>
                <w:sz w:val="2"/>
                <w:szCs w:val="2"/>
                <w:color w:val="auto"/>
              </w:rPr>
            </w:pPr>
          </w:p>
        </w:tc>
        <w:tc>
          <w:tcPr>
            <w:tcW w:w="1100" w:type="dxa"/>
            <w:vAlign w:val="bottom"/>
            <w:tcBorders>
              <w:bottom w:val="single" w:sz="8" w:color="051D49"/>
            </w:tcBorders>
          </w:tcPr>
          <w:p>
            <w:pPr>
              <w:spacing w:after="0"/>
              <w:rPr>
                <w:sz w:val="2"/>
                <w:szCs w:val="2"/>
                <w:color w:val="auto"/>
              </w:rPr>
            </w:pPr>
          </w:p>
        </w:tc>
        <w:tc>
          <w:tcPr>
            <w:tcW w:w="220" w:type="dxa"/>
            <w:vAlign w:val="bottom"/>
            <w:tcBorders>
              <w:bottom w:val="single" w:sz="8" w:color="051D49"/>
            </w:tcBorders>
          </w:tcPr>
          <w:p>
            <w:pPr>
              <w:spacing w:after="0"/>
              <w:rPr>
                <w:sz w:val="2"/>
                <w:szCs w:val="2"/>
                <w:color w:val="auto"/>
              </w:rPr>
            </w:pPr>
          </w:p>
        </w:tc>
        <w:tc>
          <w:tcPr>
            <w:tcW w:w="960" w:type="dxa"/>
            <w:vAlign w:val="bottom"/>
            <w:tcBorders>
              <w:bottom w:val="single" w:sz="8" w:color="051D49"/>
            </w:tcBorders>
          </w:tcPr>
          <w:p>
            <w:pPr>
              <w:spacing w:after="0"/>
              <w:rPr>
                <w:sz w:val="2"/>
                <w:szCs w:val="2"/>
                <w:color w:val="auto"/>
              </w:rPr>
            </w:pPr>
          </w:p>
        </w:tc>
        <w:tc>
          <w:tcPr>
            <w:tcW w:w="980" w:type="dxa"/>
            <w:vAlign w:val="bottom"/>
            <w:tcBorders>
              <w:bottom w:val="single" w:sz="8" w:color="051D49"/>
            </w:tcBorders>
          </w:tcPr>
          <w:p>
            <w:pPr>
              <w:spacing w:after="0"/>
              <w:rPr>
                <w:sz w:val="2"/>
                <w:szCs w:val="2"/>
                <w:color w:val="auto"/>
              </w:rPr>
            </w:pPr>
          </w:p>
        </w:tc>
        <w:tc>
          <w:tcPr>
            <w:tcW w:w="220" w:type="dxa"/>
            <w:vAlign w:val="bottom"/>
            <w:tcBorders>
              <w:bottom w:val="single" w:sz="8" w:color="051D49"/>
            </w:tcBorders>
          </w:tcPr>
          <w:p>
            <w:pPr>
              <w:spacing w:after="0"/>
              <w:rPr>
                <w:sz w:val="2"/>
                <w:szCs w:val="2"/>
                <w:color w:val="auto"/>
              </w:rPr>
            </w:pPr>
          </w:p>
        </w:tc>
        <w:tc>
          <w:tcPr>
            <w:tcW w:w="840" w:type="dxa"/>
            <w:vAlign w:val="bottom"/>
            <w:tcBorders>
              <w:bottom w:val="single" w:sz="8" w:color="051D49"/>
            </w:tcBorders>
          </w:tcPr>
          <w:p>
            <w:pPr>
              <w:spacing w:after="0"/>
              <w:rPr>
                <w:sz w:val="2"/>
                <w:szCs w:val="2"/>
                <w:color w:val="auto"/>
              </w:rPr>
            </w:pPr>
          </w:p>
        </w:tc>
      </w:tr>
      <w:tr>
        <w:trPr>
          <w:trHeight w:val="257"/>
        </w:trPr>
        <w:tc>
          <w:tcPr>
            <w:tcW w:w="4200" w:type="dxa"/>
            <w:vAlign w:val="bottom"/>
          </w:tcPr>
          <w:p>
            <w:pPr>
              <w:ind w:left="60"/>
              <w:spacing w:after="0"/>
              <w:rPr>
                <w:sz w:val="20"/>
                <w:szCs w:val="20"/>
                <w:color w:val="auto"/>
              </w:rPr>
            </w:pPr>
            <w:r>
              <w:rPr>
                <w:rFonts w:ascii="Arial" w:cs="Arial" w:eastAsia="Arial" w:hAnsi="Arial"/>
                <w:sz w:val="16"/>
                <w:szCs w:val="16"/>
                <w:color w:val="auto"/>
              </w:rPr>
              <w:t>Naveen Chopra</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2,100,000</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120.1%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2,522,100</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105%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2,648,205</w:t>
            </w:r>
          </w:p>
        </w:tc>
      </w:tr>
      <w:tr>
        <w:trPr>
          <w:trHeight w:val="30"/>
        </w:trPr>
        <w:tc>
          <w:tcPr>
            <w:tcW w:w="4200" w:type="dxa"/>
            <w:vAlign w:val="bottom"/>
            <w:tcBorders>
              <w:bottom w:val="single" w:sz="8" w:color="051D49"/>
            </w:tcBorders>
          </w:tcPr>
          <w:p>
            <w:pPr>
              <w:spacing w:after="0"/>
              <w:rPr>
                <w:sz w:val="2"/>
                <w:szCs w:val="2"/>
                <w:color w:val="auto"/>
              </w:rPr>
            </w:pPr>
          </w:p>
        </w:tc>
        <w:tc>
          <w:tcPr>
            <w:tcW w:w="360" w:type="dxa"/>
            <w:vAlign w:val="bottom"/>
            <w:tcBorders>
              <w:bottom w:val="single" w:sz="8" w:color="051D49"/>
            </w:tcBorders>
          </w:tcPr>
          <w:p>
            <w:pPr>
              <w:spacing w:after="0"/>
              <w:rPr>
                <w:sz w:val="2"/>
                <w:szCs w:val="2"/>
                <w:color w:val="auto"/>
              </w:rPr>
            </w:pPr>
          </w:p>
        </w:tc>
        <w:tc>
          <w:tcPr>
            <w:tcW w:w="940" w:type="dxa"/>
            <w:vAlign w:val="bottom"/>
            <w:tcBorders>
              <w:bottom w:val="single" w:sz="8" w:color="051D49"/>
            </w:tcBorders>
          </w:tcPr>
          <w:p>
            <w:pPr>
              <w:spacing w:after="0"/>
              <w:rPr>
                <w:sz w:val="2"/>
                <w:szCs w:val="2"/>
                <w:color w:val="auto"/>
              </w:rPr>
            </w:pPr>
          </w:p>
        </w:tc>
        <w:tc>
          <w:tcPr>
            <w:tcW w:w="1100" w:type="dxa"/>
            <w:vAlign w:val="bottom"/>
            <w:tcBorders>
              <w:bottom w:val="single" w:sz="8" w:color="051D49"/>
            </w:tcBorders>
          </w:tcPr>
          <w:p>
            <w:pPr>
              <w:spacing w:after="0"/>
              <w:rPr>
                <w:sz w:val="2"/>
                <w:szCs w:val="2"/>
                <w:color w:val="auto"/>
              </w:rPr>
            </w:pPr>
          </w:p>
        </w:tc>
        <w:tc>
          <w:tcPr>
            <w:tcW w:w="220" w:type="dxa"/>
            <w:vAlign w:val="bottom"/>
            <w:tcBorders>
              <w:bottom w:val="single" w:sz="8" w:color="051D49"/>
            </w:tcBorders>
          </w:tcPr>
          <w:p>
            <w:pPr>
              <w:spacing w:after="0"/>
              <w:rPr>
                <w:sz w:val="2"/>
                <w:szCs w:val="2"/>
                <w:color w:val="auto"/>
              </w:rPr>
            </w:pPr>
          </w:p>
        </w:tc>
        <w:tc>
          <w:tcPr>
            <w:tcW w:w="960" w:type="dxa"/>
            <w:vAlign w:val="bottom"/>
            <w:tcBorders>
              <w:bottom w:val="single" w:sz="8" w:color="051D49"/>
            </w:tcBorders>
          </w:tcPr>
          <w:p>
            <w:pPr>
              <w:spacing w:after="0"/>
              <w:rPr>
                <w:sz w:val="2"/>
                <w:szCs w:val="2"/>
                <w:color w:val="auto"/>
              </w:rPr>
            </w:pPr>
          </w:p>
        </w:tc>
        <w:tc>
          <w:tcPr>
            <w:tcW w:w="980" w:type="dxa"/>
            <w:vAlign w:val="bottom"/>
            <w:tcBorders>
              <w:bottom w:val="single" w:sz="8" w:color="051D49"/>
            </w:tcBorders>
          </w:tcPr>
          <w:p>
            <w:pPr>
              <w:spacing w:after="0"/>
              <w:rPr>
                <w:sz w:val="2"/>
                <w:szCs w:val="2"/>
                <w:color w:val="auto"/>
              </w:rPr>
            </w:pPr>
          </w:p>
        </w:tc>
        <w:tc>
          <w:tcPr>
            <w:tcW w:w="220" w:type="dxa"/>
            <w:vAlign w:val="bottom"/>
            <w:tcBorders>
              <w:bottom w:val="single" w:sz="8" w:color="051D49"/>
            </w:tcBorders>
          </w:tcPr>
          <w:p>
            <w:pPr>
              <w:spacing w:after="0"/>
              <w:rPr>
                <w:sz w:val="2"/>
                <w:szCs w:val="2"/>
                <w:color w:val="auto"/>
              </w:rPr>
            </w:pPr>
          </w:p>
        </w:tc>
        <w:tc>
          <w:tcPr>
            <w:tcW w:w="840" w:type="dxa"/>
            <w:vAlign w:val="bottom"/>
            <w:tcBorders>
              <w:bottom w:val="single" w:sz="8" w:color="051D49"/>
            </w:tcBorders>
          </w:tcPr>
          <w:p>
            <w:pPr>
              <w:spacing w:after="0"/>
              <w:rPr>
                <w:sz w:val="2"/>
                <w:szCs w:val="2"/>
                <w:color w:val="auto"/>
              </w:rPr>
            </w:pPr>
          </w:p>
        </w:tc>
      </w:tr>
      <w:tr>
        <w:trPr>
          <w:trHeight w:val="257"/>
        </w:trPr>
        <w:tc>
          <w:tcPr>
            <w:tcW w:w="4200" w:type="dxa"/>
            <w:vAlign w:val="bottom"/>
          </w:tcPr>
          <w:p>
            <w:pPr>
              <w:ind w:left="60"/>
              <w:spacing w:after="0"/>
              <w:rPr>
                <w:sz w:val="20"/>
                <w:szCs w:val="20"/>
                <w:color w:val="auto"/>
              </w:rPr>
            </w:pPr>
            <w:r>
              <w:rPr>
                <w:rFonts w:ascii="Arial" w:cs="Arial" w:eastAsia="Arial" w:hAnsi="Arial"/>
                <w:sz w:val="16"/>
                <w:szCs w:val="16"/>
                <w:color w:val="auto"/>
              </w:rPr>
              <w:t>Christa A. D’Alimonte</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1,562,500</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120.1%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1,876,563</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105%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1,970,391</w:t>
            </w:r>
          </w:p>
        </w:tc>
      </w:tr>
      <w:tr>
        <w:trPr>
          <w:trHeight w:val="30"/>
        </w:trPr>
        <w:tc>
          <w:tcPr>
            <w:tcW w:w="4200" w:type="dxa"/>
            <w:vAlign w:val="bottom"/>
            <w:tcBorders>
              <w:bottom w:val="single" w:sz="8" w:color="051D49"/>
            </w:tcBorders>
          </w:tcPr>
          <w:p>
            <w:pPr>
              <w:spacing w:after="0"/>
              <w:rPr>
                <w:sz w:val="2"/>
                <w:szCs w:val="2"/>
                <w:color w:val="auto"/>
              </w:rPr>
            </w:pPr>
          </w:p>
        </w:tc>
        <w:tc>
          <w:tcPr>
            <w:tcW w:w="360" w:type="dxa"/>
            <w:vAlign w:val="bottom"/>
            <w:tcBorders>
              <w:bottom w:val="single" w:sz="8" w:color="051D49"/>
            </w:tcBorders>
          </w:tcPr>
          <w:p>
            <w:pPr>
              <w:spacing w:after="0"/>
              <w:rPr>
                <w:sz w:val="2"/>
                <w:szCs w:val="2"/>
                <w:color w:val="auto"/>
              </w:rPr>
            </w:pPr>
          </w:p>
        </w:tc>
        <w:tc>
          <w:tcPr>
            <w:tcW w:w="940" w:type="dxa"/>
            <w:vAlign w:val="bottom"/>
            <w:tcBorders>
              <w:bottom w:val="single" w:sz="8" w:color="051D49"/>
            </w:tcBorders>
          </w:tcPr>
          <w:p>
            <w:pPr>
              <w:spacing w:after="0"/>
              <w:rPr>
                <w:sz w:val="2"/>
                <w:szCs w:val="2"/>
                <w:color w:val="auto"/>
              </w:rPr>
            </w:pPr>
          </w:p>
        </w:tc>
        <w:tc>
          <w:tcPr>
            <w:tcW w:w="1100" w:type="dxa"/>
            <w:vAlign w:val="bottom"/>
            <w:tcBorders>
              <w:bottom w:val="single" w:sz="8" w:color="051D49"/>
            </w:tcBorders>
          </w:tcPr>
          <w:p>
            <w:pPr>
              <w:spacing w:after="0"/>
              <w:rPr>
                <w:sz w:val="2"/>
                <w:szCs w:val="2"/>
                <w:color w:val="auto"/>
              </w:rPr>
            </w:pPr>
          </w:p>
        </w:tc>
        <w:tc>
          <w:tcPr>
            <w:tcW w:w="220" w:type="dxa"/>
            <w:vAlign w:val="bottom"/>
            <w:tcBorders>
              <w:bottom w:val="single" w:sz="8" w:color="051D49"/>
            </w:tcBorders>
          </w:tcPr>
          <w:p>
            <w:pPr>
              <w:spacing w:after="0"/>
              <w:rPr>
                <w:sz w:val="2"/>
                <w:szCs w:val="2"/>
                <w:color w:val="auto"/>
              </w:rPr>
            </w:pPr>
          </w:p>
        </w:tc>
        <w:tc>
          <w:tcPr>
            <w:tcW w:w="960" w:type="dxa"/>
            <w:vAlign w:val="bottom"/>
            <w:tcBorders>
              <w:bottom w:val="single" w:sz="8" w:color="051D49"/>
            </w:tcBorders>
          </w:tcPr>
          <w:p>
            <w:pPr>
              <w:spacing w:after="0"/>
              <w:rPr>
                <w:sz w:val="2"/>
                <w:szCs w:val="2"/>
                <w:color w:val="auto"/>
              </w:rPr>
            </w:pPr>
          </w:p>
        </w:tc>
        <w:tc>
          <w:tcPr>
            <w:tcW w:w="980" w:type="dxa"/>
            <w:vAlign w:val="bottom"/>
            <w:tcBorders>
              <w:bottom w:val="single" w:sz="8" w:color="051D49"/>
            </w:tcBorders>
          </w:tcPr>
          <w:p>
            <w:pPr>
              <w:spacing w:after="0"/>
              <w:rPr>
                <w:sz w:val="2"/>
                <w:szCs w:val="2"/>
                <w:color w:val="auto"/>
              </w:rPr>
            </w:pPr>
          </w:p>
        </w:tc>
        <w:tc>
          <w:tcPr>
            <w:tcW w:w="220" w:type="dxa"/>
            <w:vAlign w:val="bottom"/>
            <w:tcBorders>
              <w:bottom w:val="single" w:sz="8" w:color="051D49"/>
            </w:tcBorders>
          </w:tcPr>
          <w:p>
            <w:pPr>
              <w:spacing w:after="0"/>
              <w:rPr>
                <w:sz w:val="2"/>
                <w:szCs w:val="2"/>
                <w:color w:val="auto"/>
              </w:rPr>
            </w:pPr>
          </w:p>
        </w:tc>
        <w:tc>
          <w:tcPr>
            <w:tcW w:w="840" w:type="dxa"/>
            <w:vAlign w:val="bottom"/>
            <w:tcBorders>
              <w:bottom w:val="single" w:sz="8" w:color="051D49"/>
            </w:tcBorders>
          </w:tcPr>
          <w:p>
            <w:pPr>
              <w:spacing w:after="0"/>
              <w:rPr>
                <w:sz w:val="2"/>
                <w:szCs w:val="2"/>
                <w:color w:val="auto"/>
              </w:rPr>
            </w:pPr>
          </w:p>
        </w:tc>
      </w:tr>
      <w:tr>
        <w:trPr>
          <w:trHeight w:val="257"/>
        </w:trPr>
        <w:tc>
          <w:tcPr>
            <w:tcW w:w="4200" w:type="dxa"/>
            <w:vAlign w:val="bottom"/>
          </w:tcPr>
          <w:p>
            <w:pPr>
              <w:ind w:left="60"/>
              <w:spacing w:after="0"/>
              <w:rPr>
                <w:sz w:val="20"/>
                <w:szCs w:val="20"/>
                <w:color w:val="auto"/>
              </w:rPr>
            </w:pPr>
            <w:r>
              <w:rPr>
                <w:rFonts w:ascii="Arial" w:cs="Arial" w:eastAsia="Arial" w:hAnsi="Arial"/>
                <w:sz w:val="16"/>
                <w:szCs w:val="16"/>
                <w:color w:val="auto"/>
              </w:rPr>
              <w:t>Doretha F. Lea</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911,550</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120.1%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1,094,772</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105%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1,149,510</w:t>
            </w:r>
          </w:p>
        </w:tc>
      </w:tr>
      <w:tr>
        <w:trPr>
          <w:trHeight w:val="30"/>
        </w:trPr>
        <w:tc>
          <w:tcPr>
            <w:tcW w:w="4200" w:type="dxa"/>
            <w:vAlign w:val="bottom"/>
            <w:tcBorders>
              <w:bottom w:val="single" w:sz="8" w:color="051D49"/>
            </w:tcBorders>
          </w:tcPr>
          <w:p>
            <w:pPr>
              <w:spacing w:after="0"/>
              <w:rPr>
                <w:sz w:val="2"/>
                <w:szCs w:val="2"/>
                <w:color w:val="auto"/>
              </w:rPr>
            </w:pPr>
          </w:p>
        </w:tc>
        <w:tc>
          <w:tcPr>
            <w:tcW w:w="360" w:type="dxa"/>
            <w:vAlign w:val="bottom"/>
            <w:tcBorders>
              <w:bottom w:val="single" w:sz="8" w:color="051D49"/>
            </w:tcBorders>
          </w:tcPr>
          <w:p>
            <w:pPr>
              <w:spacing w:after="0"/>
              <w:rPr>
                <w:sz w:val="2"/>
                <w:szCs w:val="2"/>
                <w:color w:val="auto"/>
              </w:rPr>
            </w:pPr>
          </w:p>
        </w:tc>
        <w:tc>
          <w:tcPr>
            <w:tcW w:w="940" w:type="dxa"/>
            <w:vAlign w:val="bottom"/>
            <w:tcBorders>
              <w:bottom w:val="single" w:sz="8" w:color="051D49"/>
            </w:tcBorders>
          </w:tcPr>
          <w:p>
            <w:pPr>
              <w:spacing w:after="0"/>
              <w:rPr>
                <w:sz w:val="2"/>
                <w:szCs w:val="2"/>
                <w:color w:val="auto"/>
              </w:rPr>
            </w:pPr>
          </w:p>
        </w:tc>
        <w:tc>
          <w:tcPr>
            <w:tcW w:w="1100" w:type="dxa"/>
            <w:vAlign w:val="bottom"/>
            <w:tcBorders>
              <w:bottom w:val="single" w:sz="8" w:color="051D49"/>
            </w:tcBorders>
          </w:tcPr>
          <w:p>
            <w:pPr>
              <w:spacing w:after="0"/>
              <w:rPr>
                <w:sz w:val="2"/>
                <w:szCs w:val="2"/>
                <w:color w:val="auto"/>
              </w:rPr>
            </w:pPr>
          </w:p>
        </w:tc>
        <w:tc>
          <w:tcPr>
            <w:tcW w:w="220" w:type="dxa"/>
            <w:vAlign w:val="bottom"/>
            <w:tcBorders>
              <w:bottom w:val="single" w:sz="8" w:color="051D49"/>
            </w:tcBorders>
          </w:tcPr>
          <w:p>
            <w:pPr>
              <w:spacing w:after="0"/>
              <w:rPr>
                <w:sz w:val="2"/>
                <w:szCs w:val="2"/>
                <w:color w:val="auto"/>
              </w:rPr>
            </w:pPr>
          </w:p>
        </w:tc>
        <w:tc>
          <w:tcPr>
            <w:tcW w:w="960" w:type="dxa"/>
            <w:vAlign w:val="bottom"/>
            <w:tcBorders>
              <w:bottom w:val="single" w:sz="8" w:color="051D49"/>
            </w:tcBorders>
          </w:tcPr>
          <w:p>
            <w:pPr>
              <w:spacing w:after="0"/>
              <w:rPr>
                <w:sz w:val="2"/>
                <w:szCs w:val="2"/>
                <w:color w:val="auto"/>
              </w:rPr>
            </w:pPr>
          </w:p>
        </w:tc>
        <w:tc>
          <w:tcPr>
            <w:tcW w:w="980" w:type="dxa"/>
            <w:vAlign w:val="bottom"/>
            <w:tcBorders>
              <w:bottom w:val="single" w:sz="8" w:color="051D49"/>
            </w:tcBorders>
          </w:tcPr>
          <w:p>
            <w:pPr>
              <w:spacing w:after="0"/>
              <w:rPr>
                <w:sz w:val="2"/>
                <w:szCs w:val="2"/>
                <w:color w:val="auto"/>
              </w:rPr>
            </w:pPr>
          </w:p>
        </w:tc>
        <w:tc>
          <w:tcPr>
            <w:tcW w:w="220" w:type="dxa"/>
            <w:vAlign w:val="bottom"/>
            <w:tcBorders>
              <w:bottom w:val="single" w:sz="8" w:color="051D49"/>
            </w:tcBorders>
          </w:tcPr>
          <w:p>
            <w:pPr>
              <w:spacing w:after="0"/>
              <w:rPr>
                <w:sz w:val="2"/>
                <w:szCs w:val="2"/>
                <w:color w:val="auto"/>
              </w:rPr>
            </w:pPr>
          </w:p>
        </w:tc>
        <w:tc>
          <w:tcPr>
            <w:tcW w:w="840" w:type="dxa"/>
            <w:vAlign w:val="bottom"/>
            <w:tcBorders>
              <w:bottom w:val="single" w:sz="8" w:color="051D49"/>
            </w:tcBorders>
          </w:tcPr>
          <w:p>
            <w:pPr>
              <w:spacing w:after="0"/>
              <w:rPr>
                <w:sz w:val="2"/>
                <w:szCs w:val="2"/>
                <w:color w:val="auto"/>
              </w:rPr>
            </w:pPr>
          </w:p>
        </w:tc>
      </w:tr>
      <w:tr>
        <w:trPr>
          <w:trHeight w:val="257"/>
        </w:trPr>
        <w:tc>
          <w:tcPr>
            <w:tcW w:w="4200" w:type="dxa"/>
            <w:vAlign w:val="bottom"/>
          </w:tcPr>
          <w:p>
            <w:pPr>
              <w:ind w:left="60"/>
              <w:spacing w:after="0"/>
              <w:rPr>
                <w:sz w:val="20"/>
                <w:szCs w:val="20"/>
                <w:color w:val="auto"/>
              </w:rPr>
            </w:pPr>
            <w:r>
              <w:rPr>
                <w:rFonts w:ascii="Arial" w:cs="Arial" w:eastAsia="Arial" w:hAnsi="Arial"/>
                <w:sz w:val="16"/>
                <w:szCs w:val="16"/>
                <w:color w:val="auto"/>
              </w:rPr>
              <w:t>Nancy Phillips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787,500</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120.1%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945,788</w:t>
            </w:r>
          </w:p>
        </w:tc>
        <w:tc>
          <w:tcPr>
            <w:tcW w:w="980" w:type="dxa"/>
            <w:vAlign w:val="bottom"/>
          </w:tcPr>
          <w:p>
            <w:pPr>
              <w:jc w:val="center"/>
              <w:spacing w:after="0"/>
              <w:rPr>
                <w:sz w:val="20"/>
                <w:szCs w:val="20"/>
                <w:color w:val="auto"/>
              </w:rPr>
            </w:pPr>
            <w:r>
              <w:rPr>
                <w:rFonts w:ascii="Arial" w:cs="Arial" w:eastAsia="Arial" w:hAnsi="Arial"/>
                <w:sz w:val="16"/>
                <w:szCs w:val="16"/>
                <w:color w:val="auto"/>
                <w:w w:val="97"/>
              </w:rPr>
              <w:t>105%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993,077</w:t>
            </w:r>
          </w:p>
        </w:tc>
      </w:tr>
      <w:tr>
        <w:trPr>
          <w:trHeight w:val="30"/>
        </w:trPr>
        <w:tc>
          <w:tcPr>
            <w:tcW w:w="4200" w:type="dxa"/>
            <w:vAlign w:val="bottom"/>
            <w:tcBorders>
              <w:bottom w:val="single" w:sz="8" w:color="051D49"/>
            </w:tcBorders>
          </w:tcPr>
          <w:p>
            <w:pPr>
              <w:spacing w:after="0"/>
              <w:rPr>
                <w:sz w:val="2"/>
                <w:szCs w:val="2"/>
                <w:color w:val="auto"/>
              </w:rPr>
            </w:pPr>
          </w:p>
        </w:tc>
        <w:tc>
          <w:tcPr>
            <w:tcW w:w="360" w:type="dxa"/>
            <w:vAlign w:val="bottom"/>
            <w:tcBorders>
              <w:bottom w:val="single" w:sz="8" w:color="051D49"/>
            </w:tcBorders>
          </w:tcPr>
          <w:p>
            <w:pPr>
              <w:spacing w:after="0"/>
              <w:rPr>
                <w:sz w:val="2"/>
                <w:szCs w:val="2"/>
                <w:color w:val="auto"/>
              </w:rPr>
            </w:pPr>
          </w:p>
        </w:tc>
        <w:tc>
          <w:tcPr>
            <w:tcW w:w="940" w:type="dxa"/>
            <w:vAlign w:val="bottom"/>
            <w:tcBorders>
              <w:bottom w:val="single" w:sz="8" w:color="051D49"/>
            </w:tcBorders>
          </w:tcPr>
          <w:p>
            <w:pPr>
              <w:spacing w:after="0"/>
              <w:rPr>
                <w:sz w:val="2"/>
                <w:szCs w:val="2"/>
                <w:color w:val="auto"/>
              </w:rPr>
            </w:pPr>
          </w:p>
        </w:tc>
        <w:tc>
          <w:tcPr>
            <w:tcW w:w="1100" w:type="dxa"/>
            <w:vAlign w:val="bottom"/>
            <w:tcBorders>
              <w:bottom w:val="single" w:sz="8" w:color="051D49"/>
            </w:tcBorders>
          </w:tcPr>
          <w:p>
            <w:pPr>
              <w:spacing w:after="0"/>
              <w:rPr>
                <w:sz w:val="2"/>
                <w:szCs w:val="2"/>
                <w:color w:val="auto"/>
              </w:rPr>
            </w:pPr>
          </w:p>
        </w:tc>
        <w:tc>
          <w:tcPr>
            <w:tcW w:w="220" w:type="dxa"/>
            <w:vAlign w:val="bottom"/>
            <w:tcBorders>
              <w:bottom w:val="single" w:sz="8" w:color="051D49"/>
            </w:tcBorders>
          </w:tcPr>
          <w:p>
            <w:pPr>
              <w:spacing w:after="0"/>
              <w:rPr>
                <w:sz w:val="2"/>
                <w:szCs w:val="2"/>
                <w:color w:val="auto"/>
              </w:rPr>
            </w:pPr>
          </w:p>
        </w:tc>
        <w:tc>
          <w:tcPr>
            <w:tcW w:w="960" w:type="dxa"/>
            <w:vAlign w:val="bottom"/>
            <w:tcBorders>
              <w:bottom w:val="single" w:sz="8" w:color="051D49"/>
            </w:tcBorders>
          </w:tcPr>
          <w:p>
            <w:pPr>
              <w:spacing w:after="0"/>
              <w:rPr>
                <w:sz w:val="2"/>
                <w:szCs w:val="2"/>
                <w:color w:val="auto"/>
              </w:rPr>
            </w:pPr>
          </w:p>
        </w:tc>
        <w:tc>
          <w:tcPr>
            <w:tcW w:w="980" w:type="dxa"/>
            <w:vAlign w:val="bottom"/>
            <w:tcBorders>
              <w:bottom w:val="single" w:sz="8" w:color="051D49"/>
            </w:tcBorders>
          </w:tcPr>
          <w:p>
            <w:pPr>
              <w:spacing w:after="0"/>
              <w:rPr>
                <w:sz w:val="2"/>
                <w:szCs w:val="2"/>
                <w:color w:val="auto"/>
              </w:rPr>
            </w:pPr>
          </w:p>
        </w:tc>
        <w:tc>
          <w:tcPr>
            <w:tcW w:w="220" w:type="dxa"/>
            <w:vAlign w:val="bottom"/>
            <w:tcBorders>
              <w:bottom w:val="single" w:sz="8" w:color="051D49"/>
            </w:tcBorders>
          </w:tcPr>
          <w:p>
            <w:pPr>
              <w:spacing w:after="0"/>
              <w:rPr>
                <w:sz w:val="2"/>
                <w:szCs w:val="2"/>
                <w:color w:val="auto"/>
              </w:rPr>
            </w:pPr>
          </w:p>
        </w:tc>
        <w:tc>
          <w:tcPr>
            <w:tcW w:w="840" w:type="dxa"/>
            <w:vAlign w:val="bottom"/>
            <w:tcBorders>
              <w:bottom w:val="single" w:sz="8" w:color="051D49"/>
            </w:tcBorders>
          </w:tcPr>
          <w:p>
            <w:pPr>
              <w:spacing w:after="0"/>
              <w:rPr>
                <w:sz w:val="2"/>
                <w:szCs w:val="2"/>
                <w:color w:val="auto"/>
              </w:rPr>
            </w:pPr>
          </w:p>
        </w:tc>
      </w:tr>
    </w:tbl>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Fiscal Year 2022 Bonus Program</w:t>
      </w:r>
    </w:p>
    <w:p>
      <w:pPr>
        <w:spacing w:after="0" w:line="99"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We combined financial and streaming-based quantitative performance goals in the 2021 STIP design to emphasize our focus on accelerated streaming growth while also meeting our bottom-line financial goals. Given the Committee’s and management’s assessment that the 2021 STIP design was successful in driving and rewarding desired behaviors, for 2022, the Committee determined to continue with generally the same performance metrics, weightings, payout curves and risk mitigation concepts that were incorporated into the 2021 STIP design.</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Long-Term Management Incentive Program</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Long-Term Management Incentive Program (“LTMIP”)</w:t>
      </w:r>
    </w:p>
    <w:p>
      <w:pPr>
        <w:spacing w:after="0" w:line="99"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The LTMIP is designed as a “pay for performance” vehicle to encourage executives to make decisions that will create and sustain long-term value for shareholders. It is also a vehicle used to retain talent and build executive ownership. Through our total compensation design, a significant portion of the total compensation opportunity for the NEOs is directly linked to stock price performance, with the goal of creating alignment with our shareholders. Eligibility to participate in the LTMIP is generally limited to executives who have management responsibility.</w:t>
      </w:r>
    </w:p>
    <w:p>
      <w:pPr>
        <w:spacing w:after="0" w:line="75" w:lineRule="exact"/>
        <w:rPr>
          <w:sz w:val="20"/>
          <w:szCs w:val="20"/>
          <w:color w:val="auto"/>
        </w:rPr>
      </w:pPr>
    </w:p>
    <w:p>
      <w:pPr>
        <w:ind w:left="160" w:right="180"/>
        <w:spacing w:after="0" w:line="295" w:lineRule="auto"/>
        <w:rPr>
          <w:sz w:val="20"/>
          <w:szCs w:val="20"/>
          <w:color w:val="auto"/>
        </w:rPr>
      </w:pPr>
      <w:r>
        <w:rPr>
          <w:rFonts w:ascii="Arial" w:cs="Arial" w:eastAsia="Arial" w:hAnsi="Arial"/>
          <w:sz w:val="17"/>
          <w:szCs w:val="17"/>
          <w:color w:val="auto"/>
        </w:rPr>
        <w:t>The type and mix of equity-based vehicles used to deliver value varies primarily by an executive’s level in the organization and our business needs. The Committee considers the following objectives in determining the appropriate type and mix of equity-based vehicles:</w:t>
      </w:r>
    </w:p>
    <w:p>
      <w:pPr>
        <w:spacing w:after="0" w:line="41" w:lineRule="exact"/>
        <w:rPr>
          <w:sz w:val="20"/>
          <w:szCs w:val="20"/>
          <w:color w:val="auto"/>
        </w:rPr>
      </w:pPr>
    </w:p>
    <w:p>
      <w:pPr>
        <w:ind w:left="800" w:right="360" w:hanging="205"/>
        <w:spacing w:after="0" w:line="265" w:lineRule="auto"/>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Increased accountability for senior executives (Performance-Based Stock Awards): </w:t>
      </w:r>
      <w:r>
        <w:rPr>
          <w:rFonts w:ascii="Arial" w:cs="Arial" w:eastAsia="Arial" w:hAnsi="Arial"/>
          <w:sz w:val="18"/>
          <w:szCs w:val="18"/>
          <w:color w:val="auto"/>
        </w:rPr>
        <w:t>Motivate senior executives to focus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through the achievement of pre-established financial goals over a designated period.</w:t>
      </w:r>
    </w:p>
    <w:p>
      <w:pPr>
        <w:spacing w:after="0" w:line="64" w:lineRule="exact"/>
        <w:rPr>
          <w:rFonts w:ascii="Arial" w:cs="Arial" w:eastAsia="Arial" w:hAnsi="Arial"/>
          <w:sz w:val="18"/>
          <w:szCs w:val="18"/>
          <w:color w:val="auto"/>
        </w:rPr>
      </w:pPr>
    </w:p>
    <w:p>
      <w:pPr>
        <w:ind w:left="800" w:hanging="205"/>
        <w:spacing w:after="0" w:line="249" w:lineRule="auto"/>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Retention of talent and alignment with shareholder interests in both up and down markets (Time-Based Stock Awards): </w:t>
      </w:r>
      <w:r>
        <w:rPr>
          <w:rFonts w:ascii="Arial" w:cs="Arial" w:eastAsia="Arial" w:hAnsi="Arial"/>
          <w:sz w:val="18"/>
          <w:szCs w:val="18"/>
          <w:color w:val="auto"/>
        </w:rPr>
        <w:t>Provide</w:t>
      </w:r>
      <w:r>
        <w:rPr>
          <w:rFonts w:ascii="Arial" w:cs="Arial" w:eastAsia="Arial" w:hAnsi="Arial"/>
          <w:sz w:val="18"/>
          <w:szCs w:val="18"/>
          <w:i w:val="1"/>
          <w:iCs w:val="1"/>
          <w:color w:val="auto"/>
        </w:rPr>
        <w:t xml:space="preserve"> </w:t>
      </w:r>
      <w:r>
        <w:rPr>
          <w:rFonts w:ascii="Arial" w:cs="Arial" w:eastAsia="Arial" w:hAnsi="Arial"/>
          <w:sz w:val="18"/>
          <w:szCs w:val="18"/>
          <w:color w:val="auto"/>
        </w:rPr>
        <w:t>real retention value in the form of awards that are earned over a specified vesting period, with the value of awards tied to the value of our stock price.</w:t>
      </w:r>
    </w:p>
    <w:p>
      <w:pPr>
        <w:spacing w:after="0" w:line="65"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The Committee discusses with management and ultimately approves the values, mix, and type of annual grants for senior executives, subject to the terms of an executive’s employment agreement. In determining the value, mix, and type of awards, the Committee takes into consideration the above objectives and the competitive assessment of total compensation reviewed by the independent compensation consultant and reviews the LTMIP with its independent compensation consultant and senior management.</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Fiscal Year 2021 LTMIP Awards</w:t>
      </w:r>
    </w:p>
    <w:p>
      <w:pPr>
        <w:spacing w:after="0" w:line="99"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As previously disclosed, the Committee approved fiscal year 2021 LTMIP awards on October 21, 2020, with grants to be made effective November 30, 2020, to eligible employees, including NEOs other than Mr. Chopra, who received his 2021 LTMIP award in restricted share units subject only to time-based vesting conditions (“TRSUs”) on August 24, 2020. In considering the timing and types of awards to be granted, the Committee considered the impact of the global pandemic and the difficulty in setting long-term financial goals in the uncertain market environment. As a result, the Committee authorized awards to the NEOs other than Mr. Chopra in a mix of 25% Performance Share Units (“PSUs”) and 75% TRSUs. The performance criterion for the PSUs is Total Shareholder Return (TSR) performance against the companies in the S&amp;P 500 (</w:t>
      </w:r>
      <w:r>
        <w:rPr>
          <w:rFonts w:ascii="Arial" w:cs="Arial" w:eastAsia="Arial" w:hAnsi="Arial"/>
          <w:sz w:val="18"/>
          <w:szCs w:val="18"/>
          <w:i w:val="1"/>
          <w:iCs w:val="1"/>
          <w:color w:val="auto"/>
        </w:rPr>
        <w:t>i.e.</w:t>
      </w:r>
      <w:r>
        <w:rPr>
          <w:rFonts w:ascii="Arial" w:cs="Arial" w:eastAsia="Arial" w:hAnsi="Arial"/>
          <w:sz w:val="18"/>
          <w:szCs w:val="18"/>
          <w:color w:val="auto"/>
        </w:rPr>
        <w:t>, relative TSR). The 25% portion of the annual awards delivered in PSUs was divided into three separate tranches, each with a distinct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29755" cy="2374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13"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50</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80"/>
          </w:cols>
          <w:pgMar w:left="320" w:top="454" w:right="4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7540"/>
        <w:spacing w:after="0"/>
        <w:rPr>
          <w:sz w:val="20"/>
          <w:szCs w:val="20"/>
          <w:color w:val="auto"/>
        </w:rPr>
      </w:pPr>
      <w:r>
        <w:rPr>
          <w:rFonts w:ascii="Arial" w:cs="Arial" w:eastAsia="Arial" w:hAnsi="Arial"/>
          <w:sz w:val="15"/>
          <w:szCs w:val="15"/>
          <w:color w:val="auto"/>
        </w:rPr>
        <w:t>COMPENSATION DISCUSSION AND ANALYSIS</w:t>
      </w:r>
    </w:p>
    <w:p>
      <w:pPr>
        <w:spacing w:after="0" w:line="157" w:lineRule="exact"/>
        <w:rPr>
          <w:sz w:val="20"/>
          <w:szCs w:val="20"/>
          <w:color w:val="auto"/>
        </w:rPr>
      </w:pPr>
    </w:p>
    <w:p>
      <w:pPr>
        <w:jc w:val="both"/>
        <w:ind w:left="160" w:right="740"/>
        <w:spacing w:after="0" w:line="249" w:lineRule="auto"/>
        <w:rPr>
          <w:sz w:val="20"/>
          <w:szCs w:val="20"/>
          <w:color w:val="auto"/>
        </w:rPr>
      </w:pPr>
      <w:r>
        <w:rPr>
          <w:rFonts w:ascii="Arial" w:cs="Arial" w:eastAsia="Arial" w:hAnsi="Arial"/>
          <w:sz w:val="18"/>
          <w:szCs w:val="18"/>
          <w:color w:val="auto"/>
        </w:rPr>
        <w:t>measurement period beginning on December 1, 2020 and ending on each of the 2</w:t>
      </w:r>
      <w:r>
        <w:rPr>
          <w:rFonts w:ascii="Arial" w:cs="Arial" w:eastAsia="Arial" w:hAnsi="Arial"/>
          <w:sz w:val="15"/>
          <w:szCs w:val="15"/>
          <w:color w:val="auto"/>
        </w:rPr>
        <w:t>nd</w:t>
      </w:r>
      <w:r>
        <w:rPr>
          <w:rFonts w:ascii="Arial" w:cs="Arial" w:eastAsia="Arial" w:hAnsi="Arial"/>
          <w:sz w:val="18"/>
          <w:szCs w:val="18"/>
          <w:color w:val="auto"/>
        </w:rPr>
        <w:t>, 3</w:t>
      </w:r>
      <w:r>
        <w:rPr>
          <w:rFonts w:ascii="Arial" w:cs="Arial" w:eastAsia="Arial" w:hAnsi="Arial"/>
          <w:sz w:val="15"/>
          <w:szCs w:val="15"/>
          <w:color w:val="auto"/>
        </w:rPr>
        <w:t>rd</w:t>
      </w:r>
      <w:r>
        <w:rPr>
          <w:rFonts w:ascii="Arial" w:cs="Arial" w:eastAsia="Arial" w:hAnsi="Arial"/>
          <w:sz w:val="18"/>
          <w:szCs w:val="18"/>
          <w:color w:val="auto"/>
        </w:rPr>
        <w:t xml:space="preserve"> and 4</w:t>
      </w:r>
      <w:r>
        <w:rPr>
          <w:rFonts w:ascii="Arial" w:cs="Arial" w:eastAsia="Arial" w:hAnsi="Arial"/>
          <w:sz w:val="15"/>
          <w:szCs w:val="15"/>
          <w:color w:val="auto"/>
        </w:rPr>
        <w:t>th</w:t>
      </w:r>
      <w:r>
        <w:rPr>
          <w:rFonts w:ascii="Arial" w:cs="Arial" w:eastAsia="Arial" w:hAnsi="Arial"/>
          <w:sz w:val="18"/>
          <w:szCs w:val="18"/>
          <w:color w:val="auto"/>
        </w:rPr>
        <w:t xml:space="preserve"> anniversaries of the grant date, respectively. For each tranche of PSUs, the number of shares of Paramount Class B Common Stock to be delivered following the applicable measurement period is as follows:</w:t>
      </w:r>
    </w:p>
    <w:p>
      <w:pPr>
        <w:spacing w:after="0" w:line="217" w:lineRule="exact"/>
        <w:rPr>
          <w:sz w:val="20"/>
          <w:szCs w:val="20"/>
          <w:color w:val="auto"/>
        </w:rPr>
      </w:pPr>
    </w:p>
    <w:tbl>
      <w:tblPr>
        <w:tblLayout w:type="fixed"/>
        <w:tblInd w:w="1920" w:type="dxa"/>
        <w:tblCellMar>
          <w:top w:w="0" w:type="dxa"/>
          <w:left w:w="0" w:type="dxa"/>
          <w:bottom w:w="0" w:type="dxa"/>
          <w:right w:w="0" w:type="dxa"/>
        </w:tblCellMar>
      </w:tblPr>
      <w:tr>
        <w:trPr>
          <w:trHeight w:val="288"/>
        </w:trPr>
        <w:tc>
          <w:tcPr>
            <w:tcW w:w="3780" w:type="dxa"/>
            <w:vAlign w:val="bottom"/>
            <w:tcBorders>
              <w:bottom w:val="single" w:sz="8" w:color="E5E5E5"/>
            </w:tcBorders>
            <w:shd w:val="clear" w:color="auto" w:fill="E5E5E5"/>
          </w:tcPr>
          <w:p>
            <w:pPr>
              <w:ind w:left="1160"/>
              <w:spacing w:after="0"/>
              <w:rPr>
                <w:sz w:val="20"/>
                <w:szCs w:val="20"/>
                <w:color w:val="auto"/>
              </w:rPr>
            </w:pPr>
            <w:r>
              <w:rPr>
                <w:rFonts w:ascii="Arial" w:cs="Arial" w:eastAsia="Arial" w:hAnsi="Arial"/>
                <w:sz w:val="16"/>
                <w:szCs w:val="16"/>
                <w:color w:val="051D49"/>
              </w:rPr>
              <w:t>Achievement of TSR*</w:t>
            </w:r>
          </w:p>
        </w:tc>
        <w:tc>
          <w:tcPr>
            <w:tcW w:w="3620" w:type="dxa"/>
            <w:vAlign w:val="bottom"/>
            <w:tcBorders>
              <w:bottom w:val="single" w:sz="8" w:color="E5E5E5"/>
            </w:tcBorders>
            <w:shd w:val="clear" w:color="auto" w:fill="E5E5E5"/>
          </w:tcPr>
          <w:p>
            <w:pPr>
              <w:jc w:val="center"/>
              <w:ind w:left="73"/>
              <w:spacing w:after="0"/>
              <w:rPr>
                <w:sz w:val="20"/>
                <w:szCs w:val="20"/>
                <w:color w:val="auto"/>
              </w:rPr>
            </w:pPr>
            <w:r>
              <w:rPr>
                <w:rFonts w:ascii="Arial" w:cs="Arial" w:eastAsia="Arial" w:hAnsi="Arial"/>
                <w:sz w:val="16"/>
                <w:szCs w:val="16"/>
                <w:color w:val="051D49"/>
              </w:rPr>
              <w:t>Percentage of Target Shares Earned</w:t>
            </w:r>
          </w:p>
        </w:tc>
      </w:tr>
      <w:tr>
        <w:trPr>
          <w:trHeight w:val="270"/>
        </w:trPr>
        <w:tc>
          <w:tcPr>
            <w:tcW w:w="3780" w:type="dxa"/>
            <w:vAlign w:val="bottom"/>
          </w:tcPr>
          <w:p>
            <w:pPr>
              <w:jc w:val="center"/>
              <w:spacing w:after="0"/>
              <w:rPr>
                <w:sz w:val="20"/>
                <w:szCs w:val="20"/>
                <w:color w:val="auto"/>
              </w:rPr>
            </w:pPr>
            <w:r>
              <w:rPr>
                <w:rFonts w:ascii="Arial" w:cs="Arial" w:eastAsia="Arial" w:hAnsi="Arial"/>
                <w:sz w:val="18"/>
                <w:szCs w:val="18"/>
                <w:color w:val="auto"/>
                <w:w w:val="99"/>
              </w:rPr>
              <w:t>Less than the 25</w:t>
            </w:r>
            <w:r>
              <w:rPr>
                <w:rFonts w:ascii="Arial" w:cs="Arial" w:eastAsia="Arial" w:hAnsi="Arial"/>
                <w:sz w:val="15"/>
                <w:szCs w:val="15"/>
                <w:color w:val="auto"/>
                <w:w w:val="99"/>
              </w:rPr>
              <w:t>th</w:t>
            </w:r>
            <w:r>
              <w:rPr>
                <w:rFonts w:ascii="Arial" w:cs="Arial" w:eastAsia="Arial" w:hAnsi="Arial"/>
                <w:sz w:val="18"/>
                <w:szCs w:val="18"/>
                <w:color w:val="auto"/>
                <w:w w:val="99"/>
              </w:rPr>
              <w:t xml:space="preserve"> Percentile</w:t>
            </w:r>
          </w:p>
        </w:tc>
        <w:tc>
          <w:tcPr>
            <w:tcW w:w="3620" w:type="dxa"/>
            <w:vAlign w:val="bottom"/>
          </w:tcPr>
          <w:p>
            <w:pPr>
              <w:jc w:val="center"/>
              <w:ind w:left="73"/>
              <w:spacing w:after="0"/>
              <w:rPr>
                <w:sz w:val="20"/>
                <w:szCs w:val="20"/>
                <w:color w:val="auto"/>
              </w:rPr>
            </w:pPr>
            <w:r>
              <w:rPr>
                <w:rFonts w:ascii="Arial" w:cs="Arial" w:eastAsia="Arial" w:hAnsi="Arial"/>
                <w:sz w:val="18"/>
                <w:szCs w:val="18"/>
                <w:color w:val="auto"/>
                <w:w w:val="99"/>
              </w:rPr>
              <w:t>Award Forfeited</w:t>
            </w:r>
          </w:p>
        </w:tc>
      </w:tr>
      <w:tr>
        <w:trPr>
          <w:trHeight w:val="51"/>
        </w:trPr>
        <w:tc>
          <w:tcPr>
            <w:tcW w:w="3780" w:type="dxa"/>
            <w:vAlign w:val="bottom"/>
            <w:tcBorders>
              <w:bottom w:val="single" w:sz="8" w:color="051D49"/>
            </w:tcBorders>
          </w:tcPr>
          <w:p>
            <w:pPr>
              <w:spacing w:after="0"/>
              <w:rPr>
                <w:sz w:val="4"/>
                <w:szCs w:val="4"/>
                <w:color w:val="auto"/>
              </w:rPr>
            </w:pPr>
          </w:p>
        </w:tc>
        <w:tc>
          <w:tcPr>
            <w:tcW w:w="3620" w:type="dxa"/>
            <w:vAlign w:val="bottom"/>
            <w:tcBorders>
              <w:bottom w:val="single" w:sz="8" w:color="051D49"/>
            </w:tcBorders>
          </w:tcPr>
          <w:p>
            <w:pPr>
              <w:spacing w:after="0"/>
              <w:rPr>
                <w:sz w:val="4"/>
                <w:szCs w:val="4"/>
                <w:color w:val="auto"/>
              </w:rPr>
            </w:pPr>
          </w:p>
        </w:tc>
      </w:tr>
      <w:tr>
        <w:trPr>
          <w:trHeight w:val="250"/>
        </w:trPr>
        <w:tc>
          <w:tcPr>
            <w:tcW w:w="3780" w:type="dxa"/>
            <w:vAlign w:val="bottom"/>
          </w:tcPr>
          <w:p>
            <w:pPr>
              <w:jc w:val="center"/>
              <w:spacing w:after="0"/>
              <w:rPr>
                <w:sz w:val="20"/>
                <w:szCs w:val="20"/>
                <w:color w:val="auto"/>
              </w:rPr>
            </w:pPr>
            <w:r>
              <w:rPr>
                <w:rFonts w:ascii="Arial" w:cs="Arial" w:eastAsia="Arial" w:hAnsi="Arial"/>
                <w:sz w:val="18"/>
                <w:szCs w:val="18"/>
                <w:color w:val="auto"/>
              </w:rPr>
              <w:t>25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3620" w:type="dxa"/>
            <w:vAlign w:val="bottom"/>
          </w:tcPr>
          <w:p>
            <w:pPr>
              <w:jc w:val="center"/>
              <w:ind w:left="73"/>
              <w:spacing w:after="0"/>
              <w:rPr>
                <w:sz w:val="20"/>
                <w:szCs w:val="20"/>
                <w:color w:val="auto"/>
              </w:rPr>
            </w:pPr>
            <w:r>
              <w:rPr>
                <w:rFonts w:ascii="Arial" w:cs="Arial" w:eastAsia="Arial" w:hAnsi="Arial"/>
                <w:sz w:val="18"/>
                <w:szCs w:val="18"/>
                <w:color w:val="auto"/>
                <w:w w:val="98"/>
              </w:rPr>
              <w:t>80% of Target Award</w:t>
            </w:r>
          </w:p>
        </w:tc>
      </w:tr>
      <w:tr>
        <w:trPr>
          <w:trHeight w:val="51"/>
        </w:trPr>
        <w:tc>
          <w:tcPr>
            <w:tcW w:w="3780" w:type="dxa"/>
            <w:vAlign w:val="bottom"/>
            <w:tcBorders>
              <w:bottom w:val="single" w:sz="8" w:color="051D49"/>
            </w:tcBorders>
          </w:tcPr>
          <w:p>
            <w:pPr>
              <w:spacing w:after="0"/>
              <w:rPr>
                <w:sz w:val="4"/>
                <w:szCs w:val="4"/>
                <w:color w:val="auto"/>
              </w:rPr>
            </w:pPr>
          </w:p>
        </w:tc>
        <w:tc>
          <w:tcPr>
            <w:tcW w:w="3620" w:type="dxa"/>
            <w:vAlign w:val="bottom"/>
            <w:tcBorders>
              <w:bottom w:val="single" w:sz="8" w:color="051D49"/>
            </w:tcBorders>
          </w:tcPr>
          <w:p>
            <w:pPr>
              <w:spacing w:after="0"/>
              <w:rPr>
                <w:sz w:val="4"/>
                <w:szCs w:val="4"/>
                <w:color w:val="auto"/>
              </w:rPr>
            </w:pPr>
          </w:p>
        </w:tc>
      </w:tr>
      <w:tr>
        <w:trPr>
          <w:trHeight w:val="250"/>
        </w:trPr>
        <w:tc>
          <w:tcPr>
            <w:tcW w:w="3780" w:type="dxa"/>
            <w:vAlign w:val="bottom"/>
          </w:tcPr>
          <w:p>
            <w:pPr>
              <w:jc w:val="center"/>
              <w:spacing w:after="0"/>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3620" w:type="dxa"/>
            <w:vAlign w:val="bottom"/>
          </w:tcPr>
          <w:p>
            <w:pPr>
              <w:jc w:val="center"/>
              <w:ind w:left="73"/>
              <w:spacing w:after="0"/>
              <w:rPr>
                <w:sz w:val="20"/>
                <w:szCs w:val="20"/>
                <w:color w:val="auto"/>
              </w:rPr>
            </w:pPr>
            <w:r>
              <w:rPr>
                <w:rFonts w:ascii="Arial" w:cs="Arial" w:eastAsia="Arial" w:hAnsi="Arial"/>
                <w:sz w:val="18"/>
                <w:szCs w:val="18"/>
                <w:color w:val="auto"/>
                <w:w w:val="97"/>
              </w:rPr>
              <w:t>100% of Target Award</w:t>
            </w:r>
          </w:p>
        </w:tc>
      </w:tr>
      <w:tr>
        <w:trPr>
          <w:trHeight w:val="51"/>
        </w:trPr>
        <w:tc>
          <w:tcPr>
            <w:tcW w:w="3780" w:type="dxa"/>
            <w:vAlign w:val="bottom"/>
            <w:tcBorders>
              <w:bottom w:val="single" w:sz="8" w:color="051D49"/>
            </w:tcBorders>
          </w:tcPr>
          <w:p>
            <w:pPr>
              <w:spacing w:after="0"/>
              <w:rPr>
                <w:sz w:val="4"/>
                <w:szCs w:val="4"/>
                <w:color w:val="auto"/>
              </w:rPr>
            </w:pPr>
          </w:p>
        </w:tc>
        <w:tc>
          <w:tcPr>
            <w:tcW w:w="3620" w:type="dxa"/>
            <w:vAlign w:val="bottom"/>
            <w:tcBorders>
              <w:bottom w:val="single" w:sz="8" w:color="051D49"/>
            </w:tcBorders>
          </w:tcPr>
          <w:p>
            <w:pPr>
              <w:spacing w:after="0"/>
              <w:rPr>
                <w:sz w:val="4"/>
                <w:szCs w:val="4"/>
                <w:color w:val="auto"/>
              </w:rPr>
            </w:pPr>
          </w:p>
        </w:tc>
      </w:tr>
      <w:tr>
        <w:trPr>
          <w:trHeight w:val="250"/>
        </w:trPr>
        <w:tc>
          <w:tcPr>
            <w:tcW w:w="3780" w:type="dxa"/>
            <w:vAlign w:val="bottom"/>
          </w:tcPr>
          <w:p>
            <w:pPr>
              <w:jc w:val="center"/>
              <w:spacing w:after="0"/>
              <w:rPr>
                <w:sz w:val="20"/>
                <w:szCs w:val="20"/>
                <w:color w:val="auto"/>
              </w:rPr>
            </w:pPr>
            <w:r>
              <w:rPr>
                <w:rFonts w:ascii="Arial" w:cs="Arial" w:eastAsia="Arial" w:hAnsi="Arial"/>
                <w:sz w:val="18"/>
                <w:szCs w:val="18"/>
                <w:color w:val="auto"/>
                <w:w w:val="98"/>
              </w:rPr>
              <w:t>75</w:t>
            </w:r>
            <w:r>
              <w:rPr>
                <w:rFonts w:ascii="Arial" w:cs="Arial" w:eastAsia="Arial" w:hAnsi="Arial"/>
                <w:sz w:val="15"/>
                <w:szCs w:val="15"/>
                <w:color w:val="auto"/>
                <w:w w:val="98"/>
              </w:rPr>
              <w:t>th</w:t>
            </w:r>
            <w:r>
              <w:rPr>
                <w:rFonts w:ascii="Arial" w:cs="Arial" w:eastAsia="Arial" w:hAnsi="Arial"/>
                <w:sz w:val="18"/>
                <w:szCs w:val="18"/>
                <w:color w:val="auto"/>
                <w:w w:val="98"/>
              </w:rPr>
              <w:t xml:space="preserve"> Percentile or greater</w:t>
            </w:r>
          </w:p>
        </w:tc>
        <w:tc>
          <w:tcPr>
            <w:tcW w:w="3620" w:type="dxa"/>
            <w:vAlign w:val="bottom"/>
          </w:tcPr>
          <w:p>
            <w:pPr>
              <w:jc w:val="center"/>
              <w:ind w:left="73"/>
              <w:spacing w:after="0"/>
              <w:rPr>
                <w:sz w:val="20"/>
                <w:szCs w:val="20"/>
                <w:color w:val="auto"/>
              </w:rPr>
            </w:pPr>
            <w:r>
              <w:rPr>
                <w:rFonts w:ascii="Arial" w:cs="Arial" w:eastAsia="Arial" w:hAnsi="Arial"/>
                <w:sz w:val="18"/>
                <w:szCs w:val="18"/>
                <w:color w:val="auto"/>
                <w:w w:val="97"/>
              </w:rPr>
              <w:t>120% of Target Award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32385</wp:posOffset>
            </wp:positionV>
            <wp:extent cx="47047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04715" cy="8255"/>
                    </a:xfrm>
                    <a:prstGeom prst="rect">
                      <a:avLst/>
                    </a:prstGeom>
                    <a:noFill/>
                  </pic:spPr>
                </pic:pic>
              </a:graphicData>
            </a:graphic>
          </wp:anchor>
        </w:drawing>
      </w:r>
    </w:p>
    <w:p>
      <w:pPr>
        <w:spacing w:after="0" w:line="10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Linear interpolation between points of TSR achievement</w:t>
      </w:r>
    </w:p>
    <w:p>
      <w:pPr>
        <w:spacing w:after="0" w:line="101"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Dividend equivalents accrue on the shares underlying the PSUs and equal the value of regular cash dividends paid on the shares of our Class B Common Stock. Dividend equivalents are paid in cash, less applicable withholdings, when the PSUs vest. If the PSUs do not vest, then the dividend equivalents accrued on those PSUs are forfeited.</w:t>
      </w:r>
    </w:p>
    <w:p>
      <w:pPr>
        <w:spacing w:after="0" w:line="65"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color w:val="auto"/>
        </w:rPr>
        <w:t>Due to the timing of the 2021 LTMIP award grants (in fiscal year 2020), that component of compensation does not appear in the tables in this report, other than in the 2020 data in the Summary Compensation Table for Fiscal Year 2021. There were no LTMIP award grants made during fiscal year 2021.</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Fiscal Year 2022 LTMIP Awards</w:t>
      </w:r>
    </w:p>
    <w:p>
      <w:pPr>
        <w:spacing w:after="0" w:line="99" w:lineRule="exact"/>
        <w:rPr>
          <w:sz w:val="20"/>
          <w:szCs w:val="20"/>
          <w:color w:val="auto"/>
        </w:rPr>
      </w:pPr>
    </w:p>
    <w:p>
      <w:pPr>
        <w:jc w:val="both"/>
        <w:ind w:left="160" w:right="320"/>
        <w:spacing w:after="0" w:line="253" w:lineRule="auto"/>
        <w:rPr>
          <w:sz w:val="20"/>
          <w:szCs w:val="20"/>
          <w:color w:val="auto"/>
        </w:rPr>
      </w:pPr>
      <w:r>
        <w:rPr>
          <w:rFonts w:ascii="Arial" w:cs="Arial" w:eastAsia="Arial" w:hAnsi="Arial"/>
          <w:sz w:val="17"/>
          <w:szCs w:val="17"/>
          <w:color w:val="auto"/>
        </w:rPr>
        <w:t>For 2022, the Committee determined to continue granting LTMIP awards to NEOs in a combination of PSUs and TRSUs. However, the Committee believes that increasing the percentage of each NEO’s LTMIP award made in the form of performance-based equity would further strengthen the alignment between senior leadership and shareholders and better reflect our “pay for performance” philosophy.</w:t>
      </w:r>
    </w:p>
    <w:p>
      <w:pPr>
        <w:spacing w:after="0" w:line="2" w:lineRule="exact"/>
        <w:rPr>
          <w:sz w:val="20"/>
          <w:szCs w:val="20"/>
          <w:color w:val="auto"/>
        </w:rPr>
      </w:pPr>
    </w:p>
    <w:p>
      <w:pPr>
        <w:ind w:left="160" w:right="280"/>
        <w:spacing w:after="0" w:line="237" w:lineRule="auto"/>
        <w:rPr>
          <w:sz w:val="20"/>
          <w:szCs w:val="20"/>
          <w:color w:val="auto"/>
        </w:rPr>
      </w:pPr>
      <w:r>
        <w:rPr>
          <w:rFonts w:ascii="Arial" w:cs="Arial" w:eastAsia="Arial" w:hAnsi="Arial"/>
          <w:sz w:val="18"/>
          <w:szCs w:val="18"/>
          <w:color w:val="auto"/>
        </w:rPr>
        <w:t>Therefore, the Committee determined to increase the portion of the LTMIP award granted in PSUs from 25% to 50% for Mr. Bakish, our Chief Executive Officer, and from 25% to 35% for all other NEOs. The performance criteria for the PSUs will remain TSR performance against the companies in the S&amp;P 500 (</w:t>
      </w:r>
      <w:r>
        <w:rPr>
          <w:rFonts w:ascii="Arial" w:cs="Arial" w:eastAsia="Arial" w:hAnsi="Arial"/>
          <w:sz w:val="18"/>
          <w:szCs w:val="18"/>
          <w:i w:val="1"/>
          <w:iCs w:val="1"/>
          <w:color w:val="auto"/>
        </w:rPr>
        <w:t>i.e.,</w:t>
      </w:r>
      <w:r>
        <w:rPr>
          <w:rFonts w:ascii="Arial" w:cs="Arial" w:eastAsia="Arial" w:hAnsi="Arial"/>
          <w:sz w:val="18"/>
          <w:szCs w:val="18"/>
          <w:color w:val="auto"/>
        </w:rPr>
        <w:t xml:space="preserve"> relative TSR), but for 2022 there will be only one tranche of PSUs with a single three-year performance period beginning on the grant date.</w:t>
      </w:r>
    </w:p>
    <w:p>
      <w:pPr>
        <w:spacing w:after="0" w:line="7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Equity Award Grant Date Procedures</w:t>
      </w:r>
    </w:p>
    <w:p>
      <w:pPr>
        <w:spacing w:after="0" w:line="99" w:lineRule="exact"/>
        <w:rPr>
          <w:sz w:val="20"/>
          <w:szCs w:val="20"/>
          <w:color w:val="auto"/>
        </w:rPr>
      </w:pPr>
    </w:p>
    <w:p>
      <w:pPr>
        <w:ind w:left="160" w:right="20"/>
        <w:spacing w:after="0" w:line="258" w:lineRule="auto"/>
        <w:rPr>
          <w:sz w:val="20"/>
          <w:szCs w:val="20"/>
          <w:color w:val="auto"/>
        </w:rPr>
      </w:pPr>
      <w:r>
        <w:rPr>
          <w:rFonts w:ascii="Arial" w:cs="Arial" w:eastAsia="Arial" w:hAnsi="Arial"/>
          <w:sz w:val="17"/>
          <w:szCs w:val="17"/>
          <w:color w:val="auto"/>
        </w:rPr>
        <w:t>The grant date for equity awards is the date on which the Committee approves awards under the LTMIP or, if so determined by the Committee, a future grant date, or a date specified in an employment agreement. The Committee may approve an award that will have a future grant date, with the exercise price of any stock option not to be less than the closing price of a share of our Class B Common Stock on the date of grant. We do not set grant dates intentionally to precede or follow the release of material non-public information. We provide communications regarding individual grant awards, including the terms and conditions, to recipients as soon as administratively feasible.</w:t>
      </w:r>
    </w:p>
    <w:p>
      <w:pPr>
        <w:spacing w:after="0" w:line="59" w:lineRule="exact"/>
        <w:rPr>
          <w:sz w:val="20"/>
          <w:szCs w:val="20"/>
          <w:color w:val="auto"/>
        </w:rPr>
      </w:pPr>
    </w:p>
    <w:p>
      <w:pPr>
        <w:ind w:left="160" w:right="160"/>
        <w:spacing w:after="0" w:line="243" w:lineRule="auto"/>
        <w:rPr>
          <w:sz w:val="20"/>
          <w:szCs w:val="20"/>
          <w:color w:val="auto"/>
        </w:rPr>
      </w:pPr>
      <w:r>
        <w:rPr>
          <w:rFonts w:ascii="Arial" w:cs="Arial" w:eastAsia="Arial" w:hAnsi="Arial"/>
          <w:sz w:val="18"/>
          <w:szCs w:val="18"/>
          <w:color w:val="auto"/>
        </w:rPr>
        <w:t>The Committee approved annual management grants awarded for 2020 on September 24, 2019, with a grant date of November 1, 2019, and annual management grants awarded for 2021 on October 21, 2020, with a grant date of November 30, 2020. For 2022, the Committee approved annual management grants on February 10, 2022, with a grant date of March 1, 2022 and the Committee intends that future annual management grants will have a grant date in the first quarter of the applicable fiscal year.</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Terms for TRSUs</w:t>
      </w:r>
    </w:p>
    <w:p>
      <w:pPr>
        <w:spacing w:after="0" w:line="99"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color w:val="auto"/>
        </w:rPr>
        <w:t>TRSUs generally vest in equal annual installments over the four-year period following the date of grant. For a description of certain other material terms of the TRSUs, see “Grants of Plan-Based Awards During 2021 — Description of Plan-Based Awards.”</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Delegation of Authority with Respect to LTMIP Awards</w:t>
      </w:r>
    </w:p>
    <w:p>
      <w:pPr>
        <w:spacing w:after="0" w:line="99"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The Committee has delegated to the Chief Executive Officer limited authority, with respect to executives who are not, and are not reasonably expected to become, specified employees, (i) to grant long-term incentive awards under our long-term incentive plan to such executives in connection with their hiring, promotion, or contract renewal or for any other reason and (ii) to modify certain terms of outstanding equity grants in some post-termination circumstances. The Committee delegated this authority in order for the Chief Executive Officer to have the ability to (i) act in a timely manner in a</w:t>
      </w:r>
    </w:p>
    <w:p>
      <w:pPr>
        <w:spacing w:after="0" w:line="134"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51</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46" w:lineRule="exact"/>
        <w:rPr>
          <w:sz w:val="20"/>
          <w:szCs w:val="20"/>
          <w:color w:val="auto"/>
        </w:rPr>
      </w:pPr>
    </w:p>
    <w:p>
      <w:pPr>
        <w:ind w:left="160" w:right="100"/>
        <w:spacing w:after="0" w:line="256" w:lineRule="auto"/>
        <w:rPr>
          <w:sz w:val="20"/>
          <w:szCs w:val="20"/>
          <w:color w:val="auto"/>
        </w:rPr>
      </w:pPr>
      <w:r>
        <w:rPr>
          <w:rFonts w:ascii="Arial" w:cs="Arial" w:eastAsia="Arial" w:hAnsi="Arial"/>
          <w:sz w:val="17"/>
          <w:szCs w:val="17"/>
          <w:color w:val="auto"/>
        </w:rPr>
        <w:t>competitive environment in connection with the hiring of new executives or the compensation of an existing executive being given a significant increase in responsibility and (ii) maintain flexibility to manage compensation in post-termination circumstances when mutually beneficial to us and the executive. The Committee’s delegation specifies the circumstances in which the authority may be used and limits the amount that may be awarded to an individual, the total amount that may be awarded in a given period, and, in certain circumstances, the aggregate incremental expense we may incur as a result of modifications to the terms of outstanding equity grants. The delegation also requires that the Chief Executive Officer report to the Committee periodically on his exercise of this delegated authority.</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STOCK OWNERSHIP GUIDELINES</w:t>
      </w:r>
    </w:p>
    <w:p>
      <w:pPr>
        <w:spacing w:after="0" w:line="94" w:lineRule="exact"/>
        <w:rPr>
          <w:sz w:val="20"/>
          <w:szCs w:val="20"/>
          <w:color w:val="auto"/>
        </w:rPr>
      </w:pPr>
    </w:p>
    <w:p>
      <w:pPr>
        <w:ind w:left="160" w:right="40"/>
        <w:spacing w:after="0"/>
        <w:rPr>
          <w:sz w:val="20"/>
          <w:szCs w:val="20"/>
          <w:color w:val="auto"/>
        </w:rPr>
      </w:pPr>
      <w:r>
        <w:rPr>
          <w:rFonts w:ascii="Arial" w:cs="Arial" w:eastAsia="Arial" w:hAnsi="Arial"/>
          <w:sz w:val="18"/>
          <w:szCs w:val="18"/>
          <w:color w:val="auto"/>
        </w:rPr>
        <w:t>In order to further align the NEOs’ and other senior executives’ interests with those of our shareholders, we have established stock ownership guidelines. The guidelines provide that, within five years, starting in fiscal year 2007 for legacy CBS senior executives and May of 2018 for legacy Viacom senior executives or, if later, in the year in which a senior executive first becomes subject to the guidelines, the NEOs and certain other senior executives are expected to acquire and establish holdings in our stock equal in value to a multiple of their cash base (base salary less mandatory deferrals, if applicable), depending on their positions as follows:</w:t>
      </w:r>
    </w:p>
    <w:p>
      <w:pPr>
        <w:spacing w:after="0" w:line="228" w:lineRule="exact"/>
        <w:rPr>
          <w:sz w:val="20"/>
          <w:szCs w:val="20"/>
          <w:color w:val="auto"/>
        </w:rPr>
      </w:pPr>
    </w:p>
    <w:tbl>
      <w:tblPr>
        <w:tblLayout w:type="fixed"/>
        <w:tblInd w:w="1820" w:type="dxa"/>
        <w:tblCellMar>
          <w:top w:w="0" w:type="dxa"/>
          <w:left w:w="0" w:type="dxa"/>
          <w:bottom w:w="0" w:type="dxa"/>
          <w:right w:w="0" w:type="dxa"/>
        </w:tblCellMar>
      </w:tblPr>
      <w:tr>
        <w:trPr>
          <w:trHeight w:val="288"/>
        </w:trPr>
        <w:tc>
          <w:tcPr>
            <w:tcW w:w="39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051D49"/>
              </w:rPr>
              <w:t>Senior Executive</w:t>
            </w:r>
          </w:p>
        </w:tc>
        <w:tc>
          <w:tcPr>
            <w:tcW w:w="3720" w:type="dxa"/>
            <w:vAlign w:val="bottom"/>
            <w:tcBorders>
              <w:bottom w:val="single" w:sz="8" w:color="E5E5E5"/>
            </w:tcBorders>
            <w:shd w:val="clear" w:color="auto" w:fill="E5E5E5"/>
          </w:tcPr>
          <w:p>
            <w:pPr>
              <w:ind w:left="140"/>
              <w:spacing w:after="0"/>
              <w:rPr>
                <w:sz w:val="20"/>
                <w:szCs w:val="20"/>
                <w:color w:val="auto"/>
              </w:rPr>
            </w:pPr>
            <w:r>
              <w:rPr>
                <w:rFonts w:ascii="Arial" w:cs="Arial" w:eastAsia="Arial" w:hAnsi="Arial"/>
                <w:sz w:val="16"/>
                <w:szCs w:val="16"/>
                <w:color w:val="051D49"/>
              </w:rPr>
              <w:t>Ownership Guideline Multiple</w:t>
            </w:r>
          </w:p>
        </w:tc>
      </w:tr>
      <w:tr>
        <w:trPr>
          <w:trHeight w:val="270"/>
        </w:trPr>
        <w:tc>
          <w:tcPr>
            <w:tcW w:w="3900" w:type="dxa"/>
            <w:vAlign w:val="bottom"/>
          </w:tcPr>
          <w:p>
            <w:pPr>
              <w:ind w:left="60"/>
              <w:spacing w:after="0"/>
              <w:rPr>
                <w:sz w:val="20"/>
                <w:szCs w:val="20"/>
                <w:color w:val="auto"/>
              </w:rPr>
            </w:pPr>
            <w:r>
              <w:rPr>
                <w:rFonts w:ascii="Arial" w:cs="Arial" w:eastAsia="Arial" w:hAnsi="Arial"/>
                <w:sz w:val="16"/>
                <w:szCs w:val="16"/>
                <w:color w:val="auto"/>
              </w:rPr>
              <w:t>Chief Executive Officer</w:t>
            </w:r>
          </w:p>
        </w:tc>
        <w:tc>
          <w:tcPr>
            <w:tcW w:w="3720" w:type="dxa"/>
            <w:vAlign w:val="bottom"/>
          </w:tcPr>
          <w:p>
            <w:pPr>
              <w:ind w:left="140"/>
              <w:spacing w:after="0"/>
              <w:rPr>
                <w:sz w:val="20"/>
                <w:szCs w:val="20"/>
                <w:color w:val="auto"/>
              </w:rPr>
            </w:pPr>
            <w:r>
              <w:rPr>
                <w:rFonts w:ascii="Arial" w:cs="Arial" w:eastAsia="Arial" w:hAnsi="Arial"/>
                <w:sz w:val="18"/>
                <w:szCs w:val="18"/>
                <w:color w:val="auto"/>
              </w:rPr>
              <w:t>6x cash base</w:t>
            </w:r>
          </w:p>
        </w:tc>
      </w:tr>
      <w:tr>
        <w:trPr>
          <w:trHeight w:val="51"/>
        </w:trPr>
        <w:tc>
          <w:tcPr>
            <w:tcW w:w="3900" w:type="dxa"/>
            <w:vAlign w:val="bottom"/>
            <w:tcBorders>
              <w:bottom w:val="single" w:sz="8" w:color="051D49"/>
            </w:tcBorders>
          </w:tcPr>
          <w:p>
            <w:pPr>
              <w:spacing w:after="0"/>
              <w:rPr>
                <w:sz w:val="4"/>
                <w:szCs w:val="4"/>
                <w:color w:val="auto"/>
              </w:rPr>
            </w:pPr>
          </w:p>
        </w:tc>
        <w:tc>
          <w:tcPr>
            <w:tcW w:w="3720" w:type="dxa"/>
            <w:vAlign w:val="bottom"/>
            <w:tcBorders>
              <w:bottom w:val="single" w:sz="8" w:color="051D49"/>
            </w:tcBorders>
          </w:tcPr>
          <w:p>
            <w:pPr>
              <w:spacing w:after="0"/>
              <w:rPr>
                <w:sz w:val="4"/>
                <w:szCs w:val="4"/>
                <w:color w:val="auto"/>
              </w:rPr>
            </w:pPr>
          </w:p>
        </w:tc>
      </w:tr>
      <w:tr>
        <w:trPr>
          <w:trHeight w:val="250"/>
        </w:trPr>
        <w:tc>
          <w:tcPr>
            <w:tcW w:w="3900" w:type="dxa"/>
            <w:vAlign w:val="bottom"/>
          </w:tcPr>
          <w:p>
            <w:pPr>
              <w:ind w:left="60"/>
              <w:spacing w:after="0"/>
              <w:rPr>
                <w:sz w:val="20"/>
                <w:szCs w:val="20"/>
                <w:color w:val="auto"/>
              </w:rPr>
            </w:pPr>
            <w:r>
              <w:rPr>
                <w:rFonts w:ascii="Arial" w:cs="Arial" w:eastAsia="Arial" w:hAnsi="Arial"/>
                <w:sz w:val="16"/>
                <w:szCs w:val="16"/>
                <w:color w:val="auto"/>
              </w:rPr>
              <w:t>Other Senior Executives</w:t>
            </w:r>
          </w:p>
        </w:tc>
        <w:tc>
          <w:tcPr>
            <w:tcW w:w="3720" w:type="dxa"/>
            <w:vAlign w:val="bottom"/>
          </w:tcPr>
          <w:p>
            <w:pPr>
              <w:ind w:left="140"/>
              <w:spacing w:after="0"/>
              <w:rPr>
                <w:sz w:val="20"/>
                <w:szCs w:val="20"/>
                <w:color w:val="auto"/>
              </w:rPr>
            </w:pPr>
            <w:r>
              <w:rPr>
                <w:rFonts w:ascii="Arial" w:cs="Arial" w:eastAsia="Arial" w:hAnsi="Arial"/>
                <w:sz w:val="18"/>
                <w:szCs w:val="18"/>
                <w:color w:val="auto"/>
              </w:rPr>
              <w:t>1x to 3x cash base</w:t>
            </w:r>
          </w:p>
        </w:tc>
      </w:tr>
      <w:tr>
        <w:trPr>
          <w:trHeight w:val="51"/>
        </w:trPr>
        <w:tc>
          <w:tcPr>
            <w:tcW w:w="3900" w:type="dxa"/>
            <w:vAlign w:val="bottom"/>
            <w:tcBorders>
              <w:bottom w:val="single" w:sz="8" w:color="051D49"/>
            </w:tcBorders>
          </w:tcPr>
          <w:p>
            <w:pPr>
              <w:spacing w:after="0"/>
              <w:rPr>
                <w:sz w:val="4"/>
                <w:szCs w:val="4"/>
                <w:color w:val="auto"/>
              </w:rPr>
            </w:pPr>
          </w:p>
        </w:tc>
        <w:tc>
          <w:tcPr>
            <w:tcW w:w="3720" w:type="dxa"/>
            <w:vAlign w:val="bottom"/>
            <w:tcBorders>
              <w:bottom w:val="single" w:sz="8" w:color="051D49"/>
            </w:tcBorders>
          </w:tcPr>
          <w:p>
            <w:pPr>
              <w:spacing w:after="0"/>
              <w:rPr>
                <w:sz w:val="4"/>
                <w:szCs w:val="4"/>
                <w:color w:val="auto"/>
              </w:rPr>
            </w:pPr>
          </w:p>
        </w:tc>
      </w:tr>
    </w:tbl>
    <w:p>
      <w:pPr>
        <w:spacing w:after="0" w:line="88" w:lineRule="exact"/>
        <w:rPr>
          <w:sz w:val="20"/>
          <w:szCs w:val="20"/>
          <w:color w:val="auto"/>
        </w:rPr>
      </w:pPr>
    </w:p>
    <w:p>
      <w:pPr>
        <w:ind w:left="160" w:right="400"/>
        <w:spacing w:after="0" w:line="243" w:lineRule="auto"/>
        <w:rPr>
          <w:sz w:val="20"/>
          <w:szCs w:val="20"/>
          <w:color w:val="auto"/>
        </w:rPr>
      </w:pPr>
      <w:r>
        <w:rPr>
          <w:rFonts w:ascii="Arial" w:cs="Arial" w:eastAsia="Arial" w:hAnsi="Arial"/>
          <w:sz w:val="18"/>
          <w:szCs w:val="18"/>
          <w:color w:val="auto"/>
        </w:rPr>
        <w:t>All types of equity holdings, with the exception of stock options, are included in determining ownership. The Committee monitors compliance with these guidelines by receiving an annual progress report from senior management. During 2021, senior management reported to the Committee that all NEOs subject to the guidelines met the guidelines as applied to each of them at that time. The Committee continues to periodically monitor compliance with the guidelines.</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HEDGING POLICY</w:t>
      </w:r>
    </w:p>
    <w:p>
      <w:pPr>
        <w:spacing w:after="0" w:line="94" w:lineRule="exact"/>
        <w:rPr>
          <w:sz w:val="20"/>
          <w:szCs w:val="20"/>
          <w:color w:val="auto"/>
        </w:rPr>
      </w:pPr>
    </w:p>
    <w:p>
      <w:pPr>
        <w:ind w:left="160" w:right="60"/>
        <w:spacing w:after="0" w:line="238" w:lineRule="auto"/>
        <w:rPr>
          <w:sz w:val="20"/>
          <w:szCs w:val="20"/>
          <w:color w:val="auto"/>
        </w:rPr>
      </w:pPr>
      <w:r>
        <w:rPr>
          <w:rFonts w:ascii="Arial" w:cs="Arial" w:eastAsia="Arial" w:hAnsi="Arial"/>
          <w:sz w:val="18"/>
          <w:szCs w:val="18"/>
          <w:color w:val="auto"/>
        </w:rPr>
        <w:t>We believe that engaging in short-term speculation in Paramount securities or personally profiting from a decline in our stock price would be, or may appear to be, inconsistent with the interests of our stockholders and the long-term value of the Company. Therefore, all employees, including our NEOs, are prohibited from (1) engaging in “short” sales of Company securities that they beneficially own and from buying or selling beneficial ownership of any Company-based derivative securities (such as “puts” and “calls”) that would result in receiving any gain or benefit if the price of the security declines, and (2) entering into any derivative transactions with respect to beneficial ownership of Company securities (including unvested equity compensation), including any short sale, forward, equity swap, option or collar that is based on our stock price.</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OTHER BENEFITS AND PROGRAMS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Retirement and Deferred Compensation Plans</w:t>
      </w:r>
    </w:p>
    <w:p>
      <w:pPr>
        <w:spacing w:after="0" w:line="101" w:lineRule="exact"/>
        <w:rPr>
          <w:sz w:val="20"/>
          <w:szCs w:val="20"/>
          <w:color w:val="auto"/>
        </w:rPr>
      </w:pPr>
    </w:p>
    <w:p>
      <w:pPr>
        <w:ind w:left="160"/>
        <w:spacing w:after="0" w:line="258" w:lineRule="auto"/>
        <w:rPr>
          <w:sz w:val="20"/>
          <w:szCs w:val="20"/>
          <w:color w:val="auto"/>
        </w:rPr>
      </w:pPr>
      <w:r>
        <w:rPr>
          <w:rFonts w:ascii="Arial" w:cs="Arial" w:eastAsia="Arial" w:hAnsi="Arial"/>
          <w:sz w:val="17"/>
          <w:szCs w:val="17"/>
          <w:color w:val="auto"/>
        </w:rPr>
        <w:t>We provide active, eligible employees with the opportunity to build financial resources for retirement through our broad-based tax-qualified defined benefit and/or defined contribution plans. In addition, eligible executives participate in our nonqualified defined benefit and/or deferred compensation plans. In some instances, participants in these qualified and nonqualified plans may also have frozen benefits in other qualified and nonqualified plans. Information regarding the retirement and deferred compensation plans applicable to our NEOs is set forth in the narrative after the Pension Benefits in 2021 table and the Nonqualified Deferred Compensation in 2021 table.</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All Other Compensation</w:t>
      </w:r>
    </w:p>
    <w:p>
      <w:pPr>
        <w:spacing w:after="0" w:line="101" w:lineRule="exact"/>
        <w:rPr>
          <w:sz w:val="20"/>
          <w:szCs w:val="20"/>
          <w:color w:val="auto"/>
        </w:rPr>
      </w:pPr>
    </w:p>
    <w:p>
      <w:pPr>
        <w:ind w:left="160" w:right="220"/>
        <w:spacing w:after="0" w:line="249" w:lineRule="auto"/>
        <w:rPr>
          <w:sz w:val="20"/>
          <w:szCs w:val="20"/>
          <w:color w:val="auto"/>
        </w:rPr>
      </w:pPr>
      <w:r>
        <w:rPr>
          <w:rFonts w:ascii="Arial" w:cs="Arial" w:eastAsia="Arial" w:hAnsi="Arial"/>
          <w:sz w:val="18"/>
          <w:szCs w:val="18"/>
          <w:color w:val="auto"/>
        </w:rPr>
        <w:t>We provide other compensation to participating employees by making employer contributions in 401(k) and excess 401(k) plans and by providing company-paid life insurance. Compensation paid to the NEOs in relation to these programs is included in the “All Other Compensation” column of the Summary Compensation Table for Fiscal Year 2021.</w:t>
      </w:r>
    </w:p>
    <w:p>
      <w:pPr>
        <w:spacing w:after="0" w:line="65" w:lineRule="exact"/>
        <w:rPr>
          <w:sz w:val="20"/>
          <w:szCs w:val="20"/>
          <w:color w:val="auto"/>
        </w:rPr>
      </w:pPr>
    </w:p>
    <w:p>
      <w:pPr>
        <w:ind w:left="160" w:right="360"/>
        <w:spacing w:after="0" w:line="265" w:lineRule="auto"/>
        <w:rPr>
          <w:sz w:val="20"/>
          <w:szCs w:val="20"/>
          <w:color w:val="auto"/>
        </w:rPr>
      </w:pPr>
      <w:r>
        <w:rPr>
          <w:rFonts w:ascii="Arial" w:cs="Arial" w:eastAsia="Arial" w:hAnsi="Arial"/>
          <w:sz w:val="18"/>
          <w:szCs w:val="18"/>
          <w:color w:val="auto"/>
        </w:rPr>
        <w:t>In certain instances, we provide executives with additional benefits that we believe are reasonable and typical for executives in similar industries and help us to attract and retain these executives. Among these benefits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374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188"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52</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40"/>
          </w:cols>
          <w:pgMar w:left="320" w:top="454" w:right="5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7540"/>
        <w:spacing w:after="0"/>
        <w:rPr>
          <w:sz w:val="20"/>
          <w:szCs w:val="20"/>
          <w:color w:val="auto"/>
        </w:rPr>
      </w:pPr>
      <w:r>
        <w:rPr>
          <w:rFonts w:ascii="Arial" w:cs="Arial" w:eastAsia="Arial" w:hAnsi="Arial"/>
          <w:sz w:val="15"/>
          <w:szCs w:val="15"/>
          <w:color w:val="auto"/>
        </w:rPr>
        <w:t>COMPENSATION DISCUSSION AND ANALYSIS</w:t>
      </w:r>
    </w:p>
    <w:p>
      <w:pPr>
        <w:spacing w:after="0" w:line="157"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transportation-related benefits, which we believe provide security, travel flexibility and efficiencies that result in a more productive use of the executive’s time, given the demands of his or her position. Information regarding the benefits described in this paragraph is included in footnote 6 to the “All Other Compensation” column of the Summary Compensation Table for Fiscal Year 2021.</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Post-Termination Arrangements</w:t>
      </w:r>
    </w:p>
    <w:p>
      <w:pPr>
        <w:spacing w:after="0" w:line="101" w:lineRule="exact"/>
        <w:rPr>
          <w:sz w:val="20"/>
          <w:szCs w:val="20"/>
          <w:color w:val="auto"/>
        </w:rPr>
      </w:pPr>
    </w:p>
    <w:p>
      <w:pPr>
        <w:ind w:left="160" w:right="740"/>
        <w:spacing w:after="0" w:line="265" w:lineRule="auto"/>
        <w:rPr>
          <w:sz w:val="20"/>
          <w:szCs w:val="20"/>
          <w:color w:val="auto"/>
        </w:rPr>
      </w:pPr>
      <w:r>
        <w:rPr>
          <w:rFonts w:ascii="Arial" w:cs="Arial" w:eastAsia="Arial" w:hAnsi="Arial"/>
          <w:sz w:val="18"/>
          <w:szCs w:val="18"/>
          <w:color w:val="auto"/>
        </w:rPr>
        <w:t>Each of the NEOs is entitled to post-termination payments and benefits upon the occurrence of a termination without “cause” or a resignation for “good reason” and upon death or disability, as set forth in their respective employment agreements.</w:t>
      </w:r>
    </w:p>
    <w:p>
      <w:pPr>
        <w:spacing w:after="0" w:line="158" w:lineRule="exact"/>
        <w:rPr>
          <w:sz w:val="20"/>
          <w:szCs w:val="20"/>
          <w:color w:val="auto"/>
        </w:rPr>
      </w:pPr>
    </w:p>
    <w:p>
      <w:pPr>
        <w:ind w:left="160" w:right="100"/>
        <w:spacing w:after="0" w:line="238" w:lineRule="auto"/>
        <w:rPr>
          <w:sz w:val="20"/>
          <w:szCs w:val="20"/>
          <w:color w:val="auto"/>
        </w:rPr>
      </w:pPr>
      <w:r>
        <w:rPr>
          <w:rFonts w:ascii="Arial" w:cs="Arial" w:eastAsia="Arial" w:hAnsi="Arial"/>
          <w:sz w:val="18"/>
          <w:szCs w:val="18"/>
          <w:color w:val="auto"/>
        </w:rPr>
        <w:t>The terms of these payments and benefits, and the estimated potential payments that would be made to each NEO if his or her employment terminated as of the 2021 fiscal year-end for the applicable reasons noted above are described under “Potential Payments upon Termination and Certain Other Events.” In assessing post-termination payments and benefits in connection with senior executive employment arrangements, the Committee considers competitive practice with respect to comparable executives at peer companies as well as prevailing practice and trends with respect to other public companies that are relevant in terms of size and complexity. The objective of these payments and benefits is to recruit and retain talent in a competitive market and, as applicable, compensate executives for restrictive covenants and other obligations following a termination without “cause” or a resignation for “good reason.”</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Employment Contracts</w:t>
      </w:r>
    </w:p>
    <w:p>
      <w:pPr>
        <w:spacing w:after="0" w:line="101"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All of the NEOs have employment contracts with us, as the Committee has considered it to be in our best interests, and as the best means, to secure the employment of each of these executives. The terms and provisions of these contracts are more fully described in the narrative section after the Summary Compensation Table for Fiscal Year 2021.</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TAX CONSIDERATIONS</w:t>
      </w:r>
    </w:p>
    <w:p>
      <w:pPr>
        <w:spacing w:after="0" w:line="94" w:lineRule="exact"/>
        <w:rPr>
          <w:sz w:val="20"/>
          <w:szCs w:val="20"/>
          <w:color w:val="auto"/>
        </w:rPr>
      </w:pPr>
    </w:p>
    <w:p>
      <w:pPr>
        <w:ind w:left="160" w:right="20"/>
        <w:spacing w:after="0"/>
        <w:rPr>
          <w:sz w:val="20"/>
          <w:szCs w:val="20"/>
          <w:color w:val="auto"/>
        </w:rPr>
      </w:pPr>
      <w:r>
        <w:rPr>
          <w:rFonts w:ascii="Arial" w:cs="Arial" w:eastAsia="Arial" w:hAnsi="Arial"/>
          <w:sz w:val="18"/>
          <w:szCs w:val="18"/>
          <w:color w:val="auto"/>
        </w:rPr>
        <w:t>As it previously existed, Section 162(m) generally limited to $1 million the federal tax deductibility of some forms of compensation paid in one year to an NEO and provided that performance-based compensation may qualify for an exception to the limit on deductibility, if, among other requirements, the plan under which such compensation is paid met certain requirements, including stockholder approval. Our long-term incentive plan was designed to permit awards that would comply with this Section 162(m) exception for performance-based compensation, and our stockholders previously approved this plan.</w:t>
      </w:r>
    </w:p>
    <w:p>
      <w:pPr>
        <w:spacing w:after="0" w:line="182"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color w:val="auto"/>
        </w:rPr>
        <w:t>Legislation signed into law in December 2017, the Tax Cuts and Jobs Act, expanded the number of individuals covered by Section 162(m) and eliminated the exception for performance-based compensation for taxable years beginning after December 31, 2017, except for otherwise qualified compensation payable pursuant to a written binding contract in effect on November 2, 2017 that is not subsequently materially modified (so-called “grandfathered arrangements”). Prior to the Merger, in order to provide appropriate compensation, the Committee historically approved compensation exceeding the $1 million limitation under Section 162(m), including with respect to a portion of base salary and long-term incentives.</w:t>
      </w:r>
    </w:p>
    <w:p>
      <w:pPr>
        <w:spacing w:after="0" w:line="181" w:lineRule="exact"/>
        <w:rPr>
          <w:sz w:val="20"/>
          <w:szCs w:val="20"/>
          <w:color w:val="auto"/>
        </w:rPr>
      </w:pPr>
    </w:p>
    <w:p>
      <w:pPr>
        <w:ind w:left="160" w:right="140"/>
        <w:spacing w:after="0" w:line="262" w:lineRule="auto"/>
        <w:rPr>
          <w:sz w:val="20"/>
          <w:szCs w:val="20"/>
          <w:color w:val="auto"/>
        </w:rPr>
      </w:pPr>
      <w:r>
        <w:rPr>
          <w:rFonts w:ascii="Arial" w:cs="Arial" w:eastAsia="Arial" w:hAnsi="Arial"/>
          <w:sz w:val="17"/>
          <w:szCs w:val="17"/>
          <w:color w:val="auto"/>
        </w:rPr>
        <w:t>Because all of the NEOs entered into new employment agreements in connection with the Merger or later, the Committee no longer considers Section 162(m) when structuring pay packages for our executives, and no assurance can be given that compensation for 2021 or future years will be deductible under applicable transition relief rules. The Committee intends to continue to implement compensation programs that it believes are competitive and in the best interests of Paramount and our shareholders, even if not fully deductible.</w:t>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53</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36"/>
          <w:szCs w:val="36"/>
          <w:b w:val="1"/>
          <w:bCs w:val="1"/>
          <w:color w:val="051D49"/>
        </w:rPr>
        <w:t>Compensation Committee Report</w:t>
      </w:r>
    </w:p>
    <w:p>
      <w:pPr>
        <w:spacing w:after="0" w:line="200" w:lineRule="exact"/>
        <w:rPr>
          <w:sz w:val="20"/>
          <w:szCs w:val="20"/>
          <w:color w:val="auto"/>
        </w:rPr>
      </w:pPr>
    </w:p>
    <w:p>
      <w:pPr>
        <w:spacing w:after="0" w:line="249" w:lineRule="exact"/>
        <w:rPr>
          <w:sz w:val="20"/>
          <w:szCs w:val="20"/>
          <w:color w:val="auto"/>
        </w:rPr>
      </w:pPr>
    </w:p>
    <w:p>
      <w:pPr>
        <w:ind w:left="160"/>
        <w:spacing w:after="0" w:line="247" w:lineRule="auto"/>
        <w:rPr>
          <w:sz w:val="20"/>
          <w:szCs w:val="20"/>
          <w:color w:val="auto"/>
        </w:rPr>
      </w:pPr>
      <w:r>
        <w:rPr>
          <w:rFonts w:ascii="Arial" w:cs="Arial" w:eastAsia="Arial" w:hAnsi="Arial"/>
          <w:sz w:val="18"/>
          <w:szCs w:val="18"/>
          <w:i w:val="1"/>
          <w:iCs w:val="1"/>
          <w:color w:val="auto"/>
        </w:rPr>
        <w:t>The following Compensation Committee Report does not constitute soliciting material and shall not be deemed filed or incorporated by reference into any filing under the Securities Act or the Exchange Act, except to the extent we specifically incorporate such information by reference.</w:t>
      </w:r>
    </w:p>
    <w:p>
      <w:pPr>
        <w:spacing w:after="0" w:line="68" w:lineRule="exact"/>
        <w:rPr>
          <w:sz w:val="20"/>
          <w:szCs w:val="20"/>
          <w:color w:val="auto"/>
        </w:rPr>
      </w:pPr>
    </w:p>
    <w:p>
      <w:pPr>
        <w:ind w:left="160" w:right="160"/>
        <w:spacing w:after="0"/>
        <w:rPr>
          <w:sz w:val="20"/>
          <w:szCs w:val="20"/>
          <w:color w:val="auto"/>
        </w:rPr>
      </w:pPr>
      <w:r>
        <w:rPr>
          <w:rFonts w:ascii="Arial" w:cs="Arial" w:eastAsia="Arial" w:hAnsi="Arial"/>
          <w:sz w:val="18"/>
          <w:szCs w:val="18"/>
          <w:color w:val="auto"/>
        </w:rPr>
        <w:t>The Compensation Committee of the Board of Directors of Paramount Global has reviewed and discussed with management the Compensation Discussion and Analysis (“CD&amp;A”) included in this proxy statement. Based on this review and these discussions, the Compensation Committee has recommended to the Paramount Global Board of Directors that the CD&amp;A be included in this proxy statement and incorporated by reference from this proxy statement into the Company’s Annual Report on Form 10-K for the year ended December 31, 2021, which was filed with the Securities and Exchange Commission on February 15, 2022.</w:t>
      </w:r>
    </w:p>
    <w:p>
      <w:pPr>
        <w:spacing w:after="0" w:line="18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i w:val="1"/>
          <w:iCs w:val="1"/>
          <w:color w:val="051D49"/>
        </w:rPr>
        <w:t>Members of the Compensation Committee</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Linda M. Griego</w:t>
      </w:r>
    </w:p>
    <w:p>
      <w:pPr>
        <w:spacing w:after="0" w:line="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Judith A. McHale, Chair</w:t>
      </w:r>
    </w:p>
    <w:p>
      <w:pPr>
        <w:jc w:val="center"/>
        <w:ind w:right="-259"/>
        <w:spacing w:after="0"/>
        <w:rPr>
          <w:sz w:val="20"/>
          <w:szCs w:val="20"/>
          <w:color w:val="auto"/>
        </w:rPr>
      </w:pPr>
      <w:r>
        <w:rPr>
          <w:rFonts w:ascii="Arial" w:cs="Arial" w:eastAsia="Arial" w:hAnsi="Arial"/>
          <w:sz w:val="18"/>
          <w:szCs w:val="18"/>
          <w:color w:val="auto"/>
        </w:rPr>
        <w:t>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2374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19"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54</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0980"/>
          </w:cols>
          <w:pgMar w:left="320" w:top="454" w:right="59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51D49"/>
        </w:rPr>
        <w:t>Executive Compensation</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SUMMARY COMPENSATION TABLE FOR FISCAL YEAR 2021</w:t>
      </w:r>
    </w:p>
    <w:p>
      <w:pPr>
        <w:spacing w:after="0" w:line="94" w:lineRule="exact"/>
        <w:rPr>
          <w:sz w:val="20"/>
          <w:szCs w:val="20"/>
          <w:color w:val="auto"/>
        </w:rPr>
      </w:pPr>
    </w:p>
    <w:p>
      <w:pPr>
        <w:ind w:left="160" w:right="80"/>
        <w:spacing w:after="0"/>
        <w:rPr>
          <w:sz w:val="20"/>
          <w:szCs w:val="20"/>
          <w:color w:val="auto"/>
        </w:rPr>
      </w:pPr>
      <w:r>
        <w:rPr>
          <w:rFonts w:ascii="Arial" w:cs="Arial" w:eastAsia="Arial" w:hAnsi="Arial"/>
          <w:sz w:val="18"/>
          <w:szCs w:val="18"/>
          <w:color w:val="auto"/>
        </w:rPr>
        <w:t>The following table sets forth information concerning total compensation for fiscal years 2021, 2020 and 2019, as applicable, for our principal executive officer, principal financial officer and three other most highly compensated executive officers for fiscal year 2021 (the “NEOs”). The amounts with respect to 2019 for the former Viacom NEOs (Mr. Bakish and Mses. D’Alimonte and Phillips) reflect payments made by us during the period commencing on the December 4, 2019 closing date of the merger of Viacom with and into CBS (the “Merger”) and ending on December 31, 2019 (or, in the case of bonuses, payments made in 2020 for services rendered in 2019).</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30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160" w:type="dxa"/>
            <w:vAlign w:val="bottom"/>
            <w:shd w:val="clear" w:color="auto" w:fill="E5E5E5"/>
          </w:tcPr>
          <w:p>
            <w:pPr>
              <w:jc w:val="center"/>
              <w:ind w:right="25"/>
              <w:spacing w:after="0"/>
              <w:rPr>
                <w:sz w:val="20"/>
                <w:szCs w:val="20"/>
                <w:color w:val="auto"/>
              </w:rPr>
            </w:pPr>
            <w:r>
              <w:rPr>
                <w:rFonts w:ascii="Arial" w:cs="Arial" w:eastAsia="Arial" w:hAnsi="Arial"/>
                <w:sz w:val="14"/>
                <w:szCs w:val="14"/>
                <w:color w:val="051D49"/>
              </w:rPr>
              <w:t>Non-Equity</w:t>
            </w:r>
          </w:p>
        </w:tc>
        <w:tc>
          <w:tcPr>
            <w:tcW w:w="1460" w:type="dxa"/>
            <w:vAlign w:val="bottom"/>
            <w:shd w:val="clear" w:color="auto" w:fill="E5E5E5"/>
          </w:tcPr>
          <w:p>
            <w:pPr>
              <w:jc w:val="center"/>
              <w:ind w:left="25"/>
              <w:spacing w:after="0"/>
              <w:rPr>
                <w:sz w:val="20"/>
                <w:szCs w:val="20"/>
                <w:color w:val="auto"/>
              </w:rPr>
            </w:pPr>
            <w:r>
              <w:rPr>
                <w:rFonts w:ascii="Arial" w:cs="Arial" w:eastAsia="Arial" w:hAnsi="Arial"/>
                <w:sz w:val="14"/>
                <w:szCs w:val="14"/>
                <w:color w:val="051D49"/>
              </w:rPr>
              <w:t>Change in Pension</w:t>
            </w:r>
          </w:p>
        </w:tc>
        <w:tc>
          <w:tcPr>
            <w:tcW w:w="10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08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88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Stock</w:t>
            </w:r>
          </w:p>
        </w:tc>
        <w:tc>
          <w:tcPr>
            <w:tcW w:w="1160" w:type="dxa"/>
            <w:vAlign w:val="bottom"/>
            <w:shd w:val="clear" w:color="auto" w:fill="E5E5E5"/>
          </w:tcPr>
          <w:p>
            <w:pPr>
              <w:jc w:val="center"/>
              <w:ind w:right="25"/>
              <w:spacing w:after="0"/>
              <w:rPr>
                <w:sz w:val="20"/>
                <w:szCs w:val="20"/>
                <w:color w:val="auto"/>
              </w:rPr>
            </w:pPr>
            <w:r>
              <w:rPr>
                <w:rFonts w:ascii="Arial" w:cs="Arial" w:eastAsia="Arial" w:hAnsi="Arial"/>
                <w:sz w:val="14"/>
                <w:szCs w:val="14"/>
                <w:color w:val="051D49"/>
              </w:rPr>
              <w:t>Incentive Plan</w:t>
            </w:r>
          </w:p>
        </w:tc>
        <w:tc>
          <w:tcPr>
            <w:tcW w:w="1460" w:type="dxa"/>
            <w:vAlign w:val="bottom"/>
            <w:shd w:val="clear" w:color="auto" w:fill="E5E5E5"/>
          </w:tcPr>
          <w:p>
            <w:pPr>
              <w:jc w:val="center"/>
              <w:ind w:left="25"/>
              <w:spacing w:after="0"/>
              <w:rPr>
                <w:sz w:val="20"/>
                <w:szCs w:val="20"/>
                <w:color w:val="auto"/>
              </w:rPr>
            </w:pPr>
            <w:r>
              <w:rPr>
                <w:rFonts w:ascii="Arial" w:cs="Arial" w:eastAsia="Arial" w:hAnsi="Arial"/>
                <w:sz w:val="14"/>
                <w:szCs w:val="14"/>
                <w:color w:val="051D49"/>
                <w:w w:val="99"/>
              </w:rPr>
              <w:t>Value and NQDC</w:t>
            </w:r>
          </w:p>
        </w:tc>
        <w:tc>
          <w:tcPr>
            <w:tcW w:w="108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All Other</w:t>
            </w:r>
          </w:p>
        </w:tc>
        <w:tc>
          <w:tcPr>
            <w:tcW w:w="92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8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880" w:type="dxa"/>
            <w:vAlign w:val="bottom"/>
            <w:shd w:val="clear" w:color="auto" w:fill="E5E5E5"/>
          </w:tcPr>
          <w:p>
            <w:pPr>
              <w:jc w:val="right"/>
              <w:ind w:right="185"/>
              <w:spacing w:after="0"/>
              <w:rPr>
                <w:sz w:val="20"/>
                <w:szCs w:val="20"/>
                <w:color w:val="auto"/>
              </w:rPr>
            </w:pPr>
            <w:r>
              <w:rPr>
                <w:rFonts w:ascii="Arial" w:cs="Arial" w:eastAsia="Arial" w:hAnsi="Arial"/>
                <w:sz w:val="14"/>
                <w:szCs w:val="14"/>
                <w:color w:val="051D49"/>
              </w:rPr>
              <w:t>Salary</w:t>
            </w:r>
          </w:p>
        </w:tc>
        <w:tc>
          <w:tcPr>
            <w:tcW w:w="860" w:type="dxa"/>
            <w:vAlign w:val="bottom"/>
            <w:shd w:val="clear" w:color="auto" w:fill="E5E5E5"/>
          </w:tcPr>
          <w:p>
            <w:pPr>
              <w:jc w:val="right"/>
              <w:ind w:right="185"/>
              <w:spacing w:after="0"/>
              <w:rPr>
                <w:sz w:val="20"/>
                <w:szCs w:val="20"/>
                <w:color w:val="auto"/>
              </w:rPr>
            </w:pPr>
            <w:r>
              <w:rPr>
                <w:rFonts w:ascii="Arial" w:cs="Arial" w:eastAsia="Arial" w:hAnsi="Arial"/>
                <w:sz w:val="14"/>
                <w:szCs w:val="14"/>
                <w:color w:val="051D49"/>
              </w:rPr>
              <w:t>Bonus</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51D49"/>
                <w:w w:val="98"/>
              </w:rPr>
              <w:t>Awards</w:t>
            </w:r>
          </w:p>
        </w:tc>
        <w:tc>
          <w:tcPr>
            <w:tcW w:w="1160" w:type="dxa"/>
            <w:vAlign w:val="bottom"/>
            <w:shd w:val="clear" w:color="auto" w:fill="E5E5E5"/>
          </w:tcPr>
          <w:p>
            <w:pPr>
              <w:jc w:val="center"/>
              <w:ind w:right="5"/>
              <w:spacing w:after="0"/>
              <w:rPr>
                <w:sz w:val="20"/>
                <w:szCs w:val="20"/>
                <w:color w:val="auto"/>
              </w:rPr>
            </w:pPr>
            <w:r>
              <w:rPr>
                <w:rFonts w:ascii="Arial" w:cs="Arial" w:eastAsia="Arial" w:hAnsi="Arial"/>
                <w:sz w:val="14"/>
                <w:szCs w:val="14"/>
                <w:color w:val="051D49"/>
              </w:rPr>
              <w:t>Compensation</w:t>
            </w:r>
          </w:p>
        </w:tc>
        <w:tc>
          <w:tcPr>
            <w:tcW w:w="1460" w:type="dxa"/>
            <w:vAlign w:val="bottom"/>
            <w:shd w:val="clear" w:color="auto" w:fill="E5E5E5"/>
          </w:tcPr>
          <w:p>
            <w:pPr>
              <w:jc w:val="center"/>
              <w:ind w:left="25"/>
              <w:spacing w:after="0"/>
              <w:rPr>
                <w:sz w:val="20"/>
                <w:szCs w:val="20"/>
                <w:color w:val="auto"/>
              </w:rPr>
            </w:pPr>
            <w:r>
              <w:rPr>
                <w:rFonts w:ascii="Arial" w:cs="Arial" w:eastAsia="Arial" w:hAnsi="Arial"/>
                <w:sz w:val="14"/>
                <w:szCs w:val="14"/>
                <w:color w:val="051D49"/>
              </w:rPr>
              <w:t>Earnings</w:t>
            </w:r>
          </w:p>
        </w:tc>
        <w:tc>
          <w:tcPr>
            <w:tcW w:w="108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Compensation</w:t>
            </w:r>
          </w:p>
        </w:tc>
        <w:tc>
          <w:tcPr>
            <w:tcW w:w="92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80" w:type="dxa"/>
            <w:vAlign w:val="bottom"/>
            <w:shd w:val="clear" w:color="auto" w:fill="E5E5E5"/>
          </w:tcPr>
          <w:p>
            <w:pPr>
              <w:ind w:left="1240"/>
              <w:spacing w:after="0"/>
              <w:rPr>
                <w:sz w:val="20"/>
                <w:szCs w:val="20"/>
                <w:color w:val="auto"/>
              </w:rPr>
            </w:pPr>
            <w:r>
              <w:rPr>
                <w:rFonts w:ascii="Arial" w:cs="Arial" w:eastAsia="Arial" w:hAnsi="Arial"/>
                <w:sz w:val="14"/>
                <w:szCs w:val="14"/>
                <w:color w:val="051D49"/>
              </w:rPr>
              <w:t>Name and</w:t>
            </w:r>
          </w:p>
        </w:tc>
        <w:tc>
          <w:tcPr>
            <w:tcW w:w="560" w:type="dxa"/>
            <w:vAlign w:val="bottom"/>
            <w:shd w:val="clear" w:color="auto" w:fill="E5E5E5"/>
          </w:tcPr>
          <w:p>
            <w:pPr>
              <w:spacing w:after="0"/>
              <w:rPr>
                <w:sz w:val="13"/>
                <w:szCs w:val="13"/>
                <w:color w:val="auto"/>
              </w:rPr>
            </w:pPr>
          </w:p>
        </w:tc>
        <w:tc>
          <w:tcPr>
            <w:tcW w:w="880" w:type="dxa"/>
            <w:vAlign w:val="bottom"/>
            <w:shd w:val="clear" w:color="auto" w:fill="E5E5E5"/>
          </w:tcPr>
          <w:p>
            <w:pPr>
              <w:jc w:val="right"/>
              <w:ind w:right="305"/>
              <w:spacing w:after="0"/>
              <w:rPr>
                <w:sz w:val="20"/>
                <w:szCs w:val="20"/>
                <w:color w:val="auto"/>
              </w:rPr>
            </w:pPr>
            <w:r>
              <w:rPr>
                <w:rFonts w:ascii="Arial" w:cs="Arial" w:eastAsia="Arial" w:hAnsi="Arial"/>
                <w:sz w:val="14"/>
                <w:szCs w:val="14"/>
                <w:color w:val="051D49"/>
              </w:rPr>
              <w:t>($)</w:t>
            </w:r>
          </w:p>
        </w:tc>
        <w:tc>
          <w:tcPr>
            <w:tcW w:w="860" w:type="dxa"/>
            <w:vAlign w:val="bottom"/>
            <w:shd w:val="clear" w:color="auto" w:fill="E5E5E5"/>
          </w:tcPr>
          <w:p>
            <w:pPr>
              <w:jc w:val="right"/>
              <w:ind w:right="305"/>
              <w:spacing w:after="0"/>
              <w:rPr>
                <w:sz w:val="20"/>
                <w:szCs w:val="20"/>
                <w:color w:val="auto"/>
              </w:rPr>
            </w:pPr>
            <w:r>
              <w:rPr>
                <w:rFonts w:ascii="Arial" w:cs="Arial" w:eastAsia="Arial" w:hAnsi="Arial"/>
                <w:sz w:val="14"/>
                <w:szCs w:val="14"/>
                <w:color w:val="051D49"/>
              </w:rPr>
              <w:t>($)</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w:t>
            </w:r>
          </w:p>
        </w:tc>
        <w:tc>
          <w:tcPr>
            <w:tcW w:w="1160" w:type="dxa"/>
            <w:vAlign w:val="bottom"/>
            <w:shd w:val="clear" w:color="auto" w:fill="E5E5E5"/>
          </w:tcPr>
          <w:p>
            <w:pPr>
              <w:jc w:val="center"/>
              <w:ind w:right="25"/>
              <w:spacing w:after="0"/>
              <w:rPr>
                <w:sz w:val="20"/>
                <w:szCs w:val="20"/>
                <w:color w:val="auto"/>
              </w:rPr>
            </w:pPr>
            <w:r>
              <w:rPr>
                <w:rFonts w:ascii="Arial" w:cs="Arial" w:eastAsia="Arial" w:hAnsi="Arial"/>
                <w:sz w:val="14"/>
                <w:szCs w:val="14"/>
                <w:color w:val="051D49"/>
              </w:rPr>
              <w:t>($)</w:t>
            </w:r>
          </w:p>
        </w:tc>
        <w:tc>
          <w:tcPr>
            <w:tcW w:w="1460" w:type="dxa"/>
            <w:vAlign w:val="bottom"/>
            <w:shd w:val="clear" w:color="auto" w:fill="E5E5E5"/>
          </w:tcPr>
          <w:p>
            <w:pPr>
              <w:jc w:val="center"/>
              <w:ind w:left="25"/>
              <w:spacing w:after="0"/>
              <w:rPr>
                <w:sz w:val="20"/>
                <w:szCs w:val="20"/>
                <w:color w:val="auto"/>
              </w:rPr>
            </w:pPr>
            <w:r>
              <w:rPr>
                <w:rFonts w:ascii="Arial" w:cs="Arial" w:eastAsia="Arial" w:hAnsi="Arial"/>
                <w:sz w:val="14"/>
                <w:szCs w:val="14"/>
                <w:color w:val="051D49"/>
                <w:w w:val="93"/>
              </w:rPr>
              <w:t>($)</w:t>
            </w:r>
          </w:p>
        </w:tc>
        <w:tc>
          <w:tcPr>
            <w:tcW w:w="1080" w:type="dxa"/>
            <w:vAlign w:val="bottom"/>
            <w:shd w:val="clear" w:color="auto" w:fill="E5E5E5"/>
          </w:tcPr>
          <w:p>
            <w:pPr>
              <w:jc w:val="center"/>
              <w:spacing w:after="0"/>
              <w:rPr>
                <w:sz w:val="20"/>
                <w:szCs w:val="20"/>
                <w:color w:val="auto"/>
              </w:rPr>
            </w:pPr>
            <w:r>
              <w:rPr>
                <w:rFonts w:ascii="Arial" w:cs="Arial" w:eastAsia="Arial" w:hAnsi="Arial"/>
                <w:sz w:val="14"/>
                <w:szCs w:val="14"/>
                <w:color w:val="051D49"/>
                <w:w w:val="93"/>
              </w:rPr>
              <w:t>($)</w:t>
            </w:r>
          </w:p>
        </w:tc>
        <w:tc>
          <w:tcPr>
            <w:tcW w:w="920" w:type="dxa"/>
            <w:vAlign w:val="bottom"/>
            <w:shd w:val="clear" w:color="auto" w:fill="E5E5E5"/>
          </w:tcPr>
          <w:p>
            <w:pPr>
              <w:jc w:val="right"/>
              <w:ind w:right="245"/>
              <w:spacing w:after="0"/>
              <w:rPr>
                <w:sz w:val="20"/>
                <w:szCs w:val="20"/>
                <w:color w:val="auto"/>
              </w:rPr>
            </w:pPr>
            <w:r>
              <w:rPr>
                <w:rFonts w:ascii="Arial" w:cs="Arial" w:eastAsia="Arial" w:hAnsi="Arial"/>
                <w:sz w:val="14"/>
                <w:szCs w:val="14"/>
                <w:color w:val="051D49"/>
              </w:rPr>
              <w:t>Total</w:t>
            </w:r>
          </w:p>
        </w:tc>
        <w:tc>
          <w:tcPr>
            <w:tcW w:w="0" w:type="dxa"/>
            <w:vAlign w:val="bottom"/>
          </w:tcPr>
          <w:p>
            <w:pPr>
              <w:spacing w:after="0"/>
              <w:rPr>
                <w:sz w:val="1"/>
                <w:szCs w:val="1"/>
                <w:color w:val="auto"/>
              </w:rPr>
            </w:pPr>
          </w:p>
        </w:tc>
      </w:tr>
      <w:tr>
        <w:trPr>
          <w:trHeight w:val="210"/>
        </w:trPr>
        <w:tc>
          <w:tcPr>
            <w:tcW w:w="3080" w:type="dxa"/>
            <w:vAlign w:val="bottom"/>
            <w:shd w:val="clear" w:color="auto" w:fill="E5E5E5"/>
          </w:tcPr>
          <w:p>
            <w:pPr>
              <w:ind w:left="1020"/>
              <w:spacing w:after="0"/>
              <w:rPr>
                <w:sz w:val="20"/>
                <w:szCs w:val="20"/>
                <w:color w:val="auto"/>
              </w:rPr>
            </w:pPr>
            <w:r>
              <w:rPr>
                <w:rFonts w:ascii="Arial" w:cs="Arial" w:eastAsia="Arial" w:hAnsi="Arial"/>
                <w:sz w:val="14"/>
                <w:szCs w:val="14"/>
                <w:color w:val="051D49"/>
              </w:rPr>
              <w:t>Principal Position</w:t>
            </w:r>
          </w:p>
        </w:tc>
        <w:tc>
          <w:tcPr>
            <w:tcW w:w="560" w:type="dxa"/>
            <w:vAlign w:val="bottom"/>
            <w:shd w:val="clear" w:color="auto" w:fill="E5E5E5"/>
          </w:tcPr>
          <w:p>
            <w:pPr>
              <w:ind w:left="120"/>
              <w:spacing w:after="0"/>
              <w:rPr>
                <w:sz w:val="20"/>
                <w:szCs w:val="20"/>
                <w:color w:val="auto"/>
              </w:rPr>
            </w:pPr>
            <w:r>
              <w:rPr>
                <w:rFonts w:ascii="Arial" w:cs="Arial" w:eastAsia="Arial" w:hAnsi="Arial"/>
                <w:sz w:val="14"/>
                <w:szCs w:val="14"/>
                <w:color w:val="051D49"/>
              </w:rPr>
              <w:t>Year</w:t>
            </w:r>
          </w:p>
        </w:tc>
        <w:tc>
          <w:tcPr>
            <w:tcW w:w="880" w:type="dxa"/>
            <w:vAlign w:val="bottom"/>
            <w:shd w:val="clear" w:color="auto" w:fill="E5E5E5"/>
          </w:tcPr>
          <w:p>
            <w:pPr>
              <w:jc w:val="right"/>
              <w:ind w:right="305"/>
              <w:spacing w:after="0"/>
              <w:rPr>
                <w:sz w:val="20"/>
                <w:szCs w:val="20"/>
                <w:color w:val="auto"/>
              </w:rPr>
            </w:pPr>
            <w:r>
              <w:rPr>
                <w:rFonts w:ascii="Arial" w:cs="Arial" w:eastAsia="Arial" w:hAnsi="Arial"/>
                <w:sz w:val="14"/>
                <w:szCs w:val="14"/>
                <w:color w:val="051D49"/>
              </w:rPr>
              <w:t>(1)</w:t>
            </w:r>
          </w:p>
        </w:tc>
        <w:tc>
          <w:tcPr>
            <w:tcW w:w="860" w:type="dxa"/>
            <w:vAlign w:val="bottom"/>
            <w:shd w:val="clear" w:color="auto" w:fill="E5E5E5"/>
          </w:tcPr>
          <w:p>
            <w:pPr>
              <w:jc w:val="right"/>
              <w:ind w:right="305"/>
              <w:spacing w:after="0"/>
              <w:rPr>
                <w:sz w:val="20"/>
                <w:szCs w:val="20"/>
                <w:color w:val="auto"/>
              </w:rPr>
            </w:pPr>
            <w:r>
              <w:rPr>
                <w:rFonts w:ascii="Arial" w:cs="Arial" w:eastAsia="Arial" w:hAnsi="Arial"/>
                <w:sz w:val="14"/>
                <w:szCs w:val="14"/>
                <w:color w:val="051D49"/>
              </w:rPr>
              <w:t>(2)</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(3)</w:t>
            </w:r>
          </w:p>
        </w:tc>
        <w:tc>
          <w:tcPr>
            <w:tcW w:w="1160" w:type="dxa"/>
            <w:vAlign w:val="bottom"/>
            <w:shd w:val="clear" w:color="auto" w:fill="E5E5E5"/>
          </w:tcPr>
          <w:p>
            <w:pPr>
              <w:jc w:val="center"/>
              <w:ind w:right="25"/>
              <w:spacing w:after="0"/>
              <w:rPr>
                <w:sz w:val="20"/>
                <w:szCs w:val="20"/>
                <w:color w:val="auto"/>
              </w:rPr>
            </w:pPr>
            <w:r>
              <w:rPr>
                <w:rFonts w:ascii="Arial" w:cs="Arial" w:eastAsia="Arial" w:hAnsi="Arial"/>
                <w:sz w:val="14"/>
                <w:szCs w:val="14"/>
                <w:color w:val="051D49"/>
              </w:rPr>
              <w:t>(4)</w:t>
            </w:r>
          </w:p>
        </w:tc>
        <w:tc>
          <w:tcPr>
            <w:tcW w:w="1460" w:type="dxa"/>
            <w:vAlign w:val="bottom"/>
            <w:shd w:val="clear" w:color="auto" w:fill="E5E5E5"/>
          </w:tcPr>
          <w:p>
            <w:pPr>
              <w:jc w:val="center"/>
              <w:ind w:left="25"/>
              <w:spacing w:after="0"/>
              <w:rPr>
                <w:sz w:val="20"/>
                <w:szCs w:val="20"/>
                <w:color w:val="auto"/>
              </w:rPr>
            </w:pPr>
            <w:r>
              <w:rPr>
                <w:rFonts w:ascii="Arial" w:cs="Arial" w:eastAsia="Arial" w:hAnsi="Arial"/>
                <w:sz w:val="14"/>
                <w:szCs w:val="14"/>
                <w:color w:val="051D49"/>
                <w:w w:val="93"/>
              </w:rPr>
              <w:t>(5)</w:t>
            </w:r>
          </w:p>
        </w:tc>
        <w:tc>
          <w:tcPr>
            <w:tcW w:w="1080" w:type="dxa"/>
            <w:vAlign w:val="bottom"/>
            <w:shd w:val="clear" w:color="auto" w:fill="E5E5E5"/>
          </w:tcPr>
          <w:p>
            <w:pPr>
              <w:jc w:val="center"/>
              <w:spacing w:after="0"/>
              <w:rPr>
                <w:sz w:val="20"/>
                <w:szCs w:val="20"/>
                <w:color w:val="auto"/>
              </w:rPr>
            </w:pPr>
            <w:r>
              <w:rPr>
                <w:rFonts w:ascii="Arial" w:cs="Arial" w:eastAsia="Arial" w:hAnsi="Arial"/>
                <w:sz w:val="14"/>
                <w:szCs w:val="14"/>
                <w:color w:val="051D49"/>
                <w:w w:val="93"/>
              </w:rPr>
              <w:t>(6)</w:t>
            </w:r>
          </w:p>
        </w:tc>
        <w:tc>
          <w:tcPr>
            <w:tcW w:w="920" w:type="dxa"/>
            <w:vAlign w:val="bottom"/>
            <w:shd w:val="clear" w:color="auto" w:fill="E5E5E5"/>
          </w:tcPr>
          <w:p>
            <w:pPr>
              <w:jc w:val="right"/>
              <w:ind w:right="305"/>
              <w:spacing w:after="0"/>
              <w:rPr>
                <w:sz w:val="20"/>
                <w:szCs w:val="20"/>
                <w:color w:val="auto"/>
              </w:rPr>
            </w:pPr>
            <w:r>
              <w:rPr>
                <w:rFonts w:ascii="Arial" w:cs="Arial" w:eastAsia="Arial" w:hAnsi="Arial"/>
                <w:sz w:val="14"/>
                <w:szCs w:val="14"/>
                <w:color w:val="051D49"/>
              </w:rPr>
              <w:t>($)</w:t>
            </w:r>
          </w:p>
        </w:tc>
        <w:tc>
          <w:tcPr>
            <w:tcW w:w="0" w:type="dxa"/>
            <w:vAlign w:val="bottom"/>
          </w:tcPr>
          <w:p>
            <w:pPr>
              <w:spacing w:after="0"/>
              <w:rPr>
                <w:sz w:val="1"/>
                <w:szCs w:val="1"/>
                <w:color w:val="auto"/>
              </w:rPr>
            </w:pPr>
          </w:p>
        </w:tc>
      </w:tr>
      <w:tr>
        <w:trPr>
          <w:trHeight w:val="210"/>
        </w:trPr>
        <w:tc>
          <w:tcPr>
            <w:tcW w:w="3080" w:type="dxa"/>
            <w:vAlign w:val="bottom"/>
          </w:tcPr>
          <w:p>
            <w:pPr>
              <w:ind w:left="60"/>
              <w:spacing w:after="0"/>
              <w:rPr>
                <w:sz w:val="20"/>
                <w:szCs w:val="20"/>
                <w:color w:val="auto"/>
              </w:rPr>
            </w:pPr>
            <w:r>
              <w:rPr>
                <w:rFonts w:ascii="Arial" w:cs="Arial" w:eastAsia="Arial" w:hAnsi="Arial"/>
                <w:sz w:val="15"/>
                <w:szCs w:val="15"/>
                <w:b w:val="1"/>
                <w:bCs w:val="1"/>
                <w:color w:val="auto"/>
              </w:rPr>
              <w:t>Robert M. Bakish(7)</w:t>
            </w:r>
          </w:p>
        </w:tc>
        <w:tc>
          <w:tcPr>
            <w:tcW w:w="560" w:type="dxa"/>
            <w:vAlign w:val="bottom"/>
          </w:tcPr>
          <w:p>
            <w:pPr>
              <w:ind w:left="140"/>
              <w:spacing w:after="0"/>
              <w:rPr>
                <w:sz w:val="20"/>
                <w:szCs w:val="20"/>
                <w:color w:val="auto"/>
              </w:rPr>
            </w:pPr>
            <w:r>
              <w:rPr>
                <w:rFonts w:ascii="Arial" w:cs="Arial" w:eastAsia="Arial" w:hAnsi="Arial"/>
                <w:sz w:val="15"/>
                <w:szCs w:val="15"/>
                <w:color w:val="auto"/>
              </w:rPr>
              <w:t>2021</w:t>
            </w: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3,100,000</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85"/>
              <w:spacing w:after="0"/>
              <w:rPr>
                <w:sz w:val="20"/>
                <w:szCs w:val="20"/>
                <w:color w:val="auto"/>
              </w:rPr>
            </w:pPr>
            <w:r>
              <w:rPr>
                <w:rFonts w:ascii="Arial" w:cs="Arial" w:eastAsia="Arial" w:hAnsi="Arial"/>
                <w:sz w:val="15"/>
                <w:szCs w:val="15"/>
                <w:color w:val="auto"/>
              </w:rPr>
              <w:t>16,828,412</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5"/>
              <w:spacing w:after="0"/>
              <w:rPr>
                <w:sz w:val="20"/>
                <w:szCs w:val="20"/>
                <w:color w:val="auto"/>
              </w:rPr>
            </w:pPr>
            <w:r>
              <w:rPr>
                <w:rFonts w:ascii="Arial" w:cs="Arial" w:eastAsia="Arial" w:hAnsi="Arial"/>
                <w:sz w:val="15"/>
                <w:szCs w:val="15"/>
                <w:color w:val="auto"/>
              </w:rPr>
              <w:t>106,800</w:t>
            </w:r>
          </w:p>
        </w:tc>
        <w:tc>
          <w:tcPr>
            <w:tcW w:w="920" w:type="dxa"/>
            <w:vAlign w:val="bottom"/>
          </w:tcPr>
          <w:p>
            <w:pPr>
              <w:jc w:val="right"/>
              <w:spacing w:after="0"/>
              <w:rPr>
                <w:sz w:val="20"/>
                <w:szCs w:val="20"/>
                <w:color w:val="auto"/>
              </w:rPr>
            </w:pPr>
            <w:r>
              <w:rPr>
                <w:rFonts w:ascii="Arial" w:cs="Arial" w:eastAsia="Arial" w:hAnsi="Arial"/>
                <w:sz w:val="15"/>
                <w:szCs w:val="15"/>
                <w:color w:val="auto"/>
              </w:rPr>
              <w:t>20,035,212</w:t>
            </w:r>
          </w:p>
        </w:tc>
        <w:tc>
          <w:tcPr>
            <w:tcW w:w="0" w:type="dxa"/>
            <w:vAlign w:val="bottom"/>
          </w:tcPr>
          <w:p>
            <w:pPr>
              <w:spacing w:after="0"/>
              <w:rPr>
                <w:sz w:val="1"/>
                <w:szCs w:val="1"/>
                <w:color w:val="auto"/>
              </w:rPr>
            </w:pPr>
          </w:p>
        </w:tc>
      </w:tr>
      <w:tr>
        <w:trPr>
          <w:trHeight w:val="160"/>
        </w:trPr>
        <w:tc>
          <w:tcPr>
            <w:tcW w:w="3080" w:type="dxa"/>
            <w:vAlign w:val="bottom"/>
          </w:tcPr>
          <w:p>
            <w:pPr>
              <w:ind w:left="60"/>
              <w:spacing w:after="0" w:line="161" w:lineRule="exact"/>
              <w:rPr>
                <w:sz w:val="20"/>
                <w:szCs w:val="20"/>
                <w:color w:val="auto"/>
              </w:rPr>
            </w:pPr>
            <w:r>
              <w:rPr>
                <w:rFonts w:ascii="Arial" w:cs="Arial" w:eastAsia="Arial" w:hAnsi="Arial"/>
                <w:sz w:val="15"/>
                <w:szCs w:val="15"/>
                <w:color w:val="auto"/>
              </w:rPr>
              <w:t>President and Chief Executive</w:t>
            </w:r>
          </w:p>
        </w:tc>
        <w:tc>
          <w:tcPr>
            <w:tcW w:w="560" w:type="dxa"/>
            <w:vAlign w:val="bottom"/>
          </w:tcPr>
          <w:p>
            <w:pPr>
              <w:ind w:left="140"/>
              <w:spacing w:after="0" w:line="161" w:lineRule="exact"/>
              <w:rPr>
                <w:sz w:val="20"/>
                <w:szCs w:val="20"/>
                <w:color w:val="auto"/>
              </w:rPr>
            </w:pPr>
            <w:r>
              <w:rPr>
                <w:rFonts w:ascii="Arial" w:cs="Arial" w:eastAsia="Arial" w:hAnsi="Arial"/>
                <w:sz w:val="15"/>
                <w:szCs w:val="15"/>
                <w:color w:val="auto"/>
              </w:rPr>
              <w:t>2020</w:t>
            </w:r>
          </w:p>
        </w:tc>
        <w:tc>
          <w:tcPr>
            <w:tcW w:w="880" w:type="dxa"/>
            <w:vAlign w:val="bottom"/>
          </w:tcPr>
          <w:p>
            <w:pPr>
              <w:jc w:val="right"/>
              <w:ind w:right="25"/>
              <w:spacing w:after="0" w:line="161" w:lineRule="exact"/>
              <w:rPr>
                <w:sz w:val="20"/>
                <w:szCs w:val="20"/>
                <w:color w:val="auto"/>
              </w:rPr>
            </w:pPr>
            <w:r>
              <w:rPr>
                <w:rFonts w:ascii="Arial" w:cs="Arial" w:eastAsia="Arial" w:hAnsi="Arial"/>
                <w:sz w:val="15"/>
                <w:szCs w:val="15"/>
                <w:color w:val="auto"/>
              </w:rPr>
              <w:t>3,106,923</w:t>
            </w:r>
          </w:p>
        </w:tc>
        <w:tc>
          <w:tcPr>
            <w:tcW w:w="860" w:type="dxa"/>
            <w:vAlign w:val="bottom"/>
          </w:tcPr>
          <w:p>
            <w:pPr>
              <w:jc w:val="right"/>
              <w:ind w:right="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spacing w:after="0" w:line="161" w:lineRule="exact"/>
              <w:rPr>
                <w:sz w:val="20"/>
                <w:szCs w:val="20"/>
                <w:color w:val="auto"/>
              </w:rPr>
            </w:pPr>
            <w:r>
              <w:rPr>
                <w:rFonts w:ascii="Arial" w:cs="Arial" w:eastAsia="Arial" w:hAnsi="Arial"/>
                <w:sz w:val="15"/>
                <w:szCs w:val="15"/>
                <w:color w:val="auto"/>
              </w:rPr>
              <w:t>15,999,968</w:t>
            </w:r>
          </w:p>
        </w:tc>
        <w:tc>
          <w:tcPr>
            <w:tcW w:w="1160" w:type="dxa"/>
            <w:vAlign w:val="bottom"/>
          </w:tcPr>
          <w:p>
            <w:pPr>
              <w:jc w:val="right"/>
              <w:ind w:right="85"/>
              <w:spacing w:after="0" w:line="161" w:lineRule="exact"/>
              <w:rPr>
                <w:sz w:val="20"/>
                <w:szCs w:val="20"/>
                <w:color w:val="auto"/>
              </w:rPr>
            </w:pPr>
            <w:r>
              <w:rPr>
                <w:rFonts w:ascii="Arial" w:cs="Arial" w:eastAsia="Arial" w:hAnsi="Arial"/>
                <w:sz w:val="15"/>
                <w:szCs w:val="15"/>
                <w:color w:val="auto"/>
              </w:rPr>
              <w:t>19,693,060</w:t>
            </w:r>
          </w:p>
        </w:tc>
        <w:tc>
          <w:tcPr>
            <w:tcW w:w="1460" w:type="dxa"/>
            <w:vAlign w:val="bottom"/>
          </w:tcPr>
          <w:p>
            <w:pPr>
              <w:jc w:val="right"/>
              <w:ind w:right="5"/>
              <w:spacing w:after="0" w:line="161" w:lineRule="exact"/>
              <w:rPr>
                <w:sz w:val="20"/>
                <w:szCs w:val="20"/>
                <w:color w:val="auto"/>
              </w:rPr>
            </w:pPr>
            <w:r>
              <w:rPr>
                <w:rFonts w:ascii="Arial" w:cs="Arial" w:eastAsia="Arial" w:hAnsi="Arial"/>
                <w:sz w:val="15"/>
                <w:szCs w:val="15"/>
                <w:color w:val="auto"/>
              </w:rPr>
              <w:t>144,644</w:t>
            </w:r>
          </w:p>
        </w:tc>
        <w:tc>
          <w:tcPr>
            <w:tcW w:w="1080" w:type="dxa"/>
            <w:vAlign w:val="bottom"/>
          </w:tcPr>
          <w:p>
            <w:pPr>
              <w:jc w:val="right"/>
              <w:ind w:right="25"/>
              <w:spacing w:after="0" w:line="161" w:lineRule="exact"/>
              <w:rPr>
                <w:sz w:val="20"/>
                <w:szCs w:val="20"/>
                <w:color w:val="auto"/>
              </w:rPr>
            </w:pPr>
            <w:r>
              <w:rPr>
                <w:rFonts w:ascii="Arial" w:cs="Arial" w:eastAsia="Arial" w:hAnsi="Arial"/>
                <w:sz w:val="15"/>
                <w:szCs w:val="15"/>
                <w:color w:val="auto"/>
              </w:rPr>
              <w:t>29,173</w:t>
            </w:r>
          </w:p>
        </w:tc>
        <w:tc>
          <w:tcPr>
            <w:tcW w:w="920" w:type="dxa"/>
            <w:vAlign w:val="bottom"/>
          </w:tcPr>
          <w:p>
            <w:pPr>
              <w:jc w:val="right"/>
              <w:spacing w:after="0" w:line="161" w:lineRule="exact"/>
              <w:rPr>
                <w:sz w:val="20"/>
                <w:szCs w:val="20"/>
                <w:color w:val="auto"/>
              </w:rPr>
            </w:pPr>
            <w:r>
              <w:rPr>
                <w:rFonts w:ascii="Arial" w:cs="Arial" w:eastAsia="Arial" w:hAnsi="Arial"/>
                <w:sz w:val="15"/>
                <w:szCs w:val="15"/>
                <w:color w:val="auto"/>
              </w:rPr>
              <w:t>38,973,768</w:t>
            </w:r>
          </w:p>
        </w:tc>
        <w:tc>
          <w:tcPr>
            <w:tcW w:w="0" w:type="dxa"/>
            <w:vAlign w:val="bottom"/>
          </w:tcPr>
          <w:p>
            <w:pPr>
              <w:spacing w:after="0"/>
              <w:rPr>
                <w:sz w:val="1"/>
                <w:szCs w:val="1"/>
                <w:color w:val="auto"/>
              </w:rPr>
            </w:pPr>
          </w:p>
        </w:tc>
      </w:tr>
      <w:tr>
        <w:trPr>
          <w:trHeight w:val="191"/>
        </w:trPr>
        <w:tc>
          <w:tcPr>
            <w:tcW w:w="308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Officer; Director</w:t>
            </w:r>
          </w:p>
        </w:tc>
        <w:tc>
          <w:tcPr>
            <w:tcW w:w="560" w:type="dxa"/>
            <w:vAlign w:val="bottom"/>
            <w:tcBorders>
              <w:bottom w:val="single" w:sz="8" w:color="051D49"/>
            </w:tcBorders>
          </w:tcPr>
          <w:p>
            <w:pPr>
              <w:ind w:left="140"/>
              <w:spacing w:after="0"/>
              <w:rPr>
                <w:sz w:val="20"/>
                <w:szCs w:val="20"/>
                <w:color w:val="auto"/>
              </w:rPr>
            </w:pPr>
            <w:r>
              <w:rPr>
                <w:rFonts w:ascii="Arial" w:cs="Arial" w:eastAsia="Arial" w:hAnsi="Arial"/>
                <w:sz w:val="15"/>
                <w:szCs w:val="15"/>
                <w:color w:val="auto"/>
              </w:rPr>
              <w:t>2019</w:t>
            </w:r>
          </w:p>
        </w:tc>
        <w:tc>
          <w:tcPr>
            <w:tcW w:w="88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230,769</w:t>
            </w:r>
          </w:p>
        </w:tc>
        <w:tc>
          <w:tcPr>
            <w:tcW w:w="860" w:type="dxa"/>
            <w:vAlign w:val="bottom"/>
            <w:tcBorders>
              <w:bottom w:val="single" w:sz="8" w:color="051D49"/>
            </w:tcBorders>
          </w:tcPr>
          <w:p>
            <w:pPr>
              <w:jc w:val="right"/>
              <w:ind w:right="5"/>
              <w:spacing w:after="0"/>
              <w:rPr>
                <w:sz w:val="20"/>
                <w:szCs w:val="20"/>
                <w:color w:val="auto"/>
              </w:rPr>
            </w:pPr>
            <w:r>
              <w:rPr>
                <w:rFonts w:ascii="Arial" w:cs="Arial" w:eastAsia="Arial" w:hAnsi="Arial"/>
                <w:sz w:val="15"/>
                <w:szCs w:val="15"/>
                <w:color w:val="auto"/>
              </w:rPr>
              <w:t>3,123,664</w:t>
            </w:r>
          </w:p>
        </w:tc>
        <w:tc>
          <w:tcPr>
            <w:tcW w:w="9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4,999,997</w:t>
            </w:r>
          </w:p>
        </w:tc>
        <w:tc>
          <w:tcPr>
            <w:tcW w:w="1160" w:type="dxa"/>
            <w:vAlign w:val="bottom"/>
            <w:tcBorders>
              <w:bottom w:val="single" w:sz="8" w:color="051D49"/>
            </w:tcBorders>
          </w:tcPr>
          <w:p>
            <w:pPr>
              <w:jc w:val="right"/>
              <w:ind w:right="8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051D49"/>
            </w:tcBorders>
          </w:tcPr>
          <w:p>
            <w:pPr>
              <w:jc w:val="right"/>
              <w:ind w:right="5"/>
              <w:spacing w:after="0"/>
              <w:rPr>
                <w:sz w:val="20"/>
                <w:szCs w:val="20"/>
                <w:color w:val="auto"/>
              </w:rPr>
            </w:pPr>
            <w:r>
              <w:rPr>
                <w:rFonts w:ascii="Arial" w:cs="Arial" w:eastAsia="Arial" w:hAnsi="Arial"/>
                <w:sz w:val="15"/>
                <w:szCs w:val="15"/>
                <w:color w:val="auto"/>
              </w:rPr>
              <w:t>4,399</w:t>
            </w:r>
          </w:p>
        </w:tc>
        <w:tc>
          <w:tcPr>
            <w:tcW w:w="108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6,556</w:t>
            </w:r>
          </w:p>
        </w:tc>
        <w:tc>
          <w:tcPr>
            <w:tcW w:w="9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8,365,385</w:t>
            </w:r>
          </w:p>
        </w:tc>
        <w:tc>
          <w:tcPr>
            <w:tcW w:w="0" w:type="dxa"/>
            <w:vAlign w:val="bottom"/>
          </w:tcPr>
          <w:p>
            <w:pPr>
              <w:spacing w:after="0"/>
              <w:rPr>
                <w:sz w:val="1"/>
                <w:szCs w:val="1"/>
                <w:color w:val="auto"/>
              </w:rPr>
            </w:pPr>
          </w:p>
        </w:tc>
      </w:tr>
      <w:tr>
        <w:trPr>
          <w:trHeight w:val="190"/>
        </w:trPr>
        <w:tc>
          <w:tcPr>
            <w:tcW w:w="3080" w:type="dxa"/>
            <w:vAlign w:val="bottom"/>
          </w:tcPr>
          <w:p>
            <w:pPr>
              <w:ind w:left="60"/>
              <w:spacing w:after="0"/>
              <w:rPr>
                <w:sz w:val="20"/>
                <w:szCs w:val="20"/>
                <w:color w:val="auto"/>
              </w:rPr>
            </w:pPr>
            <w:r>
              <w:rPr>
                <w:rFonts w:ascii="Arial" w:cs="Arial" w:eastAsia="Arial" w:hAnsi="Arial"/>
                <w:sz w:val="15"/>
                <w:szCs w:val="15"/>
                <w:b w:val="1"/>
                <w:bCs w:val="1"/>
                <w:color w:val="auto"/>
              </w:rPr>
              <w:t>Naveen Chopra(8)</w:t>
            </w:r>
          </w:p>
        </w:tc>
        <w:tc>
          <w:tcPr>
            <w:tcW w:w="560" w:type="dxa"/>
            <w:vAlign w:val="bottom"/>
          </w:tcPr>
          <w:p>
            <w:pPr>
              <w:ind w:left="140"/>
              <w:spacing w:after="0"/>
              <w:rPr>
                <w:sz w:val="20"/>
                <w:szCs w:val="20"/>
                <w:color w:val="auto"/>
              </w:rPr>
            </w:pPr>
            <w:r>
              <w:rPr>
                <w:rFonts w:ascii="Arial" w:cs="Arial" w:eastAsia="Arial" w:hAnsi="Arial"/>
                <w:sz w:val="15"/>
                <w:szCs w:val="15"/>
                <w:color w:val="auto"/>
              </w:rPr>
              <w:t>2021</w:t>
            </w: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1,400,000</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85"/>
              <w:spacing w:after="0"/>
              <w:rPr>
                <w:sz w:val="20"/>
                <w:szCs w:val="20"/>
                <w:color w:val="auto"/>
              </w:rPr>
            </w:pPr>
            <w:r>
              <w:rPr>
                <w:rFonts w:ascii="Arial" w:cs="Arial" w:eastAsia="Arial" w:hAnsi="Arial"/>
                <w:sz w:val="15"/>
                <w:szCs w:val="15"/>
                <w:color w:val="auto"/>
              </w:rPr>
              <w:t>2,648,205</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5"/>
              <w:spacing w:after="0"/>
              <w:rPr>
                <w:sz w:val="20"/>
                <w:szCs w:val="20"/>
                <w:color w:val="auto"/>
              </w:rPr>
            </w:pPr>
            <w:r>
              <w:rPr>
                <w:rFonts w:ascii="Arial" w:cs="Arial" w:eastAsia="Arial" w:hAnsi="Arial"/>
                <w:sz w:val="15"/>
                <w:szCs w:val="15"/>
                <w:color w:val="auto"/>
              </w:rPr>
              <w:t>20,757</w:t>
            </w:r>
          </w:p>
        </w:tc>
        <w:tc>
          <w:tcPr>
            <w:tcW w:w="920" w:type="dxa"/>
            <w:vAlign w:val="bottom"/>
          </w:tcPr>
          <w:p>
            <w:pPr>
              <w:jc w:val="right"/>
              <w:spacing w:after="0"/>
              <w:rPr>
                <w:sz w:val="20"/>
                <w:szCs w:val="20"/>
                <w:color w:val="auto"/>
              </w:rPr>
            </w:pPr>
            <w:r>
              <w:rPr>
                <w:rFonts w:ascii="Arial" w:cs="Arial" w:eastAsia="Arial" w:hAnsi="Arial"/>
                <w:sz w:val="15"/>
                <w:szCs w:val="15"/>
                <w:color w:val="auto"/>
              </w:rPr>
              <w:t>4,068,962</w:t>
            </w:r>
          </w:p>
        </w:tc>
        <w:tc>
          <w:tcPr>
            <w:tcW w:w="0" w:type="dxa"/>
            <w:vAlign w:val="bottom"/>
          </w:tcPr>
          <w:p>
            <w:pPr>
              <w:spacing w:after="0"/>
              <w:rPr>
                <w:sz w:val="1"/>
                <w:szCs w:val="1"/>
                <w:color w:val="auto"/>
              </w:rPr>
            </w:pPr>
          </w:p>
        </w:tc>
      </w:tr>
      <w:tr>
        <w:trPr>
          <w:trHeight w:val="191"/>
        </w:trPr>
        <w:tc>
          <w:tcPr>
            <w:tcW w:w="308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EVP, Chief Financial Officer</w:t>
            </w:r>
          </w:p>
        </w:tc>
        <w:tc>
          <w:tcPr>
            <w:tcW w:w="560" w:type="dxa"/>
            <w:vAlign w:val="bottom"/>
            <w:tcBorders>
              <w:bottom w:val="single" w:sz="8" w:color="051D49"/>
            </w:tcBorders>
          </w:tcPr>
          <w:p>
            <w:pPr>
              <w:ind w:left="140"/>
              <w:spacing w:after="0"/>
              <w:rPr>
                <w:sz w:val="20"/>
                <w:szCs w:val="20"/>
                <w:color w:val="auto"/>
              </w:rPr>
            </w:pPr>
            <w:r>
              <w:rPr>
                <w:rFonts w:ascii="Arial" w:cs="Arial" w:eastAsia="Arial" w:hAnsi="Arial"/>
                <w:sz w:val="15"/>
                <w:szCs w:val="15"/>
                <w:color w:val="auto"/>
              </w:rPr>
              <w:t>2020</w:t>
            </w:r>
          </w:p>
        </w:tc>
        <w:tc>
          <w:tcPr>
            <w:tcW w:w="88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538,462</w:t>
            </w:r>
          </w:p>
        </w:tc>
        <w:tc>
          <w:tcPr>
            <w:tcW w:w="860" w:type="dxa"/>
            <w:vAlign w:val="bottom"/>
            <w:tcBorders>
              <w:bottom w:val="single" w:sz="8" w:color="051D49"/>
            </w:tcBorders>
          </w:tcPr>
          <w:p>
            <w:pPr>
              <w:jc w:val="right"/>
              <w:ind w:right="5"/>
              <w:spacing w:after="0"/>
              <w:rPr>
                <w:sz w:val="20"/>
                <w:szCs w:val="20"/>
                <w:color w:val="auto"/>
              </w:rPr>
            </w:pPr>
            <w:r>
              <w:rPr>
                <w:rFonts w:ascii="Arial" w:cs="Arial" w:eastAsia="Arial" w:hAnsi="Arial"/>
                <w:sz w:val="15"/>
                <w:szCs w:val="15"/>
                <w:color w:val="auto"/>
              </w:rPr>
              <w:t>2,000,000</w:t>
            </w:r>
          </w:p>
        </w:tc>
        <w:tc>
          <w:tcPr>
            <w:tcW w:w="9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7,499,975</w:t>
            </w:r>
          </w:p>
        </w:tc>
        <w:tc>
          <w:tcPr>
            <w:tcW w:w="1160" w:type="dxa"/>
            <w:vAlign w:val="bottom"/>
            <w:tcBorders>
              <w:bottom w:val="single" w:sz="8" w:color="051D49"/>
            </w:tcBorders>
          </w:tcPr>
          <w:p>
            <w:pPr>
              <w:jc w:val="right"/>
              <w:ind w:right="85"/>
              <w:spacing w:after="0"/>
              <w:rPr>
                <w:sz w:val="20"/>
                <w:szCs w:val="20"/>
                <w:color w:val="auto"/>
              </w:rPr>
            </w:pPr>
            <w:r>
              <w:rPr>
                <w:rFonts w:ascii="Arial" w:cs="Arial" w:eastAsia="Arial" w:hAnsi="Arial"/>
                <w:sz w:val="15"/>
                <w:szCs w:val="15"/>
                <w:color w:val="auto"/>
              </w:rPr>
              <w:t>1,208,375</w:t>
            </w:r>
          </w:p>
        </w:tc>
        <w:tc>
          <w:tcPr>
            <w:tcW w:w="1460" w:type="dxa"/>
            <w:vAlign w:val="bottom"/>
            <w:tcBorders>
              <w:bottom w:val="single" w:sz="8" w:color="051D49"/>
            </w:tcBorders>
          </w:tcPr>
          <w:p>
            <w:pPr>
              <w:jc w:val="right"/>
              <w:ind w:right="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6,617</w:t>
            </w:r>
          </w:p>
        </w:tc>
        <w:tc>
          <w:tcPr>
            <w:tcW w:w="9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11,253,429</w:t>
            </w:r>
          </w:p>
        </w:tc>
        <w:tc>
          <w:tcPr>
            <w:tcW w:w="0" w:type="dxa"/>
            <w:vAlign w:val="bottom"/>
          </w:tcPr>
          <w:p>
            <w:pPr>
              <w:spacing w:after="0"/>
              <w:rPr>
                <w:sz w:val="1"/>
                <w:szCs w:val="1"/>
                <w:color w:val="auto"/>
              </w:rPr>
            </w:pPr>
          </w:p>
        </w:tc>
      </w:tr>
      <w:tr>
        <w:trPr>
          <w:trHeight w:val="190"/>
        </w:trPr>
        <w:tc>
          <w:tcPr>
            <w:tcW w:w="3080" w:type="dxa"/>
            <w:vAlign w:val="bottom"/>
          </w:tcPr>
          <w:p>
            <w:pPr>
              <w:ind w:left="60"/>
              <w:spacing w:after="0"/>
              <w:rPr>
                <w:sz w:val="20"/>
                <w:szCs w:val="20"/>
                <w:color w:val="auto"/>
              </w:rPr>
            </w:pPr>
            <w:r>
              <w:rPr>
                <w:rFonts w:ascii="Arial" w:cs="Arial" w:eastAsia="Arial" w:hAnsi="Arial"/>
                <w:sz w:val="15"/>
                <w:szCs w:val="15"/>
                <w:b w:val="1"/>
                <w:bCs w:val="1"/>
                <w:color w:val="auto"/>
              </w:rPr>
              <w:t>Christa A. D’Alimonte(9)</w:t>
            </w:r>
          </w:p>
        </w:tc>
        <w:tc>
          <w:tcPr>
            <w:tcW w:w="560" w:type="dxa"/>
            <w:vAlign w:val="bottom"/>
          </w:tcPr>
          <w:p>
            <w:pPr>
              <w:ind w:left="140"/>
              <w:spacing w:after="0"/>
              <w:rPr>
                <w:sz w:val="20"/>
                <w:szCs w:val="20"/>
                <w:color w:val="auto"/>
              </w:rPr>
            </w:pPr>
            <w:r>
              <w:rPr>
                <w:rFonts w:ascii="Arial" w:cs="Arial" w:eastAsia="Arial" w:hAnsi="Arial"/>
                <w:sz w:val="15"/>
                <w:szCs w:val="15"/>
                <w:color w:val="auto"/>
              </w:rPr>
              <w:t>2021</w:t>
            </w: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1,250,000</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85"/>
              <w:spacing w:after="0"/>
              <w:rPr>
                <w:sz w:val="20"/>
                <w:szCs w:val="20"/>
                <w:color w:val="auto"/>
              </w:rPr>
            </w:pPr>
            <w:r>
              <w:rPr>
                <w:rFonts w:ascii="Arial" w:cs="Arial" w:eastAsia="Arial" w:hAnsi="Arial"/>
                <w:sz w:val="15"/>
                <w:szCs w:val="15"/>
                <w:color w:val="auto"/>
              </w:rPr>
              <w:t>1,970,391</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5"/>
              <w:spacing w:after="0"/>
              <w:rPr>
                <w:sz w:val="20"/>
                <w:szCs w:val="20"/>
                <w:color w:val="auto"/>
              </w:rPr>
            </w:pPr>
            <w:r>
              <w:rPr>
                <w:rFonts w:ascii="Arial" w:cs="Arial" w:eastAsia="Arial" w:hAnsi="Arial"/>
                <w:sz w:val="15"/>
                <w:szCs w:val="15"/>
                <w:color w:val="auto"/>
              </w:rPr>
              <w:t>25,007</w:t>
            </w:r>
          </w:p>
        </w:tc>
        <w:tc>
          <w:tcPr>
            <w:tcW w:w="920" w:type="dxa"/>
            <w:vAlign w:val="bottom"/>
          </w:tcPr>
          <w:p>
            <w:pPr>
              <w:jc w:val="right"/>
              <w:spacing w:after="0"/>
              <w:rPr>
                <w:sz w:val="20"/>
                <w:szCs w:val="20"/>
                <w:color w:val="auto"/>
              </w:rPr>
            </w:pPr>
            <w:r>
              <w:rPr>
                <w:rFonts w:ascii="Arial" w:cs="Arial" w:eastAsia="Arial" w:hAnsi="Arial"/>
                <w:sz w:val="15"/>
                <w:szCs w:val="15"/>
                <w:color w:val="auto"/>
              </w:rPr>
              <w:t>3,245,398</w:t>
            </w:r>
          </w:p>
        </w:tc>
        <w:tc>
          <w:tcPr>
            <w:tcW w:w="0" w:type="dxa"/>
            <w:vAlign w:val="bottom"/>
          </w:tcPr>
          <w:p>
            <w:pPr>
              <w:spacing w:after="0"/>
              <w:rPr>
                <w:sz w:val="1"/>
                <w:szCs w:val="1"/>
                <w:color w:val="auto"/>
              </w:rPr>
            </w:pPr>
          </w:p>
        </w:tc>
      </w:tr>
      <w:tr>
        <w:trPr>
          <w:trHeight w:val="160"/>
        </w:trPr>
        <w:tc>
          <w:tcPr>
            <w:tcW w:w="3080" w:type="dxa"/>
            <w:vAlign w:val="bottom"/>
          </w:tcPr>
          <w:p>
            <w:pPr>
              <w:ind w:left="60"/>
              <w:spacing w:after="0" w:line="161" w:lineRule="exact"/>
              <w:rPr>
                <w:sz w:val="20"/>
                <w:szCs w:val="20"/>
                <w:color w:val="auto"/>
              </w:rPr>
            </w:pPr>
            <w:r>
              <w:rPr>
                <w:rFonts w:ascii="Arial" w:cs="Arial" w:eastAsia="Arial" w:hAnsi="Arial"/>
                <w:sz w:val="15"/>
                <w:szCs w:val="15"/>
                <w:color w:val="auto"/>
              </w:rPr>
              <w:t>EVP, General Counsel and</w:t>
            </w:r>
          </w:p>
        </w:tc>
        <w:tc>
          <w:tcPr>
            <w:tcW w:w="560" w:type="dxa"/>
            <w:vAlign w:val="bottom"/>
          </w:tcPr>
          <w:p>
            <w:pPr>
              <w:ind w:left="140"/>
              <w:spacing w:after="0" w:line="161" w:lineRule="exact"/>
              <w:rPr>
                <w:sz w:val="20"/>
                <w:szCs w:val="20"/>
                <w:color w:val="auto"/>
              </w:rPr>
            </w:pPr>
            <w:r>
              <w:rPr>
                <w:rFonts w:ascii="Arial" w:cs="Arial" w:eastAsia="Arial" w:hAnsi="Arial"/>
                <w:sz w:val="15"/>
                <w:szCs w:val="15"/>
                <w:color w:val="auto"/>
              </w:rPr>
              <w:t>2020</w:t>
            </w:r>
          </w:p>
        </w:tc>
        <w:tc>
          <w:tcPr>
            <w:tcW w:w="88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1,260,952</w:t>
            </w:r>
          </w:p>
        </w:tc>
        <w:tc>
          <w:tcPr>
            <w:tcW w:w="860" w:type="dxa"/>
            <w:vAlign w:val="bottom"/>
          </w:tcPr>
          <w:p>
            <w:pPr>
              <w:jc w:val="right"/>
              <w:ind w:right="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spacing w:after="0" w:line="161" w:lineRule="exact"/>
              <w:rPr>
                <w:sz w:val="20"/>
                <w:szCs w:val="20"/>
                <w:color w:val="auto"/>
              </w:rPr>
            </w:pPr>
            <w:r>
              <w:rPr>
                <w:rFonts w:ascii="Arial" w:cs="Arial" w:eastAsia="Arial" w:hAnsi="Arial"/>
                <w:sz w:val="15"/>
                <w:szCs w:val="15"/>
                <w:color w:val="auto"/>
              </w:rPr>
              <w:t>2,187,451</w:t>
            </w:r>
          </w:p>
        </w:tc>
        <w:tc>
          <w:tcPr>
            <w:tcW w:w="1160" w:type="dxa"/>
            <w:vAlign w:val="bottom"/>
          </w:tcPr>
          <w:p>
            <w:pPr>
              <w:jc w:val="right"/>
              <w:ind w:right="85"/>
              <w:spacing w:after="0" w:line="161" w:lineRule="exact"/>
              <w:rPr>
                <w:sz w:val="20"/>
                <w:szCs w:val="20"/>
                <w:color w:val="auto"/>
              </w:rPr>
            </w:pPr>
            <w:r>
              <w:rPr>
                <w:rFonts w:ascii="Arial" w:cs="Arial" w:eastAsia="Arial" w:hAnsi="Arial"/>
                <w:sz w:val="15"/>
                <w:szCs w:val="15"/>
                <w:color w:val="auto"/>
              </w:rPr>
              <w:t>2,481,484</w:t>
            </w:r>
          </w:p>
        </w:tc>
        <w:tc>
          <w:tcPr>
            <w:tcW w:w="1460" w:type="dxa"/>
            <w:vAlign w:val="bottom"/>
          </w:tcPr>
          <w:p>
            <w:pPr>
              <w:jc w:val="right"/>
              <w:ind w:right="5"/>
              <w:spacing w:after="0" w:line="161"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25"/>
              <w:spacing w:after="0" w:line="161" w:lineRule="exact"/>
              <w:rPr>
                <w:sz w:val="20"/>
                <w:szCs w:val="20"/>
                <w:color w:val="auto"/>
              </w:rPr>
            </w:pPr>
            <w:r>
              <w:rPr>
                <w:rFonts w:ascii="Arial" w:cs="Arial" w:eastAsia="Arial" w:hAnsi="Arial"/>
                <w:sz w:val="15"/>
                <w:szCs w:val="15"/>
                <w:color w:val="auto"/>
              </w:rPr>
              <w:t>23,717</w:t>
            </w:r>
          </w:p>
        </w:tc>
        <w:tc>
          <w:tcPr>
            <w:tcW w:w="920" w:type="dxa"/>
            <w:vAlign w:val="bottom"/>
          </w:tcPr>
          <w:p>
            <w:pPr>
              <w:jc w:val="right"/>
              <w:spacing w:after="0" w:line="161" w:lineRule="exact"/>
              <w:rPr>
                <w:sz w:val="20"/>
                <w:szCs w:val="20"/>
                <w:color w:val="auto"/>
              </w:rPr>
            </w:pPr>
            <w:r>
              <w:rPr>
                <w:rFonts w:ascii="Arial" w:cs="Arial" w:eastAsia="Arial" w:hAnsi="Arial"/>
                <w:sz w:val="15"/>
                <w:szCs w:val="15"/>
                <w:color w:val="auto"/>
              </w:rPr>
              <w:t>5,953,604</w:t>
            </w:r>
          </w:p>
        </w:tc>
        <w:tc>
          <w:tcPr>
            <w:tcW w:w="0" w:type="dxa"/>
            <w:vAlign w:val="bottom"/>
          </w:tcPr>
          <w:p>
            <w:pPr>
              <w:spacing w:after="0"/>
              <w:rPr>
                <w:sz w:val="1"/>
                <w:szCs w:val="1"/>
                <w:color w:val="auto"/>
              </w:rPr>
            </w:pPr>
          </w:p>
        </w:tc>
      </w:tr>
      <w:tr>
        <w:trPr>
          <w:trHeight w:val="191"/>
        </w:trPr>
        <w:tc>
          <w:tcPr>
            <w:tcW w:w="308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Secretary</w:t>
            </w:r>
          </w:p>
        </w:tc>
        <w:tc>
          <w:tcPr>
            <w:tcW w:w="560" w:type="dxa"/>
            <w:vAlign w:val="bottom"/>
            <w:tcBorders>
              <w:bottom w:val="single" w:sz="8" w:color="051D49"/>
            </w:tcBorders>
          </w:tcPr>
          <w:p>
            <w:pPr>
              <w:ind w:left="140"/>
              <w:spacing w:after="0"/>
              <w:rPr>
                <w:sz w:val="20"/>
                <w:szCs w:val="20"/>
                <w:color w:val="auto"/>
              </w:rPr>
            </w:pPr>
            <w:r>
              <w:rPr>
                <w:rFonts w:ascii="Arial" w:cs="Arial" w:eastAsia="Arial" w:hAnsi="Arial"/>
                <w:sz w:val="15"/>
                <w:szCs w:val="15"/>
                <w:color w:val="auto"/>
              </w:rPr>
              <w:t>2019</w:t>
            </w:r>
          </w:p>
        </w:tc>
        <w:tc>
          <w:tcPr>
            <w:tcW w:w="88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83,985</w:t>
            </w:r>
          </w:p>
        </w:tc>
        <w:tc>
          <w:tcPr>
            <w:tcW w:w="860" w:type="dxa"/>
            <w:vAlign w:val="bottom"/>
            <w:tcBorders>
              <w:bottom w:val="single" w:sz="8" w:color="051D49"/>
            </w:tcBorders>
          </w:tcPr>
          <w:p>
            <w:pPr>
              <w:jc w:val="right"/>
              <w:ind w:right="5"/>
              <w:spacing w:after="0"/>
              <w:rPr>
                <w:sz w:val="20"/>
                <w:szCs w:val="20"/>
                <w:color w:val="auto"/>
              </w:rPr>
            </w:pPr>
            <w:r>
              <w:rPr>
                <w:rFonts w:ascii="Arial" w:cs="Arial" w:eastAsia="Arial" w:hAnsi="Arial"/>
                <w:sz w:val="15"/>
                <w:szCs w:val="15"/>
                <w:color w:val="auto"/>
              </w:rPr>
              <w:t>393,607</w:t>
            </w:r>
          </w:p>
        </w:tc>
        <w:tc>
          <w:tcPr>
            <w:tcW w:w="9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51D49"/>
            </w:tcBorders>
          </w:tcPr>
          <w:p>
            <w:pPr>
              <w:jc w:val="right"/>
              <w:ind w:right="8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051D49"/>
            </w:tcBorders>
          </w:tcPr>
          <w:p>
            <w:pPr>
              <w:jc w:val="right"/>
              <w:ind w:right="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5,505</w:t>
            </w:r>
          </w:p>
        </w:tc>
        <w:tc>
          <w:tcPr>
            <w:tcW w:w="9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483,097</w:t>
            </w:r>
          </w:p>
        </w:tc>
        <w:tc>
          <w:tcPr>
            <w:tcW w:w="0" w:type="dxa"/>
            <w:vAlign w:val="bottom"/>
          </w:tcPr>
          <w:p>
            <w:pPr>
              <w:spacing w:after="0"/>
              <w:rPr>
                <w:sz w:val="1"/>
                <w:szCs w:val="1"/>
                <w:color w:val="auto"/>
              </w:rPr>
            </w:pPr>
          </w:p>
        </w:tc>
      </w:tr>
      <w:tr>
        <w:trPr>
          <w:trHeight w:val="190"/>
        </w:trPr>
        <w:tc>
          <w:tcPr>
            <w:tcW w:w="3080" w:type="dxa"/>
            <w:vAlign w:val="bottom"/>
          </w:tcPr>
          <w:p>
            <w:pPr>
              <w:ind w:left="60"/>
              <w:spacing w:after="0"/>
              <w:rPr>
                <w:sz w:val="20"/>
                <w:szCs w:val="20"/>
                <w:color w:val="auto"/>
              </w:rPr>
            </w:pPr>
            <w:r>
              <w:rPr>
                <w:rFonts w:ascii="Arial" w:cs="Arial" w:eastAsia="Arial" w:hAnsi="Arial"/>
                <w:sz w:val="15"/>
                <w:szCs w:val="15"/>
                <w:b w:val="1"/>
                <w:bCs w:val="1"/>
                <w:color w:val="auto"/>
              </w:rPr>
              <w:t>Doretha F. Lea(10)</w:t>
            </w:r>
          </w:p>
        </w:tc>
        <w:tc>
          <w:tcPr>
            <w:tcW w:w="560" w:type="dxa"/>
            <w:vAlign w:val="bottom"/>
            <w:vMerge w:val="restart"/>
          </w:tcPr>
          <w:p>
            <w:pPr>
              <w:ind w:left="140"/>
              <w:spacing w:after="0"/>
              <w:rPr>
                <w:sz w:val="20"/>
                <w:szCs w:val="20"/>
                <w:color w:val="auto"/>
              </w:rPr>
            </w:pPr>
            <w:r>
              <w:rPr>
                <w:rFonts w:ascii="Arial" w:cs="Arial" w:eastAsia="Arial" w:hAnsi="Arial"/>
                <w:sz w:val="15"/>
                <w:szCs w:val="15"/>
                <w:color w:val="auto"/>
              </w:rPr>
              <w:t>2021</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auto"/>
              </w:rPr>
              <w:t>911,550</w:t>
            </w: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160" w:type="dxa"/>
            <w:vAlign w:val="bottom"/>
            <w:vMerge w:val="restart"/>
          </w:tcPr>
          <w:p>
            <w:pPr>
              <w:jc w:val="right"/>
              <w:ind w:right="85"/>
              <w:spacing w:after="0"/>
              <w:rPr>
                <w:sz w:val="20"/>
                <w:szCs w:val="20"/>
                <w:color w:val="auto"/>
              </w:rPr>
            </w:pPr>
            <w:r>
              <w:rPr>
                <w:rFonts w:ascii="Arial" w:cs="Arial" w:eastAsia="Arial" w:hAnsi="Arial"/>
                <w:sz w:val="15"/>
                <w:szCs w:val="15"/>
                <w:color w:val="auto"/>
              </w:rPr>
              <w:t>1,149,510</w:t>
            </w:r>
          </w:p>
        </w:tc>
        <w:tc>
          <w:tcPr>
            <w:tcW w:w="1460" w:type="dxa"/>
            <w:vAlign w:val="bottom"/>
            <w:vMerge w:val="restart"/>
          </w:tcPr>
          <w:p>
            <w:pPr>
              <w:jc w:val="right"/>
              <w:ind w:right="5"/>
              <w:spacing w:after="0"/>
              <w:rPr>
                <w:sz w:val="20"/>
                <w:szCs w:val="20"/>
                <w:color w:val="auto"/>
              </w:rPr>
            </w:pPr>
            <w:r>
              <w:rPr>
                <w:rFonts w:ascii="Arial" w:cs="Arial" w:eastAsia="Arial" w:hAnsi="Arial"/>
                <w:sz w:val="15"/>
                <w:szCs w:val="15"/>
                <w:color w:val="auto"/>
              </w:rPr>
              <w:t>2,049</w:t>
            </w:r>
          </w:p>
        </w:tc>
        <w:tc>
          <w:tcPr>
            <w:tcW w:w="1080" w:type="dxa"/>
            <w:vAlign w:val="bottom"/>
            <w:vMerge w:val="restart"/>
          </w:tcPr>
          <w:p>
            <w:pPr>
              <w:jc w:val="right"/>
              <w:ind w:right="25"/>
              <w:spacing w:after="0"/>
              <w:rPr>
                <w:sz w:val="20"/>
                <w:szCs w:val="20"/>
                <w:color w:val="auto"/>
              </w:rPr>
            </w:pPr>
            <w:r>
              <w:rPr>
                <w:rFonts w:ascii="Arial" w:cs="Arial" w:eastAsia="Arial" w:hAnsi="Arial"/>
                <w:sz w:val="15"/>
                <w:szCs w:val="15"/>
                <w:color w:val="auto"/>
              </w:rPr>
              <w:t>25,722</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2,088,831</w:t>
            </w:r>
          </w:p>
        </w:tc>
        <w:tc>
          <w:tcPr>
            <w:tcW w:w="0" w:type="dxa"/>
            <w:vAlign w:val="bottom"/>
          </w:tcPr>
          <w:p>
            <w:pPr>
              <w:spacing w:after="0"/>
              <w:rPr>
                <w:sz w:val="1"/>
                <w:szCs w:val="1"/>
                <w:color w:val="auto"/>
              </w:rPr>
            </w:pPr>
          </w:p>
        </w:tc>
      </w:tr>
      <w:tr>
        <w:trPr>
          <w:trHeight w:val="119"/>
        </w:trPr>
        <w:tc>
          <w:tcPr>
            <w:tcW w:w="3080" w:type="dxa"/>
            <w:vAlign w:val="bottom"/>
            <w:vMerge w:val="restart"/>
          </w:tcPr>
          <w:p>
            <w:pPr>
              <w:ind w:left="60"/>
              <w:spacing w:after="0" w:line="161" w:lineRule="exact"/>
              <w:rPr>
                <w:sz w:val="20"/>
                <w:szCs w:val="20"/>
                <w:color w:val="auto"/>
              </w:rPr>
            </w:pPr>
            <w:r>
              <w:rPr>
                <w:rFonts w:ascii="Arial" w:cs="Arial" w:eastAsia="Arial" w:hAnsi="Arial"/>
                <w:sz w:val="15"/>
                <w:szCs w:val="15"/>
                <w:color w:val="auto"/>
              </w:rPr>
              <w:t>EVP, Global Public Policy and</w:t>
            </w:r>
          </w:p>
        </w:tc>
        <w:tc>
          <w:tcPr>
            <w:tcW w:w="5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0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308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Government Relations</w:t>
            </w:r>
          </w:p>
        </w:tc>
        <w:tc>
          <w:tcPr>
            <w:tcW w:w="560" w:type="dxa"/>
            <w:vAlign w:val="bottom"/>
            <w:tcBorders>
              <w:bottom w:val="single" w:sz="8" w:color="051D49"/>
            </w:tcBorders>
          </w:tcPr>
          <w:p>
            <w:pPr>
              <w:ind w:left="140"/>
              <w:spacing w:after="0"/>
              <w:rPr>
                <w:sz w:val="20"/>
                <w:szCs w:val="20"/>
                <w:color w:val="auto"/>
              </w:rPr>
            </w:pPr>
            <w:r>
              <w:rPr>
                <w:rFonts w:ascii="Arial" w:cs="Arial" w:eastAsia="Arial" w:hAnsi="Arial"/>
                <w:sz w:val="15"/>
                <w:szCs w:val="15"/>
                <w:color w:val="auto"/>
              </w:rPr>
              <w:t>2020</w:t>
            </w:r>
          </w:p>
        </w:tc>
        <w:tc>
          <w:tcPr>
            <w:tcW w:w="88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911,550</w:t>
            </w:r>
          </w:p>
        </w:tc>
        <w:tc>
          <w:tcPr>
            <w:tcW w:w="860" w:type="dxa"/>
            <w:vAlign w:val="bottom"/>
            <w:tcBorders>
              <w:bottom w:val="single" w:sz="8" w:color="051D49"/>
            </w:tcBorders>
          </w:tcPr>
          <w:p>
            <w:pPr>
              <w:jc w:val="right"/>
              <w:ind w:right="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749,967</w:t>
            </w:r>
          </w:p>
        </w:tc>
        <w:tc>
          <w:tcPr>
            <w:tcW w:w="1160" w:type="dxa"/>
            <w:vAlign w:val="bottom"/>
            <w:tcBorders>
              <w:bottom w:val="single" w:sz="8" w:color="051D49"/>
            </w:tcBorders>
          </w:tcPr>
          <w:p>
            <w:pPr>
              <w:jc w:val="right"/>
              <w:ind w:right="85"/>
              <w:spacing w:after="0"/>
              <w:rPr>
                <w:sz w:val="20"/>
                <w:szCs w:val="20"/>
                <w:color w:val="auto"/>
              </w:rPr>
            </w:pPr>
            <w:r>
              <w:rPr>
                <w:rFonts w:ascii="Arial" w:cs="Arial" w:eastAsia="Arial" w:hAnsi="Arial"/>
                <w:sz w:val="15"/>
                <w:szCs w:val="15"/>
                <w:color w:val="auto"/>
              </w:rPr>
              <w:t>1,384,736</w:t>
            </w:r>
          </w:p>
        </w:tc>
        <w:tc>
          <w:tcPr>
            <w:tcW w:w="1460" w:type="dxa"/>
            <w:vAlign w:val="bottom"/>
            <w:tcBorders>
              <w:bottom w:val="single" w:sz="8" w:color="051D49"/>
            </w:tcBorders>
          </w:tcPr>
          <w:p>
            <w:pPr>
              <w:jc w:val="right"/>
              <w:ind w:right="5"/>
              <w:spacing w:after="0"/>
              <w:rPr>
                <w:sz w:val="20"/>
                <w:szCs w:val="20"/>
                <w:color w:val="auto"/>
              </w:rPr>
            </w:pPr>
            <w:r>
              <w:rPr>
                <w:rFonts w:ascii="Arial" w:cs="Arial" w:eastAsia="Arial" w:hAnsi="Arial"/>
                <w:sz w:val="15"/>
                <w:szCs w:val="15"/>
                <w:color w:val="auto"/>
              </w:rPr>
              <w:t>116,521</w:t>
            </w:r>
          </w:p>
        </w:tc>
        <w:tc>
          <w:tcPr>
            <w:tcW w:w="108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23,252</w:t>
            </w:r>
          </w:p>
        </w:tc>
        <w:tc>
          <w:tcPr>
            <w:tcW w:w="9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3,186,026</w:t>
            </w:r>
          </w:p>
        </w:tc>
        <w:tc>
          <w:tcPr>
            <w:tcW w:w="0" w:type="dxa"/>
            <w:vAlign w:val="bottom"/>
          </w:tcPr>
          <w:p>
            <w:pPr>
              <w:spacing w:after="0"/>
              <w:rPr>
                <w:sz w:val="1"/>
                <w:szCs w:val="1"/>
                <w:color w:val="auto"/>
              </w:rPr>
            </w:pPr>
          </w:p>
        </w:tc>
      </w:tr>
      <w:tr>
        <w:trPr>
          <w:trHeight w:val="190"/>
        </w:trPr>
        <w:tc>
          <w:tcPr>
            <w:tcW w:w="3080" w:type="dxa"/>
            <w:vAlign w:val="bottom"/>
          </w:tcPr>
          <w:p>
            <w:pPr>
              <w:ind w:left="60"/>
              <w:spacing w:after="0"/>
              <w:rPr>
                <w:sz w:val="20"/>
                <w:szCs w:val="20"/>
                <w:color w:val="auto"/>
              </w:rPr>
            </w:pPr>
            <w:r>
              <w:rPr>
                <w:rFonts w:ascii="Arial" w:cs="Arial" w:eastAsia="Arial" w:hAnsi="Arial"/>
                <w:sz w:val="15"/>
                <w:szCs w:val="15"/>
                <w:b w:val="1"/>
                <w:bCs w:val="1"/>
                <w:color w:val="auto"/>
              </w:rPr>
              <w:t>Nancy Phillips(11)</w:t>
            </w:r>
          </w:p>
        </w:tc>
        <w:tc>
          <w:tcPr>
            <w:tcW w:w="560" w:type="dxa"/>
            <w:vAlign w:val="bottom"/>
          </w:tcPr>
          <w:p>
            <w:pPr>
              <w:ind w:left="140"/>
              <w:spacing w:after="0"/>
              <w:rPr>
                <w:sz w:val="20"/>
                <w:szCs w:val="20"/>
                <w:color w:val="auto"/>
              </w:rPr>
            </w:pPr>
            <w:r>
              <w:rPr>
                <w:rFonts w:ascii="Arial" w:cs="Arial" w:eastAsia="Arial" w:hAnsi="Arial"/>
                <w:sz w:val="15"/>
                <w:szCs w:val="15"/>
                <w:color w:val="auto"/>
              </w:rPr>
              <w:t>2021</w:t>
            </w: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787,500</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85"/>
              <w:spacing w:after="0"/>
              <w:rPr>
                <w:sz w:val="20"/>
                <w:szCs w:val="20"/>
                <w:color w:val="auto"/>
              </w:rPr>
            </w:pPr>
            <w:r>
              <w:rPr>
                <w:rFonts w:ascii="Arial" w:cs="Arial" w:eastAsia="Arial" w:hAnsi="Arial"/>
                <w:sz w:val="15"/>
                <w:szCs w:val="15"/>
                <w:color w:val="auto"/>
              </w:rPr>
              <w:t>993,077</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5"/>
              <w:spacing w:after="0"/>
              <w:rPr>
                <w:sz w:val="20"/>
                <w:szCs w:val="20"/>
                <w:color w:val="auto"/>
              </w:rPr>
            </w:pPr>
            <w:r>
              <w:rPr>
                <w:rFonts w:ascii="Arial" w:cs="Arial" w:eastAsia="Arial" w:hAnsi="Arial"/>
                <w:sz w:val="15"/>
                <w:szCs w:val="15"/>
                <w:color w:val="auto"/>
              </w:rPr>
              <w:t>27,070</w:t>
            </w:r>
          </w:p>
        </w:tc>
        <w:tc>
          <w:tcPr>
            <w:tcW w:w="920" w:type="dxa"/>
            <w:vAlign w:val="bottom"/>
          </w:tcPr>
          <w:p>
            <w:pPr>
              <w:jc w:val="right"/>
              <w:spacing w:after="0"/>
              <w:rPr>
                <w:sz w:val="20"/>
                <w:szCs w:val="20"/>
                <w:color w:val="auto"/>
              </w:rPr>
            </w:pPr>
            <w:r>
              <w:rPr>
                <w:rFonts w:ascii="Arial" w:cs="Arial" w:eastAsia="Arial" w:hAnsi="Arial"/>
                <w:sz w:val="15"/>
                <w:szCs w:val="15"/>
                <w:color w:val="auto"/>
              </w:rPr>
              <w:t>1,807,647</w:t>
            </w:r>
          </w:p>
        </w:tc>
        <w:tc>
          <w:tcPr>
            <w:tcW w:w="0" w:type="dxa"/>
            <w:vAlign w:val="bottom"/>
          </w:tcPr>
          <w:p>
            <w:pPr>
              <w:spacing w:after="0"/>
              <w:rPr>
                <w:sz w:val="1"/>
                <w:szCs w:val="1"/>
                <w:color w:val="auto"/>
              </w:rPr>
            </w:pPr>
          </w:p>
        </w:tc>
      </w:tr>
      <w:tr>
        <w:trPr>
          <w:trHeight w:val="187"/>
        </w:trPr>
        <w:tc>
          <w:tcPr>
            <w:tcW w:w="3080" w:type="dxa"/>
            <w:vAlign w:val="bottom"/>
          </w:tcPr>
          <w:p>
            <w:pPr>
              <w:ind w:left="60"/>
              <w:spacing w:after="0"/>
              <w:rPr>
                <w:sz w:val="20"/>
                <w:szCs w:val="20"/>
                <w:color w:val="auto"/>
              </w:rPr>
            </w:pPr>
            <w:r>
              <w:rPr>
                <w:rFonts w:ascii="Arial" w:cs="Arial" w:eastAsia="Arial" w:hAnsi="Arial"/>
                <w:sz w:val="15"/>
                <w:szCs w:val="15"/>
                <w:color w:val="auto"/>
              </w:rPr>
              <w:t>EVP, Chief People Officer</w:t>
            </w:r>
          </w:p>
        </w:tc>
        <w:tc>
          <w:tcPr>
            <w:tcW w:w="560" w:type="dxa"/>
            <w:vAlign w:val="bottom"/>
          </w:tcPr>
          <w:p>
            <w:pPr>
              <w:ind w:left="140"/>
              <w:spacing w:after="0"/>
              <w:rPr>
                <w:sz w:val="20"/>
                <w:szCs w:val="20"/>
                <w:color w:val="auto"/>
              </w:rPr>
            </w:pPr>
            <w:r>
              <w:rPr>
                <w:rFonts w:ascii="Arial" w:cs="Arial" w:eastAsia="Arial" w:hAnsi="Arial"/>
                <w:sz w:val="15"/>
                <w:szCs w:val="15"/>
                <w:color w:val="auto"/>
              </w:rPr>
              <w:t>2020</w:t>
            </w: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787,211</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540,000</w:t>
            </w:r>
          </w:p>
        </w:tc>
        <w:tc>
          <w:tcPr>
            <w:tcW w:w="920" w:type="dxa"/>
            <w:vAlign w:val="bottom"/>
          </w:tcPr>
          <w:p>
            <w:pPr>
              <w:jc w:val="right"/>
              <w:spacing w:after="0"/>
              <w:rPr>
                <w:sz w:val="20"/>
                <w:szCs w:val="20"/>
                <w:color w:val="auto"/>
              </w:rPr>
            </w:pPr>
            <w:r>
              <w:rPr>
                <w:rFonts w:ascii="Arial" w:cs="Arial" w:eastAsia="Arial" w:hAnsi="Arial"/>
                <w:sz w:val="15"/>
                <w:szCs w:val="15"/>
                <w:color w:val="auto"/>
              </w:rPr>
              <w:t>999,957</w:t>
            </w:r>
          </w:p>
        </w:tc>
        <w:tc>
          <w:tcPr>
            <w:tcW w:w="1160" w:type="dxa"/>
            <w:vAlign w:val="bottom"/>
          </w:tcPr>
          <w:p>
            <w:pPr>
              <w:jc w:val="right"/>
              <w:ind w:right="85"/>
              <w:spacing w:after="0"/>
              <w:rPr>
                <w:sz w:val="20"/>
                <w:szCs w:val="20"/>
                <w:color w:val="auto"/>
              </w:rPr>
            </w:pPr>
            <w:r>
              <w:rPr>
                <w:rFonts w:ascii="Arial" w:cs="Arial" w:eastAsia="Arial" w:hAnsi="Arial"/>
                <w:sz w:val="15"/>
                <w:szCs w:val="15"/>
                <w:color w:val="auto"/>
              </w:rPr>
              <w:t>1,250,668</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5"/>
              <w:spacing w:after="0"/>
              <w:rPr>
                <w:sz w:val="20"/>
                <w:szCs w:val="20"/>
                <w:color w:val="auto"/>
              </w:rPr>
            </w:pPr>
            <w:r>
              <w:rPr>
                <w:rFonts w:ascii="Arial" w:cs="Arial" w:eastAsia="Arial" w:hAnsi="Arial"/>
                <w:sz w:val="15"/>
                <w:szCs w:val="15"/>
                <w:color w:val="auto"/>
              </w:rPr>
              <w:t>22,927</w:t>
            </w:r>
          </w:p>
        </w:tc>
        <w:tc>
          <w:tcPr>
            <w:tcW w:w="920" w:type="dxa"/>
            <w:vAlign w:val="bottom"/>
          </w:tcPr>
          <w:p>
            <w:pPr>
              <w:jc w:val="right"/>
              <w:spacing w:after="0"/>
              <w:rPr>
                <w:sz w:val="20"/>
                <w:szCs w:val="20"/>
                <w:color w:val="auto"/>
              </w:rPr>
            </w:pPr>
            <w:r>
              <w:rPr>
                <w:rFonts w:ascii="Arial" w:cs="Arial" w:eastAsia="Arial" w:hAnsi="Arial"/>
                <w:sz w:val="15"/>
                <w:szCs w:val="15"/>
                <w:color w:val="auto"/>
              </w:rPr>
              <w:t>3,600,763</w:t>
            </w:r>
          </w:p>
        </w:tc>
        <w:tc>
          <w:tcPr>
            <w:tcW w:w="0" w:type="dxa"/>
            <w:vAlign w:val="bottom"/>
          </w:tcPr>
          <w:p>
            <w:pPr>
              <w:spacing w:after="0"/>
              <w:rPr>
                <w:sz w:val="1"/>
                <w:szCs w:val="1"/>
                <w:color w:val="auto"/>
              </w:rPr>
            </w:pPr>
          </w:p>
        </w:tc>
      </w:tr>
      <w:tr>
        <w:trPr>
          <w:trHeight w:val="178"/>
        </w:trPr>
        <w:tc>
          <w:tcPr>
            <w:tcW w:w="3080" w:type="dxa"/>
            <w:vAlign w:val="bottom"/>
            <w:tcBorders>
              <w:bottom w:val="single" w:sz="8" w:color="051D49"/>
            </w:tcBorders>
          </w:tcPr>
          <w:p>
            <w:pPr>
              <w:spacing w:after="0"/>
              <w:rPr>
                <w:sz w:val="15"/>
                <w:szCs w:val="15"/>
                <w:color w:val="auto"/>
              </w:rPr>
            </w:pPr>
          </w:p>
        </w:tc>
        <w:tc>
          <w:tcPr>
            <w:tcW w:w="560" w:type="dxa"/>
            <w:vAlign w:val="bottom"/>
            <w:tcBorders>
              <w:bottom w:val="single" w:sz="8" w:color="051D49"/>
            </w:tcBorders>
          </w:tcPr>
          <w:p>
            <w:pPr>
              <w:ind w:left="140"/>
              <w:spacing w:after="0"/>
              <w:rPr>
                <w:sz w:val="20"/>
                <w:szCs w:val="20"/>
                <w:color w:val="auto"/>
              </w:rPr>
            </w:pPr>
            <w:r>
              <w:rPr>
                <w:rFonts w:ascii="Arial" w:cs="Arial" w:eastAsia="Arial" w:hAnsi="Arial"/>
                <w:sz w:val="15"/>
                <w:szCs w:val="15"/>
                <w:color w:val="auto"/>
              </w:rPr>
              <w:t>2019</w:t>
            </w:r>
          </w:p>
        </w:tc>
        <w:tc>
          <w:tcPr>
            <w:tcW w:w="88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57,692</w:t>
            </w:r>
          </w:p>
        </w:tc>
        <w:tc>
          <w:tcPr>
            <w:tcW w:w="860" w:type="dxa"/>
            <w:vAlign w:val="bottom"/>
            <w:tcBorders>
              <w:bottom w:val="single" w:sz="8" w:color="051D49"/>
            </w:tcBorders>
          </w:tcPr>
          <w:p>
            <w:pPr>
              <w:jc w:val="right"/>
              <w:ind w:right="5"/>
              <w:spacing w:after="0"/>
              <w:rPr>
                <w:sz w:val="20"/>
                <w:szCs w:val="20"/>
                <w:color w:val="auto"/>
              </w:rPr>
            </w:pPr>
            <w:r>
              <w:rPr>
                <w:rFonts w:ascii="Arial" w:cs="Arial" w:eastAsia="Arial" w:hAnsi="Arial"/>
                <w:sz w:val="15"/>
                <w:szCs w:val="15"/>
                <w:color w:val="auto"/>
              </w:rPr>
              <w:t>66,126</w:t>
            </w:r>
          </w:p>
        </w:tc>
        <w:tc>
          <w:tcPr>
            <w:tcW w:w="9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2,999,973</w:t>
            </w:r>
          </w:p>
        </w:tc>
        <w:tc>
          <w:tcPr>
            <w:tcW w:w="1160" w:type="dxa"/>
            <w:vAlign w:val="bottom"/>
            <w:tcBorders>
              <w:bottom w:val="single" w:sz="8" w:color="051D49"/>
            </w:tcBorders>
          </w:tcPr>
          <w:p>
            <w:pPr>
              <w:jc w:val="right"/>
              <w:ind w:right="8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051D49"/>
            </w:tcBorders>
          </w:tcPr>
          <w:p>
            <w:pPr>
              <w:jc w:val="right"/>
              <w:ind w:right="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3,123,791</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80" w:right="1060" w:hanging="313"/>
        <w:spacing w:after="0" w:line="279" w:lineRule="auto"/>
        <w:tabs>
          <w:tab w:leader="none" w:pos="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Salary includes amounts deferred under qualified and nonqualified arrangements for each of the NEOs. See the Nonqualified Deferred Compensation in 2021 table for further information on amounts deferred under nonqualified deferred compensation arrangements.</w:t>
      </w:r>
    </w:p>
    <w:p>
      <w:pPr>
        <w:spacing w:after="0" w:line="26" w:lineRule="exact"/>
        <w:rPr>
          <w:rFonts w:ascii="Arial" w:cs="Arial" w:eastAsia="Arial" w:hAnsi="Arial"/>
          <w:sz w:val="16"/>
          <w:szCs w:val="16"/>
          <w:color w:val="auto"/>
        </w:rPr>
      </w:pPr>
    </w:p>
    <w:p>
      <w:pPr>
        <w:ind w:left="480" w:right="100" w:hanging="313"/>
        <w:spacing w:after="0" w:line="256" w:lineRule="auto"/>
        <w:tabs>
          <w:tab w:leader="none" w:pos="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Amounts for Mr. Bakish and Ms. D’Alimonte represent cash payments made in early 2020 for performance from October 1, 2019 through December 31, 2019 and, for Ms. Phillips, represent cash payments made in early 2020 for performance from December 2, 2019 through December 31, 2019. Because these payments were made by us, they are reflected in the “Bonus” column, even though a portion of these payments relates to services rendered by the applicable NEO to Viacom prior to the effective time of the Merger.</w:t>
      </w:r>
    </w:p>
    <w:p>
      <w:pPr>
        <w:spacing w:after="0" w:line="44" w:lineRule="exact"/>
        <w:rPr>
          <w:rFonts w:ascii="Arial" w:cs="Arial" w:eastAsia="Arial" w:hAnsi="Arial"/>
          <w:sz w:val="16"/>
          <w:szCs w:val="16"/>
          <w:color w:val="auto"/>
        </w:rPr>
      </w:pPr>
    </w:p>
    <w:p>
      <w:pPr>
        <w:ind w:left="480" w:right="40"/>
        <w:spacing w:after="0" w:line="279" w:lineRule="auto"/>
        <w:rPr>
          <w:rFonts w:ascii="Arial" w:cs="Arial" w:eastAsia="Arial" w:hAnsi="Arial"/>
          <w:sz w:val="16"/>
          <w:szCs w:val="16"/>
          <w:color w:val="auto"/>
        </w:rPr>
      </w:pPr>
      <w:r>
        <w:rPr>
          <w:rFonts w:ascii="Arial" w:cs="Arial" w:eastAsia="Arial" w:hAnsi="Arial"/>
          <w:sz w:val="16"/>
          <w:szCs w:val="16"/>
          <w:color w:val="auto"/>
        </w:rPr>
        <w:t>Amounts for 2020 for Ms. Phillips and Mr. Chopra represent the applicable executive’s sign-on bonus amount paid pursuant to such executive’s letter agreement.</w:t>
      </w:r>
    </w:p>
    <w:p>
      <w:pPr>
        <w:spacing w:after="0" w:line="26" w:lineRule="exact"/>
        <w:rPr>
          <w:rFonts w:ascii="Arial" w:cs="Arial" w:eastAsia="Arial" w:hAnsi="Arial"/>
          <w:sz w:val="16"/>
          <w:szCs w:val="16"/>
          <w:color w:val="auto"/>
        </w:rPr>
      </w:pPr>
    </w:p>
    <w:p>
      <w:pPr>
        <w:ind w:left="480" w:right="220" w:hanging="313"/>
        <w:spacing w:after="0" w:line="253" w:lineRule="auto"/>
        <w:tabs>
          <w:tab w:leader="none" w:pos="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Amounts reflect the aggregate grant date fair values for RSUs and PSUs determined in accordance with FASB ASC Topic 718. The Compensation Committee approved fiscal year 2021 LTMIP awards on October 21, 2020, with grants to be made effective November 30, 2020, to eligible employees, including NEOs other than Mr. Chopra, who received his fiscal year 2021 LTMIP award on August 24, 2020 in connection with the commencement of his employment by us. Due to the timing of the 2021 LTMIP award grants, those grants do not appear in the above table (they appeared in the corresponding table in our 2021 proxy statement). No equity-based awards were granted to NEOs in fiscal year 2021.</w:t>
      </w:r>
    </w:p>
    <w:p>
      <w:pPr>
        <w:spacing w:after="0" w:line="46" w:lineRule="exact"/>
        <w:rPr>
          <w:rFonts w:ascii="Arial" w:cs="Arial" w:eastAsia="Arial" w:hAnsi="Arial"/>
          <w:sz w:val="16"/>
          <w:szCs w:val="16"/>
          <w:color w:val="auto"/>
        </w:rPr>
      </w:pPr>
    </w:p>
    <w:p>
      <w:pPr>
        <w:ind w:left="480" w:hanging="313"/>
        <w:spacing w:after="0"/>
        <w:tabs>
          <w:tab w:leader="none" w:pos="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Amounts represent the amount of compensation earned by the applicable NEO under our 2021 annual performance-based bonus program.</w:t>
      </w:r>
    </w:p>
    <w:p>
      <w:pPr>
        <w:spacing w:after="0" w:line="83" w:lineRule="exact"/>
        <w:rPr>
          <w:rFonts w:ascii="Arial" w:cs="Arial" w:eastAsia="Arial" w:hAnsi="Arial"/>
          <w:sz w:val="16"/>
          <w:szCs w:val="16"/>
          <w:color w:val="auto"/>
        </w:rPr>
      </w:pPr>
    </w:p>
    <w:p>
      <w:pPr>
        <w:ind w:left="480" w:right="340" w:hanging="313"/>
        <w:spacing w:after="0" w:line="279" w:lineRule="auto"/>
        <w:tabs>
          <w:tab w:leader="none" w:pos="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Amounts relate to changes in pension value only. None of our nonqualified deferred compensation plans for executives provide for above-market interest or preferential earnings. For Mr. Bakish, the change in pension value in 2021 was negative (-$12,822).</w:t>
      </w:r>
    </w:p>
    <w:p>
      <w:pPr>
        <w:spacing w:after="0" w:line="108"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55</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(6)  The following table describes each component of the “All Other Compensation” column for 2021:</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360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1120" w:type="dxa"/>
            <w:vAlign w:val="bottom"/>
            <w:vMerge w:val="restart"/>
            <w:shd w:val="clear" w:color="auto" w:fill="E5E5E5"/>
          </w:tcPr>
          <w:p>
            <w:pPr>
              <w:jc w:val="center"/>
              <w:ind w:right="45"/>
              <w:spacing w:after="0"/>
              <w:rPr>
                <w:sz w:val="20"/>
                <w:szCs w:val="20"/>
                <w:color w:val="auto"/>
              </w:rPr>
            </w:pPr>
            <w:r>
              <w:rPr>
                <w:rFonts w:ascii="Arial" w:cs="Arial" w:eastAsia="Arial" w:hAnsi="Arial"/>
                <w:sz w:val="14"/>
                <w:szCs w:val="14"/>
                <w:color w:val="051D49"/>
              </w:rPr>
              <w:t>Company</w:t>
            </w:r>
          </w:p>
        </w:tc>
        <w:tc>
          <w:tcPr>
            <w:tcW w:w="11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88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Perquisites and Other</w:t>
            </w:r>
          </w:p>
        </w:tc>
        <w:tc>
          <w:tcPr>
            <w:tcW w:w="9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3600" w:type="dxa"/>
            <w:vAlign w:val="bottom"/>
            <w:shd w:val="clear" w:color="auto" w:fill="E5E5E5"/>
          </w:tcPr>
          <w:p>
            <w:pPr>
              <w:spacing w:after="0"/>
              <w:rPr>
                <w:sz w:val="6"/>
                <w:szCs w:val="6"/>
                <w:color w:val="auto"/>
              </w:rPr>
            </w:pPr>
          </w:p>
        </w:tc>
        <w:tc>
          <w:tcPr>
            <w:tcW w:w="104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051D49"/>
              </w:rPr>
              <w:t>Company</w:t>
            </w:r>
          </w:p>
        </w:tc>
        <w:tc>
          <w:tcPr>
            <w:tcW w:w="102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051D49"/>
              </w:rPr>
              <w:t>Company</w:t>
            </w:r>
          </w:p>
        </w:tc>
        <w:tc>
          <w:tcPr>
            <w:tcW w:w="1120" w:type="dxa"/>
            <w:vAlign w:val="bottom"/>
            <w:vMerge w:val="continue"/>
            <w:shd w:val="clear" w:color="auto" w:fill="E5E5E5"/>
          </w:tcPr>
          <w:p>
            <w:pPr>
              <w:spacing w:after="0"/>
              <w:rPr>
                <w:sz w:val="6"/>
                <w:szCs w:val="6"/>
                <w:color w:val="auto"/>
              </w:rPr>
            </w:pPr>
          </w:p>
        </w:tc>
        <w:tc>
          <w:tcPr>
            <w:tcW w:w="1100" w:type="dxa"/>
            <w:vAlign w:val="bottom"/>
            <w:shd w:val="clear" w:color="auto" w:fill="E5E5E5"/>
          </w:tcPr>
          <w:p>
            <w:pPr>
              <w:spacing w:after="0"/>
              <w:rPr>
                <w:sz w:val="6"/>
                <w:szCs w:val="6"/>
                <w:color w:val="auto"/>
              </w:rPr>
            </w:pPr>
          </w:p>
        </w:tc>
        <w:tc>
          <w:tcPr>
            <w:tcW w:w="240" w:type="dxa"/>
            <w:vAlign w:val="bottom"/>
            <w:shd w:val="clear" w:color="auto" w:fill="E5E5E5"/>
          </w:tcPr>
          <w:p>
            <w:pPr>
              <w:spacing w:after="0"/>
              <w:rPr>
                <w:sz w:val="6"/>
                <w:szCs w:val="6"/>
                <w:color w:val="auto"/>
              </w:rPr>
            </w:pPr>
          </w:p>
        </w:tc>
        <w:tc>
          <w:tcPr>
            <w:tcW w:w="188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051D49"/>
              </w:rPr>
              <w:t>Personal Benefits</w:t>
            </w:r>
          </w:p>
        </w:tc>
        <w:tc>
          <w:tcPr>
            <w:tcW w:w="920" w:type="dxa"/>
            <w:vAlign w:val="bottom"/>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0" w:type="dxa"/>
            <w:vAlign w:val="bottom"/>
            <w:tcBorders>
              <w:bottom w:val="single" w:sz="8" w:color="E5E5E5"/>
            </w:tcBorders>
            <w:shd w:val="clear" w:color="auto" w:fill="E5E5E5"/>
          </w:tcPr>
          <w:p>
            <w:pPr>
              <w:spacing w:after="0"/>
              <w:rPr>
                <w:sz w:val="13"/>
                <w:szCs w:val="13"/>
                <w:color w:val="auto"/>
              </w:rPr>
            </w:pPr>
          </w:p>
        </w:tc>
        <w:tc>
          <w:tcPr>
            <w:tcW w:w="1040" w:type="dxa"/>
            <w:vAlign w:val="bottom"/>
            <w:tcBorders>
              <w:bottom w:val="single" w:sz="8" w:color="E5E5E5"/>
            </w:tcBorders>
            <w:vMerge w:val="continue"/>
            <w:shd w:val="clear" w:color="auto" w:fill="E5E5E5"/>
          </w:tcPr>
          <w:p>
            <w:pPr>
              <w:spacing w:after="0"/>
              <w:rPr>
                <w:sz w:val="13"/>
                <w:szCs w:val="13"/>
                <w:color w:val="auto"/>
              </w:rPr>
            </w:pPr>
          </w:p>
        </w:tc>
        <w:tc>
          <w:tcPr>
            <w:tcW w:w="1020" w:type="dxa"/>
            <w:vAlign w:val="bottom"/>
            <w:tcBorders>
              <w:bottom w:val="single" w:sz="8" w:color="E5E5E5"/>
            </w:tcBorders>
            <w:vMerge w:val="continue"/>
            <w:shd w:val="clear" w:color="auto" w:fill="E5E5E5"/>
          </w:tcPr>
          <w:p>
            <w:pPr>
              <w:spacing w:after="0"/>
              <w:rPr>
                <w:sz w:val="13"/>
                <w:szCs w:val="13"/>
                <w:color w:val="auto"/>
              </w:rPr>
            </w:pPr>
          </w:p>
        </w:tc>
        <w:tc>
          <w:tcPr>
            <w:tcW w:w="1120" w:type="dxa"/>
            <w:vAlign w:val="bottom"/>
            <w:tcBorders>
              <w:bottom w:val="single" w:sz="8" w:color="E5E5E5"/>
            </w:tcBorders>
            <w:shd w:val="clear" w:color="auto" w:fill="E5E5E5"/>
          </w:tcPr>
          <w:p>
            <w:pPr>
              <w:jc w:val="right"/>
              <w:ind w:right="165"/>
              <w:spacing w:after="0" w:line="157" w:lineRule="exact"/>
              <w:rPr>
                <w:sz w:val="20"/>
                <w:szCs w:val="20"/>
                <w:color w:val="auto"/>
              </w:rPr>
            </w:pPr>
            <w:r>
              <w:rPr>
                <w:rFonts w:ascii="Arial" w:cs="Arial" w:eastAsia="Arial" w:hAnsi="Arial"/>
                <w:sz w:val="14"/>
                <w:szCs w:val="14"/>
                <w:color w:val="051D49"/>
              </w:rPr>
              <w:t>Contribution</w:t>
            </w:r>
          </w:p>
        </w:tc>
        <w:tc>
          <w:tcPr>
            <w:tcW w:w="1100" w:type="dxa"/>
            <w:vAlign w:val="bottom"/>
            <w:tcBorders>
              <w:bottom w:val="single" w:sz="8" w:color="E5E5E5"/>
            </w:tcBorders>
            <w:shd w:val="clear" w:color="auto" w:fill="E5E5E5"/>
          </w:tcPr>
          <w:p>
            <w:pPr>
              <w:spacing w:after="0"/>
              <w:rPr>
                <w:sz w:val="13"/>
                <w:szCs w:val="13"/>
                <w:color w:val="auto"/>
              </w:rPr>
            </w:pPr>
          </w:p>
        </w:tc>
        <w:tc>
          <w:tcPr>
            <w:tcW w:w="240" w:type="dxa"/>
            <w:vAlign w:val="bottom"/>
            <w:tcBorders>
              <w:bottom w:val="single" w:sz="8" w:color="E5E5E5"/>
            </w:tcBorders>
            <w:shd w:val="clear" w:color="auto" w:fill="E5E5E5"/>
          </w:tcPr>
          <w:p>
            <w:pPr>
              <w:spacing w:after="0"/>
              <w:rPr>
                <w:sz w:val="13"/>
                <w:szCs w:val="13"/>
                <w:color w:val="auto"/>
              </w:rPr>
            </w:pPr>
          </w:p>
        </w:tc>
        <w:tc>
          <w:tcPr>
            <w:tcW w:w="1880" w:type="dxa"/>
            <w:vAlign w:val="bottom"/>
            <w:tcBorders>
              <w:bottom w:val="single" w:sz="8" w:color="E5E5E5"/>
            </w:tcBorders>
            <w:vMerge w:val="continue"/>
            <w:shd w:val="clear" w:color="auto" w:fill="E5E5E5"/>
          </w:tcPr>
          <w:p>
            <w:pPr>
              <w:spacing w:after="0"/>
              <w:rPr>
                <w:sz w:val="13"/>
                <w:szCs w:val="13"/>
                <w:color w:val="auto"/>
              </w:rPr>
            </w:pPr>
          </w:p>
        </w:tc>
        <w:tc>
          <w:tcPr>
            <w:tcW w:w="920" w:type="dxa"/>
            <w:vAlign w:val="bottom"/>
            <w:tcBorders>
              <w:bottom w:val="single" w:sz="8" w:color="E5E5E5"/>
            </w:tcBorders>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600" w:type="dxa"/>
            <w:vAlign w:val="bottom"/>
            <w:tcBorders>
              <w:top w:val="single" w:sz="8" w:color="E5E5E5"/>
            </w:tcBorders>
            <w:shd w:val="clear" w:color="auto" w:fill="E5E5E5"/>
          </w:tcPr>
          <w:p>
            <w:pPr>
              <w:spacing w:after="0"/>
              <w:rPr>
                <w:sz w:val="11"/>
                <w:szCs w:val="11"/>
                <w:color w:val="auto"/>
              </w:rPr>
            </w:pPr>
          </w:p>
        </w:tc>
        <w:tc>
          <w:tcPr>
            <w:tcW w:w="1040" w:type="dxa"/>
            <w:vAlign w:val="bottom"/>
            <w:tcBorders>
              <w:top w:val="single" w:sz="8" w:color="E5E5E5"/>
            </w:tcBorders>
            <w:shd w:val="clear" w:color="auto" w:fill="E5E5E5"/>
          </w:tcPr>
          <w:p>
            <w:pPr>
              <w:jc w:val="center"/>
              <w:spacing w:after="0" w:line="131" w:lineRule="exact"/>
              <w:rPr>
                <w:sz w:val="20"/>
                <w:szCs w:val="20"/>
                <w:color w:val="auto"/>
              </w:rPr>
            </w:pPr>
            <w:r>
              <w:rPr>
                <w:rFonts w:ascii="Arial" w:cs="Arial" w:eastAsia="Arial" w:hAnsi="Arial"/>
                <w:sz w:val="14"/>
                <w:szCs w:val="14"/>
                <w:color w:val="051D49"/>
              </w:rPr>
              <w:t>Contribution</w:t>
            </w:r>
          </w:p>
        </w:tc>
        <w:tc>
          <w:tcPr>
            <w:tcW w:w="1020" w:type="dxa"/>
            <w:vAlign w:val="bottom"/>
            <w:tcBorders>
              <w:top w:val="single" w:sz="8" w:color="E5E5E5"/>
            </w:tcBorders>
            <w:shd w:val="clear" w:color="auto" w:fill="E5E5E5"/>
          </w:tcPr>
          <w:p>
            <w:pPr>
              <w:jc w:val="center"/>
              <w:spacing w:after="0" w:line="131" w:lineRule="exact"/>
              <w:rPr>
                <w:sz w:val="20"/>
                <w:szCs w:val="20"/>
                <w:color w:val="auto"/>
              </w:rPr>
            </w:pPr>
            <w:r>
              <w:rPr>
                <w:rFonts w:ascii="Arial" w:cs="Arial" w:eastAsia="Arial" w:hAnsi="Arial"/>
                <w:sz w:val="14"/>
                <w:szCs w:val="14"/>
                <w:color w:val="051D49"/>
              </w:rPr>
              <w:t>Contribution</w:t>
            </w:r>
          </w:p>
        </w:tc>
        <w:tc>
          <w:tcPr>
            <w:tcW w:w="1120" w:type="dxa"/>
            <w:vAlign w:val="bottom"/>
            <w:tcBorders>
              <w:top w:val="single" w:sz="8" w:color="E5E5E5"/>
            </w:tcBorders>
            <w:shd w:val="clear" w:color="auto" w:fill="E5E5E5"/>
          </w:tcPr>
          <w:p>
            <w:pPr>
              <w:jc w:val="center"/>
              <w:ind w:right="45"/>
              <w:spacing w:after="0" w:line="131" w:lineRule="exact"/>
              <w:rPr>
                <w:sz w:val="20"/>
                <w:szCs w:val="20"/>
                <w:color w:val="auto"/>
              </w:rPr>
            </w:pPr>
            <w:r>
              <w:rPr>
                <w:rFonts w:ascii="Arial" w:cs="Arial" w:eastAsia="Arial" w:hAnsi="Arial"/>
                <w:sz w:val="14"/>
                <w:szCs w:val="14"/>
                <w:color w:val="051D49"/>
                <w:w w:val="99"/>
              </w:rPr>
              <w:t>to Profit</w:t>
            </w:r>
          </w:p>
        </w:tc>
        <w:tc>
          <w:tcPr>
            <w:tcW w:w="1100" w:type="dxa"/>
            <w:vAlign w:val="bottom"/>
            <w:tcBorders>
              <w:top w:val="single" w:sz="8" w:color="E5E5E5"/>
            </w:tcBorders>
            <w:shd w:val="clear" w:color="auto" w:fill="E5E5E5"/>
          </w:tcPr>
          <w:p>
            <w:pPr>
              <w:jc w:val="center"/>
              <w:spacing w:after="0" w:line="131" w:lineRule="exact"/>
              <w:rPr>
                <w:sz w:val="20"/>
                <w:szCs w:val="20"/>
                <w:color w:val="auto"/>
              </w:rPr>
            </w:pPr>
            <w:r>
              <w:rPr>
                <w:rFonts w:ascii="Arial" w:cs="Arial" w:eastAsia="Arial" w:hAnsi="Arial"/>
                <w:sz w:val="14"/>
                <w:szCs w:val="14"/>
                <w:color w:val="051D49"/>
              </w:rPr>
              <w:t>Company-</w:t>
            </w:r>
          </w:p>
        </w:tc>
        <w:tc>
          <w:tcPr>
            <w:tcW w:w="240" w:type="dxa"/>
            <w:vAlign w:val="bottom"/>
            <w:tcBorders>
              <w:top w:val="single" w:sz="8" w:color="051D49"/>
            </w:tcBorders>
            <w:shd w:val="clear" w:color="auto" w:fill="E5E5E5"/>
          </w:tcPr>
          <w:p>
            <w:pPr>
              <w:spacing w:after="0"/>
              <w:rPr>
                <w:sz w:val="11"/>
                <w:szCs w:val="11"/>
                <w:color w:val="auto"/>
              </w:rPr>
            </w:pPr>
          </w:p>
        </w:tc>
        <w:tc>
          <w:tcPr>
            <w:tcW w:w="1880" w:type="dxa"/>
            <w:vAlign w:val="bottom"/>
            <w:tcBorders>
              <w:top w:val="single" w:sz="8" w:color="051D49"/>
            </w:tcBorders>
            <w:shd w:val="clear" w:color="auto" w:fill="E5E5E5"/>
          </w:tcPr>
          <w:p>
            <w:pPr>
              <w:jc w:val="center"/>
              <w:spacing w:after="0" w:line="131" w:lineRule="exact"/>
              <w:rPr>
                <w:sz w:val="20"/>
                <w:szCs w:val="20"/>
                <w:color w:val="auto"/>
              </w:rPr>
            </w:pPr>
            <w:r>
              <w:rPr>
                <w:rFonts w:ascii="Arial" w:cs="Arial" w:eastAsia="Arial" w:hAnsi="Arial"/>
                <w:sz w:val="14"/>
                <w:szCs w:val="14"/>
                <w:color w:val="051D49"/>
              </w:rPr>
              <w:t>Transportation-</w:t>
            </w:r>
          </w:p>
        </w:tc>
        <w:tc>
          <w:tcPr>
            <w:tcW w:w="920" w:type="dxa"/>
            <w:vAlign w:val="bottom"/>
            <w:tcBorders>
              <w:top w:val="single" w:sz="8" w:color="E5E5E5"/>
            </w:tcBorders>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00" w:type="dxa"/>
            <w:vAlign w:val="bottom"/>
            <w:shd w:val="clear" w:color="auto" w:fill="E5E5E5"/>
          </w:tcPr>
          <w:p>
            <w:pPr>
              <w:spacing w:after="0"/>
              <w:rPr>
                <w:sz w:val="13"/>
                <w:szCs w:val="13"/>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to 401(k)</w:t>
            </w:r>
          </w:p>
        </w:tc>
        <w:tc>
          <w:tcPr>
            <w:tcW w:w="102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to 401(k)</w:t>
            </w:r>
          </w:p>
        </w:tc>
        <w:tc>
          <w:tcPr>
            <w:tcW w:w="1120" w:type="dxa"/>
            <w:vAlign w:val="bottom"/>
            <w:shd w:val="clear" w:color="auto" w:fill="E5E5E5"/>
          </w:tcPr>
          <w:p>
            <w:pPr>
              <w:jc w:val="center"/>
              <w:ind w:right="45"/>
              <w:spacing w:after="0"/>
              <w:rPr>
                <w:sz w:val="20"/>
                <w:szCs w:val="20"/>
                <w:color w:val="auto"/>
              </w:rPr>
            </w:pPr>
            <w:r>
              <w:rPr>
                <w:rFonts w:ascii="Arial" w:cs="Arial" w:eastAsia="Arial" w:hAnsi="Arial"/>
                <w:sz w:val="14"/>
                <w:szCs w:val="14"/>
                <w:color w:val="051D49"/>
                <w:w w:val="99"/>
              </w:rPr>
              <w:t>Sharing</w:t>
            </w:r>
          </w:p>
        </w:tc>
        <w:tc>
          <w:tcPr>
            <w:tcW w:w="1100" w:type="dxa"/>
            <w:vAlign w:val="bottom"/>
            <w:shd w:val="clear" w:color="auto" w:fill="E5E5E5"/>
          </w:tcPr>
          <w:p>
            <w:pPr>
              <w:jc w:val="center"/>
              <w:spacing w:after="0"/>
              <w:rPr>
                <w:sz w:val="20"/>
                <w:szCs w:val="20"/>
                <w:color w:val="auto"/>
              </w:rPr>
            </w:pPr>
            <w:r>
              <w:rPr>
                <w:rFonts w:ascii="Arial" w:cs="Arial" w:eastAsia="Arial" w:hAnsi="Arial"/>
                <w:sz w:val="14"/>
                <w:szCs w:val="14"/>
                <w:color w:val="051D49"/>
                <w:w w:val="99"/>
              </w:rPr>
              <w:t>Paid Life</w:t>
            </w:r>
          </w:p>
        </w:tc>
        <w:tc>
          <w:tcPr>
            <w:tcW w:w="240" w:type="dxa"/>
            <w:vAlign w:val="bottom"/>
            <w:shd w:val="clear" w:color="auto" w:fill="E5E5E5"/>
          </w:tcPr>
          <w:p>
            <w:pPr>
              <w:spacing w:after="0"/>
              <w:rPr>
                <w:sz w:val="13"/>
                <w:szCs w:val="13"/>
                <w:color w:val="auto"/>
              </w:rPr>
            </w:pPr>
          </w:p>
        </w:tc>
        <w:tc>
          <w:tcPr>
            <w:tcW w:w="188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Related</w:t>
            </w:r>
          </w:p>
        </w:tc>
        <w:tc>
          <w:tcPr>
            <w:tcW w:w="92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00" w:type="dxa"/>
            <w:vAlign w:val="bottom"/>
            <w:shd w:val="clear" w:color="auto" w:fill="E5E5E5"/>
          </w:tcPr>
          <w:p>
            <w:pPr>
              <w:ind w:left="80"/>
              <w:spacing w:after="0"/>
              <w:rPr>
                <w:sz w:val="20"/>
                <w:szCs w:val="20"/>
                <w:color w:val="auto"/>
              </w:rPr>
            </w:pPr>
            <w:r>
              <w:rPr>
                <w:rFonts w:ascii="Arial" w:cs="Arial" w:eastAsia="Arial" w:hAnsi="Arial"/>
                <w:sz w:val="14"/>
                <w:szCs w:val="14"/>
                <w:color w:val="051D49"/>
              </w:rPr>
              <w:t>Named</w:t>
            </w:r>
          </w:p>
        </w:tc>
        <w:tc>
          <w:tcPr>
            <w:tcW w:w="104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Plans</w:t>
            </w:r>
          </w:p>
        </w:tc>
        <w:tc>
          <w:tcPr>
            <w:tcW w:w="102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Excess Plan</w:t>
            </w:r>
          </w:p>
        </w:tc>
        <w:tc>
          <w:tcPr>
            <w:tcW w:w="1120" w:type="dxa"/>
            <w:vAlign w:val="bottom"/>
            <w:shd w:val="clear" w:color="auto" w:fill="E5E5E5"/>
          </w:tcPr>
          <w:p>
            <w:pPr>
              <w:jc w:val="center"/>
              <w:ind w:right="45"/>
              <w:spacing w:after="0"/>
              <w:rPr>
                <w:sz w:val="20"/>
                <w:szCs w:val="20"/>
                <w:color w:val="auto"/>
              </w:rPr>
            </w:pPr>
            <w:r>
              <w:rPr>
                <w:rFonts w:ascii="Arial" w:cs="Arial" w:eastAsia="Arial" w:hAnsi="Arial"/>
                <w:sz w:val="14"/>
                <w:szCs w:val="14"/>
                <w:color w:val="051D49"/>
                <w:w w:val="99"/>
              </w:rPr>
              <w:t>Plan</w:t>
            </w:r>
          </w:p>
        </w:tc>
        <w:tc>
          <w:tcPr>
            <w:tcW w:w="110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Insurance</w:t>
            </w:r>
          </w:p>
        </w:tc>
        <w:tc>
          <w:tcPr>
            <w:tcW w:w="240" w:type="dxa"/>
            <w:vAlign w:val="bottom"/>
            <w:shd w:val="clear" w:color="auto" w:fill="E5E5E5"/>
          </w:tcPr>
          <w:p>
            <w:pPr>
              <w:spacing w:after="0"/>
              <w:rPr>
                <w:sz w:val="13"/>
                <w:szCs w:val="13"/>
                <w:color w:val="auto"/>
              </w:rPr>
            </w:pPr>
          </w:p>
        </w:tc>
        <w:tc>
          <w:tcPr>
            <w:tcW w:w="188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Benefits</w:t>
            </w:r>
          </w:p>
        </w:tc>
        <w:tc>
          <w:tcPr>
            <w:tcW w:w="920" w:type="dxa"/>
            <w:vAlign w:val="bottom"/>
            <w:shd w:val="clear" w:color="auto" w:fill="E5E5E5"/>
          </w:tcPr>
          <w:p>
            <w:pPr>
              <w:jc w:val="right"/>
              <w:ind w:right="122"/>
              <w:spacing w:after="0"/>
              <w:rPr>
                <w:sz w:val="20"/>
                <w:szCs w:val="20"/>
                <w:color w:val="auto"/>
              </w:rPr>
            </w:pPr>
            <w:r>
              <w:rPr>
                <w:rFonts w:ascii="Arial" w:cs="Arial" w:eastAsia="Arial" w:hAnsi="Arial"/>
                <w:sz w:val="14"/>
                <w:szCs w:val="14"/>
                <w:color w:val="051D49"/>
              </w:rPr>
              <w:t>Total</w:t>
            </w:r>
          </w:p>
        </w:tc>
        <w:tc>
          <w:tcPr>
            <w:tcW w:w="0" w:type="dxa"/>
            <w:vAlign w:val="bottom"/>
          </w:tcPr>
          <w:p>
            <w:pPr>
              <w:spacing w:after="0"/>
              <w:rPr>
                <w:sz w:val="1"/>
                <w:szCs w:val="1"/>
                <w:color w:val="auto"/>
              </w:rPr>
            </w:pPr>
          </w:p>
        </w:tc>
      </w:tr>
      <w:tr>
        <w:trPr>
          <w:trHeight w:val="217"/>
        </w:trPr>
        <w:tc>
          <w:tcPr>
            <w:tcW w:w="360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4"/>
                <w:szCs w:val="14"/>
                <w:color w:val="051D49"/>
              </w:rPr>
              <w:t>Executive Officer</w:t>
            </w:r>
          </w:p>
        </w:tc>
        <w:tc>
          <w:tcPr>
            <w:tcW w:w="10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051D49"/>
              </w:rPr>
              <w:t>($)(a)</w:t>
            </w:r>
          </w:p>
        </w:tc>
        <w:tc>
          <w:tcPr>
            <w:tcW w:w="102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051D49"/>
                <w:w w:val="99"/>
              </w:rPr>
              <w:t>($)(b)</w:t>
            </w:r>
          </w:p>
        </w:tc>
        <w:tc>
          <w:tcPr>
            <w:tcW w:w="1120" w:type="dxa"/>
            <w:vAlign w:val="bottom"/>
            <w:tcBorders>
              <w:bottom w:val="single" w:sz="8" w:color="E5E5E5"/>
            </w:tcBorders>
            <w:shd w:val="clear" w:color="auto" w:fill="E5E5E5"/>
          </w:tcPr>
          <w:p>
            <w:pPr>
              <w:jc w:val="center"/>
              <w:ind w:right="65"/>
              <w:spacing w:after="0"/>
              <w:rPr>
                <w:sz w:val="20"/>
                <w:szCs w:val="20"/>
                <w:color w:val="auto"/>
              </w:rPr>
            </w:pPr>
            <w:r>
              <w:rPr>
                <w:rFonts w:ascii="Arial" w:cs="Arial" w:eastAsia="Arial" w:hAnsi="Arial"/>
                <w:sz w:val="14"/>
                <w:szCs w:val="14"/>
                <w:color w:val="051D49"/>
              </w:rPr>
              <w:t>($)(c)</w:t>
            </w:r>
          </w:p>
        </w:tc>
        <w:tc>
          <w:tcPr>
            <w:tcW w:w="110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051D49"/>
                <w:w w:val="99"/>
              </w:rPr>
              <w:t>($)(d)</w:t>
            </w:r>
          </w:p>
        </w:tc>
        <w:tc>
          <w:tcPr>
            <w:tcW w:w="240" w:type="dxa"/>
            <w:vAlign w:val="bottom"/>
            <w:tcBorders>
              <w:bottom w:val="single" w:sz="8" w:color="E5E5E5"/>
            </w:tcBorders>
            <w:shd w:val="clear" w:color="auto" w:fill="E5E5E5"/>
          </w:tcPr>
          <w:p>
            <w:pPr>
              <w:spacing w:after="0"/>
              <w:rPr>
                <w:sz w:val="18"/>
                <w:szCs w:val="18"/>
                <w:color w:val="auto"/>
              </w:rPr>
            </w:pPr>
          </w:p>
        </w:tc>
        <w:tc>
          <w:tcPr>
            <w:tcW w:w="18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051D49"/>
                <w:w w:val="99"/>
              </w:rPr>
              <w:t>($)(e)</w:t>
            </w:r>
          </w:p>
        </w:tc>
        <w:tc>
          <w:tcPr>
            <w:tcW w:w="920" w:type="dxa"/>
            <w:vAlign w:val="bottom"/>
            <w:tcBorders>
              <w:bottom w:val="single" w:sz="8" w:color="E5E5E5"/>
            </w:tcBorders>
            <w:shd w:val="clear" w:color="auto" w:fill="E5E5E5"/>
          </w:tcPr>
          <w:p>
            <w:pPr>
              <w:jc w:val="right"/>
              <w:ind w:right="182"/>
              <w:spacing w:after="0"/>
              <w:rPr>
                <w:sz w:val="20"/>
                <w:szCs w:val="20"/>
                <w:color w:val="auto"/>
              </w:rPr>
            </w:pPr>
            <w:r>
              <w:rPr>
                <w:rFonts w:ascii="Arial" w:cs="Arial" w:eastAsia="Arial" w:hAnsi="Arial"/>
                <w:sz w:val="14"/>
                <w:szCs w:val="14"/>
                <w:color w:val="051D49"/>
              </w:rPr>
              <w:t>($)</w:t>
            </w:r>
          </w:p>
        </w:tc>
        <w:tc>
          <w:tcPr>
            <w:tcW w:w="0" w:type="dxa"/>
            <w:vAlign w:val="bottom"/>
          </w:tcPr>
          <w:p>
            <w:pPr>
              <w:spacing w:after="0"/>
              <w:rPr>
                <w:sz w:val="1"/>
                <w:szCs w:val="1"/>
                <w:color w:val="auto"/>
              </w:rPr>
            </w:pPr>
          </w:p>
        </w:tc>
      </w:tr>
      <w:tr>
        <w:trPr>
          <w:trHeight w:val="274"/>
        </w:trPr>
        <w:tc>
          <w:tcPr>
            <w:tcW w:w="3600" w:type="dxa"/>
            <w:vAlign w:val="bottom"/>
            <w:tcBorders>
              <w:bottom w:val="single" w:sz="8" w:color="051D49"/>
            </w:tcBorders>
          </w:tcPr>
          <w:p>
            <w:pPr>
              <w:ind w:left="80"/>
              <w:spacing w:after="0"/>
              <w:rPr>
                <w:sz w:val="20"/>
                <w:szCs w:val="20"/>
                <w:color w:val="auto"/>
              </w:rPr>
            </w:pPr>
            <w:r>
              <w:rPr>
                <w:rFonts w:ascii="Arial" w:cs="Arial" w:eastAsia="Arial" w:hAnsi="Arial"/>
                <w:sz w:val="16"/>
                <w:szCs w:val="16"/>
                <w:color w:val="auto"/>
              </w:rPr>
              <w:t>Robert M. Bakish</w:t>
            </w:r>
          </w:p>
        </w:tc>
        <w:tc>
          <w:tcPr>
            <w:tcW w:w="1040" w:type="dxa"/>
            <w:vAlign w:val="bottom"/>
            <w:tcBorders>
              <w:bottom w:val="single" w:sz="8" w:color="051D49"/>
            </w:tcBorders>
          </w:tcPr>
          <w:p>
            <w:pPr>
              <w:jc w:val="right"/>
              <w:ind w:right="44"/>
              <w:spacing w:after="0"/>
              <w:rPr>
                <w:sz w:val="20"/>
                <w:szCs w:val="20"/>
                <w:color w:val="auto"/>
              </w:rPr>
            </w:pPr>
            <w:r>
              <w:rPr>
                <w:rFonts w:ascii="Arial" w:cs="Arial" w:eastAsia="Arial" w:hAnsi="Arial"/>
                <w:sz w:val="16"/>
                <w:szCs w:val="16"/>
                <w:color w:val="auto"/>
              </w:rPr>
              <w:t>6,500</w:t>
            </w:r>
          </w:p>
        </w:tc>
        <w:tc>
          <w:tcPr>
            <w:tcW w:w="1020" w:type="dxa"/>
            <w:vAlign w:val="bottom"/>
            <w:tcBorders>
              <w:bottom w:val="single" w:sz="8" w:color="051D49"/>
            </w:tcBorders>
          </w:tcPr>
          <w:p>
            <w:pPr>
              <w:jc w:val="right"/>
              <w:ind w:right="44"/>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051D49"/>
            </w:tcBorders>
          </w:tcPr>
          <w:p>
            <w:pPr>
              <w:jc w:val="right"/>
              <w:ind w:right="165"/>
              <w:spacing w:after="0"/>
              <w:rPr>
                <w:sz w:val="20"/>
                <w:szCs w:val="20"/>
                <w:color w:val="auto"/>
              </w:rPr>
            </w:pPr>
            <w:r>
              <w:rPr>
                <w:rFonts w:ascii="Arial" w:cs="Arial" w:eastAsia="Arial" w:hAnsi="Arial"/>
                <w:sz w:val="16"/>
                <w:szCs w:val="16"/>
                <w:color w:val="auto"/>
              </w:rPr>
              <w:t>4,275</w:t>
            </w:r>
          </w:p>
        </w:tc>
        <w:tc>
          <w:tcPr>
            <w:tcW w:w="1100" w:type="dxa"/>
            <w:vAlign w:val="bottom"/>
            <w:tcBorders>
              <w:bottom w:val="single" w:sz="8" w:color="051D49"/>
            </w:tcBorders>
          </w:tcPr>
          <w:p>
            <w:pPr>
              <w:jc w:val="right"/>
              <w:ind w:right="244"/>
              <w:spacing w:after="0"/>
              <w:rPr>
                <w:sz w:val="20"/>
                <w:szCs w:val="20"/>
                <w:color w:val="auto"/>
              </w:rPr>
            </w:pPr>
            <w:r>
              <w:rPr>
                <w:rFonts w:ascii="Arial" w:cs="Arial" w:eastAsia="Arial" w:hAnsi="Arial"/>
                <w:sz w:val="16"/>
                <w:szCs w:val="16"/>
                <w:color w:val="auto"/>
              </w:rPr>
              <w:t>7,080</w:t>
            </w:r>
          </w:p>
        </w:tc>
        <w:tc>
          <w:tcPr>
            <w:tcW w:w="2120" w:type="dxa"/>
            <w:vAlign w:val="bottom"/>
            <w:tcBorders>
              <w:bottom w:val="single" w:sz="8" w:color="051D49"/>
            </w:tcBorders>
            <w:gridSpan w:val="2"/>
          </w:tcPr>
          <w:p>
            <w:pPr>
              <w:jc w:val="right"/>
              <w:ind w:right="605"/>
              <w:spacing w:after="0"/>
              <w:rPr>
                <w:sz w:val="20"/>
                <w:szCs w:val="20"/>
                <w:color w:val="auto"/>
              </w:rPr>
            </w:pPr>
            <w:r>
              <w:rPr>
                <w:rFonts w:ascii="Arial" w:cs="Arial" w:eastAsia="Arial" w:hAnsi="Arial"/>
                <w:sz w:val="16"/>
                <w:szCs w:val="16"/>
                <w:color w:val="auto"/>
              </w:rPr>
              <w:t>88,945</w:t>
            </w:r>
          </w:p>
        </w:tc>
        <w:tc>
          <w:tcPr>
            <w:tcW w:w="920" w:type="dxa"/>
            <w:vAlign w:val="bottom"/>
            <w:tcBorders>
              <w:bottom w:val="single" w:sz="8" w:color="051D49"/>
            </w:tcBorders>
          </w:tcPr>
          <w:p>
            <w:pPr>
              <w:jc w:val="right"/>
              <w:spacing w:after="0"/>
              <w:rPr>
                <w:sz w:val="20"/>
                <w:szCs w:val="20"/>
                <w:color w:val="auto"/>
              </w:rPr>
            </w:pPr>
            <w:r>
              <w:rPr>
                <w:rFonts w:ascii="Arial" w:cs="Arial" w:eastAsia="Arial" w:hAnsi="Arial"/>
                <w:sz w:val="16"/>
                <w:szCs w:val="16"/>
                <w:color w:val="auto"/>
              </w:rPr>
              <w:t>106,800</w:t>
            </w:r>
          </w:p>
        </w:tc>
        <w:tc>
          <w:tcPr>
            <w:tcW w:w="0" w:type="dxa"/>
            <w:vAlign w:val="bottom"/>
          </w:tcPr>
          <w:p>
            <w:pPr>
              <w:spacing w:after="0"/>
              <w:rPr>
                <w:sz w:val="1"/>
                <w:szCs w:val="1"/>
                <w:color w:val="auto"/>
              </w:rPr>
            </w:pPr>
          </w:p>
        </w:tc>
      </w:tr>
      <w:tr>
        <w:trPr>
          <w:trHeight w:val="261"/>
        </w:trPr>
        <w:tc>
          <w:tcPr>
            <w:tcW w:w="3600" w:type="dxa"/>
            <w:vAlign w:val="bottom"/>
            <w:tcBorders>
              <w:bottom w:val="single" w:sz="8" w:color="051D49"/>
            </w:tcBorders>
          </w:tcPr>
          <w:p>
            <w:pPr>
              <w:ind w:left="80"/>
              <w:spacing w:after="0"/>
              <w:rPr>
                <w:sz w:val="20"/>
                <w:szCs w:val="20"/>
                <w:color w:val="auto"/>
              </w:rPr>
            </w:pPr>
            <w:r>
              <w:rPr>
                <w:rFonts w:ascii="Arial" w:cs="Arial" w:eastAsia="Arial" w:hAnsi="Arial"/>
                <w:sz w:val="16"/>
                <w:szCs w:val="16"/>
                <w:color w:val="auto"/>
              </w:rPr>
              <w:t>Naveen Chopra</w:t>
            </w:r>
          </w:p>
        </w:tc>
        <w:tc>
          <w:tcPr>
            <w:tcW w:w="1040" w:type="dxa"/>
            <w:vAlign w:val="bottom"/>
            <w:tcBorders>
              <w:bottom w:val="single" w:sz="8" w:color="051D49"/>
            </w:tcBorders>
          </w:tcPr>
          <w:p>
            <w:pPr>
              <w:jc w:val="right"/>
              <w:ind w:right="44"/>
              <w:spacing w:after="0"/>
              <w:rPr>
                <w:sz w:val="20"/>
                <w:szCs w:val="20"/>
                <w:color w:val="auto"/>
              </w:rPr>
            </w:pPr>
            <w:r>
              <w:rPr>
                <w:rFonts w:ascii="Arial" w:cs="Arial" w:eastAsia="Arial" w:hAnsi="Arial"/>
                <w:sz w:val="16"/>
                <w:szCs w:val="16"/>
                <w:color w:val="auto"/>
              </w:rPr>
              <w:t>14,500</w:t>
            </w:r>
          </w:p>
        </w:tc>
        <w:tc>
          <w:tcPr>
            <w:tcW w:w="1020" w:type="dxa"/>
            <w:vAlign w:val="bottom"/>
            <w:tcBorders>
              <w:bottom w:val="single" w:sz="8" w:color="051D49"/>
            </w:tcBorders>
          </w:tcPr>
          <w:p>
            <w:pPr>
              <w:jc w:val="right"/>
              <w:ind w:right="44"/>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051D49"/>
            </w:tcBorders>
          </w:tcPr>
          <w:p>
            <w:pPr>
              <w:jc w:val="right"/>
              <w:ind w:right="165"/>
              <w:spacing w:after="0"/>
              <w:rPr>
                <w:sz w:val="20"/>
                <w:szCs w:val="20"/>
                <w:color w:val="auto"/>
              </w:rPr>
            </w:pPr>
            <w:r>
              <w:rPr>
                <w:rFonts w:ascii="Arial" w:cs="Arial" w:eastAsia="Arial" w:hAnsi="Arial"/>
                <w:sz w:val="16"/>
                <w:szCs w:val="16"/>
                <w:color w:val="auto"/>
              </w:rPr>
              <w:t>4,275</w:t>
            </w:r>
          </w:p>
        </w:tc>
        <w:tc>
          <w:tcPr>
            <w:tcW w:w="1100" w:type="dxa"/>
            <w:vAlign w:val="bottom"/>
            <w:tcBorders>
              <w:bottom w:val="single" w:sz="8" w:color="051D49"/>
            </w:tcBorders>
          </w:tcPr>
          <w:p>
            <w:pPr>
              <w:jc w:val="right"/>
              <w:ind w:right="244"/>
              <w:spacing w:after="0"/>
              <w:rPr>
                <w:sz w:val="20"/>
                <w:szCs w:val="20"/>
                <w:color w:val="auto"/>
              </w:rPr>
            </w:pPr>
            <w:r>
              <w:rPr>
                <w:rFonts w:ascii="Arial" w:cs="Arial" w:eastAsia="Arial" w:hAnsi="Arial"/>
                <w:sz w:val="16"/>
                <w:szCs w:val="16"/>
                <w:color w:val="auto"/>
              </w:rPr>
              <w:t>1,982</w:t>
            </w:r>
          </w:p>
        </w:tc>
        <w:tc>
          <w:tcPr>
            <w:tcW w:w="240" w:type="dxa"/>
            <w:vAlign w:val="bottom"/>
            <w:tcBorders>
              <w:bottom w:val="single" w:sz="8" w:color="051D49"/>
            </w:tcBorders>
          </w:tcPr>
          <w:p>
            <w:pPr>
              <w:spacing w:after="0"/>
              <w:rPr>
                <w:sz w:val="22"/>
                <w:szCs w:val="22"/>
                <w:color w:val="auto"/>
              </w:rPr>
            </w:pPr>
          </w:p>
        </w:tc>
        <w:tc>
          <w:tcPr>
            <w:tcW w:w="1880" w:type="dxa"/>
            <w:vAlign w:val="bottom"/>
            <w:tcBorders>
              <w:bottom w:val="single" w:sz="8" w:color="051D49"/>
            </w:tcBorders>
          </w:tcPr>
          <w:p>
            <w:pPr>
              <w:jc w:val="right"/>
              <w:ind w:right="605"/>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51D49"/>
            </w:tcBorders>
          </w:tcPr>
          <w:p>
            <w:pPr>
              <w:jc w:val="right"/>
              <w:spacing w:after="0"/>
              <w:rPr>
                <w:sz w:val="20"/>
                <w:szCs w:val="20"/>
                <w:color w:val="auto"/>
              </w:rPr>
            </w:pPr>
            <w:r>
              <w:rPr>
                <w:rFonts w:ascii="Arial" w:cs="Arial" w:eastAsia="Arial" w:hAnsi="Arial"/>
                <w:sz w:val="16"/>
                <w:szCs w:val="16"/>
                <w:color w:val="auto"/>
              </w:rPr>
              <w:t>20,757</w:t>
            </w:r>
          </w:p>
        </w:tc>
        <w:tc>
          <w:tcPr>
            <w:tcW w:w="0" w:type="dxa"/>
            <w:vAlign w:val="bottom"/>
          </w:tcPr>
          <w:p>
            <w:pPr>
              <w:spacing w:after="0"/>
              <w:rPr>
                <w:sz w:val="1"/>
                <w:szCs w:val="1"/>
                <w:color w:val="auto"/>
              </w:rPr>
            </w:pPr>
          </w:p>
        </w:tc>
      </w:tr>
      <w:tr>
        <w:trPr>
          <w:trHeight w:val="261"/>
        </w:trPr>
        <w:tc>
          <w:tcPr>
            <w:tcW w:w="3600" w:type="dxa"/>
            <w:vAlign w:val="bottom"/>
            <w:tcBorders>
              <w:bottom w:val="single" w:sz="8" w:color="051D49"/>
            </w:tcBorders>
          </w:tcPr>
          <w:p>
            <w:pPr>
              <w:ind w:left="80"/>
              <w:spacing w:after="0"/>
              <w:rPr>
                <w:sz w:val="20"/>
                <w:szCs w:val="20"/>
                <w:color w:val="auto"/>
              </w:rPr>
            </w:pPr>
            <w:r>
              <w:rPr>
                <w:rFonts w:ascii="Arial" w:cs="Arial" w:eastAsia="Arial" w:hAnsi="Arial"/>
                <w:sz w:val="16"/>
                <w:szCs w:val="16"/>
                <w:color w:val="auto"/>
              </w:rPr>
              <w:t>Christa A. D’Alimonte</w:t>
            </w:r>
          </w:p>
        </w:tc>
        <w:tc>
          <w:tcPr>
            <w:tcW w:w="1040" w:type="dxa"/>
            <w:vAlign w:val="bottom"/>
            <w:tcBorders>
              <w:bottom w:val="single" w:sz="8" w:color="051D49"/>
            </w:tcBorders>
          </w:tcPr>
          <w:p>
            <w:pPr>
              <w:jc w:val="right"/>
              <w:ind w:right="44"/>
              <w:spacing w:after="0"/>
              <w:rPr>
                <w:sz w:val="20"/>
                <w:szCs w:val="20"/>
                <w:color w:val="auto"/>
              </w:rPr>
            </w:pPr>
            <w:r>
              <w:rPr>
                <w:rFonts w:ascii="Arial" w:cs="Arial" w:eastAsia="Arial" w:hAnsi="Arial"/>
                <w:sz w:val="16"/>
                <w:szCs w:val="16"/>
                <w:color w:val="auto"/>
              </w:rPr>
              <w:t>4,875</w:t>
            </w:r>
          </w:p>
        </w:tc>
        <w:tc>
          <w:tcPr>
            <w:tcW w:w="1020" w:type="dxa"/>
            <w:vAlign w:val="bottom"/>
            <w:tcBorders>
              <w:bottom w:val="single" w:sz="8" w:color="051D49"/>
            </w:tcBorders>
          </w:tcPr>
          <w:p>
            <w:pPr>
              <w:jc w:val="right"/>
              <w:ind w:right="44"/>
              <w:spacing w:after="0"/>
              <w:rPr>
                <w:sz w:val="20"/>
                <w:szCs w:val="20"/>
                <w:color w:val="auto"/>
              </w:rPr>
            </w:pPr>
            <w:r>
              <w:rPr>
                <w:rFonts w:ascii="Arial" w:cs="Arial" w:eastAsia="Arial" w:hAnsi="Arial"/>
                <w:sz w:val="16"/>
                <w:szCs w:val="16"/>
                <w:color w:val="auto"/>
              </w:rPr>
              <w:t>14,087</w:t>
            </w:r>
          </w:p>
        </w:tc>
        <w:tc>
          <w:tcPr>
            <w:tcW w:w="1120" w:type="dxa"/>
            <w:vAlign w:val="bottom"/>
            <w:tcBorders>
              <w:bottom w:val="single" w:sz="8" w:color="051D49"/>
            </w:tcBorders>
          </w:tcPr>
          <w:p>
            <w:pPr>
              <w:jc w:val="right"/>
              <w:ind w:right="165"/>
              <w:spacing w:after="0"/>
              <w:rPr>
                <w:sz w:val="20"/>
                <w:szCs w:val="20"/>
                <w:color w:val="auto"/>
              </w:rPr>
            </w:pPr>
            <w:r>
              <w:rPr>
                <w:rFonts w:ascii="Arial" w:cs="Arial" w:eastAsia="Arial" w:hAnsi="Arial"/>
                <w:sz w:val="16"/>
                <w:szCs w:val="16"/>
                <w:color w:val="auto"/>
              </w:rPr>
              <w:t>4,275</w:t>
            </w:r>
          </w:p>
        </w:tc>
        <w:tc>
          <w:tcPr>
            <w:tcW w:w="1100" w:type="dxa"/>
            <w:vAlign w:val="bottom"/>
            <w:tcBorders>
              <w:bottom w:val="single" w:sz="8" w:color="051D49"/>
            </w:tcBorders>
          </w:tcPr>
          <w:p>
            <w:pPr>
              <w:jc w:val="right"/>
              <w:ind w:right="244"/>
              <w:spacing w:after="0"/>
              <w:rPr>
                <w:sz w:val="20"/>
                <w:szCs w:val="20"/>
                <w:color w:val="auto"/>
              </w:rPr>
            </w:pPr>
            <w:r>
              <w:rPr>
                <w:rFonts w:ascii="Arial" w:cs="Arial" w:eastAsia="Arial" w:hAnsi="Arial"/>
                <w:sz w:val="16"/>
                <w:szCs w:val="16"/>
                <w:color w:val="auto"/>
              </w:rPr>
              <w:t>1,770</w:t>
            </w:r>
          </w:p>
        </w:tc>
        <w:tc>
          <w:tcPr>
            <w:tcW w:w="240" w:type="dxa"/>
            <w:vAlign w:val="bottom"/>
            <w:tcBorders>
              <w:bottom w:val="single" w:sz="8" w:color="051D49"/>
            </w:tcBorders>
          </w:tcPr>
          <w:p>
            <w:pPr>
              <w:spacing w:after="0"/>
              <w:rPr>
                <w:sz w:val="22"/>
                <w:szCs w:val="22"/>
                <w:color w:val="auto"/>
              </w:rPr>
            </w:pPr>
          </w:p>
        </w:tc>
        <w:tc>
          <w:tcPr>
            <w:tcW w:w="1880" w:type="dxa"/>
            <w:vAlign w:val="bottom"/>
            <w:tcBorders>
              <w:bottom w:val="single" w:sz="8" w:color="051D49"/>
            </w:tcBorders>
          </w:tcPr>
          <w:p>
            <w:pPr>
              <w:jc w:val="right"/>
              <w:ind w:right="605"/>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51D49"/>
            </w:tcBorders>
          </w:tcPr>
          <w:p>
            <w:pPr>
              <w:jc w:val="right"/>
              <w:spacing w:after="0"/>
              <w:rPr>
                <w:sz w:val="20"/>
                <w:szCs w:val="20"/>
                <w:color w:val="auto"/>
              </w:rPr>
            </w:pPr>
            <w:r>
              <w:rPr>
                <w:rFonts w:ascii="Arial" w:cs="Arial" w:eastAsia="Arial" w:hAnsi="Arial"/>
                <w:sz w:val="16"/>
                <w:szCs w:val="16"/>
                <w:color w:val="auto"/>
              </w:rPr>
              <w:t>25,007</w:t>
            </w:r>
          </w:p>
        </w:tc>
        <w:tc>
          <w:tcPr>
            <w:tcW w:w="0" w:type="dxa"/>
            <w:vAlign w:val="bottom"/>
          </w:tcPr>
          <w:p>
            <w:pPr>
              <w:spacing w:after="0"/>
              <w:rPr>
                <w:sz w:val="1"/>
                <w:szCs w:val="1"/>
                <w:color w:val="auto"/>
              </w:rPr>
            </w:pPr>
          </w:p>
        </w:tc>
      </w:tr>
      <w:tr>
        <w:trPr>
          <w:trHeight w:val="261"/>
        </w:trPr>
        <w:tc>
          <w:tcPr>
            <w:tcW w:w="3600" w:type="dxa"/>
            <w:vAlign w:val="bottom"/>
            <w:tcBorders>
              <w:bottom w:val="single" w:sz="8" w:color="051D49"/>
            </w:tcBorders>
          </w:tcPr>
          <w:p>
            <w:pPr>
              <w:ind w:left="80"/>
              <w:spacing w:after="0"/>
              <w:rPr>
                <w:sz w:val="20"/>
                <w:szCs w:val="20"/>
                <w:color w:val="auto"/>
              </w:rPr>
            </w:pPr>
            <w:r>
              <w:rPr>
                <w:rFonts w:ascii="Arial" w:cs="Arial" w:eastAsia="Arial" w:hAnsi="Arial"/>
                <w:sz w:val="16"/>
                <w:szCs w:val="16"/>
                <w:color w:val="auto"/>
              </w:rPr>
              <w:t>Doretha F. Lea</w:t>
            </w:r>
          </w:p>
        </w:tc>
        <w:tc>
          <w:tcPr>
            <w:tcW w:w="1040" w:type="dxa"/>
            <w:vAlign w:val="bottom"/>
            <w:tcBorders>
              <w:bottom w:val="single" w:sz="8" w:color="051D49"/>
            </w:tcBorders>
          </w:tcPr>
          <w:p>
            <w:pPr>
              <w:jc w:val="right"/>
              <w:ind w:right="44"/>
              <w:spacing w:after="0"/>
              <w:rPr>
                <w:sz w:val="20"/>
                <w:szCs w:val="20"/>
                <w:color w:val="auto"/>
              </w:rPr>
            </w:pPr>
            <w:r>
              <w:rPr>
                <w:rFonts w:ascii="Arial" w:cs="Arial" w:eastAsia="Arial" w:hAnsi="Arial"/>
                <w:sz w:val="16"/>
                <w:szCs w:val="16"/>
                <w:color w:val="auto"/>
              </w:rPr>
              <w:t>8,855</w:t>
            </w:r>
          </w:p>
        </w:tc>
        <w:tc>
          <w:tcPr>
            <w:tcW w:w="1020" w:type="dxa"/>
            <w:vAlign w:val="bottom"/>
            <w:tcBorders>
              <w:bottom w:val="single" w:sz="8" w:color="051D49"/>
            </w:tcBorders>
          </w:tcPr>
          <w:p>
            <w:pPr>
              <w:jc w:val="right"/>
              <w:ind w:right="44"/>
              <w:spacing w:after="0"/>
              <w:rPr>
                <w:sz w:val="20"/>
                <w:szCs w:val="20"/>
                <w:color w:val="auto"/>
              </w:rPr>
            </w:pPr>
            <w:r>
              <w:rPr>
                <w:rFonts w:ascii="Arial" w:cs="Arial" w:eastAsia="Arial" w:hAnsi="Arial"/>
                <w:sz w:val="16"/>
                <w:szCs w:val="16"/>
                <w:color w:val="auto"/>
              </w:rPr>
              <w:t>11,301</w:t>
            </w:r>
          </w:p>
        </w:tc>
        <w:tc>
          <w:tcPr>
            <w:tcW w:w="1120" w:type="dxa"/>
            <w:vAlign w:val="bottom"/>
            <w:tcBorders>
              <w:bottom w:val="single" w:sz="8" w:color="051D49"/>
            </w:tcBorders>
          </w:tcPr>
          <w:p>
            <w:pPr>
              <w:jc w:val="right"/>
              <w:ind w:right="165"/>
              <w:spacing w:after="0"/>
              <w:rPr>
                <w:sz w:val="20"/>
                <w:szCs w:val="20"/>
                <w:color w:val="auto"/>
              </w:rPr>
            </w:pPr>
            <w:r>
              <w:rPr>
                <w:rFonts w:ascii="Arial" w:cs="Arial" w:eastAsia="Arial" w:hAnsi="Arial"/>
                <w:sz w:val="16"/>
                <w:szCs w:val="16"/>
                <w:color w:val="auto"/>
              </w:rPr>
              <w:t>4,275</w:t>
            </w:r>
          </w:p>
        </w:tc>
        <w:tc>
          <w:tcPr>
            <w:tcW w:w="1100" w:type="dxa"/>
            <w:vAlign w:val="bottom"/>
            <w:tcBorders>
              <w:bottom w:val="single" w:sz="8" w:color="051D49"/>
            </w:tcBorders>
          </w:tcPr>
          <w:p>
            <w:pPr>
              <w:jc w:val="right"/>
              <w:ind w:right="244"/>
              <w:spacing w:after="0"/>
              <w:rPr>
                <w:sz w:val="20"/>
                <w:szCs w:val="20"/>
                <w:color w:val="auto"/>
              </w:rPr>
            </w:pPr>
            <w:r>
              <w:rPr>
                <w:rFonts w:ascii="Arial" w:cs="Arial" w:eastAsia="Arial" w:hAnsi="Arial"/>
                <w:sz w:val="16"/>
                <w:szCs w:val="16"/>
                <w:color w:val="auto"/>
              </w:rPr>
              <w:t>1,291</w:t>
            </w:r>
          </w:p>
        </w:tc>
        <w:tc>
          <w:tcPr>
            <w:tcW w:w="240" w:type="dxa"/>
            <w:vAlign w:val="bottom"/>
            <w:tcBorders>
              <w:bottom w:val="single" w:sz="8" w:color="051D49"/>
            </w:tcBorders>
          </w:tcPr>
          <w:p>
            <w:pPr>
              <w:spacing w:after="0"/>
              <w:rPr>
                <w:sz w:val="22"/>
                <w:szCs w:val="22"/>
                <w:color w:val="auto"/>
              </w:rPr>
            </w:pPr>
          </w:p>
        </w:tc>
        <w:tc>
          <w:tcPr>
            <w:tcW w:w="1880" w:type="dxa"/>
            <w:vAlign w:val="bottom"/>
            <w:tcBorders>
              <w:bottom w:val="single" w:sz="8" w:color="051D49"/>
            </w:tcBorders>
          </w:tcPr>
          <w:p>
            <w:pPr>
              <w:jc w:val="right"/>
              <w:ind w:right="605"/>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51D49"/>
            </w:tcBorders>
          </w:tcPr>
          <w:p>
            <w:pPr>
              <w:jc w:val="right"/>
              <w:spacing w:after="0"/>
              <w:rPr>
                <w:sz w:val="20"/>
                <w:szCs w:val="20"/>
                <w:color w:val="auto"/>
              </w:rPr>
            </w:pPr>
            <w:r>
              <w:rPr>
                <w:rFonts w:ascii="Arial" w:cs="Arial" w:eastAsia="Arial" w:hAnsi="Arial"/>
                <w:sz w:val="16"/>
                <w:szCs w:val="16"/>
                <w:color w:val="auto"/>
              </w:rPr>
              <w:t>25,722</w:t>
            </w:r>
          </w:p>
        </w:tc>
        <w:tc>
          <w:tcPr>
            <w:tcW w:w="0" w:type="dxa"/>
            <w:vAlign w:val="bottom"/>
          </w:tcPr>
          <w:p>
            <w:pPr>
              <w:spacing w:after="0"/>
              <w:rPr>
                <w:sz w:val="1"/>
                <w:szCs w:val="1"/>
                <w:color w:val="auto"/>
              </w:rPr>
            </w:pPr>
          </w:p>
        </w:tc>
      </w:tr>
      <w:tr>
        <w:trPr>
          <w:trHeight w:val="261"/>
        </w:trPr>
        <w:tc>
          <w:tcPr>
            <w:tcW w:w="3600" w:type="dxa"/>
            <w:vAlign w:val="bottom"/>
            <w:tcBorders>
              <w:bottom w:val="single" w:sz="8" w:color="051D49"/>
            </w:tcBorders>
          </w:tcPr>
          <w:p>
            <w:pPr>
              <w:ind w:left="80"/>
              <w:spacing w:after="0"/>
              <w:rPr>
                <w:sz w:val="20"/>
                <w:szCs w:val="20"/>
                <w:color w:val="auto"/>
              </w:rPr>
            </w:pPr>
            <w:r>
              <w:rPr>
                <w:rFonts w:ascii="Arial" w:cs="Arial" w:eastAsia="Arial" w:hAnsi="Arial"/>
                <w:sz w:val="16"/>
                <w:szCs w:val="16"/>
                <w:color w:val="auto"/>
              </w:rPr>
              <w:t>Nancy Phillips</w:t>
            </w:r>
          </w:p>
        </w:tc>
        <w:tc>
          <w:tcPr>
            <w:tcW w:w="1040" w:type="dxa"/>
            <w:vAlign w:val="bottom"/>
            <w:tcBorders>
              <w:bottom w:val="single" w:sz="8" w:color="051D49"/>
            </w:tcBorders>
          </w:tcPr>
          <w:p>
            <w:pPr>
              <w:jc w:val="right"/>
              <w:ind w:right="44"/>
              <w:spacing w:after="0"/>
              <w:rPr>
                <w:sz w:val="20"/>
                <w:szCs w:val="20"/>
                <w:color w:val="auto"/>
              </w:rPr>
            </w:pPr>
            <w:r>
              <w:rPr>
                <w:rFonts w:ascii="Arial" w:cs="Arial" w:eastAsia="Arial" w:hAnsi="Arial"/>
                <w:sz w:val="16"/>
                <w:szCs w:val="16"/>
                <w:color w:val="auto"/>
              </w:rPr>
              <w:t>13,929</w:t>
            </w:r>
          </w:p>
        </w:tc>
        <w:tc>
          <w:tcPr>
            <w:tcW w:w="1020" w:type="dxa"/>
            <w:vAlign w:val="bottom"/>
            <w:tcBorders>
              <w:bottom w:val="single" w:sz="8" w:color="051D49"/>
            </w:tcBorders>
          </w:tcPr>
          <w:p>
            <w:pPr>
              <w:jc w:val="right"/>
              <w:ind w:right="44"/>
              <w:spacing w:after="0"/>
              <w:rPr>
                <w:sz w:val="20"/>
                <w:szCs w:val="20"/>
                <w:color w:val="auto"/>
              </w:rPr>
            </w:pPr>
            <w:r>
              <w:rPr>
                <w:rFonts w:ascii="Arial" w:cs="Arial" w:eastAsia="Arial" w:hAnsi="Arial"/>
                <w:sz w:val="16"/>
                <w:szCs w:val="16"/>
                <w:color w:val="auto"/>
              </w:rPr>
              <w:t>7,750</w:t>
            </w:r>
          </w:p>
        </w:tc>
        <w:tc>
          <w:tcPr>
            <w:tcW w:w="1120" w:type="dxa"/>
            <w:vAlign w:val="bottom"/>
            <w:tcBorders>
              <w:bottom w:val="single" w:sz="8" w:color="051D49"/>
            </w:tcBorders>
          </w:tcPr>
          <w:p>
            <w:pPr>
              <w:jc w:val="right"/>
              <w:ind w:right="165"/>
              <w:spacing w:after="0"/>
              <w:rPr>
                <w:sz w:val="20"/>
                <w:szCs w:val="20"/>
                <w:color w:val="auto"/>
              </w:rPr>
            </w:pPr>
            <w:r>
              <w:rPr>
                <w:rFonts w:ascii="Arial" w:cs="Arial" w:eastAsia="Arial" w:hAnsi="Arial"/>
                <w:sz w:val="16"/>
                <w:szCs w:val="16"/>
                <w:color w:val="auto"/>
              </w:rPr>
              <w:t>4,275</w:t>
            </w:r>
          </w:p>
        </w:tc>
        <w:tc>
          <w:tcPr>
            <w:tcW w:w="1100" w:type="dxa"/>
            <w:vAlign w:val="bottom"/>
            <w:tcBorders>
              <w:bottom w:val="single" w:sz="8" w:color="051D49"/>
            </w:tcBorders>
          </w:tcPr>
          <w:p>
            <w:pPr>
              <w:jc w:val="right"/>
              <w:ind w:right="244"/>
              <w:spacing w:after="0"/>
              <w:rPr>
                <w:sz w:val="20"/>
                <w:szCs w:val="20"/>
                <w:color w:val="auto"/>
              </w:rPr>
            </w:pPr>
            <w:r>
              <w:rPr>
                <w:rFonts w:ascii="Arial" w:cs="Arial" w:eastAsia="Arial" w:hAnsi="Arial"/>
                <w:sz w:val="16"/>
                <w:szCs w:val="16"/>
                <w:color w:val="auto"/>
              </w:rPr>
              <w:t>1,116</w:t>
            </w:r>
          </w:p>
        </w:tc>
        <w:tc>
          <w:tcPr>
            <w:tcW w:w="240" w:type="dxa"/>
            <w:vAlign w:val="bottom"/>
            <w:tcBorders>
              <w:bottom w:val="single" w:sz="8" w:color="051D49"/>
            </w:tcBorders>
          </w:tcPr>
          <w:p>
            <w:pPr>
              <w:spacing w:after="0"/>
              <w:rPr>
                <w:sz w:val="22"/>
                <w:szCs w:val="22"/>
                <w:color w:val="auto"/>
              </w:rPr>
            </w:pPr>
          </w:p>
        </w:tc>
        <w:tc>
          <w:tcPr>
            <w:tcW w:w="1880" w:type="dxa"/>
            <w:vAlign w:val="bottom"/>
            <w:tcBorders>
              <w:bottom w:val="single" w:sz="8" w:color="051D49"/>
            </w:tcBorders>
          </w:tcPr>
          <w:p>
            <w:pPr>
              <w:jc w:val="right"/>
              <w:ind w:right="605"/>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51D49"/>
            </w:tcBorders>
          </w:tcPr>
          <w:p>
            <w:pPr>
              <w:jc w:val="right"/>
              <w:spacing w:after="0"/>
              <w:rPr>
                <w:sz w:val="20"/>
                <w:szCs w:val="20"/>
                <w:color w:val="auto"/>
              </w:rPr>
            </w:pPr>
            <w:r>
              <w:rPr>
                <w:rFonts w:ascii="Arial" w:cs="Arial" w:eastAsia="Arial" w:hAnsi="Arial"/>
                <w:sz w:val="16"/>
                <w:szCs w:val="16"/>
                <w:color w:val="auto"/>
              </w:rPr>
              <w:t>27,070</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020" w:hanging="425"/>
        <w:spacing w:after="0"/>
        <w:tabs>
          <w:tab w:leader="none" w:pos="10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Represents Company matching contributions made for 2021 under the applicable Company-sponsored 401(k) plan.</w:t>
      </w:r>
    </w:p>
    <w:p>
      <w:pPr>
        <w:spacing w:after="0" w:line="83" w:lineRule="exact"/>
        <w:rPr>
          <w:rFonts w:ascii="Arial" w:cs="Arial" w:eastAsia="Arial" w:hAnsi="Arial"/>
          <w:sz w:val="16"/>
          <w:szCs w:val="16"/>
          <w:color w:val="auto"/>
        </w:rPr>
      </w:pPr>
    </w:p>
    <w:p>
      <w:pPr>
        <w:ind w:left="1020" w:hanging="425"/>
        <w:spacing w:after="0"/>
        <w:tabs>
          <w:tab w:leader="none" w:pos="10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Represents Company matching contributions made for 2021 under our excess 401(k) plan.</w:t>
      </w:r>
    </w:p>
    <w:p>
      <w:pPr>
        <w:spacing w:after="0" w:line="83" w:lineRule="exact"/>
        <w:rPr>
          <w:rFonts w:ascii="Arial" w:cs="Arial" w:eastAsia="Arial" w:hAnsi="Arial"/>
          <w:sz w:val="16"/>
          <w:szCs w:val="16"/>
          <w:color w:val="auto"/>
        </w:rPr>
      </w:pPr>
    </w:p>
    <w:p>
      <w:pPr>
        <w:ind w:left="1020" w:hanging="425"/>
        <w:spacing w:after="0"/>
        <w:tabs>
          <w:tab w:leader="none" w:pos="10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Represents Company profit sharing contributions made for 2021 under the applicable Company-sponsored 401(k) plan.</w:t>
      </w:r>
    </w:p>
    <w:p>
      <w:pPr>
        <w:spacing w:after="0" w:line="83" w:lineRule="exact"/>
        <w:rPr>
          <w:rFonts w:ascii="Arial" w:cs="Arial" w:eastAsia="Arial" w:hAnsi="Arial"/>
          <w:sz w:val="16"/>
          <w:szCs w:val="16"/>
          <w:color w:val="auto"/>
        </w:rPr>
      </w:pPr>
    </w:p>
    <w:p>
      <w:pPr>
        <w:ind w:left="1020" w:hanging="425"/>
        <w:spacing w:after="0"/>
        <w:tabs>
          <w:tab w:leader="none" w:pos="10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Represents premiums paid by us in 2021 for life insurance coverage.</w:t>
      </w:r>
    </w:p>
    <w:p>
      <w:pPr>
        <w:spacing w:after="0" w:line="83" w:lineRule="exact"/>
        <w:rPr>
          <w:rFonts w:ascii="Arial" w:cs="Arial" w:eastAsia="Arial" w:hAnsi="Arial"/>
          <w:sz w:val="16"/>
          <w:szCs w:val="16"/>
          <w:color w:val="auto"/>
        </w:rPr>
      </w:pPr>
    </w:p>
    <w:p>
      <w:pPr>
        <w:ind w:left="1020" w:right="40" w:hanging="425"/>
        <w:spacing w:after="0" w:line="250" w:lineRule="auto"/>
        <w:tabs>
          <w:tab w:leader="none" w:pos="10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amounts of perquisites and other personal benefits shown in this column include (i) $28,760, attributable to the personal use of a car and driver and/or personal use of car service, all provided for business-related security reasons and (ii) $60,185 in incremental cost to us of the personal use of our aircraft. The incremental cost to us of the personal use of our aircraft is calculated by dividing the total variable costs (including fuel, maintenance, landing and navigation fees, catering, flight crew trip expenses, telecommunications, supplies and miscellaneous expenses) by the total flight hours for such year and multiplying such amount by the executive’s total number of flight hours for his personal use for the year (including flights made to reposition the plane in connection with such personal use). Fixed costs that do not change based on usage, such as pilot salaries, hangar rental and insurance, are excluded.</w:t>
      </w:r>
    </w:p>
    <w:p>
      <w:pPr>
        <w:spacing w:after="0" w:line="49" w:lineRule="exact"/>
        <w:rPr>
          <w:rFonts w:ascii="Arial" w:cs="Arial" w:eastAsia="Arial" w:hAnsi="Arial"/>
          <w:sz w:val="16"/>
          <w:szCs w:val="16"/>
          <w:color w:val="auto"/>
        </w:rPr>
      </w:pPr>
    </w:p>
    <w:p>
      <w:pPr>
        <w:ind w:left="600" w:right="120" w:hanging="433"/>
        <w:spacing w:after="0" w:line="250" w:lineRule="auto"/>
        <w:tabs>
          <w:tab w:leader="none" w:pos="6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Mr. Bakish became our President and Chief Executive Officer on December 4, 2019, following the closing of the Merger. Except for the amounts reported in the “Bonus” column, which are described in footnote (2), amounts reported for Mr. Bakish for 2019 reflect compensation we paid to him during the portion of 2019 for which he was employed by us. As disclosed in our 2021 proxy statement, we estimate that Mr. Bakish’s annual total compensation for 2019 would have been approximately $36,572,367 if all compensation elements for Mr. Bakish in 2019 were annualized, excluding the amounts in the “Bonus” and “Stock Awards” columns, but adding (i) his target annual bonus ($12.4 million), (ii) his target annual equity award incentive ($16 million), in each case pursuant to his employment agreement, and (iii) the grant date fair value of the one-time transaction award ($5 million) granted in December 2019.</w:t>
      </w:r>
    </w:p>
    <w:p>
      <w:pPr>
        <w:spacing w:after="0" w:line="49" w:lineRule="exact"/>
        <w:rPr>
          <w:rFonts w:ascii="Arial" w:cs="Arial" w:eastAsia="Arial" w:hAnsi="Arial"/>
          <w:sz w:val="16"/>
          <w:szCs w:val="16"/>
          <w:color w:val="auto"/>
        </w:rPr>
      </w:pPr>
    </w:p>
    <w:p>
      <w:pPr>
        <w:ind w:left="600" w:right="960" w:hanging="433"/>
        <w:spacing w:after="0" w:line="279" w:lineRule="auto"/>
        <w:tabs>
          <w:tab w:leader="none" w:pos="6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Mr. Chopra became our Executive Vice President, Chief Financial Officer on August 10, 2020. Amounts reported for Mr. Chopra reflect compensation paid to him during the portion of 2020 for which he was employed by us.</w:t>
      </w:r>
    </w:p>
    <w:p>
      <w:pPr>
        <w:spacing w:after="0" w:line="26" w:lineRule="exact"/>
        <w:rPr>
          <w:rFonts w:ascii="Arial" w:cs="Arial" w:eastAsia="Arial" w:hAnsi="Arial"/>
          <w:sz w:val="16"/>
          <w:szCs w:val="16"/>
          <w:color w:val="auto"/>
        </w:rPr>
      </w:pPr>
    </w:p>
    <w:p>
      <w:pPr>
        <w:jc w:val="both"/>
        <w:ind w:left="600" w:right="220" w:hanging="433"/>
        <w:spacing w:after="0" w:line="262" w:lineRule="auto"/>
        <w:tabs>
          <w:tab w:leader="none" w:pos="6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Ms. D’Alimonte became our Executive Vice President, General Counsel and Secretary on December 4, 2019, following the closing of the Merger. Except for the amounts reported in the “Bonus” column, which are described in footnote (2), amounts reported for Ms. D’Alimonte for 2019 reflect compensation we paid to her during the portion of 2019 for which she was employed by us.</w:t>
      </w:r>
    </w:p>
    <w:p>
      <w:pPr>
        <w:spacing w:after="0" w:line="39" w:lineRule="exact"/>
        <w:rPr>
          <w:rFonts w:ascii="Arial" w:cs="Arial" w:eastAsia="Arial" w:hAnsi="Arial"/>
          <w:sz w:val="16"/>
          <w:szCs w:val="16"/>
          <w:color w:val="auto"/>
        </w:rPr>
      </w:pPr>
    </w:p>
    <w:p>
      <w:pPr>
        <w:ind w:left="600" w:hanging="433"/>
        <w:spacing w:after="0"/>
        <w:tabs>
          <w:tab w:leader="none" w:pos="6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Ms. Lea first became an NEO for fiscal year 2020; therefore, only fiscal year 2020 and 2021 information is provided.</w:t>
      </w:r>
    </w:p>
    <w:p>
      <w:pPr>
        <w:spacing w:after="0" w:line="83" w:lineRule="exact"/>
        <w:rPr>
          <w:rFonts w:ascii="Arial" w:cs="Arial" w:eastAsia="Arial" w:hAnsi="Arial"/>
          <w:sz w:val="16"/>
          <w:szCs w:val="16"/>
          <w:color w:val="auto"/>
        </w:rPr>
      </w:pPr>
    </w:p>
    <w:p>
      <w:pPr>
        <w:jc w:val="both"/>
        <w:ind w:left="600" w:right="220" w:hanging="433"/>
        <w:spacing w:after="0" w:line="262" w:lineRule="auto"/>
        <w:tabs>
          <w:tab w:leader="none" w:pos="6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Ms. Phillips became our Executive Vice President, Chief People Officer on December 4, 2019, following the closing of the Merger. Except for the amounts reported in the “Bonus” column, which are described in footnote (2), amounts reported for Ms. Phillips for 2019 reflect compensation we paid to her during the portion of 2019 for which she was employed by us.</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Employment Agreements with NEOs</w:t>
      </w:r>
    </w:p>
    <w:p>
      <w:pPr>
        <w:spacing w:after="0" w:line="101"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color w:val="auto"/>
        </w:rPr>
        <w:t>During fiscal year 2021, all NEOs had employment agreements that set forth the terms and conditions of their employment. The material terms of each of these agreements that are necessary to an understanding of the information provided in the Summary Compensation Table for Fiscal Year 2021 are provided below. See “Potential Payments Upon Termination and Certain Other Events” for a discussion of the severance payments and benefits for the NEOs in connection with a termination of their employment and, under “Compensation Discussion and Analysis,” the sections entitled “Annual Bonus Awards” and “Long-Term Incentive Program” for discussions of the terms of the bonus awards and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2374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11"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56</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80"/>
          </w:cols>
          <w:pgMar w:left="320" w:top="454" w:right="4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EXECUTIVE COMPENSATION</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1D49"/>
        </w:rPr>
        <w:t>Robert M. Bakish</w:t>
      </w:r>
    </w:p>
    <w:p>
      <w:pPr>
        <w:spacing w:after="0" w:line="99"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On August 13, 2019, Viacom entered into an employment agreement with Mr. Bakish, pursuant to which, upon the closing of the Merger, he became our President and Chief Executive Officer. Mr. Bakish’s agreement has a four-year term and provides for an annual base salary of $3.1 million per year, which shall be reviewed annually by the Compensation Committee and may be increased at the discretion of the Compensation Committee, and an annual target bonus opportunity of $12.4 million per year. Mr. Bakish is eligible to receive annual grants of equity compensation with an aggregate target value of $16 million. Pursuant to a letter agreement entered into in connection with Mr. Bakish’s employment agreement, he received a one-time grant of TRSUs with a grant date value of $5 million, vesting in equal installments on each of the first four anniversaries of the closing of the Merger. Mr. Bakish has not received a compensation increase since that time.</w:t>
      </w:r>
    </w:p>
    <w:p>
      <w:pPr>
        <w:spacing w:after="0" w:line="77" w:lineRule="exact"/>
        <w:rPr>
          <w:sz w:val="20"/>
          <w:szCs w:val="20"/>
          <w:color w:val="auto"/>
        </w:rPr>
      </w:pPr>
    </w:p>
    <w:p>
      <w:pPr>
        <w:ind w:left="160" w:right="120"/>
        <w:spacing w:after="0" w:line="243" w:lineRule="auto"/>
        <w:rPr>
          <w:sz w:val="20"/>
          <w:szCs w:val="20"/>
          <w:color w:val="auto"/>
        </w:rPr>
      </w:pPr>
      <w:r>
        <w:rPr>
          <w:rFonts w:ascii="Arial" w:cs="Arial" w:eastAsia="Arial" w:hAnsi="Arial"/>
          <w:sz w:val="18"/>
          <w:szCs w:val="18"/>
          <w:color w:val="auto"/>
        </w:rPr>
        <w:t>Mr. Bakish’s employment agreement contains certain restrictive covenants, including non-solicitation covenants, non-competition covenants, covenants prohibiting interference with business relationships and covenants protecting confidential information. The agreement also provides for severance payments and benefits in the event that his employment is terminated by us without “cause” or by him with “good reason,” or, in certain circumstances, following non-extension of his employment agreement.</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1D49"/>
        </w:rPr>
        <w:t>Naveen Chopra</w:t>
      </w:r>
    </w:p>
    <w:p>
      <w:pPr>
        <w:spacing w:after="0" w:line="99" w:lineRule="exact"/>
        <w:rPr>
          <w:sz w:val="20"/>
          <w:szCs w:val="20"/>
          <w:color w:val="auto"/>
        </w:rPr>
      </w:pPr>
    </w:p>
    <w:p>
      <w:pPr>
        <w:ind w:left="160" w:right="100"/>
        <w:spacing w:after="0" w:line="234" w:lineRule="auto"/>
        <w:rPr>
          <w:sz w:val="20"/>
          <w:szCs w:val="20"/>
          <w:color w:val="auto"/>
        </w:rPr>
      </w:pPr>
      <w:r>
        <w:rPr>
          <w:rFonts w:ascii="Arial" w:cs="Arial" w:eastAsia="Arial" w:hAnsi="Arial"/>
          <w:sz w:val="18"/>
          <w:szCs w:val="18"/>
          <w:color w:val="auto"/>
        </w:rPr>
        <w:t>On June 30, 2020, we entered into an employment agreement with Mr. Chopra, pursuant to which he became our Executive Vice President, Chief Financial Officer, effective August 10, 2020, as well as a letter agreement setting forth additional terms of Mr. Chopra’s compensation. The employment agreement has a three-year term and provides for an annual base salary of $1.4 million, which shall be reviewed annually by the Compensation Committee and may be increased at the discretion of the Compensation Committee, and an annual target bonus of 150% of his annual salary. With respect to fiscal year 2020, the employment agreement provides for Mr. Chopra to receive a guaranteed minimum annual bonus, subject to pro-ration based on Mr. Chopra’s start date. Mr. Chopra is eligible to receive annual grants of equity compensation with an aggregate target value of $3 million, beginning with the annual grant made for fiscal year 2022. Pursuant to a letter agreement entered into in connection with Mr. Chopra’s employment agreement (the “Chopra Letter Agreement”), Mr. Chopra received two grants of equity compensation on August 24, 2020 with grant date values of $3 million and</w:t>
      </w:r>
    </w:p>
    <w:p>
      <w:pPr>
        <w:spacing w:after="0" w:line="7" w:lineRule="exact"/>
        <w:rPr>
          <w:sz w:val="20"/>
          <w:szCs w:val="20"/>
          <w:color w:val="auto"/>
        </w:rPr>
      </w:pPr>
    </w:p>
    <w:p>
      <w:pPr>
        <w:jc w:val="both"/>
        <w:ind w:left="160" w:right="180"/>
        <w:spacing w:after="0" w:line="237" w:lineRule="auto"/>
        <w:rPr>
          <w:sz w:val="20"/>
          <w:szCs w:val="20"/>
          <w:color w:val="auto"/>
        </w:rPr>
      </w:pPr>
      <w:r>
        <w:rPr>
          <w:rFonts w:ascii="Arial" w:cs="Arial" w:eastAsia="Arial" w:hAnsi="Arial"/>
          <w:sz w:val="18"/>
          <w:szCs w:val="18"/>
          <w:color w:val="auto"/>
        </w:rPr>
        <w:t>$4.5 million, which were in lieu of a fiscal 2021 long-term equity incentive award and in consideration of forfeited compensation from his former employer, respectively. Pursuant to the Chopra Letter Agreement and as further consideration for forfeited compensation from his former employer, Mr. Chopra received a one-time sign-on cash bonus of $2 million, which is subject to repayment in the event of certain terminations of Mr. Chopra’s employment. Mr. Chopra has not received a compensation increase since that time.</w:t>
      </w:r>
    </w:p>
    <w:p>
      <w:pPr>
        <w:spacing w:after="0" w:line="74"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Mr. Chopra’s employment agreement contains certain restrictive covenants, including non-solicitation covenants, non-competition covenants, covenants prohibiting interference with business relationships and covenants protecting confidential information. The employment agreement also provides for severance payments and benefits in the event that Mr. Chopra’s employment is terminated by us without “cause” or by him with “good reason,” or, in certain circumstances, following non-extension of his employment agreement.</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1D49"/>
        </w:rPr>
        <w:t>Christa A. D’Alimonte</w:t>
      </w:r>
    </w:p>
    <w:p>
      <w:pPr>
        <w:spacing w:after="0" w:line="99" w:lineRule="exact"/>
        <w:rPr>
          <w:sz w:val="20"/>
          <w:szCs w:val="20"/>
          <w:color w:val="auto"/>
        </w:rPr>
      </w:pPr>
    </w:p>
    <w:p>
      <w:pPr>
        <w:ind w:left="160" w:right="100"/>
        <w:spacing w:after="0" w:line="237" w:lineRule="auto"/>
        <w:rPr>
          <w:sz w:val="20"/>
          <w:szCs w:val="20"/>
          <w:color w:val="auto"/>
        </w:rPr>
      </w:pPr>
      <w:r>
        <w:rPr>
          <w:rFonts w:ascii="Arial" w:cs="Arial" w:eastAsia="Arial" w:hAnsi="Arial"/>
          <w:sz w:val="18"/>
          <w:szCs w:val="18"/>
          <w:color w:val="auto"/>
        </w:rPr>
        <w:t>On August 13, 2019, Viacom entered into an employment agreement with Ms. D’Alimonte, pursuant to which, upon the closing of the Merger, she became our Executive Vice President, General Counsel and Secretary. Ms. D’Alimonte’s agreement had a three-year term and provided for an annual base salary of $1.25 million per year, to be reviewed annually by the Compensation Committee and increased at the discretion of the Compensation Committee, and an annual target bonus opportunity of 125% of her annual base salary.</w:t>
      </w:r>
    </w:p>
    <w:p>
      <w:pPr>
        <w:spacing w:after="0" w:line="3" w:lineRule="exact"/>
        <w:rPr>
          <w:sz w:val="20"/>
          <w:szCs w:val="20"/>
          <w:color w:val="auto"/>
        </w:rPr>
      </w:pPr>
    </w:p>
    <w:p>
      <w:pPr>
        <w:ind w:left="160" w:right="160"/>
        <w:spacing w:after="0" w:line="237" w:lineRule="auto"/>
        <w:rPr>
          <w:sz w:val="20"/>
          <w:szCs w:val="20"/>
          <w:color w:val="auto"/>
        </w:rPr>
      </w:pPr>
      <w:r>
        <w:rPr>
          <w:rFonts w:ascii="Arial" w:cs="Arial" w:eastAsia="Arial" w:hAnsi="Arial"/>
          <w:sz w:val="18"/>
          <w:szCs w:val="18"/>
          <w:color w:val="auto"/>
        </w:rPr>
        <w:t>Ms. D’Alimonte was eligible to receive annual grants of equity compensation with an aggregate target value of $2,187,500. In connection with the extension of her employment agreement through June 30, 2025, Ms. D’Alimonte’s base salary was increased to $1.35 million, effective March 15, 2022, and, beginning with fiscal year 2022, the aggregate target grant date value of her annual equity compensation was increased to $2.7 million.</w:t>
      </w:r>
    </w:p>
    <w:p>
      <w:pPr>
        <w:spacing w:after="0" w:line="74" w:lineRule="exact"/>
        <w:rPr>
          <w:sz w:val="20"/>
          <w:szCs w:val="20"/>
          <w:color w:val="auto"/>
        </w:rPr>
      </w:pPr>
    </w:p>
    <w:p>
      <w:pPr>
        <w:ind w:left="160" w:right="100"/>
        <w:spacing w:after="0" w:line="243" w:lineRule="auto"/>
        <w:rPr>
          <w:sz w:val="20"/>
          <w:szCs w:val="20"/>
          <w:color w:val="auto"/>
        </w:rPr>
      </w:pPr>
      <w:r>
        <w:rPr>
          <w:rFonts w:ascii="Arial" w:cs="Arial" w:eastAsia="Arial" w:hAnsi="Arial"/>
          <w:sz w:val="18"/>
          <w:szCs w:val="18"/>
          <w:color w:val="auto"/>
        </w:rPr>
        <w:t>Ms. D’Alimonte’s employment agreement contains certain restrictive covenants, including non-solicitation covenants, non-competition covenants, covenants prohibiting interference with business relationships and covenants protecting confidential information. The agreement also provides for severance payments and benefits in the event that her employment is terminated by us without “cause” or by her with “good reason,” or, in certain circumstances, following non-extension of her employment agreement.</w:t>
      </w:r>
    </w:p>
    <w:p>
      <w:pPr>
        <w:spacing w:after="0" w:line="130"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57</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1D49"/>
        </w:rPr>
        <w:t>Doretha F. Lea</w:t>
      </w:r>
    </w:p>
    <w:p>
      <w:pPr>
        <w:spacing w:after="0" w:line="99" w:lineRule="exact"/>
        <w:rPr>
          <w:sz w:val="20"/>
          <w:szCs w:val="20"/>
          <w:color w:val="auto"/>
        </w:rPr>
      </w:pPr>
    </w:p>
    <w:p>
      <w:pPr>
        <w:ind w:left="160" w:right="20"/>
        <w:spacing w:after="0" w:line="254" w:lineRule="auto"/>
        <w:rPr>
          <w:sz w:val="20"/>
          <w:szCs w:val="20"/>
          <w:color w:val="auto"/>
        </w:rPr>
      </w:pPr>
      <w:r>
        <w:rPr>
          <w:rFonts w:ascii="Arial" w:cs="Arial" w:eastAsia="Arial" w:hAnsi="Arial"/>
          <w:sz w:val="17"/>
          <w:szCs w:val="17"/>
          <w:color w:val="auto"/>
        </w:rPr>
        <w:t>On October 2, 2019, Viacom entered into an employment agreement with Ms. Lea, pursuant to which, upon the closing of the Merger, she became our Executive Vice President, Global Public Policy and Government Relations. Ms. Lea’s agreement had a three-year term and provided for an annual base salary of $911,550 per year, to be reviewed annually by the Compensation Committee and increased at the discretion of the Compensation Committee, and an annual target bonus opportunity of 100% of her annual base salary. Ms. Lea was eligible to receive annual grants of equity compensation with an aggregate target value of $750,000. In connection with the extension of her employment agreement through December 31, 2025, Ms. Lea’s base salary was increased to $1 million, effective October 1, 2022, and, beginning with fiscal year 2023, the aggregate target grant date value of her annual equity compensation was increased to $1 million.</w:t>
      </w:r>
    </w:p>
    <w:p>
      <w:pPr>
        <w:spacing w:after="0" w:line="63"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color w:val="auto"/>
        </w:rPr>
        <w:t>Ms. Lea’s employment agreement contains certain restrictive covenants, including non-solicitation covenants, non-competition covenants, covenants prohibiting interference with business relationships and covenants protecting confidential information. The agreement also provides for severance payments and benefits in the event that her employment is terminated by us without “cause” or by her with “good reason,” or, in certain circumstances, following non-extension of her employment agreement.</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1D49"/>
        </w:rPr>
        <w:t>Nancy Phillips</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On December 2, 2019, Viacom entered into an employment agreement with Ms. Phillips, pursuant to which, upon the closing of the</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Merger, she became our Executive Vice President, Chief People Officer. Ms. Phillips’ agreement had a three-year term and provided for</w:t>
      </w:r>
    </w:p>
    <w:p>
      <w:pPr>
        <w:ind w:left="160"/>
        <w:spacing w:after="0" w:line="232" w:lineRule="auto"/>
        <w:rPr>
          <w:sz w:val="20"/>
          <w:szCs w:val="20"/>
          <w:color w:val="auto"/>
        </w:rPr>
      </w:pPr>
      <w:r>
        <w:rPr>
          <w:rFonts w:ascii="Arial" w:cs="Arial" w:eastAsia="Arial" w:hAnsi="Arial"/>
          <w:sz w:val="18"/>
          <w:szCs w:val="18"/>
          <w:color w:val="auto"/>
        </w:rPr>
        <w:t>an annual base salary of $750,000, to be reviewed annually by the Compensation Committee and increased at the discretion of the</w:t>
      </w:r>
    </w:p>
    <w:p>
      <w:pPr>
        <w:ind w:left="160"/>
        <w:spacing w:after="0" w:line="233" w:lineRule="auto"/>
        <w:rPr>
          <w:sz w:val="20"/>
          <w:szCs w:val="20"/>
          <w:color w:val="auto"/>
        </w:rPr>
      </w:pPr>
      <w:r>
        <w:rPr>
          <w:rFonts w:ascii="Arial" w:cs="Arial" w:eastAsia="Arial" w:hAnsi="Arial"/>
          <w:sz w:val="18"/>
          <w:szCs w:val="18"/>
          <w:color w:val="auto"/>
        </w:rPr>
        <w:t>Compensation Committee, and an annual target bonus opportunity of 100% of her annual salary. Ms. Phillips was eligible to receive</w:t>
      </w:r>
    </w:p>
    <w:p>
      <w:pPr>
        <w:ind w:left="160"/>
        <w:spacing w:after="0" w:line="232" w:lineRule="auto"/>
        <w:rPr>
          <w:sz w:val="20"/>
          <w:szCs w:val="20"/>
          <w:color w:val="auto"/>
        </w:rPr>
      </w:pPr>
      <w:r>
        <w:rPr>
          <w:rFonts w:ascii="Arial" w:cs="Arial" w:eastAsia="Arial" w:hAnsi="Arial"/>
          <w:sz w:val="18"/>
          <w:szCs w:val="18"/>
          <w:color w:val="auto"/>
        </w:rPr>
        <w:t>annual grants of equity compensation with an aggregate target grant date value of $1 million, beginning with the annual grant made for</w:t>
      </w:r>
    </w:p>
    <w:p>
      <w:pPr>
        <w:ind w:left="160"/>
        <w:spacing w:after="0" w:line="233" w:lineRule="auto"/>
        <w:rPr>
          <w:sz w:val="20"/>
          <w:szCs w:val="20"/>
          <w:color w:val="auto"/>
        </w:rPr>
      </w:pPr>
      <w:r>
        <w:rPr>
          <w:rFonts w:ascii="Arial" w:cs="Arial" w:eastAsia="Arial" w:hAnsi="Arial"/>
          <w:sz w:val="18"/>
          <w:szCs w:val="18"/>
          <w:color w:val="auto"/>
        </w:rPr>
        <w:t>fiscal year 2021. Pursuant to a letter agreement entered into in connection with Ms. Phillips’ employment agreement (the “Phillips Letter</w:t>
      </w:r>
    </w:p>
    <w:p>
      <w:pPr>
        <w:ind w:left="160"/>
        <w:spacing w:after="0" w:line="233" w:lineRule="auto"/>
        <w:rPr>
          <w:sz w:val="20"/>
          <w:szCs w:val="20"/>
          <w:color w:val="auto"/>
        </w:rPr>
      </w:pPr>
      <w:r>
        <w:rPr>
          <w:rFonts w:ascii="Arial" w:cs="Arial" w:eastAsia="Arial" w:hAnsi="Arial"/>
          <w:sz w:val="18"/>
          <w:szCs w:val="18"/>
          <w:color w:val="auto"/>
        </w:rPr>
        <w:t>Agreement”), she received a one-time grant of TRSUs on December 16, 2019, with a value of $1.75 million, in connection with</w:t>
      </w:r>
    </w:p>
    <w:p>
      <w:pPr>
        <w:ind w:left="160"/>
        <w:spacing w:after="0" w:line="232" w:lineRule="auto"/>
        <w:rPr>
          <w:sz w:val="20"/>
          <w:szCs w:val="20"/>
          <w:color w:val="auto"/>
        </w:rPr>
      </w:pPr>
      <w:r>
        <w:rPr>
          <w:rFonts w:ascii="Arial" w:cs="Arial" w:eastAsia="Arial" w:hAnsi="Arial"/>
          <w:sz w:val="18"/>
          <w:szCs w:val="18"/>
          <w:color w:val="auto"/>
        </w:rPr>
        <w:t>commencement of her employment. This one-time grant vests over four years in equal annual installments. Also on December 16, 2019,</w:t>
      </w:r>
    </w:p>
    <w:p>
      <w:pPr>
        <w:ind w:left="160"/>
        <w:spacing w:after="0" w:line="233" w:lineRule="auto"/>
        <w:rPr>
          <w:sz w:val="20"/>
          <w:szCs w:val="20"/>
          <w:color w:val="auto"/>
        </w:rPr>
      </w:pPr>
      <w:r>
        <w:rPr>
          <w:rFonts w:ascii="Arial" w:cs="Arial" w:eastAsia="Arial" w:hAnsi="Arial"/>
          <w:sz w:val="18"/>
          <w:szCs w:val="18"/>
          <w:color w:val="auto"/>
        </w:rPr>
        <w:t>pursuant to the Phillips Letter Agreement, Ms. Phillips received her fiscal year 2020 LTMIP grant in the form of TRSUs with a value of</w:t>
      </w:r>
    </w:p>
    <w:p>
      <w:pPr>
        <w:ind w:left="160"/>
        <w:spacing w:after="0"/>
        <w:rPr>
          <w:sz w:val="20"/>
          <w:szCs w:val="20"/>
          <w:color w:val="auto"/>
        </w:rPr>
      </w:pPr>
      <w:r>
        <w:rPr>
          <w:rFonts w:ascii="Arial" w:cs="Arial" w:eastAsia="Arial" w:hAnsi="Arial"/>
          <w:sz w:val="17"/>
          <w:szCs w:val="17"/>
          <w:color w:val="auto"/>
        </w:rPr>
        <w:t>$1.25 million, which is 125% of the annual long-term equity incentive target provided for in Ms. Phillips’ employment agreement. This grant</w:t>
      </w:r>
    </w:p>
    <w:p>
      <w:pPr>
        <w:ind w:left="160"/>
        <w:spacing w:after="0" w:line="238" w:lineRule="auto"/>
        <w:rPr>
          <w:sz w:val="20"/>
          <w:szCs w:val="20"/>
          <w:color w:val="auto"/>
        </w:rPr>
      </w:pPr>
      <w:r>
        <w:rPr>
          <w:rFonts w:ascii="Arial" w:cs="Arial" w:eastAsia="Arial" w:hAnsi="Arial"/>
          <w:sz w:val="18"/>
          <w:szCs w:val="18"/>
          <w:color w:val="auto"/>
        </w:rPr>
        <w:t>also vests over four years in equal annual installments. Ms. Phillips’ base salary was increased to $787,500, effective January 1, 2021,</w:t>
      </w:r>
    </w:p>
    <w:p>
      <w:pPr>
        <w:ind w:left="160"/>
        <w:spacing w:after="0" w:line="233" w:lineRule="auto"/>
        <w:rPr>
          <w:sz w:val="20"/>
          <w:szCs w:val="20"/>
          <w:color w:val="auto"/>
        </w:rPr>
      </w:pPr>
      <w:r>
        <w:rPr>
          <w:rFonts w:ascii="Arial" w:cs="Arial" w:eastAsia="Arial" w:hAnsi="Arial"/>
          <w:sz w:val="18"/>
          <w:szCs w:val="18"/>
          <w:color w:val="auto"/>
        </w:rPr>
        <w:t>and, beginning with fiscal year 2022, the aggregate target grant date value of annual equity compensation for which she is eligible</w:t>
      </w:r>
    </w:p>
    <w:p>
      <w:pPr>
        <w:ind w:left="160"/>
        <w:spacing w:after="0"/>
        <w:rPr>
          <w:sz w:val="20"/>
          <w:szCs w:val="20"/>
          <w:color w:val="auto"/>
        </w:rPr>
      </w:pPr>
      <w:r>
        <w:rPr>
          <w:rFonts w:ascii="Arial" w:cs="Arial" w:eastAsia="Arial" w:hAnsi="Arial"/>
          <w:sz w:val="17"/>
          <w:szCs w:val="17"/>
          <w:color w:val="auto"/>
        </w:rPr>
        <w:t>increased to $1.2 million. In connection with the extension of her employment agreement through June 30, 2025, Ms. Phillips’ base salary</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was further increased to $925,000, effective April 11, 2022.</w:t>
      </w:r>
    </w:p>
    <w:p>
      <w:pPr>
        <w:spacing w:after="0" w:line="83"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color w:val="auto"/>
        </w:rPr>
        <w:t>Ms. Phillips’ employment agreement contains certain restrictive covenants, including non-solicitation covenants, non-competition covenants, covenants prohibiting interference with business relationships and covenants protecting confidential information. The agreement also provides for severance payments and benefits in the event that her employment is terminated by us without “cause” or by her with “good reason,” or, in certain circumstances, following non-extension of her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2374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08"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58</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60"/>
          </w:cols>
          <w:pgMar w:left="320" w:top="454" w:right="51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8840"/>
        <w:spacing w:after="0"/>
        <w:rPr>
          <w:sz w:val="20"/>
          <w:szCs w:val="20"/>
          <w:color w:val="auto"/>
        </w:rPr>
      </w:pPr>
      <w:r>
        <w:rPr>
          <w:rFonts w:ascii="Arial" w:cs="Arial" w:eastAsia="Arial" w:hAnsi="Arial"/>
          <w:sz w:val="15"/>
          <w:szCs w:val="15"/>
          <w:color w:val="auto"/>
        </w:rPr>
        <w:t>EXECUTIVE COMPENSATION</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GRANTS OF PLAN-BASED AWARDS DURING 2021</w:t>
      </w:r>
    </w:p>
    <w:p>
      <w:pPr>
        <w:spacing w:after="0" w:line="94" w:lineRule="exact"/>
        <w:rPr>
          <w:sz w:val="20"/>
          <w:szCs w:val="20"/>
          <w:color w:val="auto"/>
        </w:rPr>
      </w:pPr>
    </w:p>
    <w:p>
      <w:pPr>
        <w:ind w:left="160" w:right="220"/>
        <w:spacing w:after="0" w:line="265" w:lineRule="auto"/>
        <w:rPr>
          <w:sz w:val="20"/>
          <w:szCs w:val="20"/>
          <w:color w:val="auto"/>
        </w:rPr>
      </w:pPr>
      <w:r>
        <w:rPr>
          <w:rFonts w:ascii="Arial" w:cs="Arial" w:eastAsia="Arial" w:hAnsi="Arial"/>
          <w:sz w:val="18"/>
          <w:szCs w:val="18"/>
          <w:color w:val="auto"/>
        </w:rPr>
        <w:t>The following table sets forth information concerning grants of awards under our incentive programs to the NEOs in fiscal year 2021. No equity-based awards were granted to NEOs in fiscal year 2021, as discussed below.</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552"/>
        </w:trPr>
        <w:tc>
          <w:tcPr>
            <w:tcW w:w="764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840" w:type="dxa"/>
            <w:vAlign w:val="bottom"/>
            <w:shd w:val="clear" w:color="auto" w:fill="E5E5E5"/>
          </w:tcPr>
          <w:p>
            <w:pPr>
              <w:spacing w:after="0"/>
              <w:rPr>
                <w:sz w:val="24"/>
                <w:szCs w:val="24"/>
                <w:color w:val="auto"/>
              </w:rPr>
            </w:pPr>
          </w:p>
        </w:tc>
        <w:tc>
          <w:tcPr>
            <w:tcW w:w="128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Estimated Future</w:t>
            </w:r>
          </w:p>
        </w:tc>
        <w:tc>
          <w:tcPr>
            <w:tcW w:w="840" w:type="dxa"/>
            <w:vAlign w:val="bottom"/>
            <w:shd w:val="clear" w:color="auto" w:fill="E5E5E5"/>
          </w:tcPr>
          <w:p>
            <w:pPr>
              <w:spacing w:after="0"/>
              <w:rPr>
                <w:sz w:val="24"/>
                <w:szCs w:val="24"/>
                <w:color w:val="auto"/>
              </w:rPr>
            </w:pPr>
          </w:p>
        </w:tc>
        <w:tc>
          <w:tcPr>
            <w:tcW w:w="22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6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3180" w:type="dxa"/>
            <w:vAlign w:val="bottom"/>
            <w:gridSpan w:val="4"/>
            <w:shd w:val="clear" w:color="auto" w:fill="E5E5E5"/>
          </w:tcPr>
          <w:p>
            <w:pPr>
              <w:jc w:val="center"/>
              <w:ind w:right="220"/>
              <w:spacing w:after="0"/>
              <w:rPr>
                <w:sz w:val="20"/>
                <w:szCs w:val="20"/>
                <w:color w:val="auto"/>
              </w:rPr>
            </w:pPr>
            <w:r>
              <w:rPr>
                <w:rFonts w:ascii="Arial" w:cs="Arial" w:eastAsia="Arial" w:hAnsi="Arial"/>
                <w:sz w:val="14"/>
                <w:szCs w:val="14"/>
                <w:color w:val="051D49"/>
              </w:rPr>
              <w:t>Payouts Under Non-Equity</w:t>
            </w:r>
          </w:p>
        </w:tc>
        <w:tc>
          <w:tcPr>
            <w:tcW w:w="0" w:type="dxa"/>
            <w:vAlign w:val="bottom"/>
          </w:tcPr>
          <w:p>
            <w:pPr>
              <w:spacing w:after="0"/>
              <w:rPr>
                <w:sz w:val="1"/>
                <w:szCs w:val="1"/>
                <w:color w:val="auto"/>
              </w:rPr>
            </w:pPr>
          </w:p>
        </w:tc>
      </w:tr>
      <w:tr>
        <w:trPr>
          <w:trHeight w:val="193"/>
        </w:trPr>
        <w:tc>
          <w:tcPr>
            <w:tcW w:w="76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180" w:type="dxa"/>
            <w:vAlign w:val="bottom"/>
            <w:gridSpan w:val="4"/>
            <w:shd w:val="clear" w:color="auto" w:fill="E5E5E5"/>
          </w:tcPr>
          <w:p>
            <w:pPr>
              <w:jc w:val="center"/>
              <w:ind w:right="220"/>
              <w:spacing w:after="0"/>
              <w:rPr>
                <w:sz w:val="20"/>
                <w:szCs w:val="20"/>
                <w:color w:val="auto"/>
              </w:rPr>
            </w:pPr>
            <w:r>
              <w:rPr>
                <w:rFonts w:ascii="Arial" w:cs="Arial" w:eastAsia="Arial" w:hAnsi="Arial"/>
                <w:sz w:val="14"/>
                <w:szCs w:val="14"/>
                <w:color w:val="051D49"/>
              </w:rPr>
              <w:t>Incentive Plan Awards(1)</w:t>
            </w:r>
          </w:p>
        </w:tc>
        <w:tc>
          <w:tcPr>
            <w:tcW w:w="0" w:type="dxa"/>
            <w:vAlign w:val="bottom"/>
          </w:tcPr>
          <w:p>
            <w:pPr>
              <w:spacing w:after="0"/>
              <w:rPr>
                <w:sz w:val="1"/>
                <w:szCs w:val="1"/>
                <w:color w:val="auto"/>
              </w:rPr>
            </w:pPr>
          </w:p>
        </w:tc>
      </w:tr>
      <w:tr>
        <w:trPr>
          <w:trHeight w:val="148"/>
        </w:trPr>
        <w:tc>
          <w:tcPr>
            <w:tcW w:w="7640" w:type="dxa"/>
            <w:vAlign w:val="bottom"/>
            <w:tcBorders>
              <w:top w:val="single" w:sz="8" w:color="E5E5E5"/>
            </w:tcBorders>
            <w:vMerge w:val="restart"/>
            <w:shd w:val="clear" w:color="auto" w:fill="E5E5E5"/>
          </w:tcPr>
          <w:p>
            <w:pPr>
              <w:ind w:left="80"/>
              <w:spacing w:after="0"/>
              <w:rPr>
                <w:sz w:val="20"/>
                <w:szCs w:val="20"/>
                <w:color w:val="auto"/>
              </w:rPr>
            </w:pPr>
            <w:r>
              <w:rPr>
                <w:rFonts w:ascii="Arial" w:cs="Arial" w:eastAsia="Arial" w:hAnsi="Arial"/>
                <w:sz w:val="14"/>
                <w:szCs w:val="14"/>
                <w:color w:val="051D49"/>
              </w:rPr>
              <w:t>Name</w:t>
            </w:r>
          </w:p>
        </w:tc>
        <w:tc>
          <w:tcPr>
            <w:tcW w:w="100" w:type="dxa"/>
            <w:vAlign w:val="bottom"/>
            <w:tcBorders>
              <w:top w:val="single" w:sz="8" w:color="E5E5E5"/>
            </w:tcBorders>
            <w:shd w:val="clear" w:color="auto" w:fill="E5E5E5"/>
          </w:tcPr>
          <w:p>
            <w:pPr>
              <w:spacing w:after="0"/>
              <w:rPr>
                <w:sz w:val="12"/>
                <w:szCs w:val="12"/>
                <w:color w:val="auto"/>
              </w:rPr>
            </w:pPr>
          </w:p>
        </w:tc>
        <w:tc>
          <w:tcPr>
            <w:tcW w:w="840" w:type="dxa"/>
            <w:vAlign w:val="bottom"/>
            <w:tcBorders>
              <w:top w:val="single" w:sz="8" w:color="051D49"/>
            </w:tcBorders>
            <w:shd w:val="clear" w:color="auto" w:fill="E5E5E5"/>
          </w:tcPr>
          <w:p>
            <w:pPr>
              <w:jc w:val="right"/>
              <w:ind w:right="89"/>
              <w:spacing w:after="0" w:line="149" w:lineRule="exact"/>
              <w:rPr>
                <w:sz w:val="20"/>
                <w:szCs w:val="20"/>
                <w:color w:val="auto"/>
              </w:rPr>
            </w:pPr>
            <w:r>
              <w:rPr>
                <w:rFonts w:ascii="Arial" w:cs="Arial" w:eastAsia="Arial" w:hAnsi="Arial"/>
                <w:sz w:val="14"/>
                <w:szCs w:val="14"/>
                <w:color w:val="051D49"/>
              </w:rPr>
              <w:t>Threshold</w:t>
            </w:r>
          </w:p>
        </w:tc>
        <w:tc>
          <w:tcPr>
            <w:tcW w:w="1280" w:type="dxa"/>
            <w:vAlign w:val="bottom"/>
            <w:tcBorders>
              <w:top w:val="single" w:sz="8" w:color="051D49"/>
            </w:tcBorders>
            <w:shd w:val="clear" w:color="auto" w:fill="E5E5E5"/>
          </w:tcPr>
          <w:p>
            <w:pPr>
              <w:jc w:val="right"/>
              <w:ind w:right="466"/>
              <w:spacing w:after="0" w:line="149" w:lineRule="exact"/>
              <w:rPr>
                <w:sz w:val="20"/>
                <w:szCs w:val="20"/>
                <w:color w:val="auto"/>
              </w:rPr>
            </w:pPr>
            <w:r>
              <w:rPr>
                <w:rFonts w:ascii="Arial" w:cs="Arial" w:eastAsia="Arial" w:hAnsi="Arial"/>
                <w:sz w:val="14"/>
                <w:szCs w:val="14"/>
                <w:color w:val="051D49"/>
              </w:rPr>
              <w:t>Target</w:t>
            </w:r>
          </w:p>
        </w:tc>
        <w:tc>
          <w:tcPr>
            <w:tcW w:w="840" w:type="dxa"/>
            <w:vAlign w:val="bottom"/>
            <w:tcBorders>
              <w:top w:val="single" w:sz="8" w:color="051D49"/>
            </w:tcBorders>
            <w:shd w:val="clear" w:color="auto" w:fill="E5E5E5"/>
          </w:tcPr>
          <w:p>
            <w:pPr>
              <w:jc w:val="center"/>
              <w:spacing w:after="0" w:line="149" w:lineRule="exact"/>
              <w:rPr>
                <w:sz w:val="20"/>
                <w:szCs w:val="20"/>
                <w:color w:val="auto"/>
              </w:rPr>
            </w:pPr>
            <w:r>
              <w:rPr>
                <w:rFonts w:ascii="Arial" w:cs="Arial" w:eastAsia="Arial" w:hAnsi="Arial"/>
                <w:sz w:val="14"/>
                <w:szCs w:val="14"/>
                <w:color w:val="051D49"/>
              </w:rPr>
              <w:t>Maximum</w:t>
            </w:r>
          </w:p>
        </w:tc>
        <w:tc>
          <w:tcPr>
            <w:tcW w:w="22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640" w:type="dxa"/>
            <w:vAlign w:val="bottom"/>
            <w:vMerge w:val="continue"/>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840" w:type="dxa"/>
            <w:vAlign w:val="bottom"/>
            <w:shd w:val="clear" w:color="auto" w:fill="E5E5E5"/>
          </w:tcPr>
          <w:p>
            <w:pPr>
              <w:jc w:val="right"/>
              <w:ind w:right="309"/>
              <w:spacing w:after="0"/>
              <w:rPr>
                <w:sz w:val="20"/>
                <w:szCs w:val="20"/>
                <w:color w:val="auto"/>
              </w:rPr>
            </w:pPr>
            <w:r>
              <w:rPr>
                <w:rFonts w:ascii="Arial" w:cs="Arial" w:eastAsia="Arial" w:hAnsi="Arial"/>
                <w:sz w:val="14"/>
                <w:szCs w:val="14"/>
                <w:color w:val="051D49"/>
              </w:rPr>
              <w:t>($)</w:t>
            </w:r>
          </w:p>
        </w:tc>
        <w:tc>
          <w:tcPr>
            <w:tcW w:w="1280" w:type="dxa"/>
            <w:vAlign w:val="bottom"/>
            <w:shd w:val="clear" w:color="auto" w:fill="E5E5E5"/>
          </w:tcPr>
          <w:p>
            <w:pPr>
              <w:jc w:val="right"/>
              <w:ind w:right="586"/>
              <w:spacing w:after="0"/>
              <w:rPr>
                <w:sz w:val="20"/>
                <w:szCs w:val="20"/>
                <w:color w:val="auto"/>
              </w:rPr>
            </w:pPr>
            <w:r>
              <w:rPr>
                <w:rFonts w:ascii="Arial" w:cs="Arial" w:eastAsia="Arial" w:hAnsi="Arial"/>
                <w:sz w:val="14"/>
                <w:szCs w:val="14"/>
                <w:color w:val="051D49"/>
              </w:rPr>
              <w:t>($)</w:t>
            </w:r>
          </w:p>
        </w:tc>
        <w:tc>
          <w:tcPr>
            <w:tcW w:w="840" w:type="dxa"/>
            <w:vAlign w:val="bottom"/>
            <w:shd w:val="clear" w:color="auto" w:fill="E5E5E5"/>
          </w:tcPr>
          <w:p>
            <w:pPr>
              <w:jc w:val="right"/>
              <w:ind w:right="266"/>
              <w:spacing w:after="0"/>
              <w:rPr>
                <w:sz w:val="20"/>
                <w:szCs w:val="20"/>
                <w:color w:val="auto"/>
              </w:rPr>
            </w:pPr>
            <w:r>
              <w:rPr>
                <w:rFonts w:ascii="Arial" w:cs="Arial" w:eastAsia="Arial" w:hAnsi="Arial"/>
                <w:sz w:val="14"/>
                <w:szCs w:val="14"/>
                <w:color w:val="051D49"/>
              </w:rPr>
              <w:t>($)</w:t>
            </w: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64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Robert M. Bakish</w:t>
            </w:r>
          </w:p>
        </w:tc>
        <w:tc>
          <w:tcPr>
            <w:tcW w:w="940" w:type="dxa"/>
            <w:vAlign w:val="bottom"/>
            <w:tcBorders>
              <w:bottom w:val="single" w:sz="8" w:color="051D49"/>
            </w:tcBorders>
            <w:gridSpan w:val="2"/>
          </w:tcPr>
          <w:p>
            <w:pPr>
              <w:jc w:val="right"/>
              <w:ind w:right="29"/>
              <w:spacing w:after="0"/>
              <w:rPr>
                <w:sz w:val="20"/>
                <w:szCs w:val="20"/>
                <w:color w:val="auto"/>
              </w:rPr>
            </w:pPr>
            <w:r>
              <w:rPr>
                <w:rFonts w:ascii="Arial" w:cs="Arial" w:eastAsia="Arial" w:hAnsi="Arial"/>
                <w:sz w:val="15"/>
                <w:szCs w:val="15"/>
                <w:color w:val="auto"/>
              </w:rPr>
              <w:t>3,100,000</w:t>
            </w:r>
          </w:p>
        </w:tc>
        <w:tc>
          <w:tcPr>
            <w:tcW w:w="1280" w:type="dxa"/>
            <w:vAlign w:val="bottom"/>
            <w:tcBorders>
              <w:bottom w:val="single" w:sz="8" w:color="051D49"/>
            </w:tcBorders>
          </w:tcPr>
          <w:p>
            <w:pPr>
              <w:jc w:val="right"/>
              <w:ind w:right="266"/>
              <w:spacing w:after="0"/>
              <w:rPr>
                <w:sz w:val="20"/>
                <w:szCs w:val="20"/>
                <w:color w:val="auto"/>
              </w:rPr>
            </w:pPr>
            <w:r>
              <w:rPr>
                <w:rFonts w:ascii="Arial" w:cs="Arial" w:eastAsia="Arial" w:hAnsi="Arial"/>
                <w:sz w:val="15"/>
                <w:szCs w:val="15"/>
                <w:color w:val="auto"/>
              </w:rPr>
              <w:t>12,400,000</w:t>
            </w:r>
          </w:p>
        </w:tc>
        <w:tc>
          <w:tcPr>
            <w:tcW w:w="1060" w:type="dxa"/>
            <w:vAlign w:val="bottom"/>
            <w:tcBorders>
              <w:bottom w:val="single" w:sz="8" w:color="051D49"/>
            </w:tcBorders>
            <w:gridSpan w:val="2"/>
          </w:tcPr>
          <w:p>
            <w:pPr>
              <w:jc w:val="right"/>
              <w:ind w:right="220"/>
              <w:spacing w:after="0"/>
              <w:rPr>
                <w:sz w:val="20"/>
                <w:szCs w:val="20"/>
                <w:color w:val="auto"/>
              </w:rPr>
            </w:pPr>
            <w:r>
              <w:rPr>
                <w:rFonts w:ascii="Arial" w:cs="Arial" w:eastAsia="Arial" w:hAnsi="Arial"/>
                <w:sz w:val="15"/>
                <w:szCs w:val="15"/>
                <w:color w:val="auto"/>
              </w:rPr>
              <w:t>24,800,000</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Naveen Chopra</w:t>
            </w:r>
          </w:p>
        </w:tc>
        <w:tc>
          <w:tcPr>
            <w:tcW w:w="940" w:type="dxa"/>
            <w:vAlign w:val="bottom"/>
            <w:tcBorders>
              <w:bottom w:val="single" w:sz="8" w:color="051D49"/>
            </w:tcBorders>
            <w:gridSpan w:val="2"/>
          </w:tcPr>
          <w:p>
            <w:pPr>
              <w:jc w:val="right"/>
              <w:ind w:right="29"/>
              <w:spacing w:after="0"/>
              <w:rPr>
                <w:sz w:val="20"/>
                <w:szCs w:val="20"/>
                <w:color w:val="auto"/>
              </w:rPr>
            </w:pPr>
            <w:r>
              <w:rPr>
                <w:rFonts w:ascii="Arial" w:cs="Arial" w:eastAsia="Arial" w:hAnsi="Arial"/>
                <w:sz w:val="15"/>
                <w:szCs w:val="15"/>
                <w:color w:val="auto"/>
              </w:rPr>
              <w:t>525,000</w:t>
            </w:r>
          </w:p>
        </w:tc>
        <w:tc>
          <w:tcPr>
            <w:tcW w:w="1280" w:type="dxa"/>
            <w:vAlign w:val="bottom"/>
            <w:tcBorders>
              <w:bottom w:val="single" w:sz="8" w:color="051D49"/>
            </w:tcBorders>
          </w:tcPr>
          <w:p>
            <w:pPr>
              <w:jc w:val="right"/>
              <w:ind w:right="266"/>
              <w:spacing w:after="0"/>
              <w:rPr>
                <w:sz w:val="20"/>
                <w:szCs w:val="20"/>
                <w:color w:val="auto"/>
              </w:rPr>
            </w:pPr>
            <w:r>
              <w:rPr>
                <w:rFonts w:ascii="Arial" w:cs="Arial" w:eastAsia="Arial" w:hAnsi="Arial"/>
                <w:sz w:val="15"/>
                <w:szCs w:val="15"/>
                <w:color w:val="auto"/>
              </w:rPr>
              <w:t>2,100,000</w:t>
            </w:r>
          </w:p>
        </w:tc>
        <w:tc>
          <w:tcPr>
            <w:tcW w:w="1060" w:type="dxa"/>
            <w:vAlign w:val="bottom"/>
            <w:tcBorders>
              <w:bottom w:val="single" w:sz="8" w:color="051D49"/>
            </w:tcBorders>
            <w:gridSpan w:val="2"/>
          </w:tcPr>
          <w:p>
            <w:pPr>
              <w:jc w:val="right"/>
              <w:ind w:right="220"/>
              <w:spacing w:after="0"/>
              <w:rPr>
                <w:sz w:val="20"/>
                <w:szCs w:val="20"/>
                <w:color w:val="auto"/>
              </w:rPr>
            </w:pPr>
            <w:r>
              <w:rPr>
                <w:rFonts w:ascii="Arial" w:cs="Arial" w:eastAsia="Arial" w:hAnsi="Arial"/>
                <w:sz w:val="15"/>
                <w:szCs w:val="15"/>
                <w:color w:val="auto"/>
              </w:rPr>
              <w:t>4,200,000</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Christa A. D’Alimonte</w:t>
            </w:r>
          </w:p>
        </w:tc>
        <w:tc>
          <w:tcPr>
            <w:tcW w:w="940" w:type="dxa"/>
            <w:vAlign w:val="bottom"/>
            <w:tcBorders>
              <w:bottom w:val="single" w:sz="8" w:color="051D49"/>
            </w:tcBorders>
            <w:gridSpan w:val="2"/>
          </w:tcPr>
          <w:p>
            <w:pPr>
              <w:jc w:val="right"/>
              <w:ind w:right="29"/>
              <w:spacing w:after="0"/>
              <w:rPr>
                <w:sz w:val="20"/>
                <w:szCs w:val="20"/>
                <w:color w:val="auto"/>
              </w:rPr>
            </w:pPr>
            <w:r>
              <w:rPr>
                <w:rFonts w:ascii="Arial" w:cs="Arial" w:eastAsia="Arial" w:hAnsi="Arial"/>
                <w:sz w:val="15"/>
                <w:szCs w:val="15"/>
                <w:color w:val="auto"/>
              </w:rPr>
              <w:t>390,625</w:t>
            </w:r>
          </w:p>
        </w:tc>
        <w:tc>
          <w:tcPr>
            <w:tcW w:w="1280" w:type="dxa"/>
            <w:vAlign w:val="bottom"/>
            <w:tcBorders>
              <w:bottom w:val="single" w:sz="8" w:color="051D49"/>
            </w:tcBorders>
          </w:tcPr>
          <w:p>
            <w:pPr>
              <w:jc w:val="right"/>
              <w:ind w:right="266"/>
              <w:spacing w:after="0"/>
              <w:rPr>
                <w:sz w:val="20"/>
                <w:szCs w:val="20"/>
                <w:color w:val="auto"/>
              </w:rPr>
            </w:pPr>
            <w:r>
              <w:rPr>
                <w:rFonts w:ascii="Arial" w:cs="Arial" w:eastAsia="Arial" w:hAnsi="Arial"/>
                <w:sz w:val="15"/>
                <w:szCs w:val="15"/>
                <w:color w:val="auto"/>
              </w:rPr>
              <w:t>1,562,500</w:t>
            </w:r>
          </w:p>
        </w:tc>
        <w:tc>
          <w:tcPr>
            <w:tcW w:w="1060" w:type="dxa"/>
            <w:vAlign w:val="bottom"/>
            <w:tcBorders>
              <w:bottom w:val="single" w:sz="8" w:color="051D49"/>
            </w:tcBorders>
            <w:gridSpan w:val="2"/>
          </w:tcPr>
          <w:p>
            <w:pPr>
              <w:jc w:val="right"/>
              <w:ind w:right="220"/>
              <w:spacing w:after="0"/>
              <w:rPr>
                <w:sz w:val="20"/>
                <w:szCs w:val="20"/>
                <w:color w:val="auto"/>
              </w:rPr>
            </w:pPr>
            <w:r>
              <w:rPr>
                <w:rFonts w:ascii="Arial" w:cs="Arial" w:eastAsia="Arial" w:hAnsi="Arial"/>
                <w:sz w:val="15"/>
                <w:szCs w:val="15"/>
                <w:color w:val="auto"/>
              </w:rPr>
              <w:t>3,125,000</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Doretha F. Lea</w:t>
            </w:r>
          </w:p>
        </w:tc>
        <w:tc>
          <w:tcPr>
            <w:tcW w:w="940" w:type="dxa"/>
            <w:vAlign w:val="bottom"/>
            <w:tcBorders>
              <w:bottom w:val="single" w:sz="8" w:color="051D49"/>
            </w:tcBorders>
            <w:gridSpan w:val="2"/>
          </w:tcPr>
          <w:p>
            <w:pPr>
              <w:jc w:val="right"/>
              <w:ind w:right="29"/>
              <w:spacing w:after="0"/>
              <w:rPr>
                <w:sz w:val="20"/>
                <w:szCs w:val="20"/>
                <w:color w:val="auto"/>
              </w:rPr>
            </w:pPr>
            <w:r>
              <w:rPr>
                <w:rFonts w:ascii="Arial" w:cs="Arial" w:eastAsia="Arial" w:hAnsi="Arial"/>
                <w:sz w:val="15"/>
                <w:szCs w:val="15"/>
                <w:color w:val="auto"/>
              </w:rPr>
              <w:t>227,888</w:t>
            </w:r>
          </w:p>
        </w:tc>
        <w:tc>
          <w:tcPr>
            <w:tcW w:w="1280" w:type="dxa"/>
            <w:vAlign w:val="bottom"/>
            <w:tcBorders>
              <w:bottom w:val="single" w:sz="8" w:color="051D49"/>
            </w:tcBorders>
          </w:tcPr>
          <w:p>
            <w:pPr>
              <w:jc w:val="right"/>
              <w:ind w:right="266"/>
              <w:spacing w:after="0"/>
              <w:rPr>
                <w:sz w:val="20"/>
                <w:szCs w:val="20"/>
                <w:color w:val="auto"/>
              </w:rPr>
            </w:pPr>
            <w:r>
              <w:rPr>
                <w:rFonts w:ascii="Arial" w:cs="Arial" w:eastAsia="Arial" w:hAnsi="Arial"/>
                <w:sz w:val="15"/>
                <w:szCs w:val="15"/>
                <w:color w:val="auto"/>
              </w:rPr>
              <w:t>911,550</w:t>
            </w:r>
          </w:p>
        </w:tc>
        <w:tc>
          <w:tcPr>
            <w:tcW w:w="1060" w:type="dxa"/>
            <w:vAlign w:val="bottom"/>
            <w:tcBorders>
              <w:bottom w:val="single" w:sz="8" w:color="051D49"/>
            </w:tcBorders>
            <w:gridSpan w:val="2"/>
          </w:tcPr>
          <w:p>
            <w:pPr>
              <w:jc w:val="right"/>
              <w:ind w:right="220"/>
              <w:spacing w:after="0"/>
              <w:rPr>
                <w:sz w:val="20"/>
                <w:szCs w:val="20"/>
                <w:color w:val="auto"/>
              </w:rPr>
            </w:pPr>
            <w:r>
              <w:rPr>
                <w:rFonts w:ascii="Arial" w:cs="Arial" w:eastAsia="Arial" w:hAnsi="Arial"/>
                <w:sz w:val="15"/>
                <w:szCs w:val="15"/>
                <w:color w:val="auto"/>
              </w:rPr>
              <w:t>1,823,100</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Nancy Phillips</w:t>
            </w:r>
          </w:p>
        </w:tc>
        <w:tc>
          <w:tcPr>
            <w:tcW w:w="940" w:type="dxa"/>
            <w:vAlign w:val="bottom"/>
            <w:tcBorders>
              <w:bottom w:val="single" w:sz="8" w:color="051D49"/>
            </w:tcBorders>
            <w:gridSpan w:val="2"/>
          </w:tcPr>
          <w:p>
            <w:pPr>
              <w:jc w:val="right"/>
              <w:ind w:right="29"/>
              <w:spacing w:after="0"/>
              <w:rPr>
                <w:sz w:val="20"/>
                <w:szCs w:val="20"/>
                <w:color w:val="auto"/>
              </w:rPr>
            </w:pPr>
            <w:r>
              <w:rPr>
                <w:rFonts w:ascii="Arial" w:cs="Arial" w:eastAsia="Arial" w:hAnsi="Arial"/>
                <w:sz w:val="15"/>
                <w:szCs w:val="15"/>
                <w:color w:val="auto"/>
              </w:rPr>
              <w:t>196,875</w:t>
            </w:r>
          </w:p>
        </w:tc>
        <w:tc>
          <w:tcPr>
            <w:tcW w:w="1280" w:type="dxa"/>
            <w:vAlign w:val="bottom"/>
            <w:tcBorders>
              <w:bottom w:val="single" w:sz="8" w:color="051D49"/>
            </w:tcBorders>
          </w:tcPr>
          <w:p>
            <w:pPr>
              <w:jc w:val="right"/>
              <w:ind w:right="266"/>
              <w:spacing w:after="0"/>
              <w:rPr>
                <w:sz w:val="20"/>
                <w:szCs w:val="20"/>
                <w:color w:val="auto"/>
              </w:rPr>
            </w:pPr>
            <w:r>
              <w:rPr>
                <w:rFonts w:ascii="Arial" w:cs="Arial" w:eastAsia="Arial" w:hAnsi="Arial"/>
                <w:sz w:val="15"/>
                <w:szCs w:val="15"/>
                <w:color w:val="auto"/>
              </w:rPr>
              <w:t>787,500</w:t>
            </w:r>
          </w:p>
        </w:tc>
        <w:tc>
          <w:tcPr>
            <w:tcW w:w="1060" w:type="dxa"/>
            <w:vAlign w:val="bottom"/>
            <w:tcBorders>
              <w:bottom w:val="single" w:sz="8" w:color="051D49"/>
            </w:tcBorders>
            <w:gridSpan w:val="2"/>
          </w:tcPr>
          <w:p>
            <w:pPr>
              <w:jc w:val="right"/>
              <w:ind w:right="220"/>
              <w:spacing w:after="0"/>
              <w:rPr>
                <w:sz w:val="20"/>
                <w:szCs w:val="20"/>
                <w:color w:val="auto"/>
              </w:rPr>
            </w:pPr>
            <w:r>
              <w:rPr>
                <w:rFonts w:ascii="Arial" w:cs="Arial" w:eastAsia="Arial" w:hAnsi="Arial"/>
                <w:sz w:val="15"/>
                <w:szCs w:val="15"/>
                <w:color w:val="auto"/>
              </w:rPr>
              <w:t>1,575,000</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480" w:right="560" w:hanging="313"/>
        <w:spacing w:after="0" w:line="279" w:lineRule="auto"/>
        <w:tabs>
          <w:tab w:leader="none" w:pos="4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Amounts reflect the range of potential bonus payments for each NEO from threshold to maximum based on the NEO’s target opportunity, with threshold, target and maximum payouts amounting to 25%, 100% and 200% of the applicable NEO’s target opportunity, respectively.</w:t>
      </w:r>
    </w:p>
    <w:p>
      <w:pPr>
        <w:spacing w:after="0" w:line="2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Description of Plan-Based Awards</w:t>
      </w:r>
    </w:p>
    <w:p>
      <w:pPr>
        <w:spacing w:after="0" w:line="101" w:lineRule="exact"/>
        <w:rPr>
          <w:sz w:val="20"/>
          <w:szCs w:val="20"/>
          <w:color w:val="auto"/>
        </w:rPr>
      </w:pPr>
    </w:p>
    <w:p>
      <w:pPr>
        <w:ind w:left="160" w:right="120"/>
        <w:spacing w:after="0" w:line="236" w:lineRule="auto"/>
        <w:rPr>
          <w:sz w:val="20"/>
          <w:szCs w:val="20"/>
          <w:color w:val="auto"/>
        </w:rPr>
      </w:pPr>
      <w:r>
        <w:rPr>
          <w:rFonts w:ascii="Arial" w:cs="Arial" w:eastAsia="Arial" w:hAnsi="Arial"/>
          <w:sz w:val="18"/>
          <w:szCs w:val="18"/>
          <w:color w:val="auto"/>
        </w:rPr>
        <w:t>The Compensation Committee approved fiscal year 2021 LTMIP awards on October 21, 2020, with grants to be made effective November 30, 2020, to eligible employees, including NEOs other than Mr. Chopra, who received his fiscal year 2021 LTMIP award in 100% TRSUs on August 24, 2020 in connection with the commencement of his employment by us. Due to the timing of the 2021 LTMIP award grants, those grants do not appear in the above table (they appeared in the corresponding table in our 2021 proxy statement). The number of TRSUs awarded for fiscal year 2021 was determined by dividing the value of the award by the closing price of a share of our Class B Common Stock on the date of grant, and the target number of PSUs granted was determined by dividing the target value of the award by the grant date fair value determined using a Monte Carlo valuation model for each of the three performance periods. For fiscal year 2022 LTMIP grants, the number of TRSUs awarded was determined by dividing the value of the award by the average closing price of a share of our Class B Common Stock over the 20-trading day period immediately preceding and including the grant date, and the target number of PSUs granted was determined by dividing the target value of the award by the grant date fair value determined using a Monte Carlo valuation model for the performance period.</w:t>
      </w:r>
    </w:p>
    <w:p>
      <w:pPr>
        <w:spacing w:after="0" w:line="75" w:lineRule="exact"/>
        <w:rPr>
          <w:sz w:val="20"/>
          <w:szCs w:val="20"/>
          <w:color w:val="auto"/>
        </w:rPr>
      </w:pPr>
    </w:p>
    <w:p>
      <w:pPr>
        <w:ind w:left="160" w:right="400"/>
        <w:spacing w:after="0" w:line="265" w:lineRule="auto"/>
        <w:rPr>
          <w:sz w:val="20"/>
          <w:szCs w:val="20"/>
          <w:color w:val="auto"/>
        </w:rPr>
      </w:pPr>
      <w:r>
        <w:rPr>
          <w:rFonts w:ascii="Arial" w:cs="Arial" w:eastAsia="Arial" w:hAnsi="Arial"/>
          <w:sz w:val="18"/>
          <w:szCs w:val="18"/>
          <w:color w:val="auto"/>
        </w:rPr>
        <w:t>For other terms of these awards relating to performance goals and grant dates, see “Compensation Discussion and Analysis — Long-Term Incentive Programs — Fiscal Year 2021 LTMIP Awards” and “— Equity Award Grant Date Procedures.”</w:t>
      </w:r>
    </w:p>
    <w:p>
      <w:pPr>
        <w:spacing w:after="0" w:line="110"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59</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OUTSTANDING EQUITY AWARDS AT FISCAL YEAR-END 2021</w:t>
      </w:r>
    </w:p>
    <w:p>
      <w:pPr>
        <w:spacing w:after="0" w:line="94"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The following table sets forth the outstanding equity awards held by our NEOs on December 31, 2021, which included vested and unexercised stock options, unvested and unexercised stock options and unvested TRSUs and PSUs. Market values were calculated using the closing price of our Class B Common Stock on December 31, 2021, which was $30.18.</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520" w:type="dxa"/>
            <w:vAlign w:val="bottom"/>
            <w:tcBorders>
              <w:bottom w:val="single" w:sz="8" w:color="EAEAEA"/>
            </w:tcBorders>
            <w:shd w:val="clear" w:color="auto" w:fill="EAEAEA"/>
          </w:tcPr>
          <w:p>
            <w:pPr>
              <w:spacing w:after="0"/>
              <w:rPr>
                <w:sz w:val="16"/>
                <w:szCs w:val="16"/>
                <w:color w:val="auto"/>
              </w:rPr>
            </w:pPr>
          </w:p>
        </w:tc>
        <w:tc>
          <w:tcPr>
            <w:tcW w:w="1800" w:type="dxa"/>
            <w:vAlign w:val="bottom"/>
            <w:tcBorders>
              <w:bottom w:val="single" w:sz="8" w:color="EAEAEA"/>
            </w:tcBorders>
            <w:shd w:val="clear" w:color="auto" w:fill="EAEAEA"/>
          </w:tcPr>
          <w:p>
            <w:pPr>
              <w:spacing w:after="0"/>
              <w:rPr>
                <w:sz w:val="16"/>
                <w:szCs w:val="16"/>
                <w:color w:val="auto"/>
              </w:rPr>
            </w:pPr>
          </w:p>
        </w:tc>
        <w:tc>
          <w:tcPr>
            <w:tcW w:w="1020" w:type="dxa"/>
            <w:vAlign w:val="bottom"/>
            <w:tcBorders>
              <w:bottom w:val="single" w:sz="8" w:color="EAEAEA"/>
            </w:tcBorders>
            <w:shd w:val="clear" w:color="auto" w:fill="EAEAEA"/>
          </w:tcPr>
          <w:p>
            <w:pPr>
              <w:spacing w:after="0"/>
              <w:rPr>
                <w:sz w:val="16"/>
                <w:szCs w:val="16"/>
                <w:color w:val="auto"/>
              </w:rPr>
            </w:pPr>
          </w:p>
        </w:tc>
        <w:tc>
          <w:tcPr>
            <w:tcW w:w="100" w:type="dxa"/>
            <w:vAlign w:val="bottom"/>
            <w:tcBorders>
              <w:bottom w:val="single" w:sz="8" w:color="EAEAEA"/>
            </w:tcBorders>
            <w:shd w:val="clear" w:color="auto" w:fill="EAEAEA"/>
          </w:tcPr>
          <w:p>
            <w:pPr>
              <w:spacing w:after="0"/>
              <w:rPr>
                <w:sz w:val="16"/>
                <w:szCs w:val="16"/>
                <w:color w:val="auto"/>
              </w:rPr>
            </w:pPr>
          </w:p>
        </w:tc>
        <w:tc>
          <w:tcPr>
            <w:tcW w:w="920" w:type="dxa"/>
            <w:vAlign w:val="bottom"/>
            <w:tcBorders>
              <w:bottom w:val="single" w:sz="8" w:color="051D49"/>
            </w:tcBorders>
            <w:shd w:val="clear" w:color="auto" w:fill="EAEAEA"/>
          </w:tcPr>
          <w:p>
            <w:pPr>
              <w:spacing w:after="0"/>
              <w:rPr>
                <w:sz w:val="16"/>
                <w:szCs w:val="16"/>
                <w:color w:val="auto"/>
              </w:rPr>
            </w:pPr>
          </w:p>
        </w:tc>
        <w:tc>
          <w:tcPr>
            <w:tcW w:w="1900" w:type="dxa"/>
            <w:vAlign w:val="bottom"/>
            <w:tcBorders>
              <w:bottom w:val="single" w:sz="8" w:color="051D49"/>
            </w:tcBorders>
            <w:gridSpan w:val="2"/>
            <w:shd w:val="clear" w:color="auto" w:fill="EAEAEA"/>
          </w:tcPr>
          <w:p>
            <w:pPr>
              <w:jc w:val="right"/>
              <w:ind w:right="425"/>
              <w:spacing w:after="0"/>
              <w:rPr>
                <w:sz w:val="20"/>
                <w:szCs w:val="20"/>
                <w:color w:val="auto"/>
              </w:rPr>
            </w:pPr>
            <w:r>
              <w:rPr>
                <w:rFonts w:ascii="Arial" w:cs="Arial" w:eastAsia="Arial" w:hAnsi="Arial"/>
                <w:sz w:val="14"/>
                <w:szCs w:val="14"/>
                <w:color w:val="051D49"/>
              </w:rPr>
              <w:t>Option Awards</w:t>
            </w:r>
          </w:p>
        </w:tc>
        <w:tc>
          <w:tcPr>
            <w:tcW w:w="1000" w:type="dxa"/>
            <w:vAlign w:val="bottom"/>
            <w:tcBorders>
              <w:bottom w:val="single" w:sz="8" w:color="051D49"/>
            </w:tcBorders>
            <w:shd w:val="clear" w:color="auto" w:fill="EAEAEA"/>
          </w:tcPr>
          <w:p>
            <w:pPr>
              <w:spacing w:after="0"/>
              <w:rPr>
                <w:sz w:val="16"/>
                <w:szCs w:val="16"/>
                <w:color w:val="auto"/>
              </w:rPr>
            </w:pPr>
          </w:p>
        </w:tc>
        <w:tc>
          <w:tcPr>
            <w:tcW w:w="100" w:type="dxa"/>
            <w:vAlign w:val="bottom"/>
            <w:tcBorders>
              <w:bottom w:val="single" w:sz="8" w:color="EAEAEA"/>
            </w:tcBorders>
            <w:shd w:val="clear" w:color="auto" w:fill="EAEAEA"/>
          </w:tcPr>
          <w:p>
            <w:pPr>
              <w:spacing w:after="0"/>
              <w:rPr>
                <w:sz w:val="16"/>
                <w:szCs w:val="16"/>
                <w:color w:val="auto"/>
              </w:rPr>
            </w:pPr>
          </w:p>
        </w:tc>
        <w:tc>
          <w:tcPr>
            <w:tcW w:w="800" w:type="dxa"/>
            <w:vAlign w:val="bottom"/>
            <w:tcBorders>
              <w:bottom w:val="single" w:sz="8" w:color="051D49"/>
            </w:tcBorders>
            <w:shd w:val="clear" w:color="auto" w:fill="EAEAEA"/>
          </w:tcPr>
          <w:p>
            <w:pPr>
              <w:spacing w:after="0"/>
              <w:rPr>
                <w:sz w:val="16"/>
                <w:szCs w:val="16"/>
                <w:color w:val="auto"/>
              </w:rPr>
            </w:pPr>
          </w:p>
        </w:tc>
        <w:tc>
          <w:tcPr>
            <w:tcW w:w="1840" w:type="dxa"/>
            <w:vAlign w:val="bottom"/>
            <w:tcBorders>
              <w:bottom w:val="single" w:sz="8" w:color="051D49"/>
            </w:tcBorders>
            <w:gridSpan w:val="2"/>
            <w:shd w:val="clear" w:color="auto" w:fill="EAEAEA"/>
          </w:tcPr>
          <w:p>
            <w:pPr>
              <w:jc w:val="right"/>
              <w:ind w:right="406"/>
              <w:spacing w:after="0"/>
              <w:rPr>
                <w:sz w:val="20"/>
                <w:szCs w:val="20"/>
                <w:color w:val="auto"/>
              </w:rPr>
            </w:pPr>
            <w:r>
              <w:rPr>
                <w:rFonts w:ascii="Arial" w:cs="Arial" w:eastAsia="Arial" w:hAnsi="Arial"/>
                <w:sz w:val="14"/>
                <w:szCs w:val="14"/>
                <w:color w:val="051D49"/>
              </w:rPr>
              <w:t>Stock Awards</w:t>
            </w:r>
          </w:p>
        </w:tc>
        <w:tc>
          <w:tcPr>
            <w:tcW w:w="920" w:type="dxa"/>
            <w:vAlign w:val="bottom"/>
            <w:tcBorders>
              <w:bottom w:val="single" w:sz="8" w:color="051D49"/>
            </w:tcBorders>
            <w:shd w:val="clear" w:color="auto" w:fill="EAEAEA"/>
          </w:tcPr>
          <w:p>
            <w:pPr>
              <w:spacing w:after="0"/>
              <w:rPr>
                <w:sz w:val="16"/>
                <w:szCs w:val="16"/>
                <w:color w:val="auto"/>
              </w:rPr>
            </w:pPr>
          </w:p>
        </w:tc>
      </w:tr>
      <w:tr>
        <w:trPr>
          <w:trHeight w:val="238"/>
        </w:trPr>
        <w:tc>
          <w:tcPr>
            <w:tcW w:w="520" w:type="dxa"/>
            <w:vAlign w:val="bottom"/>
            <w:shd w:val="clear" w:color="auto" w:fill="EAEAEA"/>
          </w:tcPr>
          <w:p>
            <w:pPr>
              <w:spacing w:after="0"/>
              <w:rPr>
                <w:sz w:val="20"/>
                <w:szCs w:val="20"/>
                <w:color w:val="auto"/>
              </w:rPr>
            </w:pPr>
          </w:p>
        </w:tc>
        <w:tc>
          <w:tcPr>
            <w:tcW w:w="1800" w:type="dxa"/>
            <w:vAlign w:val="bottom"/>
            <w:shd w:val="clear" w:color="auto" w:fill="EAEAEA"/>
          </w:tcPr>
          <w:p>
            <w:pPr>
              <w:spacing w:after="0"/>
              <w:rPr>
                <w:sz w:val="20"/>
                <w:szCs w:val="20"/>
                <w:color w:val="auto"/>
              </w:rPr>
            </w:pPr>
          </w:p>
        </w:tc>
        <w:tc>
          <w:tcPr>
            <w:tcW w:w="102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920" w:type="dxa"/>
            <w:vAlign w:val="bottom"/>
            <w:shd w:val="clear" w:color="auto" w:fill="EAEAEA"/>
          </w:tcPr>
          <w:p>
            <w:pPr>
              <w:spacing w:after="0"/>
              <w:rPr>
                <w:sz w:val="20"/>
                <w:szCs w:val="20"/>
                <w:color w:val="auto"/>
              </w:rPr>
            </w:pPr>
          </w:p>
        </w:tc>
        <w:tc>
          <w:tcPr>
            <w:tcW w:w="1120" w:type="dxa"/>
            <w:vAlign w:val="bottom"/>
            <w:shd w:val="clear" w:color="auto" w:fill="EAEAEA"/>
          </w:tcPr>
          <w:p>
            <w:pPr>
              <w:spacing w:after="0"/>
              <w:rPr>
                <w:sz w:val="20"/>
                <w:szCs w:val="20"/>
                <w:color w:val="auto"/>
              </w:rPr>
            </w:pPr>
          </w:p>
        </w:tc>
        <w:tc>
          <w:tcPr>
            <w:tcW w:w="780" w:type="dxa"/>
            <w:vAlign w:val="bottom"/>
            <w:shd w:val="clear" w:color="auto" w:fill="EAEAEA"/>
          </w:tcPr>
          <w:p>
            <w:pPr>
              <w:spacing w:after="0"/>
              <w:rPr>
                <w:sz w:val="20"/>
                <w:szCs w:val="20"/>
                <w:color w:val="auto"/>
              </w:rPr>
            </w:pPr>
          </w:p>
        </w:tc>
        <w:tc>
          <w:tcPr>
            <w:tcW w:w="100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800" w:type="dxa"/>
            <w:vAlign w:val="bottom"/>
            <w:shd w:val="clear" w:color="auto" w:fill="EAEAEA"/>
          </w:tcPr>
          <w:p>
            <w:pPr>
              <w:spacing w:after="0"/>
              <w:rPr>
                <w:sz w:val="20"/>
                <w:szCs w:val="20"/>
                <w:color w:val="auto"/>
              </w:rPr>
            </w:pPr>
          </w:p>
        </w:tc>
        <w:tc>
          <w:tcPr>
            <w:tcW w:w="920" w:type="dxa"/>
            <w:vAlign w:val="bottom"/>
            <w:shd w:val="clear" w:color="auto" w:fill="EAEAEA"/>
          </w:tcPr>
          <w:p>
            <w:pPr>
              <w:spacing w:after="0"/>
              <w:rPr>
                <w:sz w:val="20"/>
                <w:szCs w:val="20"/>
                <w:color w:val="auto"/>
              </w:rPr>
            </w:pPr>
          </w:p>
        </w:tc>
        <w:tc>
          <w:tcPr>
            <w:tcW w:w="920" w:type="dxa"/>
            <w:vAlign w:val="bottom"/>
            <w:shd w:val="clear" w:color="auto" w:fill="EAEAEA"/>
          </w:tcPr>
          <w:p>
            <w:pPr>
              <w:spacing w:after="0"/>
              <w:rPr>
                <w:sz w:val="20"/>
                <w:szCs w:val="20"/>
                <w:color w:val="auto"/>
              </w:rPr>
            </w:pP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Equity</w:t>
            </w:r>
          </w:p>
        </w:tc>
      </w:tr>
      <w:tr>
        <w:trPr>
          <w:trHeight w:val="160"/>
        </w:trPr>
        <w:tc>
          <w:tcPr>
            <w:tcW w:w="520" w:type="dxa"/>
            <w:vAlign w:val="bottom"/>
            <w:shd w:val="clear" w:color="auto" w:fill="EAEAEA"/>
          </w:tcPr>
          <w:p>
            <w:pPr>
              <w:spacing w:after="0"/>
              <w:rPr>
                <w:sz w:val="13"/>
                <w:szCs w:val="13"/>
                <w:color w:val="auto"/>
              </w:rPr>
            </w:pPr>
          </w:p>
        </w:tc>
        <w:tc>
          <w:tcPr>
            <w:tcW w:w="180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Incentive</w:t>
            </w:r>
          </w:p>
        </w:tc>
      </w:tr>
      <w:tr>
        <w:trPr>
          <w:trHeight w:val="160"/>
        </w:trPr>
        <w:tc>
          <w:tcPr>
            <w:tcW w:w="520" w:type="dxa"/>
            <w:vAlign w:val="bottom"/>
            <w:shd w:val="clear" w:color="auto" w:fill="EAEAEA"/>
          </w:tcPr>
          <w:p>
            <w:pPr>
              <w:spacing w:after="0"/>
              <w:rPr>
                <w:sz w:val="13"/>
                <w:szCs w:val="13"/>
                <w:color w:val="auto"/>
              </w:rPr>
            </w:pPr>
          </w:p>
        </w:tc>
        <w:tc>
          <w:tcPr>
            <w:tcW w:w="180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7"/>
              </w:rPr>
              <w:t>Equity</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Plan</w:t>
            </w:r>
          </w:p>
        </w:tc>
      </w:tr>
      <w:tr>
        <w:trPr>
          <w:trHeight w:val="160"/>
        </w:trPr>
        <w:tc>
          <w:tcPr>
            <w:tcW w:w="520" w:type="dxa"/>
            <w:vAlign w:val="bottom"/>
            <w:shd w:val="clear" w:color="auto" w:fill="EAEAEA"/>
          </w:tcPr>
          <w:p>
            <w:pPr>
              <w:spacing w:after="0"/>
              <w:rPr>
                <w:sz w:val="13"/>
                <w:szCs w:val="13"/>
                <w:color w:val="auto"/>
              </w:rPr>
            </w:pPr>
          </w:p>
        </w:tc>
        <w:tc>
          <w:tcPr>
            <w:tcW w:w="180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Incentive</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Awards:</w:t>
            </w:r>
          </w:p>
        </w:tc>
      </w:tr>
      <w:tr>
        <w:trPr>
          <w:trHeight w:val="160"/>
        </w:trPr>
        <w:tc>
          <w:tcPr>
            <w:tcW w:w="520" w:type="dxa"/>
            <w:vAlign w:val="bottom"/>
            <w:shd w:val="clear" w:color="auto" w:fill="EAEAEA"/>
          </w:tcPr>
          <w:p>
            <w:pPr>
              <w:spacing w:after="0"/>
              <w:rPr>
                <w:sz w:val="13"/>
                <w:szCs w:val="13"/>
                <w:color w:val="auto"/>
              </w:rPr>
            </w:pPr>
          </w:p>
        </w:tc>
        <w:tc>
          <w:tcPr>
            <w:tcW w:w="180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Plan</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Market or</w:t>
            </w:r>
          </w:p>
        </w:tc>
      </w:tr>
      <w:tr>
        <w:trPr>
          <w:trHeight w:val="160"/>
        </w:trPr>
        <w:tc>
          <w:tcPr>
            <w:tcW w:w="520" w:type="dxa"/>
            <w:vAlign w:val="bottom"/>
            <w:shd w:val="clear" w:color="auto" w:fill="EAEAEA"/>
          </w:tcPr>
          <w:p>
            <w:pPr>
              <w:spacing w:after="0"/>
              <w:rPr>
                <w:sz w:val="13"/>
                <w:szCs w:val="13"/>
                <w:color w:val="auto"/>
              </w:rPr>
            </w:pPr>
          </w:p>
        </w:tc>
        <w:tc>
          <w:tcPr>
            <w:tcW w:w="180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8"/>
              </w:rPr>
              <w:t>Awards:</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Payout</w:t>
            </w:r>
          </w:p>
        </w:tc>
      </w:tr>
      <w:tr>
        <w:trPr>
          <w:trHeight w:val="160"/>
        </w:trPr>
        <w:tc>
          <w:tcPr>
            <w:tcW w:w="520" w:type="dxa"/>
            <w:vAlign w:val="bottom"/>
            <w:shd w:val="clear" w:color="auto" w:fill="EAEAEA"/>
          </w:tcPr>
          <w:p>
            <w:pPr>
              <w:spacing w:after="0"/>
              <w:rPr>
                <w:sz w:val="13"/>
                <w:szCs w:val="13"/>
                <w:color w:val="auto"/>
              </w:rPr>
            </w:pPr>
          </w:p>
        </w:tc>
        <w:tc>
          <w:tcPr>
            <w:tcW w:w="180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00" w:type="dxa"/>
            <w:vAlign w:val="bottom"/>
            <w:shd w:val="clear" w:color="auto" w:fill="EAEAEA"/>
          </w:tcPr>
          <w:p>
            <w:pPr>
              <w:spacing w:after="0"/>
              <w:rPr>
                <w:sz w:val="13"/>
                <w:szCs w:val="13"/>
                <w:color w:val="auto"/>
              </w:rPr>
            </w:pP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Market</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Number of</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Value of</w:t>
            </w:r>
          </w:p>
        </w:tc>
      </w:tr>
      <w:tr>
        <w:trPr>
          <w:trHeight w:val="160"/>
        </w:trPr>
        <w:tc>
          <w:tcPr>
            <w:tcW w:w="520" w:type="dxa"/>
            <w:vAlign w:val="bottom"/>
            <w:shd w:val="clear" w:color="auto" w:fill="EAEAEA"/>
          </w:tcPr>
          <w:p>
            <w:pPr>
              <w:spacing w:after="0"/>
              <w:rPr>
                <w:sz w:val="13"/>
                <w:szCs w:val="13"/>
                <w:color w:val="auto"/>
              </w:rPr>
            </w:pPr>
          </w:p>
        </w:tc>
        <w:tc>
          <w:tcPr>
            <w:tcW w:w="180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00" w:type="dxa"/>
            <w:vAlign w:val="bottom"/>
            <w:shd w:val="clear" w:color="auto" w:fill="EAEAEA"/>
          </w:tcPr>
          <w:p>
            <w:pPr>
              <w:jc w:val="center"/>
              <w:ind w:right="45"/>
              <w:spacing w:after="0"/>
              <w:rPr>
                <w:sz w:val="20"/>
                <w:szCs w:val="20"/>
                <w:color w:val="auto"/>
              </w:rPr>
            </w:pPr>
            <w:r>
              <w:rPr>
                <w:rFonts w:ascii="Arial" w:cs="Arial" w:eastAsia="Arial" w:hAnsi="Arial"/>
                <w:sz w:val="14"/>
                <w:szCs w:val="14"/>
                <w:color w:val="051D49"/>
              </w:rPr>
              <w:t>Number</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Value</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Unearned</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Unearned</w:t>
            </w:r>
          </w:p>
        </w:tc>
      </w:tr>
      <w:tr>
        <w:trPr>
          <w:trHeight w:val="160"/>
        </w:trPr>
        <w:tc>
          <w:tcPr>
            <w:tcW w:w="520" w:type="dxa"/>
            <w:vAlign w:val="bottom"/>
            <w:shd w:val="clear" w:color="auto" w:fill="EAEAEA"/>
          </w:tcPr>
          <w:p>
            <w:pPr>
              <w:spacing w:after="0"/>
              <w:rPr>
                <w:sz w:val="13"/>
                <w:szCs w:val="13"/>
                <w:color w:val="auto"/>
              </w:rPr>
            </w:pPr>
          </w:p>
        </w:tc>
        <w:tc>
          <w:tcPr>
            <w:tcW w:w="180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00" w:type="dxa"/>
            <w:vAlign w:val="bottom"/>
            <w:shd w:val="clear" w:color="auto" w:fill="EAEAEA"/>
          </w:tcPr>
          <w:p>
            <w:pPr>
              <w:jc w:val="center"/>
              <w:ind w:right="45"/>
              <w:spacing w:after="0"/>
              <w:rPr>
                <w:sz w:val="20"/>
                <w:szCs w:val="20"/>
                <w:color w:val="auto"/>
              </w:rPr>
            </w:pPr>
            <w:r>
              <w:rPr>
                <w:rFonts w:ascii="Arial" w:cs="Arial" w:eastAsia="Arial" w:hAnsi="Arial"/>
                <w:sz w:val="14"/>
                <w:szCs w:val="14"/>
                <w:color w:val="051D49"/>
              </w:rPr>
              <w:t>of Shares</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of Shares</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Shares,</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Shares,</w:t>
            </w:r>
          </w:p>
        </w:tc>
      </w:tr>
      <w:tr>
        <w:trPr>
          <w:trHeight w:val="160"/>
        </w:trPr>
        <w:tc>
          <w:tcPr>
            <w:tcW w:w="520" w:type="dxa"/>
            <w:vAlign w:val="bottom"/>
            <w:shd w:val="clear" w:color="auto" w:fill="EAEAEA"/>
          </w:tcPr>
          <w:p>
            <w:pPr>
              <w:spacing w:after="0"/>
              <w:rPr>
                <w:sz w:val="13"/>
                <w:szCs w:val="13"/>
                <w:color w:val="auto"/>
              </w:rPr>
            </w:pPr>
          </w:p>
        </w:tc>
        <w:tc>
          <w:tcPr>
            <w:tcW w:w="180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Number of</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Number of</w:t>
            </w: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00" w:type="dxa"/>
            <w:vAlign w:val="bottom"/>
            <w:shd w:val="clear" w:color="auto" w:fill="EAEAEA"/>
          </w:tcPr>
          <w:p>
            <w:pPr>
              <w:jc w:val="center"/>
              <w:ind w:right="45"/>
              <w:spacing w:after="0"/>
              <w:rPr>
                <w:sz w:val="20"/>
                <w:szCs w:val="20"/>
                <w:color w:val="auto"/>
              </w:rPr>
            </w:pPr>
            <w:r>
              <w:rPr>
                <w:rFonts w:ascii="Arial" w:cs="Arial" w:eastAsia="Arial" w:hAnsi="Arial"/>
                <w:sz w:val="14"/>
                <w:szCs w:val="14"/>
                <w:color w:val="051D49"/>
              </w:rPr>
              <w:t>or Units of</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or Units</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Units</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Units or</w:t>
            </w:r>
          </w:p>
        </w:tc>
      </w:tr>
      <w:tr>
        <w:trPr>
          <w:trHeight w:val="160"/>
        </w:trPr>
        <w:tc>
          <w:tcPr>
            <w:tcW w:w="520" w:type="dxa"/>
            <w:vAlign w:val="bottom"/>
            <w:shd w:val="clear" w:color="auto" w:fill="EAEAEA"/>
          </w:tcPr>
          <w:p>
            <w:pPr>
              <w:spacing w:after="0"/>
              <w:rPr>
                <w:sz w:val="13"/>
                <w:szCs w:val="13"/>
                <w:color w:val="auto"/>
              </w:rPr>
            </w:pPr>
          </w:p>
        </w:tc>
        <w:tc>
          <w:tcPr>
            <w:tcW w:w="180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Securities</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Securities</w:t>
            </w: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00" w:type="dxa"/>
            <w:vAlign w:val="bottom"/>
            <w:shd w:val="clear" w:color="auto" w:fill="EAEAEA"/>
          </w:tcPr>
          <w:p>
            <w:pPr>
              <w:jc w:val="center"/>
              <w:ind w:right="45"/>
              <w:spacing w:after="0"/>
              <w:rPr>
                <w:sz w:val="20"/>
                <w:szCs w:val="20"/>
                <w:color w:val="auto"/>
              </w:rPr>
            </w:pPr>
            <w:r>
              <w:rPr>
                <w:rFonts w:ascii="Arial" w:cs="Arial" w:eastAsia="Arial" w:hAnsi="Arial"/>
                <w:sz w:val="14"/>
                <w:szCs w:val="14"/>
                <w:color w:val="051D49"/>
              </w:rPr>
              <w:t>Stock</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of Stock</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or Other</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Other</w:t>
            </w:r>
          </w:p>
        </w:tc>
      </w:tr>
      <w:tr>
        <w:trPr>
          <w:trHeight w:val="160"/>
        </w:trPr>
        <w:tc>
          <w:tcPr>
            <w:tcW w:w="520" w:type="dxa"/>
            <w:vAlign w:val="bottom"/>
            <w:shd w:val="clear" w:color="auto" w:fill="EAEAEA"/>
          </w:tcPr>
          <w:p>
            <w:pPr>
              <w:spacing w:after="0"/>
              <w:rPr>
                <w:sz w:val="13"/>
                <w:szCs w:val="13"/>
                <w:color w:val="auto"/>
              </w:rPr>
            </w:pPr>
          </w:p>
        </w:tc>
        <w:tc>
          <w:tcPr>
            <w:tcW w:w="180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46"/>
              <w:spacing w:after="0"/>
              <w:rPr>
                <w:sz w:val="20"/>
                <w:szCs w:val="20"/>
                <w:color w:val="auto"/>
              </w:rPr>
            </w:pPr>
            <w:r>
              <w:rPr>
                <w:rFonts w:ascii="Arial" w:cs="Arial" w:eastAsia="Arial" w:hAnsi="Arial"/>
                <w:sz w:val="14"/>
                <w:szCs w:val="14"/>
                <w:color w:val="051D49"/>
              </w:rPr>
              <w:t>Underlying</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Underlying</w:t>
            </w:r>
          </w:p>
        </w:tc>
        <w:tc>
          <w:tcPr>
            <w:tcW w:w="78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00" w:type="dxa"/>
            <w:vAlign w:val="bottom"/>
            <w:shd w:val="clear" w:color="auto" w:fill="EAEAEA"/>
          </w:tcPr>
          <w:p>
            <w:pPr>
              <w:jc w:val="center"/>
              <w:ind w:right="45"/>
              <w:spacing w:after="0"/>
              <w:rPr>
                <w:sz w:val="20"/>
                <w:szCs w:val="20"/>
                <w:color w:val="auto"/>
              </w:rPr>
            </w:pPr>
            <w:r>
              <w:rPr>
                <w:rFonts w:ascii="Arial" w:cs="Arial" w:eastAsia="Arial" w:hAnsi="Arial"/>
                <w:sz w:val="14"/>
                <w:szCs w:val="14"/>
                <w:color w:val="051D49"/>
                <w:w w:val="97"/>
              </w:rPr>
              <w:t>Held</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Held</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Rights</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Rights</w:t>
            </w:r>
          </w:p>
        </w:tc>
      </w:tr>
      <w:tr>
        <w:trPr>
          <w:trHeight w:val="160"/>
        </w:trPr>
        <w:tc>
          <w:tcPr>
            <w:tcW w:w="520" w:type="dxa"/>
            <w:vAlign w:val="bottom"/>
            <w:shd w:val="clear" w:color="auto" w:fill="EAEAEA"/>
          </w:tcPr>
          <w:p>
            <w:pPr>
              <w:spacing w:after="0"/>
              <w:rPr>
                <w:sz w:val="13"/>
                <w:szCs w:val="13"/>
                <w:color w:val="auto"/>
              </w:rPr>
            </w:pPr>
          </w:p>
        </w:tc>
        <w:tc>
          <w:tcPr>
            <w:tcW w:w="180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46"/>
              <w:spacing w:after="0"/>
              <w:rPr>
                <w:sz w:val="20"/>
                <w:szCs w:val="20"/>
                <w:color w:val="auto"/>
              </w:rPr>
            </w:pPr>
            <w:r>
              <w:rPr>
                <w:rFonts w:ascii="Arial" w:cs="Arial" w:eastAsia="Arial" w:hAnsi="Arial"/>
                <w:sz w:val="14"/>
                <w:szCs w:val="14"/>
                <w:color w:val="051D49"/>
              </w:rPr>
              <w:t>Unexercised</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Unexercised</w:t>
            </w:r>
          </w:p>
        </w:tc>
        <w:tc>
          <w:tcPr>
            <w:tcW w:w="7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Option</w:t>
            </w:r>
          </w:p>
        </w:tc>
        <w:tc>
          <w:tcPr>
            <w:tcW w:w="10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00" w:type="dxa"/>
            <w:vAlign w:val="bottom"/>
            <w:shd w:val="clear" w:color="auto" w:fill="EAEAEA"/>
          </w:tcPr>
          <w:p>
            <w:pPr>
              <w:jc w:val="center"/>
              <w:ind w:right="65"/>
              <w:spacing w:after="0"/>
              <w:rPr>
                <w:sz w:val="20"/>
                <w:szCs w:val="20"/>
                <w:color w:val="auto"/>
              </w:rPr>
            </w:pPr>
            <w:r>
              <w:rPr>
                <w:rFonts w:ascii="Arial" w:cs="Arial" w:eastAsia="Arial" w:hAnsi="Arial"/>
                <w:sz w:val="14"/>
                <w:szCs w:val="14"/>
                <w:color w:val="051D49"/>
              </w:rPr>
              <w:t>That Have</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that Have</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That Have</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That Have</w:t>
            </w:r>
          </w:p>
        </w:tc>
      </w:tr>
      <w:tr>
        <w:trPr>
          <w:trHeight w:val="160"/>
        </w:trPr>
        <w:tc>
          <w:tcPr>
            <w:tcW w:w="520" w:type="dxa"/>
            <w:vAlign w:val="bottom"/>
            <w:shd w:val="clear" w:color="auto" w:fill="EAEAEA"/>
          </w:tcPr>
          <w:p>
            <w:pPr>
              <w:spacing w:after="0"/>
              <w:rPr>
                <w:sz w:val="13"/>
                <w:szCs w:val="13"/>
                <w:color w:val="auto"/>
              </w:rPr>
            </w:pPr>
          </w:p>
        </w:tc>
        <w:tc>
          <w:tcPr>
            <w:tcW w:w="180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46"/>
              <w:spacing w:after="0"/>
              <w:rPr>
                <w:sz w:val="20"/>
                <w:szCs w:val="20"/>
                <w:color w:val="auto"/>
              </w:rPr>
            </w:pPr>
            <w:r>
              <w:rPr>
                <w:rFonts w:ascii="Arial" w:cs="Arial" w:eastAsia="Arial" w:hAnsi="Arial"/>
                <w:sz w:val="14"/>
                <w:szCs w:val="14"/>
                <w:color w:val="051D49"/>
              </w:rPr>
              <w:t>Options —</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Options —</w:t>
            </w:r>
          </w:p>
        </w:tc>
        <w:tc>
          <w:tcPr>
            <w:tcW w:w="7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Exercise</w:t>
            </w:r>
          </w:p>
        </w:tc>
        <w:tc>
          <w:tcPr>
            <w:tcW w:w="1100" w:type="dxa"/>
            <w:vAlign w:val="bottom"/>
            <w:gridSpan w:val="2"/>
            <w:shd w:val="clear" w:color="auto" w:fill="EAEAEA"/>
          </w:tcPr>
          <w:p>
            <w:pPr>
              <w:jc w:val="center"/>
              <w:ind w:right="120"/>
              <w:spacing w:after="0"/>
              <w:rPr>
                <w:sz w:val="20"/>
                <w:szCs w:val="20"/>
                <w:color w:val="auto"/>
              </w:rPr>
            </w:pPr>
            <w:r>
              <w:rPr>
                <w:rFonts w:ascii="Arial" w:cs="Arial" w:eastAsia="Arial" w:hAnsi="Arial"/>
                <w:sz w:val="14"/>
                <w:szCs w:val="14"/>
                <w:color w:val="051D49"/>
              </w:rPr>
              <w:t>Option</w:t>
            </w:r>
          </w:p>
        </w:tc>
        <w:tc>
          <w:tcPr>
            <w:tcW w:w="800" w:type="dxa"/>
            <w:vAlign w:val="bottom"/>
            <w:shd w:val="clear" w:color="auto" w:fill="EAEAEA"/>
          </w:tcPr>
          <w:p>
            <w:pPr>
              <w:jc w:val="center"/>
              <w:ind w:right="65"/>
              <w:spacing w:after="0"/>
              <w:rPr>
                <w:sz w:val="20"/>
                <w:szCs w:val="20"/>
                <w:color w:val="auto"/>
              </w:rPr>
            </w:pPr>
            <w:r>
              <w:rPr>
                <w:rFonts w:ascii="Arial" w:cs="Arial" w:eastAsia="Arial" w:hAnsi="Arial"/>
                <w:sz w:val="14"/>
                <w:szCs w:val="14"/>
                <w:color w:val="051D49"/>
              </w:rPr>
              <w:t>Not</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8"/>
              </w:rPr>
              <w:t>Not Yet</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8"/>
              </w:rPr>
              <w:t>Not Yet</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8"/>
              </w:rPr>
              <w:t>Not Yet</w:t>
            </w:r>
          </w:p>
        </w:tc>
      </w:tr>
      <w:tr>
        <w:trPr>
          <w:trHeight w:val="160"/>
        </w:trPr>
        <w:tc>
          <w:tcPr>
            <w:tcW w:w="520" w:type="dxa"/>
            <w:vAlign w:val="bottom"/>
            <w:shd w:val="clear" w:color="auto" w:fill="EAEAEA"/>
          </w:tcPr>
          <w:p>
            <w:pPr>
              <w:spacing w:after="0"/>
              <w:rPr>
                <w:sz w:val="13"/>
                <w:szCs w:val="13"/>
                <w:color w:val="auto"/>
              </w:rPr>
            </w:pPr>
          </w:p>
        </w:tc>
        <w:tc>
          <w:tcPr>
            <w:tcW w:w="1800" w:type="dxa"/>
            <w:vAlign w:val="bottom"/>
            <w:shd w:val="clear" w:color="auto" w:fill="EAEAEA"/>
          </w:tcPr>
          <w:p>
            <w:pPr>
              <w:spacing w:after="0"/>
              <w:rPr>
                <w:sz w:val="13"/>
                <w:szCs w:val="13"/>
                <w:color w:val="auto"/>
              </w:rPr>
            </w:pPr>
          </w:p>
        </w:tc>
        <w:tc>
          <w:tcPr>
            <w:tcW w:w="1020" w:type="dxa"/>
            <w:vAlign w:val="bottom"/>
            <w:shd w:val="clear" w:color="auto" w:fill="EAEAEA"/>
          </w:tcPr>
          <w:p>
            <w:pPr>
              <w:jc w:val="right"/>
              <w:ind w:right="265"/>
              <w:spacing w:after="0"/>
              <w:rPr>
                <w:sz w:val="20"/>
                <w:szCs w:val="20"/>
                <w:color w:val="auto"/>
              </w:rPr>
            </w:pPr>
            <w:r>
              <w:rPr>
                <w:rFonts w:ascii="Arial" w:cs="Arial" w:eastAsia="Arial" w:hAnsi="Arial"/>
                <w:sz w:val="14"/>
                <w:szCs w:val="14"/>
                <w:color w:val="051D49"/>
              </w:rPr>
              <w:t>Grant</w:t>
            </w: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Exercisable</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Unexercisable</w:t>
            </w:r>
          </w:p>
        </w:tc>
        <w:tc>
          <w:tcPr>
            <w:tcW w:w="7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Price</w:t>
            </w:r>
          </w:p>
        </w:tc>
        <w:tc>
          <w:tcPr>
            <w:tcW w:w="1100" w:type="dxa"/>
            <w:vAlign w:val="bottom"/>
            <w:gridSpan w:val="2"/>
            <w:shd w:val="clear" w:color="auto" w:fill="EAEAEA"/>
          </w:tcPr>
          <w:p>
            <w:pPr>
              <w:jc w:val="center"/>
              <w:ind w:right="120"/>
              <w:spacing w:after="0"/>
              <w:rPr>
                <w:sz w:val="20"/>
                <w:szCs w:val="20"/>
                <w:color w:val="auto"/>
              </w:rPr>
            </w:pPr>
            <w:r>
              <w:rPr>
                <w:rFonts w:ascii="Arial" w:cs="Arial" w:eastAsia="Arial" w:hAnsi="Arial"/>
                <w:sz w:val="14"/>
                <w:szCs w:val="14"/>
                <w:color w:val="051D49"/>
                <w:w w:val="99"/>
              </w:rPr>
              <w:t>Expiration</w:t>
            </w:r>
          </w:p>
        </w:tc>
        <w:tc>
          <w:tcPr>
            <w:tcW w:w="800" w:type="dxa"/>
            <w:vAlign w:val="bottom"/>
            <w:shd w:val="clear" w:color="auto" w:fill="EAEAEA"/>
          </w:tcPr>
          <w:p>
            <w:pPr>
              <w:jc w:val="center"/>
              <w:ind w:right="45"/>
              <w:spacing w:after="0"/>
              <w:rPr>
                <w:sz w:val="20"/>
                <w:szCs w:val="20"/>
                <w:color w:val="auto"/>
              </w:rPr>
            </w:pPr>
            <w:r>
              <w:rPr>
                <w:rFonts w:ascii="Arial" w:cs="Arial" w:eastAsia="Arial" w:hAnsi="Arial"/>
                <w:sz w:val="14"/>
                <w:szCs w:val="14"/>
                <w:color w:val="051D49"/>
              </w:rPr>
              <w:t>Vested</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Vested</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6"/>
              </w:rPr>
              <w:t>Vested</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Vested</w:t>
            </w:r>
          </w:p>
        </w:tc>
      </w:tr>
      <w:tr>
        <w:trPr>
          <w:trHeight w:val="183"/>
        </w:trPr>
        <w:tc>
          <w:tcPr>
            <w:tcW w:w="520" w:type="dxa"/>
            <w:vAlign w:val="bottom"/>
            <w:shd w:val="clear" w:color="auto" w:fill="EAEAEA"/>
          </w:tcPr>
          <w:p>
            <w:pPr>
              <w:ind w:left="80"/>
              <w:spacing w:after="0"/>
              <w:rPr>
                <w:sz w:val="20"/>
                <w:szCs w:val="20"/>
                <w:color w:val="auto"/>
              </w:rPr>
            </w:pPr>
            <w:r>
              <w:rPr>
                <w:rFonts w:ascii="Arial" w:cs="Arial" w:eastAsia="Arial" w:hAnsi="Arial"/>
                <w:sz w:val="14"/>
                <w:szCs w:val="14"/>
                <w:color w:val="051D49"/>
              </w:rPr>
              <w:t>Name</w:t>
            </w:r>
          </w:p>
        </w:tc>
        <w:tc>
          <w:tcPr>
            <w:tcW w:w="1800" w:type="dxa"/>
            <w:vAlign w:val="bottom"/>
            <w:shd w:val="clear" w:color="auto" w:fill="EAEAEA"/>
          </w:tcPr>
          <w:p>
            <w:pPr>
              <w:spacing w:after="0"/>
              <w:rPr>
                <w:sz w:val="15"/>
                <w:szCs w:val="15"/>
                <w:color w:val="auto"/>
              </w:rPr>
            </w:pPr>
          </w:p>
        </w:tc>
        <w:tc>
          <w:tcPr>
            <w:tcW w:w="1020" w:type="dxa"/>
            <w:vAlign w:val="bottom"/>
            <w:shd w:val="clear" w:color="auto" w:fill="EAEAEA"/>
          </w:tcPr>
          <w:p>
            <w:pPr>
              <w:jc w:val="right"/>
              <w:ind w:right="285"/>
              <w:spacing w:after="0"/>
              <w:rPr>
                <w:sz w:val="20"/>
                <w:szCs w:val="20"/>
                <w:color w:val="auto"/>
              </w:rPr>
            </w:pPr>
            <w:r>
              <w:rPr>
                <w:rFonts w:ascii="Arial" w:cs="Arial" w:eastAsia="Arial" w:hAnsi="Arial"/>
                <w:sz w:val="14"/>
                <w:szCs w:val="14"/>
                <w:color w:val="051D49"/>
              </w:rPr>
              <w:t>Date</w:t>
            </w:r>
          </w:p>
        </w:tc>
        <w:tc>
          <w:tcPr>
            <w:tcW w:w="1020" w:type="dxa"/>
            <w:vAlign w:val="bottom"/>
            <w:gridSpan w:val="2"/>
            <w:shd w:val="clear" w:color="auto" w:fill="EAEAEA"/>
          </w:tcPr>
          <w:p>
            <w:pPr>
              <w:jc w:val="center"/>
              <w:spacing w:after="0"/>
              <w:rPr>
                <w:sz w:val="20"/>
                <w:szCs w:val="20"/>
                <w:color w:val="auto"/>
              </w:rPr>
            </w:pPr>
            <w:r>
              <w:rPr>
                <w:rFonts w:ascii="Arial" w:cs="Arial" w:eastAsia="Arial" w:hAnsi="Arial"/>
                <w:sz w:val="14"/>
                <w:szCs w:val="14"/>
                <w:color w:val="051D49"/>
              </w:rPr>
              <w:t>(#)</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(#)(1)</w:t>
            </w:r>
          </w:p>
        </w:tc>
        <w:tc>
          <w:tcPr>
            <w:tcW w:w="78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3"/>
              </w:rPr>
              <w:t>($)</w:t>
            </w:r>
          </w:p>
        </w:tc>
        <w:tc>
          <w:tcPr>
            <w:tcW w:w="1100" w:type="dxa"/>
            <w:vAlign w:val="bottom"/>
            <w:gridSpan w:val="2"/>
            <w:shd w:val="clear" w:color="auto" w:fill="EAEAEA"/>
          </w:tcPr>
          <w:p>
            <w:pPr>
              <w:jc w:val="center"/>
              <w:ind w:right="120"/>
              <w:spacing w:after="0"/>
              <w:rPr>
                <w:sz w:val="20"/>
                <w:szCs w:val="20"/>
                <w:color w:val="auto"/>
              </w:rPr>
            </w:pPr>
            <w:r>
              <w:rPr>
                <w:rFonts w:ascii="Arial" w:cs="Arial" w:eastAsia="Arial" w:hAnsi="Arial"/>
                <w:sz w:val="14"/>
                <w:szCs w:val="14"/>
                <w:color w:val="051D49"/>
              </w:rPr>
              <w:t>Date</w:t>
            </w:r>
          </w:p>
        </w:tc>
        <w:tc>
          <w:tcPr>
            <w:tcW w:w="800" w:type="dxa"/>
            <w:vAlign w:val="bottom"/>
            <w:shd w:val="clear" w:color="auto" w:fill="EAEAEA"/>
          </w:tcPr>
          <w:p>
            <w:pPr>
              <w:jc w:val="center"/>
              <w:ind w:right="45"/>
              <w:spacing w:after="0"/>
              <w:rPr>
                <w:sz w:val="20"/>
                <w:szCs w:val="20"/>
                <w:color w:val="auto"/>
              </w:rPr>
            </w:pPr>
            <w:r>
              <w:rPr>
                <w:rFonts w:ascii="Arial" w:cs="Arial" w:eastAsia="Arial" w:hAnsi="Arial"/>
                <w:sz w:val="14"/>
                <w:szCs w:val="14"/>
                <w:color w:val="051D49"/>
              </w:rPr>
              <w:t>(#)(2)</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(#)(3)</w:t>
            </w:r>
          </w:p>
        </w:tc>
        <w:tc>
          <w:tcPr>
            <w:tcW w:w="9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w:t>
            </w:r>
          </w:p>
        </w:tc>
      </w:tr>
      <w:tr>
        <w:trPr>
          <w:trHeight w:val="143"/>
        </w:trPr>
        <w:tc>
          <w:tcPr>
            <w:tcW w:w="2320" w:type="dxa"/>
            <w:vAlign w:val="bottom"/>
            <w:gridSpan w:val="2"/>
          </w:tcPr>
          <w:p>
            <w:pPr>
              <w:ind w:left="60"/>
              <w:spacing w:after="0" w:line="144" w:lineRule="exact"/>
              <w:rPr>
                <w:sz w:val="20"/>
                <w:szCs w:val="20"/>
                <w:color w:val="auto"/>
              </w:rPr>
            </w:pPr>
            <w:r>
              <w:rPr>
                <w:rFonts w:ascii="Arial" w:cs="Arial" w:eastAsia="Arial" w:hAnsi="Arial"/>
                <w:sz w:val="15"/>
                <w:szCs w:val="15"/>
                <w:color w:val="auto"/>
              </w:rPr>
              <w:t>Robert M. Bakish</w:t>
            </w:r>
          </w:p>
        </w:tc>
        <w:tc>
          <w:tcPr>
            <w:tcW w:w="1020" w:type="dxa"/>
            <w:vAlign w:val="bottom"/>
          </w:tcPr>
          <w:p>
            <w:pPr>
              <w:jc w:val="right"/>
              <w:ind w:right="25"/>
              <w:spacing w:after="0" w:line="144" w:lineRule="exact"/>
              <w:rPr>
                <w:sz w:val="20"/>
                <w:szCs w:val="20"/>
                <w:color w:val="auto"/>
              </w:rPr>
            </w:pPr>
            <w:r>
              <w:rPr>
                <w:rFonts w:ascii="Arial" w:cs="Arial" w:eastAsia="Arial" w:hAnsi="Arial"/>
                <w:sz w:val="15"/>
                <w:szCs w:val="15"/>
                <w:color w:val="auto"/>
              </w:rPr>
              <w:t>5/21/2014</w:t>
            </w:r>
          </w:p>
        </w:tc>
        <w:tc>
          <w:tcPr>
            <w:tcW w:w="1020" w:type="dxa"/>
            <w:vAlign w:val="bottom"/>
            <w:gridSpan w:val="2"/>
          </w:tcPr>
          <w:p>
            <w:pPr>
              <w:jc w:val="right"/>
              <w:ind w:right="46"/>
              <w:spacing w:after="0" w:line="144" w:lineRule="exact"/>
              <w:rPr>
                <w:sz w:val="20"/>
                <w:szCs w:val="20"/>
                <w:color w:val="auto"/>
              </w:rPr>
            </w:pPr>
            <w:r>
              <w:rPr>
                <w:rFonts w:ascii="Arial" w:cs="Arial" w:eastAsia="Arial" w:hAnsi="Arial"/>
                <w:sz w:val="15"/>
                <w:szCs w:val="15"/>
                <w:color w:val="auto"/>
              </w:rPr>
              <w:t>28,804</w:t>
            </w:r>
          </w:p>
        </w:tc>
        <w:tc>
          <w:tcPr>
            <w:tcW w:w="1120" w:type="dxa"/>
            <w:vAlign w:val="bottom"/>
          </w:tcPr>
          <w:p>
            <w:pPr>
              <w:jc w:val="right"/>
              <w:ind w:right="25"/>
              <w:spacing w:after="0" w:line="144"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44" w:lineRule="exact"/>
              <w:rPr>
                <w:sz w:val="20"/>
                <w:szCs w:val="20"/>
                <w:color w:val="auto"/>
              </w:rPr>
            </w:pPr>
            <w:r>
              <w:rPr>
                <w:rFonts w:ascii="Arial" w:cs="Arial" w:eastAsia="Arial" w:hAnsi="Arial"/>
                <w:sz w:val="15"/>
                <w:szCs w:val="15"/>
                <w:color w:val="auto"/>
              </w:rPr>
              <w:t>141.66</w:t>
            </w:r>
          </w:p>
        </w:tc>
        <w:tc>
          <w:tcPr>
            <w:tcW w:w="1000" w:type="dxa"/>
            <w:vAlign w:val="bottom"/>
          </w:tcPr>
          <w:p>
            <w:pPr>
              <w:jc w:val="right"/>
              <w:ind w:right="45"/>
              <w:spacing w:after="0" w:line="144" w:lineRule="exact"/>
              <w:rPr>
                <w:sz w:val="20"/>
                <w:szCs w:val="20"/>
                <w:color w:val="auto"/>
              </w:rPr>
            </w:pPr>
            <w:r>
              <w:rPr>
                <w:rFonts w:ascii="Arial" w:cs="Arial" w:eastAsia="Arial" w:hAnsi="Arial"/>
                <w:sz w:val="15"/>
                <w:szCs w:val="15"/>
                <w:color w:val="auto"/>
              </w:rPr>
              <w:t>5/21/2022</w:t>
            </w:r>
          </w:p>
        </w:tc>
        <w:tc>
          <w:tcPr>
            <w:tcW w:w="100" w:type="dxa"/>
            <w:vAlign w:val="bottom"/>
          </w:tcPr>
          <w:p>
            <w:pPr>
              <w:spacing w:after="0"/>
              <w:rPr>
                <w:sz w:val="12"/>
                <w:szCs w:val="12"/>
                <w:color w:val="auto"/>
              </w:rPr>
            </w:pPr>
          </w:p>
        </w:tc>
        <w:tc>
          <w:tcPr>
            <w:tcW w:w="800" w:type="dxa"/>
            <w:vAlign w:val="bottom"/>
          </w:tcPr>
          <w:p>
            <w:pPr>
              <w:jc w:val="right"/>
              <w:ind w:right="45"/>
              <w:spacing w:after="0" w:line="144"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line="144"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44"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44"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5/20/2015</w:t>
            </w:r>
          </w:p>
        </w:tc>
        <w:tc>
          <w:tcPr>
            <w:tcW w:w="1020" w:type="dxa"/>
            <w:vAlign w:val="bottom"/>
            <w:gridSpan w:val="2"/>
          </w:tcPr>
          <w:p>
            <w:pPr>
              <w:jc w:val="right"/>
              <w:ind w:right="46"/>
              <w:spacing w:after="0" w:line="161" w:lineRule="exact"/>
              <w:rPr>
                <w:sz w:val="20"/>
                <w:szCs w:val="20"/>
                <w:color w:val="auto"/>
              </w:rPr>
            </w:pPr>
            <w:r>
              <w:rPr>
                <w:rFonts w:ascii="Arial" w:cs="Arial" w:eastAsia="Arial" w:hAnsi="Arial"/>
                <w:sz w:val="15"/>
                <w:szCs w:val="15"/>
                <w:color w:val="auto"/>
              </w:rPr>
              <w:t>43,641</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110.56</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5/20/2023</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5/18/2016</w:t>
            </w:r>
          </w:p>
        </w:tc>
        <w:tc>
          <w:tcPr>
            <w:tcW w:w="1020" w:type="dxa"/>
            <w:vAlign w:val="bottom"/>
            <w:gridSpan w:val="2"/>
          </w:tcPr>
          <w:p>
            <w:pPr>
              <w:jc w:val="right"/>
              <w:ind w:right="46"/>
              <w:spacing w:after="0" w:line="161" w:lineRule="exact"/>
              <w:rPr>
                <w:sz w:val="20"/>
                <w:szCs w:val="20"/>
                <w:color w:val="auto"/>
              </w:rPr>
            </w:pPr>
            <w:r>
              <w:rPr>
                <w:rFonts w:ascii="Arial" w:cs="Arial" w:eastAsia="Arial" w:hAnsi="Arial"/>
                <w:sz w:val="15"/>
                <w:szCs w:val="15"/>
                <w:color w:val="auto"/>
              </w:rPr>
              <w:t>62,037</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65.18</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5/18/2024</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11/10/2016</w:t>
            </w:r>
          </w:p>
        </w:tc>
        <w:tc>
          <w:tcPr>
            <w:tcW w:w="1020" w:type="dxa"/>
            <w:vAlign w:val="bottom"/>
            <w:gridSpan w:val="2"/>
          </w:tcPr>
          <w:p>
            <w:pPr>
              <w:jc w:val="right"/>
              <w:ind w:right="46"/>
              <w:spacing w:after="0" w:line="161" w:lineRule="exact"/>
              <w:rPr>
                <w:sz w:val="20"/>
                <w:szCs w:val="20"/>
                <w:color w:val="auto"/>
              </w:rPr>
            </w:pPr>
            <w:r>
              <w:rPr>
                <w:rFonts w:ascii="Arial" w:cs="Arial" w:eastAsia="Arial" w:hAnsi="Arial"/>
                <w:sz w:val="15"/>
                <w:szCs w:val="15"/>
                <w:color w:val="auto"/>
              </w:rPr>
              <w:t>76,517</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63.75</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11/10/2024</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1/9/2017</w:t>
            </w:r>
          </w:p>
        </w:tc>
        <w:tc>
          <w:tcPr>
            <w:tcW w:w="1020" w:type="dxa"/>
            <w:vAlign w:val="bottom"/>
            <w:gridSpan w:val="2"/>
          </w:tcPr>
          <w:p>
            <w:pPr>
              <w:jc w:val="right"/>
              <w:ind w:right="46"/>
              <w:spacing w:after="0" w:line="161" w:lineRule="exact"/>
              <w:rPr>
                <w:sz w:val="20"/>
                <w:szCs w:val="20"/>
                <w:color w:val="auto"/>
              </w:rPr>
            </w:pPr>
            <w:r>
              <w:rPr>
                <w:rFonts w:ascii="Arial" w:cs="Arial" w:eastAsia="Arial" w:hAnsi="Arial"/>
                <w:sz w:val="15"/>
                <w:szCs w:val="15"/>
                <w:color w:val="auto"/>
              </w:rPr>
              <w:t>201,234</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64.31</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1/9/2025</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11/20/2017</w:t>
            </w:r>
          </w:p>
        </w:tc>
        <w:tc>
          <w:tcPr>
            <w:tcW w:w="1020" w:type="dxa"/>
            <w:vAlign w:val="bottom"/>
            <w:gridSpan w:val="2"/>
          </w:tcPr>
          <w:p>
            <w:pPr>
              <w:jc w:val="right"/>
              <w:ind w:right="46"/>
              <w:spacing w:after="0" w:line="161" w:lineRule="exact"/>
              <w:rPr>
                <w:sz w:val="20"/>
                <w:szCs w:val="20"/>
                <w:color w:val="auto"/>
              </w:rPr>
            </w:pPr>
            <w:r>
              <w:rPr>
                <w:rFonts w:ascii="Arial" w:cs="Arial" w:eastAsia="Arial" w:hAnsi="Arial"/>
                <w:sz w:val="15"/>
                <w:szCs w:val="15"/>
                <w:color w:val="auto"/>
              </w:rPr>
              <w:t>437,775</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43.90</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11/20/2025</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11/30/2018</w:t>
            </w:r>
          </w:p>
        </w:tc>
        <w:tc>
          <w:tcPr>
            <w:tcW w:w="1020" w:type="dxa"/>
            <w:vAlign w:val="bottom"/>
            <w:gridSpan w:val="2"/>
          </w:tcPr>
          <w:p>
            <w:pPr>
              <w:jc w:val="right"/>
              <w:ind w:right="46"/>
              <w:spacing w:after="0" w:line="161" w:lineRule="exact"/>
              <w:rPr>
                <w:sz w:val="20"/>
                <w:szCs w:val="20"/>
                <w:color w:val="auto"/>
              </w:rPr>
            </w:pPr>
            <w:r>
              <w:rPr>
                <w:rFonts w:ascii="Arial" w:cs="Arial" w:eastAsia="Arial" w:hAnsi="Arial"/>
                <w:sz w:val="15"/>
                <w:szCs w:val="15"/>
                <w:color w:val="auto"/>
              </w:rPr>
              <w:t>305,874</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101,958</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51.76</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11/30/2026</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11/1/2019</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271,144</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8,183,126</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12/5/2019</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61,184</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1,846,533</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11/30/2020</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255,102</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7,698,978</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78"/>
        </w:trPr>
        <w:tc>
          <w:tcPr>
            <w:tcW w:w="520" w:type="dxa"/>
            <w:vAlign w:val="bottom"/>
            <w:tcBorders>
              <w:bottom w:val="single" w:sz="8" w:color="051D49"/>
            </w:tcBorders>
          </w:tcPr>
          <w:p>
            <w:pPr>
              <w:spacing w:after="0"/>
              <w:rPr>
                <w:sz w:val="15"/>
                <w:szCs w:val="15"/>
                <w:color w:val="auto"/>
              </w:rPr>
            </w:pPr>
          </w:p>
        </w:tc>
        <w:tc>
          <w:tcPr>
            <w:tcW w:w="1800" w:type="dxa"/>
            <w:vAlign w:val="bottom"/>
            <w:tcBorders>
              <w:bottom w:val="single" w:sz="8" w:color="051D49"/>
            </w:tcBorders>
          </w:tcPr>
          <w:p>
            <w:pPr>
              <w:spacing w:after="0"/>
              <w:rPr>
                <w:sz w:val="15"/>
                <w:szCs w:val="15"/>
                <w:color w:val="auto"/>
              </w:rPr>
            </w:pPr>
          </w:p>
        </w:tc>
        <w:tc>
          <w:tcPr>
            <w:tcW w:w="102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11/30/2020</w:t>
            </w:r>
          </w:p>
        </w:tc>
        <w:tc>
          <w:tcPr>
            <w:tcW w:w="100" w:type="dxa"/>
            <w:vAlign w:val="bottom"/>
            <w:tcBorders>
              <w:bottom w:val="single" w:sz="8" w:color="051D49"/>
            </w:tcBorders>
          </w:tcPr>
          <w:p>
            <w:pPr>
              <w:spacing w:after="0"/>
              <w:rPr>
                <w:sz w:val="15"/>
                <w:szCs w:val="15"/>
                <w:color w:val="auto"/>
              </w:rPr>
            </w:pPr>
          </w:p>
        </w:tc>
        <w:tc>
          <w:tcPr>
            <w:tcW w:w="92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51D49"/>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97,675</w:t>
            </w:r>
          </w:p>
        </w:tc>
        <w:tc>
          <w:tcPr>
            <w:tcW w:w="92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2,947,832</w:t>
            </w:r>
          </w:p>
        </w:tc>
      </w:tr>
      <w:tr>
        <w:trPr>
          <w:trHeight w:val="136"/>
        </w:trPr>
        <w:tc>
          <w:tcPr>
            <w:tcW w:w="2320" w:type="dxa"/>
            <w:vAlign w:val="bottom"/>
            <w:gridSpan w:val="2"/>
          </w:tcPr>
          <w:p>
            <w:pPr>
              <w:ind w:left="60"/>
              <w:spacing w:after="0" w:line="136" w:lineRule="exact"/>
              <w:rPr>
                <w:sz w:val="20"/>
                <w:szCs w:val="20"/>
                <w:color w:val="auto"/>
              </w:rPr>
            </w:pPr>
            <w:r>
              <w:rPr>
                <w:rFonts w:ascii="Arial" w:cs="Arial" w:eastAsia="Arial" w:hAnsi="Arial"/>
                <w:sz w:val="15"/>
                <w:szCs w:val="15"/>
                <w:color w:val="auto"/>
              </w:rPr>
              <w:t>Naveen Chopra</w:t>
            </w:r>
          </w:p>
        </w:tc>
        <w:tc>
          <w:tcPr>
            <w:tcW w:w="1020" w:type="dxa"/>
            <w:vAlign w:val="bottom"/>
          </w:tcPr>
          <w:p>
            <w:pPr>
              <w:jc w:val="right"/>
              <w:ind w:right="25"/>
              <w:spacing w:after="0" w:line="136" w:lineRule="exact"/>
              <w:rPr>
                <w:sz w:val="20"/>
                <w:szCs w:val="20"/>
                <w:color w:val="auto"/>
              </w:rPr>
            </w:pPr>
            <w:r>
              <w:rPr>
                <w:rFonts w:ascii="Arial" w:cs="Arial" w:eastAsia="Arial" w:hAnsi="Arial"/>
                <w:sz w:val="15"/>
                <w:szCs w:val="15"/>
                <w:color w:val="auto"/>
              </w:rPr>
              <w:t>8/24/2020</w:t>
            </w:r>
          </w:p>
        </w:tc>
        <w:tc>
          <w:tcPr>
            <w:tcW w:w="100" w:type="dxa"/>
            <w:vAlign w:val="bottom"/>
          </w:tcPr>
          <w:p>
            <w:pPr>
              <w:spacing w:after="0"/>
              <w:rPr>
                <w:sz w:val="11"/>
                <w:szCs w:val="11"/>
                <w:color w:val="auto"/>
              </w:rPr>
            </w:pPr>
          </w:p>
        </w:tc>
        <w:tc>
          <w:tcPr>
            <w:tcW w:w="920" w:type="dxa"/>
            <w:vAlign w:val="bottom"/>
          </w:tcPr>
          <w:p>
            <w:pPr>
              <w:jc w:val="right"/>
              <w:ind w:right="46"/>
              <w:spacing w:after="0" w:line="136"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5"/>
              <w:spacing w:after="0" w:line="136"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36"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36"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36" w:lineRule="exact"/>
              <w:rPr>
                <w:sz w:val="20"/>
                <w:szCs w:val="20"/>
                <w:color w:val="auto"/>
              </w:rPr>
            </w:pPr>
            <w:r>
              <w:rPr>
                <w:rFonts w:ascii="Arial" w:cs="Arial" w:eastAsia="Arial" w:hAnsi="Arial"/>
                <w:sz w:val="15"/>
                <w:szCs w:val="15"/>
                <w:color w:val="auto"/>
              </w:rPr>
              <w:t>81,404</w:t>
            </w:r>
          </w:p>
        </w:tc>
        <w:tc>
          <w:tcPr>
            <w:tcW w:w="920" w:type="dxa"/>
            <w:vAlign w:val="bottom"/>
          </w:tcPr>
          <w:p>
            <w:pPr>
              <w:jc w:val="right"/>
              <w:ind w:right="25"/>
              <w:spacing w:after="0" w:line="136" w:lineRule="exact"/>
              <w:rPr>
                <w:sz w:val="20"/>
                <w:szCs w:val="20"/>
                <w:color w:val="auto"/>
              </w:rPr>
            </w:pPr>
            <w:r>
              <w:rPr>
                <w:rFonts w:ascii="Arial" w:cs="Arial" w:eastAsia="Arial" w:hAnsi="Arial"/>
                <w:sz w:val="15"/>
                <w:szCs w:val="15"/>
                <w:color w:val="auto"/>
              </w:rPr>
              <w:t>2,456,773</w:t>
            </w:r>
          </w:p>
        </w:tc>
        <w:tc>
          <w:tcPr>
            <w:tcW w:w="920" w:type="dxa"/>
            <w:vAlign w:val="bottom"/>
          </w:tcPr>
          <w:p>
            <w:pPr>
              <w:jc w:val="right"/>
              <w:ind w:right="66"/>
              <w:spacing w:after="0" w:line="136"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36" w:lineRule="exact"/>
              <w:rPr>
                <w:sz w:val="20"/>
                <w:szCs w:val="20"/>
                <w:color w:val="auto"/>
              </w:rPr>
            </w:pPr>
            <w:r>
              <w:rPr>
                <w:rFonts w:ascii="Arial" w:cs="Arial" w:eastAsia="Arial" w:hAnsi="Arial"/>
                <w:sz w:val="15"/>
                <w:szCs w:val="15"/>
                <w:color w:val="auto"/>
              </w:rPr>
              <w:t>—</w:t>
            </w:r>
          </w:p>
        </w:tc>
      </w:tr>
      <w:tr>
        <w:trPr>
          <w:trHeight w:val="178"/>
        </w:trPr>
        <w:tc>
          <w:tcPr>
            <w:tcW w:w="520" w:type="dxa"/>
            <w:vAlign w:val="bottom"/>
            <w:tcBorders>
              <w:bottom w:val="single" w:sz="8" w:color="051D49"/>
            </w:tcBorders>
          </w:tcPr>
          <w:p>
            <w:pPr>
              <w:spacing w:after="0"/>
              <w:rPr>
                <w:sz w:val="15"/>
                <w:szCs w:val="15"/>
                <w:color w:val="auto"/>
              </w:rPr>
            </w:pPr>
          </w:p>
        </w:tc>
        <w:tc>
          <w:tcPr>
            <w:tcW w:w="1800" w:type="dxa"/>
            <w:vAlign w:val="bottom"/>
            <w:tcBorders>
              <w:bottom w:val="single" w:sz="8" w:color="051D49"/>
            </w:tcBorders>
          </w:tcPr>
          <w:p>
            <w:pPr>
              <w:spacing w:after="0"/>
              <w:rPr>
                <w:sz w:val="15"/>
                <w:szCs w:val="15"/>
                <w:color w:val="auto"/>
              </w:rPr>
            </w:pPr>
          </w:p>
        </w:tc>
        <w:tc>
          <w:tcPr>
            <w:tcW w:w="102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8/24/2020</w:t>
            </w:r>
          </w:p>
        </w:tc>
        <w:tc>
          <w:tcPr>
            <w:tcW w:w="100" w:type="dxa"/>
            <w:vAlign w:val="bottom"/>
            <w:tcBorders>
              <w:bottom w:val="single" w:sz="8" w:color="051D49"/>
            </w:tcBorders>
          </w:tcPr>
          <w:p>
            <w:pPr>
              <w:spacing w:after="0"/>
              <w:rPr>
                <w:sz w:val="15"/>
                <w:szCs w:val="15"/>
                <w:color w:val="auto"/>
              </w:rPr>
            </w:pPr>
          </w:p>
        </w:tc>
        <w:tc>
          <w:tcPr>
            <w:tcW w:w="92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51D49"/>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122,106</w:t>
            </w:r>
          </w:p>
        </w:tc>
        <w:tc>
          <w:tcPr>
            <w:tcW w:w="92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3,685,159</w:t>
            </w:r>
          </w:p>
        </w:tc>
        <w:tc>
          <w:tcPr>
            <w:tcW w:w="92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w:t>
            </w:r>
          </w:p>
        </w:tc>
      </w:tr>
      <w:tr>
        <w:trPr>
          <w:trHeight w:val="136"/>
        </w:trPr>
        <w:tc>
          <w:tcPr>
            <w:tcW w:w="2320" w:type="dxa"/>
            <w:vAlign w:val="bottom"/>
            <w:gridSpan w:val="2"/>
          </w:tcPr>
          <w:p>
            <w:pPr>
              <w:ind w:left="60"/>
              <w:spacing w:after="0" w:line="136" w:lineRule="exact"/>
              <w:rPr>
                <w:sz w:val="20"/>
                <w:szCs w:val="20"/>
                <w:color w:val="auto"/>
              </w:rPr>
            </w:pPr>
            <w:r>
              <w:rPr>
                <w:rFonts w:ascii="Arial" w:cs="Arial" w:eastAsia="Arial" w:hAnsi="Arial"/>
                <w:sz w:val="15"/>
                <w:szCs w:val="15"/>
                <w:color w:val="auto"/>
              </w:rPr>
              <w:t>Christa A. D’Alimonte</w:t>
            </w:r>
          </w:p>
        </w:tc>
        <w:tc>
          <w:tcPr>
            <w:tcW w:w="1020" w:type="dxa"/>
            <w:vAlign w:val="bottom"/>
          </w:tcPr>
          <w:p>
            <w:pPr>
              <w:jc w:val="right"/>
              <w:ind w:right="25"/>
              <w:spacing w:after="0" w:line="136" w:lineRule="exact"/>
              <w:rPr>
                <w:sz w:val="20"/>
                <w:szCs w:val="20"/>
                <w:color w:val="auto"/>
              </w:rPr>
            </w:pPr>
            <w:r>
              <w:rPr>
                <w:rFonts w:ascii="Arial" w:cs="Arial" w:eastAsia="Arial" w:hAnsi="Arial"/>
                <w:sz w:val="15"/>
                <w:szCs w:val="15"/>
                <w:color w:val="auto"/>
              </w:rPr>
              <w:t>5/21/2014</w:t>
            </w:r>
          </w:p>
        </w:tc>
        <w:tc>
          <w:tcPr>
            <w:tcW w:w="1020" w:type="dxa"/>
            <w:vAlign w:val="bottom"/>
            <w:gridSpan w:val="2"/>
          </w:tcPr>
          <w:p>
            <w:pPr>
              <w:jc w:val="right"/>
              <w:ind w:right="46"/>
              <w:spacing w:after="0" w:line="136" w:lineRule="exact"/>
              <w:rPr>
                <w:sz w:val="20"/>
                <w:szCs w:val="20"/>
                <w:color w:val="auto"/>
              </w:rPr>
            </w:pPr>
            <w:r>
              <w:rPr>
                <w:rFonts w:ascii="Arial" w:cs="Arial" w:eastAsia="Arial" w:hAnsi="Arial"/>
                <w:sz w:val="15"/>
                <w:szCs w:val="15"/>
                <w:color w:val="auto"/>
              </w:rPr>
              <w:t>3,600</w:t>
            </w:r>
          </w:p>
        </w:tc>
        <w:tc>
          <w:tcPr>
            <w:tcW w:w="1120" w:type="dxa"/>
            <w:vAlign w:val="bottom"/>
          </w:tcPr>
          <w:p>
            <w:pPr>
              <w:jc w:val="right"/>
              <w:ind w:right="25"/>
              <w:spacing w:after="0" w:line="136"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36" w:lineRule="exact"/>
              <w:rPr>
                <w:sz w:val="20"/>
                <w:szCs w:val="20"/>
                <w:color w:val="auto"/>
              </w:rPr>
            </w:pPr>
            <w:r>
              <w:rPr>
                <w:rFonts w:ascii="Arial" w:cs="Arial" w:eastAsia="Arial" w:hAnsi="Arial"/>
                <w:sz w:val="15"/>
                <w:szCs w:val="15"/>
                <w:color w:val="auto"/>
              </w:rPr>
              <w:t>141.66</w:t>
            </w:r>
          </w:p>
        </w:tc>
        <w:tc>
          <w:tcPr>
            <w:tcW w:w="1000" w:type="dxa"/>
            <w:vAlign w:val="bottom"/>
          </w:tcPr>
          <w:p>
            <w:pPr>
              <w:jc w:val="right"/>
              <w:ind w:right="45"/>
              <w:spacing w:after="0" w:line="136" w:lineRule="exact"/>
              <w:rPr>
                <w:sz w:val="20"/>
                <w:szCs w:val="20"/>
                <w:color w:val="auto"/>
              </w:rPr>
            </w:pPr>
            <w:r>
              <w:rPr>
                <w:rFonts w:ascii="Arial" w:cs="Arial" w:eastAsia="Arial" w:hAnsi="Arial"/>
                <w:sz w:val="15"/>
                <w:szCs w:val="15"/>
                <w:color w:val="auto"/>
              </w:rPr>
              <w:t>5/21/2022</w:t>
            </w:r>
          </w:p>
        </w:tc>
        <w:tc>
          <w:tcPr>
            <w:tcW w:w="100" w:type="dxa"/>
            <w:vAlign w:val="bottom"/>
          </w:tcPr>
          <w:p>
            <w:pPr>
              <w:spacing w:after="0"/>
              <w:rPr>
                <w:sz w:val="11"/>
                <w:szCs w:val="11"/>
                <w:color w:val="auto"/>
              </w:rPr>
            </w:pPr>
          </w:p>
        </w:tc>
        <w:tc>
          <w:tcPr>
            <w:tcW w:w="800" w:type="dxa"/>
            <w:vAlign w:val="bottom"/>
          </w:tcPr>
          <w:p>
            <w:pPr>
              <w:jc w:val="right"/>
              <w:ind w:right="45"/>
              <w:spacing w:after="0" w:line="136"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line="136"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36"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36"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5/20/2015</w:t>
            </w:r>
          </w:p>
        </w:tc>
        <w:tc>
          <w:tcPr>
            <w:tcW w:w="1020" w:type="dxa"/>
            <w:vAlign w:val="bottom"/>
            <w:gridSpan w:val="2"/>
          </w:tcPr>
          <w:p>
            <w:pPr>
              <w:jc w:val="right"/>
              <w:ind w:right="46"/>
              <w:spacing w:after="0" w:line="161" w:lineRule="exact"/>
              <w:rPr>
                <w:sz w:val="20"/>
                <w:szCs w:val="20"/>
                <w:color w:val="auto"/>
              </w:rPr>
            </w:pPr>
            <w:r>
              <w:rPr>
                <w:rFonts w:ascii="Arial" w:cs="Arial" w:eastAsia="Arial" w:hAnsi="Arial"/>
                <w:sz w:val="15"/>
                <w:szCs w:val="15"/>
                <w:color w:val="auto"/>
              </w:rPr>
              <w:t>6,546</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110.56</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5/20/2023</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5/18/2016</w:t>
            </w:r>
          </w:p>
        </w:tc>
        <w:tc>
          <w:tcPr>
            <w:tcW w:w="1020" w:type="dxa"/>
            <w:vAlign w:val="bottom"/>
            <w:gridSpan w:val="2"/>
          </w:tcPr>
          <w:p>
            <w:pPr>
              <w:jc w:val="right"/>
              <w:ind w:right="46"/>
              <w:spacing w:after="0" w:line="161" w:lineRule="exact"/>
              <w:rPr>
                <w:sz w:val="20"/>
                <w:szCs w:val="20"/>
                <w:color w:val="auto"/>
              </w:rPr>
            </w:pPr>
            <w:r>
              <w:rPr>
                <w:rFonts w:ascii="Arial" w:cs="Arial" w:eastAsia="Arial" w:hAnsi="Arial"/>
                <w:sz w:val="15"/>
                <w:szCs w:val="15"/>
                <w:color w:val="auto"/>
              </w:rPr>
              <w:t>8,271</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65.18</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5/18/2024</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5/18/2017</w:t>
            </w:r>
          </w:p>
        </w:tc>
        <w:tc>
          <w:tcPr>
            <w:tcW w:w="1020" w:type="dxa"/>
            <w:vAlign w:val="bottom"/>
            <w:gridSpan w:val="2"/>
          </w:tcPr>
          <w:p>
            <w:pPr>
              <w:jc w:val="right"/>
              <w:ind w:right="46"/>
              <w:spacing w:after="0" w:line="161" w:lineRule="exact"/>
              <w:rPr>
                <w:sz w:val="20"/>
                <w:szCs w:val="20"/>
                <w:color w:val="auto"/>
              </w:rPr>
            </w:pPr>
            <w:r>
              <w:rPr>
                <w:rFonts w:ascii="Arial" w:cs="Arial" w:eastAsia="Arial" w:hAnsi="Arial"/>
                <w:sz w:val="15"/>
                <w:szCs w:val="15"/>
                <w:color w:val="auto"/>
              </w:rPr>
              <w:t>27,976</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57.01</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5/18/2025</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1/31/2018</w:t>
            </w:r>
          </w:p>
        </w:tc>
        <w:tc>
          <w:tcPr>
            <w:tcW w:w="1020" w:type="dxa"/>
            <w:vAlign w:val="bottom"/>
            <w:gridSpan w:val="2"/>
          </w:tcPr>
          <w:p>
            <w:pPr>
              <w:jc w:val="right"/>
              <w:ind w:right="46"/>
              <w:spacing w:after="0" w:line="161" w:lineRule="exact"/>
              <w:rPr>
                <w:sz w:val="20"/>
                <w:szCs w:val="20"/>
                <w:color w:val="auto"/>
              </w:rPr>
            </w:pPr>
            <w:r>
              <w:rPr>
                <w:rFonts w:ascii="Arial" w:cs="Arial" w:eastAsia="Arial" w:hAnsi="Arial"/>
                <w:sz w:val="15"/>
                <w:szCs w:val="15"/>
                <w:color w:val="auto"/>
              </w:rPr>
              <w:t>17,182</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5,727</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56.06</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1/31/2026</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11/30/2018</w:t>
            </w:r>
          </w:p>
        </w:tc>
        <w:tc>
          <w:tcPr>
            <w:tcW w:w="1020" w:type="dxa"/>
            <w:vAlign w:val="bottom"/>
            <w:gridSpan w:val="2"/>
          </w:tcPr>
          <w:p>
            <w:pPr>
              <w:jc w:val="right"/>
              <w:ind w:right="46"/>
              <w:spacing w:after="0" w:line="161" w:lineRule="exact"/>
              <w:rPr>
                <w:sz w:val="20"/>
                <w:szCs w:val="20"/>
                <w:color w:val="auto"/>
              </w:rPr>
            </w:pPr>
            <w:r>
              <w:rPr>
                <w:rFonts w:ascii="Arial" w:cs="Arial" w:eastAsia="Arial" w:hAnsi="Arial"/>
                <w:sz w:val="15"/>
                <w:szCs w:val="15"/>
                <w:color w:val="auto"/>
              </w:rPr>
              <w:t>20,188</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6,729</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51.76</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11/30/2026</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1/31/2018</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1,969</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59,424</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11/30/2018</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1,859</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56,105</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11/1/2019</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37,070</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1,118,773</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11/30/2020</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34,877</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1,052,588</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78"/>
        </w:trPr>
        <w:tc>
          <w:tcPr>
            <w:tcW w:w="520" w:type="dxa"/>
            <w:vAlign w:val="bottom"/>
            <w:tcBorders>
              <w:bottom w:val="single" w:sz="8" w:color="051D49"/>
            </w:tcBorders>
          </w:tcPr>
          <w:p>
            <w:pPr>
              <w:spacing w:after="0"/>
              <w:rPr>
                <w:sz w:val="15"/>
                <w:szCs w:val="15"/>
                <w:color w:val="auto"/>
              </w:rPr>
            </w:pPr>
          </w:p>
        </w:tc>
        <w:tc>
          <w:tcPr>
            <w:tcW w:w="1800" w:type="dxa"/>
            <w:vAlign w:val="bottom"/>
            <w:tcBorders>
              <w:bottom w:val="single" w:sz="8" w:color="051D49"/>
            </w:tcBorders>
          </w:tcPr>
          <w:p>
            <w:pPr>
              <w:spacing w:after="0"/>
              <w:rPr>
                <w:sz w:val="15"/>
                <w:szCs w:val="15"/>
                <w:color w:val="auto"/>
              </w:rPr>
            </w:pPr>
          </w:p>
        </w:tc>
        <w:tc>
          <w:tcPr>
            <w:tcW w:w="102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11/30/2020</w:t>
            </w:r>
          </w:p>
        </w:tc>
        <w:tc>
          <w:tcPr>
            <w:tcW w:w="100" w:type="dxa"/>
            <w:vAlign w:val="bottom"/>
            <w:tcBorders>
              <w:bottom w:val="single" w:sz="8" w:color="051D49"/>
            </w:tcBorders>
          </w:tcPr>
          <w:p>
            <w:pPr>
              <w:spacing w:after="0"/>
              <w:rPr>
                <w:sz w:val="15"/>
                <w:szCs w:val="15"/>
                <w:color w:val="auto"/>
              </w:rPr>
            </w:pPr>
          </w:p>
        </w:tc>
        <w:tc>
          <w:tcPr>
            <w:tcW w:w="92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51D49"/>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051D49"/>
            </w:tcBorders>
          </w:tcPr>
          <w:p>
            <w:pPr>
              <w:jc w:val="right"/>
              <w:ind w:right="2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13,354</w:t>
            </w:r>
          </w:p>
        </w:tc>
        <w:tc>
          <w:tcPr>
            <w:tcW w:w="920" w:type="dxa"/>
            <w:vAlign w:val="bottom"/>
            <w:tcBorders>
              <w:bottom w:val="single" w:sz="8" w:color="051D49"/>
            </w:tcBorders>
          </w:tcPr>
          <w:p>
            <w:pPr>
              <w:jc w:val="right"/>
              <w:ind w:right="26"/>
              <w:spacing w:after="0"/>
              <w:rPr>
                <w:sz w:val="20"/>
                <w:szCs w:val="20"/>
                <w:color w:val="auto"/>
              </w:rPr>
            </w:pPr>
            <w:r>
              <w:rPr>
                <w:rFonts w:ascii="Arial" w:cs="Arial" w:eastAsia="Arial" w:hAnsi="Arial"/>
                <w:sz w:val="15"/>
                <w:szCs w:val="15"/>
                <w:color w:val="auto"/>
              </w:rPr>
              <w:t>403,024</w:t>
            </w:r>
          </w:p>
        </w:tc>
      </w:tr>
      <w:tr>
        <w:trPr>
          <w:trHeight w:val="136"/>
        </w:trPr>
        <w:tc>
          <w:tcPr>
            <w:tcW w:w="2320" w:type="dxa"/>
            <w:vAlign w:val="bottom"/>
            <w:gridSpan w:val="2"/>
          </w:tcPr>
          <w:p>
            <w:pPr>
              <w:ind w:left="60"/>
              <w:spacing w:after="0" w:line="136" w:lineRule="exact"/>
              <w:rPr>
                <w:sz w:val="20"/>
                <w:szCs w:val="20"/>
                <w:color w:val="auto"/>
              </w:rPr>
            </w:pPr>
            <w:r>
              <w:rPr>
                <w:rFonts w:ascii="Arial" w:cs="Arial" w:eastAsia="Arial" w:hAnsi="Arial"/>
                <w:sz w:val="15"/>
                <w:szCs w:val="15"/>
                <w:color w:val="auto"/>
              </w:rPr>
              <w:t>Doretha F. Lea</w:t>
            </w:r>
          </w:p>
        </w:tc>
        <w:tc>
          <w:tcPr>
            <w:tcW w:w="1020" w:type="dxa"/>
            <w:vAlign w:val="bottom"/>
          </w:tcPr>
          <w:p>
            <w:pPr>
              <w:jc w:val="right"/>
              <w:ind w:right="25"/>
              <w:spacing w:after="0" w:line="136" w:lineRule="exact"/>
              <w:rPr>
                <w:sz w:val="20"/>
                <w:szCs w:val="20"/>
                <w:color w:val="auto"/>
              </w:rPr>
            </w:pPr>
            <w:r>
              <w:rPr>
                <w:rFonts w:ascii="Arial" w:cs="Arial" w:eastAsia="Arial" w:hAnsi="Arial"/>
                <w:sz w:val="15"/>
                <w:szCs w:val="15"/>
                <w:color w:val="auto"/>
              </w:rPr>
              <w:t>5/21/2014</w:t>
            </w:r>
          </w:p>
        </w:tc>
        <w:tc>
          <w:tcPr>
            <w:tcW w:w="1020" w:type="dxa"/>
            <w:vAlign w:val="bottom"/>
            <w:gridSpan w:val="2"/>
          </w:tcPr>
          <w:p>
            <w:pPr>
              <w:jc w:val="right"/>
              <w:ind w:right="46"/>
              <w:spacing w:after="0" w:line="136" w:lineRule="exact"/>
              <w:rPr>
                <w:sz w:val="20"/>
                <w:szCs w:val="20"/>
                <w:color w:val="auto"/>
              </w:rPr>
            </w:pPr>
            <w:r>
              <w:rPr>
                <w:rFonts w:ascii="Arial" w:cs="Arial" w:eastAsia="Arial" w:hAnsi="Arial"/>
                <w:sz w:val="15"/>
                <w:szCs w:val="15"/>
                <w:color w:val="auto"/>
              </w:rPr>
              <w:t>10,081</w:t>
            </w:r>
          </w:p>
        </w:tc>
        <w:tc>
          <w:tcPr>
            <w:tcW w:w="1120" w:type="dxa"/>
            <w:vAlign w:val="bottom"/>
          </w:tcPr>
          <w:p>
            <w:pPr>
              <w:jc w:val="right"/>
              <w:ind w:right="25"/>
              <w:spacing w:after="0" w:line="136"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36" w:lineRule="exact"/>
              <w:rPr>
                <w:sz w:val="20"/>
                <w:szCs w:val="20"/>
                <w:color w:val="auto"/>
              </w:rPr>
            </w:pPr>
            <w:r>
              <w:rPr>
                <w:rFonts w:ascii="Arial" w:cs="Arial" w:eastAsia="Arial" w:hAnsi="Arial"/>
                <w:sz w:val="15"/>
                <w:szCs w:val="15"/>
                <w:color w:val="auto"/>
              </w:rPr>
              <w:t>141.66</w:t>
            </w:r>
          </w:p>
        </w:tc>
        <w:tc>
          <w:tcPr>
            <w:tcW w:w="1000" w:type="dxa"/>
            <w:vAlign w:val="bottom"/>
          </w:tcPr>
          <w:p>
            <w:pPr>
              <w:jc w:val="right"/>
              <w:ind w:right="45"/>
              <w:spacing w:after="0" w:line="136" w:lineRule="exact"/>
              <w:rPr>
                <w:sz w:val="20"/>
                <w:szCs w:val="20"/>
                <w:color w:val="auto"/>
              </w:rPr>
            </w:pPr>
            <w:r>
              <w:rPr>
                <w:rFonts w:ascii="Arial" w:cs="Arial" w:eastAsia="Arial" w:hAnsi="Arial"/>
                <w:sz w:val="15"/>
                <w:szCs w:val="15"/>
                <w:color w:val="auto"/>
              </w:rPr>
              <w:t>5/21/2022</w:t>
            </w:r>
          </w:p>
        </w:tc>
        <w:tc>
          <w:tcPr>
            <w:tcW w:w="100" w:type="dxa"/>
            <w:vAlign w:val="bottom"/>
          </w:tcPr>
          <w:p>
            <w:pPr>
              <w:spacing w:after="0"/>
              <w:rPr>
                <w:sz w:val="11"/>
                <w:szCs w:val="11"/>
                <w:color w:val="auto"/>
              </w:rPr>
            </w:pPr>
          </w:p>
        </w:tc>
        <w:tc>
          <w:tcPr>
            <w:tcW w:w="800" w:type="dxa"/>
            <w:vAlign w:val="bottom"/>
          </w:tcPr>
          <w:p>
            <w:pPr>
              <w:jc w:val="right"/>
              <w:ind w:right="45"/>
              <w:spacing w:after="0" w:line="136"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line="136"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36"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36"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5/20/2015</w:t>
            </w:r>
          </w:p>
        </w:tc>
        <w:tc>
          <w:tcPr>
            <w:tcW w:w="1020" w:type="dxa"/>
            <w:vAlign w:val="bottom"/>
            <w:gridSpan w:val="2"/>
          </w:tcPr>
          <w:p>
            <w:pPr>
              <w:jc w:val="right"/>
              <w:ind w:right="46"/>
              <w:spacing w:after="0" w:line="161" w:lineRule="exact"/>
              <w:rPr>
                <w:sz w:val="20"/>
                <w:szCs w:val="20"/>
                <w:color w:val="auto"/>
              </w:rPr>
            </w:pPr>
            <w:r>
              <w:rPr>
                <w:rFonts w:ascii="Arial" w:cs="Arial" w:eastAsia="Arial" w:hAnsi="Arial"/>
                <w:sz w:val="15"/>
                <w:szCs w:val="15"/>
                <w:color w:val="auto"/>
              </w:rPr>
              <w:t>15,274</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110.56</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5/20/2023</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5/18/2016</w:t>
            </w:r>
          </w:p>
        </w:tc>
        <w:tc>
          <w:tcPr>
            <w:tcW w:w="1020" w:type="dxa"/>
            <w:vAlign w:val="bottom"/>
            <w:gridSpan w:val="2"/>
          </w:tcPr>
          <w:p>
            <w:pPr>
              <w:jc w:val="right"/>
              <w:ind w:right="46"/>
              <w:spacing w:after="0" w:line="161" w:lineRule="exact"/>
              <w:rPr>
                <w:sz w:val="20"/>
                <w:szCs w:val="20"/>
                <w:color w:val="auto"/>
              </w:rPr>
            </w:pPr>
            <w:r>
              <w:rPr>
                <w:rFonts w:ascii="Arial" w:cs="Arial" w:eastAsia="Arial" w:hAnsi="Arial"/>
                <w:sz w:val="15"/>
                <w:szCs w:val="15"/>
                <w:color w:val="auto"/>
              </w:rPr>
              <w:t>19,300</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65.18</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5/18/2024</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5/18/2017</w:t>
            </w:r>
          </w:p>
        </w:tc>
        <w:tc>
          <w:tcPr>
            <w:tcW w:w="1020" w:type="dxa"/>
            <w:vAlign w:val="bottom"/>
            <w:gridSpan w:val="2"/>
          </w:tcPr>
          <w:p>
            <w:pPr>
              <w:jc w:val="right"/>
              <w:ind w:right="46"/>
              <w:spacing w:after="0" w:line="161" w:lineRule="exact"/>
              <w:rPr>
                <w:sz w:val="20"/>
                <w:szCs w:val="20"/>
                <w:color w:val="auto"/>
              </w:rPr>
            </w:pPr>
            <w:r>
              <w:rPr>
                <w:rFonts w:ascii="Arial" w:cs="Arial" w:eastAsia="Arial" w:hAnsi="Arial"/>
                <w:sz w:val="15"/>
                <w:szCs w:val="15"/>
                <w:color w:val="auto"/>
              </w:rPr>
              <w:t>19,479</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57.01</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5/18/2025</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1/31/2018</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3,178</w:t>
            </w:r>
          </w:p>
        </w:tc>
        <w:tc>
          <w:tcPr>
            <w:tcW w:w="78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56.06</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1/31/2026</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99"/>
        </w:trPr>
        <w:tc>
          <w:tcPr>
            <w:tcW w:w="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11/30/2018</w:t>
            </w:r>
          </w:p>
        </w:tc>
        <w:tc>
          <w:tcPr>
            <w:tcW w:w="1020" w:type="dxa"/>
            <w:vAlign w:val="bottom"/>
            <w:gridSpan w:val="2"/>
          </w:tcPr>
          <w:p>
            <w:pPr>
              <w:jc w:val="right"/>
              <w:ind w:right="46"/>
              <w:spacing w:after="0"/>
              <w:rPr>
                <w:sz w:val="20"/>
                <w:szCs w:val="20"/>
                <w:color w:val="auto"/>
              </w:rPr>
            </w:pPr>
            <w:r>
              <w:rPr>
                <w:rFonts w:ascii="Arial" w:cs="Arial" w:eastAsia="Arial" w:hAnsi="Arial"/>
                <w:sz w:val="15"/>
                <w:szCs w:val="15"/>
                <w:color w:val="auto"/>
              </w:rPr>
              <w:t>4,282</w:t>
            </w: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4,282</w:t>
            </w: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51.76</w:t>
            </w: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11/30/2026</w:t>
            </w:r>
          </w:p>
        </w:tc>
        <w:tc>
          <w:tcPr>
            <w:tcW w:w="100" w:type="dxa"/>
            <w:vAlign w:val="bottom"/>
          </w:tcPr>
          <w:p>
            <w:pPr>
              <w:spacing w:after="0"/>
              <w:rPr>
                <w:sz w:val="17"/>
                <w:szCs w:val="17"/>
                <w:color w:val="auto"/>
              </w:rPr>
            </w:pPr>
          </w:p>
        </w:tc>
        <w:tc>
          <w:tcPr>
            <w:tcW w:w="8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6"/>
              <w:spacing w:after="0"/>
              <w:rPr>
                <w:sz w:val="20"/>
                <w:szCs w:val="20"/>
                <w:color w:val="auto"/>
              </w:rPr>
            </w:pPr>
            <w:r>
              <w:rPr>
                <w:rFonts w:ascii="Arial" w:cs="Arial" w:eastAsia="Arial" w:hAnsi="Arial"/>
                <w:sz w:val="15"/>
                <w:szCs w:val="15"/>
                <w:color w:val="auto"/>
              </w:rPr>
              <w:t>—</w:t>
            </w:r>
          </w:p>
        </w:tc>
      </w:tr>
      <w:tr>
        <w:trPr>
          <w:trHeight w:val="126"/>
        </w:trPr>
        <w:tc>
          <w:tcPr>
            <w:tcW w:w="5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93"/>
        </w:trPr>
        <w:tc>
          <w:tcPr>
            <w:tcW w:w="520" w:type="dxa"/>
            <w:vAlign w:val="bottom"/>
            <w:shd w:val="clear" w:color="auto" w:fill="051D49"/>
          </w:tcPr>
          <w:p>
            <w:pPr>
              <w:ind w:left="80"/>
              <w:spacing w:after="0"/>
              <w:rPr>
                <w:sz w:val="20"/>
                <w:szCs w:val="20"/>
                <w:color w:val="auto"/>
              </w:rPr>
            </w:pPr>
            <w:r>
              <w:rPr>
                <w:rFonts w:ascii="Arial" w:cs="Arial" w:eastAsia="Arial" w:hAnsi="Arial"/>
                <w:sz w:val="14"/>
                <w:szCs w:val="14"/>
                <w:b w:val="1"/>
                <w:bCs w:val="1"/>
                <w:color w:val="FFFFFF"/>
              </w:rPr>
              <w:t>60</w:t>
            </w:r>
          </w:p>
        </w:tc>
        <w:tc>
          <w:tcPr>
            <w:tcW w:w="1800" w:type="dxa"/>
            <w:vAlign w:val="bottom"/>
            <w:shd w:val="clear" w:color="auto" w:fill="051D49"/>
          </w:tcPr>
          <w:p>
            <w:pPr>
              <w:ind w:left="40"/>
              <w:spacing w:after="0"/>
              <w:rPr>
                <w:sz w:val="20"/>
                <w:szCs w:val="20"/>
                <w:color w:val="auto"/>
              </w:rPr>
            </w:pPr>
            <w:r>
              <w:rPr>
                <w:rFonts w:ascii="Arial" w:cs="Arial" w:eastAsia="Arial" w:hAnsi="Arial"/>
                <w:sz w:val="14"/>
                <w:szCs w:val="14"/>
                <w:color w:val="FFFFFF"/>
              </w:rPr>
              <w:t>PARAMOUNT GLOBAL</w:t>
            </w:r>
          </w:p>
        </w:tc>
        <w:tc>
          <w:tcPr>
            <w:tcW w:w="1020" w:type="dxa"/>
            <w:vAlign w:val="bottom"/>
            <w:shd w:val="clear" w:color="auto" w:fill="051D49"/>
          </w:tcPr>
          <w:p>
            <w:pPr>
              <w:spacing w:after="0"/>
              <w:rPr>
                <w:sz w:val="24"/>
                <w:szCs w:val="24"/>
                <w:color w:val="auto"/>
              </w:rPr>
            </w:pPr>
          </w:p>
        </w:tc>
        <w:tc>
          <w:tcPr>
            <w:tcW w:w="100" w:type="dxa"/>
            <w:vAlign w:val="bottom"/>
            <w:shd w:val="clear" w:color="auto" w:fill="051D49"/>
          </w:tcPr>
          <w:p>
            <w:pPr>
              <w:spacing w:after="0"/>
              <w:rPr>
                <w:sz w:val="24"/>
                <w:szCs w:val="24"/>
                <w:color w:val="auto"/>
              </w:rPr>
            </w:pPr>
          </w:p>
        </w:tc>
        <w:tc>
          <w:tcPr>
            <w:tcW w:w="920" w:type="dxa"/>
            <w:vAlign w:val="bottom"/>
            <w:shd w:val="clear" w:color="auto" w:fill="051D49"/>
          </w:tcPr>
          <w:p>
            <w:pPr>
              <w:spacing w:after="0"/>
              <w:rPr>
                <w:sz w:val="24"/>
                <w:szCs w:val="24"/>
                <w:color w:val="auto"/>
              </w:rPr>
            </w:pPr>
          </w:p>
        </w:tc>
        <w:tc>
          <w:tcPr>
            <w:tcW w:w="1120" w:type="dxa"/>
            <w:vAlign w:val="bottom"/>
            <w:shd w:val="clear" w:color="auto" w:fill="051D49"/>
          </w:tcPr>
          <w:p>
            <w:pPr>
              <w:spacing w:after="0"/>
              <w:rPr>
                <w:sz w:val="24"/>
                <w:szCs w:val="24"/>
                <w:color w:val="auto"/>
              </w:rPr>
            </w:pPr>
          </w:p>
        </w:tc>
        <w:tc>
          <w:tcPr>
            <w:tcW w:w="780" w:type="dxa"/>
            <w:vAlign w:val="bottom"/>
            <w:shd w:val="clear" w:color="auto" w:fill="051D49"/>
          </w:tcPr>
          <w:p>
            <w:pPr>
              <w:spacing w:after="0"/>
              <w:rPr>
                <w:sz w:val="24"/>
                <w:szCs w:val="24"/>
                <w:color w:val="auto"/>
              </w:rPr>
            </w:pPr>
          </w:p>
        </w:tc>
        <w:tc>
          <w:tcPr>
            <w:tcW w:w="1000" w:type="dxa"/>
            <w:vAlign w:val="bottom"/>
            <w:shd w:val="clear" w:color="auto" w:fill="051D49"/>
          </w:tcPr>
          <w:p>
            <w:pPr>
              <w:spacing w:after="0"/>
              <w:rPr>
                <w:sz w:val="24"/>
                <w:szCs w:val="24"/>
                <w:color w:val="auto"/>
              </w:rPr>
            </w:pPr>
          </w:p>
        </w:tc>
        <w:tc>
          <w:tcPr>
            <w:tcW w:w="100" w:type="dxa"/>
            <w:vAlign w:val="bottom"/>
            <w:shd w:val="clear" w:color="auto" w:fill="051D49"/>
          </w:tcPr>
          <w:p>
            <w:pPr>
              <w:spacing w:after="0"/>
              <w:rPr>
                <w:sz w:val="24"/>
                <w:szCs w:val="24"/>
                <w:color w:val="auto"/>
              </w:rPr>
            </w:pPr>
          </w:p>
        </w:tc>
        <w:tc>
          <w:tcPr>
            <w:tcW w:w="800" w:type="dxa"/>
            <w:vAlign w:val="bottom"/>
            <w:shd w:val="clear" w:color="auto" w:fill="051D49"/>
          </w:tcPr>
          <w:p>
            <w:pPr>
              <w:spacing w:after="0"/>
              <w:rPr>
                <w:sz w:val="24"/>
                <w:szCs w:val="24"/>
                <w:color w:val="auto"/>
              </w:rPr>
            </w:pPr>
          </w:p>
        </w:tc>
        <w:tc>
          <w:tcPr>
            <w:tcW w:w="920" w:type="dxa"/>
            <w:vAlign w:val="bottom"/>
            <w:shd w:val="clear" w:color="auto" w:fill="051D49"/>
          </w:tcPr>
          <w:p>
            <w:pPr>
              <w:spacing w:after="0"/>
              <w:rPr>
                <w:sz w:val="24"/>
                <w:szCs w:val="24"/>
                <w:color w:val="auto"/>
              </w:rPr>
            </w:pPr>
          </w:p>
        </w:tc>
        <w:tc>
          <w:tcPr>
            <w:tcW w:w="920" w:type="dxa"/>
            <w:vAlign w:val="bottom"/>
            <w:shd w:val="clear" w:color="auto" w:fill="051D49"/>
          </w:tcPr>
          <w:p>
            <w:pPr>
              <w:spacing w:after="0"/>
              <w:rPr>
                <w:sz w:val="24"/>
                <w:szCs w:val="24"/>
                <w:color w:val="auto"/>
              </w:rPr>
            </w:pPr>
          </w:p>
        </w:tc>
        <w:tc>
          <w:tcPr>
            <w:tcW w:w="920" w:type="dxa"/>
            <w:vAlign w:val="bottom"/>
            <w:shd w:val="clear" w:color="auto" w:fill="051D49"/>
          </w:tcPr>
          <w:p>
            <w:pPr>
              <w:spacing w:after="0"/>
              <w:rPr>
                <w:sz w:val="24"/>
                <w:szCs w:val="24"/>
                <w:color w:val="auto"/>
              </w:rPr>
            </w:pPr>
          </w:p>
        </w:tc>
      </w:tr>
      <w:tr>
        <w:trPr>
          <w:trHeight w:val="82"/>
        </w:trPr>
        <w:tc>
          <w:tcPr>
            <w:tcW w:w="520" w:type="dxa"/>
            <w:vAlign w:val="bottom"/>
            <w:shd w:val="clear" w:color="auto" w:fill="051D49"/>
          </w:tcPr>
          <w:p>
            <w:pPr>
              <w:spacing w:after="0"/>
              <w:rPr>
                <w:sz w:val="7"/>
                <w:szCs w:val="7"/>
                <w:color w:val="auto"/>
              </w:rPr>
            </w:pPr>
          </w:p>
        </w:tc>
        <w:tc>
          <w:tcPr>
            <w:tcW w:w="1800" w:type="dxa"/>
            <w:vAlign w:val="bottom"/>
            <w:shd w:val="clear" w:color="auto" w:fill="051D49"/>
          </w:tcPr>
          <w:p>
            <w:pPr>
              <w:spacing w:after="0"/>
              <w:rPr>
                <w:sz w:val="7"/>
                <w:szCs w:val="7"/>
                <w:color w:val="auto"/>
              </w:rPr>
            </w:pPr>
          </w:p>
        </w:tc>
        <w:tc>
          <w:tcPr>
            <w:tcW w:w="1020" w:type="dxa"/>
            <w:vAlign w:val="bottom"/>
            <w:shd w:val="clear" w:color="auto" w:fill="051D49"/>
          </w:tcPr>
          <w:p>
            <w:pPr>
              <w:spacing w:after="0"/>
              <w:rPr>
                <w:sz w:val="7"/>
                <w:szCs w:val="7"/>
                <w:color w:val="auto"/>
              </w:rPr>
            </w:pPr>
          </w:p>
        </w:tc>
        <w:tc>
          <w:tcPr>
            <w:tcW w:w="100" w:type="dxa"/>
            <w:vAlign w:val="bottom"/>
            <w:shd w:val="clear" w:color="auto" w:fill="051D49"/>
          </w:tcPr>
          <w:p>
            <w:pPr>
              <w:spacing w:after="0"/>
              <w:rPr>
                <w:sz w:val="7"/>
                <w:szCs w:val="7"/>
                <w:color w:val="auto"/>
              </w:rPr>
            </w:pPr>
          </w:p>
        </w:tc>
        <w:tc>
          <w:tcPr>
            <w:tcW w:w="920" w:type="dxa"/>
            <w:vAlign w:val="bottom"/>
            <w:shd w:val="clear" w:color="auto" w:fill="051D49"/>
          </w:tcPr>
          <w:p>
            <w:pPr>
              <w:spacing w:after="0"/>
              <w:rPr>
                <w:sz w:val="7"/>
                <w:szCs w:val="7"/>
                <w:color w:val="auto"/>
              </w:rPr>
            </w:pPr>
          </w:p>
        </w:tc>
        <w:tc>
          <w:tcPr>
            <w:tcW w:w="1120" w:type="dxa"/>
            <w:vAlign w:val="bottom"/>
            <w:shd w:val="clear" w:color="auto" w:fill="051D49"/>
          </w:tcPr>
          <w:p>
            <w:pPr>
              <w:spacing w:after="0"/>
              <w:rPr>
                <w:sz w:val="7"/>
                <w:szCs w:val="7"/>
                <w:color w:val="auto"/>
              </w:rPr>
            </w:pPr>
          </w:p>
        </w:tc>
        <w:tc>
          <w:tcPr>
            <w:tcW w:w="780" w:type="dxa"/>
            <w:vAlign w:val="bottom"/>
            <w:shd w:val="clear" w:color="auto" w:fill="051D49"/>
          </w:tcPr>
          <w:p>
            <w:pPr>
              <w:spacing w:after="0"/>
              <w:rPr>
                <w:sz w:val="7"/>
                <w:szCs w:val="7"/>
                <w:color w:val="auto"/>
              </w:rPr>
            </w:pPr>
          </w:p>
        </w:tc>
        <w:tc>
          <w:tcPr>
            <w:tcW w:w="1000" w:type="dxa"/>
            <w:vAlign w:val="bottom"/>
            <w:shd w:val="clear" w:color="auto" w:fill="051D49"/>
          </w:tcPr>
          <w:p>
            <w:pPr>
              <w:spacing w:after="0"/>
              <w:rPr>
                <w:sz w:val="7"/>
                <w:szCs w:val="7"/>
                <w:color w:val="auto"/>
              </w:rPr>
            </w:pPr>
          </w:p>
        </w:tc>
        <w:tc>
          <w:tcPr>
            <w:tcW w:w="100" w:type="dxa"/>
            <w:vAlign w:val="bottom"/>
            <w:shd w:val="clear" w:color="auto" w:fill="051D49"/>
          </w:tcPr>
          <w:p>
            <w:pPr>
              <w:spacing w:after="0"/>
              <w:rPr>
                <w:sz w:val="7"/>
                <w:szCs w:val="7"/>
                <w:color w:val="auto"/>
              </w:rPr>
            </w:pPr>
          </w:p>
        </w:tc>
        <w:tc>
          <w:tcPr>
            <w:tcW w:w="800" w:type="dxa"/>
            <w:vAlign w:val="bottom"/>
            <w:shd w:val="clear" w:color="auto" w:fill="051D49"/>
          </w:tcPr>
          <w:p>
            <w:pPr>
              <w:spacing w:after="0"/>
              <w:rPr>
                <w:sz w:val="7"/>
                <w:szCs w:val="7"/>
                <w:color w:val="auto"/>
              </w:rPr>
            </w:pPr>
          </w:p>
        </w:tc>
        <w:tc>
          <w:tcPr>
            <w:tcW w:w="920" w:type="dxa"/>
            <w:vAlign w:val="bottom"/>
            <w:shd w:val="clear" w:color="auto" w:fill="051D49"/>
          </w:tcPr>
          <w:p>
            <w:pPr>
              <w:spacing w:after="0"/>
              <w:rPr>
                <w:sz w:val="7"/>
                <w:szCs w:val="7"/>
                <w:color w:val="auto"/>
              </w:rPr>
            </w:pPr>
          </w:p>
        </w:tc>
        <w:tc>
          <w:tcPr>
            <w:tcW w:w="920" w:type="dxa"/>
            <w:vAlign w:val="bottom"/>
            <w:shd w:val="clear" w:color="auto" w:fill="051D49"/>
          </w:tcPr>
          <w:p>
            <w:pPr>
              <w:spacing w:after="0"/>
              <w:rPr>
                <w:sz w:val="7"/>
                <w:szCs w:val="7"/>
                <w:color w:val="auto"/>
              </w:rPr>
            </w:pPr>
          </w:p>
        </w:tc>
        <w:tc>
          <w:tcPr>
            <w:tcW w:w="920" w:type="dxa"/>
            <w:vAlign w:val="bottom"/>
            <w:shd w:val="clear" w:color="auto" w:fill="051D49"/>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6348095</wp:posOffset>
            </wp:positionH>
            <wp:positionV relativeFrom="paragraph">
              <wp:posOffset>-211455</wp:posOffset>
            </wp:positionV>
            <wp:extent cx="551815" cy="161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1815" cy="1612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EXECUTIVE COMPENSATION</w:t>
      </w:r>
    </w:p>
    <w:p>
      <w:pPr>
        <w:spacing w:after="0" w:line="164"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2100" w:type="dxa"/>
            <w:vAlign w:val="bottom"/>
            <w:tcBorders>
              <w:bottom w:val="single" w:sz="8" w:color="EAEAEA"/>
            </w:tcBorders>
            <w:shd w:val="clear" w:color="auto" w:fill="EAEAEA"/>
          </w:tcPr>
          <w:p>
            <w:pPr>
              <w:spacing w:after="0"/>
              <w:rPr>
                <w:sz w:val="16"/>
                <w:szCs w:val="16"/>
                <w:color w:val="auto"/>
              </w:rPr>
            </w:pPr>
          </w:p>
        </w:tc>
        <w:tc>
          <w:tcPr>
            <w:tcW w:w="1080" w:type="dxa"/>
            <w:vAlign w:val="bottom"/>
            <w:tcBorders>
              <w:bottom w:val="single" w:sz="8" w:color="EAEAEA"/>
            </w:tcBorders>
            <w:shd w:val="clear" w:color="auto" w:fill="EAEAEA"/>
          </w:tcPr>
          <w:p>
            <w:pPr>
              <w:spacing w:after="0"/>
              <w:rPr>
                <w:sz w:val="16"/>
                <w:szCs w:val="16"/>
                <w:color w:val="auto"/>
              </w:rPr>
            </w:pPr>
          </w:p>
        </w:tc>
        <w:tc>
          <w:tcPr>
            <w:tcW w:w="100" w:type="dxa"/>
            <w:vAlign w:val="bottom"/>
            <w:tcBorders>
              <w:bottom w:val="single" w:sz="8" w:color="EAEAEA"/>
            </w:tcBorders>
            <w:shd w:val="clear" w:color="auto" w:fill="EAEAEA"/>
          </w:tcPr>
          <w:p>
            <w:pPr>
              <w:spacing w:after="0"/>
              <w:rPr>
                <w:sz w:val="16"/>
                <w:szCs w:val="16"/>
                <w:color w:val="auto"/>
              </w:rPr>
            </w:pPr>
          </w:p>
        </w:tc>
        <w:tc>
          <w:tcPr>
            <w:tcW w:w="920" w:type="dxa"/>
            <w:vAlign w:val="bottom"/>
            <w:tcBorders>
              <w:bottom w:val="single" w:sz="8" w:color="051D49"/>
            </w:tcBorders>
            <w:shd w:val="clear" w:color="auto" w:fill="EAEAEA"/>
          </w:tcPr>
          <w:p>
            <w:pPr>
              <w:spacing w:after="0"/>
              <w:rPr>
                <w:sz w:val="16"/>
                <w:szCs w:val="16"/>
                <w:color w:val="auto"/>
              </w:rPr>
            </w:pPr>
          </w:p>
        </w:tc>
        <w:tc>
          <w:tcPr>
            <w:tcW w:w="1960" w:type="dxa"/>
            <w:vAlign w:val="bottom"/>
            <w:tcBorders>
              <w:bottom w:val="single" w:sz="8" w:color="051D49"/>
            </w:tcBorders>
            <w:gridSpan w:val="2"/>
            <w:shd w:val="clear" w:color="auto" w:fill="EAEAEA"/>
          </w:tcPr>
          <w:p>
            <w:pPr>
              <w:jc w:val="right"/>
              <w:ind w:right="526"/>
              <w:spacing w:after="0"/>
              <w:rPr>
                <w:sz w:val="20"/>
                <w:szCs w:val="20"/>
                <w:color w:val="auto"/>
              </w:rPr>
            </w:pPr>
            <w:r>
              <w:rPr>
                <w:rFonts w:ascii="Arial" w:cs="Arial" w:eastAsia="Arial" w:hAnsi="Arial"/>
                <w:sz w:val="14"/>
                <w:szCs w:val="14"/>
                <w:color w:val="051D49"/>
              </w:rPr>
              <w:t>Option Awards</w:t>
            </w:r>
          </w:p>
        </w:tc>
        <w:tc>
          <w:tcPr>
            <w:tcW w:w="940" w:type="dxa"/>
            <w:vAlign w:val="bottom"/>
            <w:tcBorders>
              <w:bottom w:val="single" w:sz="8" w:color="051D49"/>
            </w:tcBorders>
            <w:shd w:val="clear" w:color="auto" w:fill="EAEAEA"/>
          </w:tcPr>
          <w:p>
            <w:pPr>
              <w:spacing w:after="0"/>
              <w:rPr>
                <w:sz w:val="16"/>
                <w:szCs w:val="16"/>
                <w:color w:val="auto"/>
              </w:rPr>
            </w:pPr>
          </w:p>
        </w:tc>
        <w:tc>
          <w:tcPr>
            <w:tcW w:w="100" w:type="dxa"/>
            <w:vAlign w:val="bottom"/>
            <w:tcBorders>
              <w:bottom w:val="single" w:sz="8" w:color="EAEAEA"/>
            </w:tcBorders>
            <w:shd w:val="clear" w:color="auto" w:fill="EAEAEA"/>
          </w:tcPr>
          <w:p>
            <w:pPr>
              <w:spacing w:after="0"/>
              <w:rPr>
                <w:sz w:val="16"/>
                <w:szCs w:val="16"/>
                <w:color w:val="auto"/>
              </w:rPr>
            </w:pPr>
          </w:p>
        </w:tc>
        <w:tc>
          <w:tcPr>
            <w:tcW w:w="840" w:type="dxa"/>
            <w:vAlign w:val="bottom"/>
            <w:tcBorders>
              <w:bottom w:val="single" w:sz="8" w:color="051D49"/>
            </w:tcBorders>
            <w:shd w:val="clear" w:color="auto" w:fill="EAEAEA"/>
          </w:tcPr>
          <w:p>
            <w:pPr>
              <w:spacing w:after="0"/>
              <w:rPr>
                <w:sz w:val="16"/>
                <w:szCs w:val="16"/>
                <w:color w:val="auto"/>
              </w:rPr>
            </w:pPr>
          </w:p>
        </w:tc>
        <w:tc>
          <w:tcPr>
            <w:tcW w:w="1900" w:type="dxa"/>
            <w:vAlign w:val="bottom"/>
            <w:tcBorders>
              <w:bottom w:val="single" w:sz="8" w:color="051D49"/>
            </w:tcBorders>
            <w:gridSpan w:val="2"/>
            <w:shd w:val="clear" w:color="auto" w:fill="EAEAEA"/>
          </w:tcPr>
          <w:p>
            <w:pPr>
              <w:jc w:val="right"/>
              <w:ind w:right="467"/>
              <w:spacing w:after="0"/>
              <w:rPr>
                <w:sz w:val="20"/>
                <w:szCs w:val="20"/>
                <w:color w:val="auto"/>
              </w:rPr>
            </w:pPr>
            <w:r>
              <w:rPr>
                <w:rFonts w:ascii="Arial" w:cs="Arial" w:eastAsia="Arial" w:hAnsi="Arial"/>
                <w:sz w:val="14"/>
                <w:szCs w:val="14"/>
                <w:color w:val="051D49"/>
              </w:rPr>
              <w:t>Stock Awards</w:t>
            </w:r>
          </w:p>
        </w:tc>
        <w:tc>
          <w:tcPr>
            <w:tcW w:w="980" w:type="dxa"/>
            <w:vAlign w:val="bottom"/>
            <w:tcBorders>
              <w:bottom w:val="single" w:sz="8" w:color="051D49"/>
            </w:tcBorders>
            <w:shd w:val="clear" w:color="auto" w:fill="EAEAEA"/>
          </w:tcPr>
          <w:p>
            <w:pPr>
              <w:spacing w:after="0"/>
              <w:rPr>
                <w:sz w:val="16"/>
                <w:szCs w:val="16"/>
                <w:color w:val="auto"/>
              </w:rPr>
            </w:pPr>
          </w:p>
        </w:tc>
      </w:tr>
      <w:tr>
        <w:trPr>
          <w:trHeight w:val="238"/>
        </w:trPr>
        <w:tc>
          <w:tcPr>
            <w:tcW w:w="2100" w:type="dxa"/>
            <w:vAlign w:val="bottom"/>
            <w:shd w:val="clear" w:color="auto" w:fill="EAEAEA"/>
          </w:tcPr>
          <w:p>
            <w:pPr>
              <w:spacing w:after="0"/>
              <w:rPr>
                <w:sz w:val="20"/>
                <w:szCs w:val="20"/>
                <w:color w:val="auto"/>
              </w:rPr>
            </w:pPr>
          </w:p>
        </w:tc>
        <w:tc>
          <w:tcPr>
            <w:tcW w:w="108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920" w:type="dxa"/>
            <w:vAlign w:val="bottom"/>
            <w:shd w:val="clear" w:color="auto" w:fill="EAEAEA"/>
          </w:tcPr>
          <w:p>
            <w:pPr>
              <w:spacing w:after="0"/>
              <w:rPr>
                <w:sz w:val="20"/>
                <w:szCs w:val="20"/>
                <w:color w:val="auto"/>
              </w:rPr>
            </w:pPr>
          </w:p>
        </w:tc>
        <w:tc>
          <w:tcPr>
            <w:tcW w:w="1160" w:type="dxa"/>
            <w:vAlign w:val="bottom"/>
            <w:shd w:val="clear" w:color="auto" w:fill="EAEAEA"/>
          </w:tcPr>
          <w:p>
            <w:pPr>
              <w:spacing w:after="0"/>
              <w:rPr>
                <w:sz w:val="20"/>
                <w:szCs w:val="20"/>
                <w:color w:val="auto"/>
              </w:rPr>
            </w:pPr>
          </w:p>
        </w:tc>
        <w:tc>
          <w:tcPr>
            <w:tcW w:w="800" w:type="dxa"/>
            <w:vAlign w:val="bottom"/>
            <w:shd w:val="clear" w:color="auto" w:fill="EAEAEA"/>
          </w:tcPr>
          <w:p>
            <w:pPr>
              <w:spacing w:after="0"/>
              <w:rPr>
                <w:sz w:val="20"/>
                <w:szCs w:val="20"/>
                <w:color w:val="auto"/>
              </w:rPr>
            </w:pPr>
          </w:p>
        </w:tc>
        <w:tc>
          <w:tcPr>
            <w:tcW w:w="9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840" w:type="dxa"/>
            <w:vAlign w:val="bottom"/>
            <w:shd w:val="clear" w:color="auto" w:fill="EAEAEA"/>
          </w:tcPr>
          <w:p>
            <w:pPr>
              <w:spacing w:after="0"/>
              <w:rPr>
                <w:sz w:val="20"/>
                <w:szCs w:val="20"/>
                <w:color w:val="auto"/>
              </w:rPr>
            </w:pPr>
          </w:p>
        </w:tc>
        <w:tc>
          <w:tcPr>
            <w:tcW w:w="960" w:type="dxa"/>
            <w:vAlign w:val="bottom"/>
            <w:shd w:val="clear" w:color="auto" w:fill="EAEAEA"/>
          </w:tcPr>
          <w:p>
            <w:pPr>
              <w:spacing w:after="0"/>
              <w:rPr>
                <w:sz w:val="20"/>
                <w:szCs w:val="20"/>
                <w:color w:val="auto"/>
              </w:rPr>
            </w:pPr>
          </w:p>
        </w:tc>
        <w:tc>
          <w:tcPr>
            <w:tcW w:w="940" w:type="dxa"/>
            <w:vAlign w:val="bottom"/>
            <w:shd w:val="clear" w:color="auto" w:fill="EAEAEA"/>
          </w:tcPr>
          <w:p>
            <w:pPr>
              <w:spacing w:after="0"/>
              <w:rPr>
                <w:sz w:val="20"/>
                <w:szCs w:val="20"/>
                <w:color w:val="auto"/>
              </w:rPr>
            </w:pPr>
          </w:p>
        </w:tc>
        <w:tc>
          <w:tcPr>
            <w:tcW w:w="9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Equity</w:t>
            </w:r>
          </w:p>
        </w:tc>
      </w:tr>
      <w:tr>
        <w:trPr>
          <w:trHeight w:val="160"/>
        </w:trPr>
        <w:tc>
          <w:tcPr>
            <w:tcW w:w="2100" w:type="dxa"/>
            <w:vAlign w:val="bottom"/>
            <w:shd w:val="clear" w:color="auto" w:fill="EAEAEA"/>
          </w:tcPr>
          <w:p>
            <w:pPr>
              <w:spacing w:after="0"/>
              <w:rPr>
                <w:sz w:val="13"/>
                <w:szCs w:val="13"/>
                <w:color w:val="auto"/>
              </w:rPr>
            </w:pPr>
          </w:p>
        </w:tc>
        <w:tc>
          <w:tcPr>
            <w:tcW w:w="108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60" w:type="dxa"/>
            <w:vAlign w:val="bottom"/>
            <w:shd w:val="clear" w:color="auto" w:fill="EAEAEA"/>
          </w:tcPr>
          <w:p>
            <w:pPr>
              <w:spacing w:after="0"/>
              <w:rPr>
                <w:sz w:val="13"/>
                <w:szCs w:val="13"/>
                <w:color w:val="auto"/>
              </w:rPr>
            </w:pPr>
          </w:p>
        </w:tc>
        <w:tc>
          <w:tcPr>
            <w:tcW w:w="80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spacing w:after="0"/>
              <w:rPr>
                <w:sz w:val="13"/>
                <w:szCs w:val="13"/>
                <w:color w:val="auto"/>
              </w:rPr>
            </w:pPr>
          </w:p>
        </w:tc>
        <w:tc>
          <w:tcPr>
            <w:tcW w:w="96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c>
          <w:tcPr>
            <w:tcW w:w="9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Incentive</w:t>
            </w:r>
          </w:p>
        </w:tc>
      </w:tr>
      <w:tr>
        <w:trPr>
          <w:trHeight w:val="160"/>
        </w:trPr>
        <w:tc>
          <w:tcPr>
            <w:tcW w:w="2100" w:type="dxa"/>
            <w:vAlign w:val="bottom"/>
            <w:shd w:val="clear" w:color="auto" w:fill="EAEAEA"/>
          </w:tcPr>
          <w:p>
            <w:pPr>
              <w:spacing w:after="0"/>
              <w:rPr>
                <w:sz w:val="13"/>
                <w:szCs w:val="13"/>
                <w:color w:val="auto"/>
              </w:rPr>
            </w:pPr>
          </w:p>
        </w:tc>
        <w:tc>
          <w:tcPr>
            <w:tcW w:w="108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60" w:type="dxa"/>
            <w:vAlign w:val="bottom"/>
            <w:shd w:val="clear" w:color="auto" w:fill="EAEAEA"/>
          </w:tcPr>
          <w:p>
            <w:pPr>
              <w:spacing w:after="0"/>
              <w:rPr>
                <w:sz w:val="13"/>
                <w:szCs w:val="13"/>
                <w:color w:val="auto"/>
              </w:rPr>
            </w:pPr>
          </w:p>
        </w:tc>
        <w:tc>
          <w:tcPr>
            <w:tcW w:w="80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spacing w:after="0"/>
              <w:rPr>
                <w:sz w:val="13"/>
                <w:szCs w:val="13"/>
                <w:color w:val="auto"/>
              </w:rPr>
            </w:pPr>
          </w:p>
        </w:tc>
        <w:tc>
          <w:tcPr>
            <w:tcW w:w="960" w:type="dxa"/>
            <w:vAlign w:val="bottom"/>
            <w:shd w:val="clear" w:color="auto" w:fill="EAEAEA"/>
          </w:tcPr>
          <w:p>
            <w:pPr>
              <w:spacing w:after="0"/>
              <w:rPr>
                <w:sz w:val="13"/>
                <w:szCs w:val="13"/>
                <w:color w:val="auto"/>
              </w:rPr>
            </w:pP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Equity</w:t>
            </w:r>
          </w:p>
        </w:tc>
        <w:tc>
          <w:tcPr>
            <w:tcW w:w="9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Plan</w:t>
            </w:r>
          </w:p>
        </w:tc>
      </w:tr>
      <w:tr>
        <w:trPr>
          <w:trHeight w:val="160"/>
        </w:trPr>
        <w:tc>
          <w:tcPr>
            <w:tcW w:w="2100" w:type="dxa"/>
            <w:vAlign w:val="bottom"/>
            <w:shd w:val="clear" w:color="auto" w:fill="EAEAEA"/>
          </w:tcPr>
          <w:p>
            <w:pPr>
              <w:spacing w:after="0"/>
              <w:rPr>
                <w:sz w:val="13"/>
                <w:szCs w:val="13"/>
                <w:color w:val="auto"/>
              </w:rPr>
            </w:pPr>
          </w:p>
        </w:tc>
        <w:tc>
          <w:tcPr>
            <w:tcW w:w="108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60" w:type="dxa"/>
            <w:vAlign w:val="bottom"/>
            <w:shd w:val="clear" w:color="auto" w:fill="EAEAEA"/>
          </w:tcPr>
          <w:p>
            <w:pPr>
              <w:spacing w:after="0"/>
              <w:rPr>
                <w:sz w:val="13"/>
                <w:szCs w:val="13"/>
                <w:color w:val="auto"/>
              </w:rPr>
            </w:pPr>
          </w:p>
        </w:tc>
        <w:tc>
          <w:tcPr>
            <w:tcW w:w="80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spacing w:after="0"/>
              <w:rPr>
                <w:sz w:val="13"/>
                <w:szCs w:val="13"/>
                <w:color w:val="auto"/>
              </w:rPr>
            </w:pPr>
          </w:p>
        </w:tc>
        <w:tc>
          <w:tcPr>
            <w:tcW w:w="960" w:type="dxa"/>
            <w:vAlign w:val="bottom"/>
            <w:shd w:val="clear" w:color="auto" w:fill="EAEAEA"/>
          </w:tcPr>
          <w:p>
            <w:pPr>
              <w:spacing w:after="0"/>
              <w:rPr>
                <w:sz w:val="13"/>
                <w:szCs w:val="13"/>
                <w:color w:val="auto"/>
              </w:rPr>
            </w:pP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Incentive</w:t>
            </w:r>
          </w:p>
        </w:tc>
        <w:tc>
          <w:tcPr>
            <w:tcW w:w="98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8"/>
              </w:rPr>
              <w:t>Awards:</w:t>
            </w:r>
          </w:p>
        </w:tc>
      </w:tr>
      <w:tr>
        <w:trPr>
          <w:trHeight w:val="160"/>
        </w:trPr>
        <w:tc>
          <w:tcPr>
            <w:tcW w:w="2100" w:type="dxa"/>
            <w:vAlign w:val="bottom"/>
            <w:shd w:val="clear" w:color="auto" w:fill="EAEAEA"/>
          </w:tcPr>
          <w:p>
            <w:pPr>
              <w:spacing w:after="0"/>
              <w:rPr>
                <w:sz w:val="13"/>
                <w:szCs w:val="13"/>
                <w:color w:val="auto"/>
              </w:rPr>
            </w:pPr>
          </w:p>
        </w:tc>
        <w:tc>
          <w:tcPr>
            <w:tcW w:w="108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60" w:type="dxa"/>
            <w:vAlign w:val="bottom"/>
            <w:shd w:val="clear" w:color="auto" w:fill="EAEAEA"/>
          </w:tcPr>
          <w:p>
            <w:pPr>
              <w:spacing w:after="0"/>
              <w:rPr>
                <w:sz w:val="13"/>
                <w:szCs w:val="13"/>
                <w:color w:val="auto"/>
              </w:rPr>
            </w:pPr>
          </w:p>
        </w:tc>
        <w:tc>
          <w:tcPr>
            <w:tcW w:w="80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spacing w:after="0"/>
              <w:rPr>
                <w:sz w:val="13"/>
                <w:szCs w:val="13"/>
                <w:color w:val="auto"/>
              </w:rPr>
            </w:pPr>
          </w:p>
        </w:tc>
        <w:tc>
          <w:tcPr>
            <w:tcW w:w="960" w:type="dxa"/>
            <w:vAlign w:val="bottom"/>
            <w:shd w:val="clear" w:color="auto" w:fill="EAEAEA"/>
          </w:tcPr>
          <w:p>
            <w:pPr>
              <w:spacing w:after="0"/>
              <w:rPr>
                <w:sz w:val="13"/>
                <w:szCs w:val="13"/>
                <w:color w:val="auto"/>
              </w:rPr>
            </w:pP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Plan</w:t>
            </w:r>
          </w:p>
        </w:tc>
        <w:tc>
          <w:tcPr>
            <w:tcW w:w="9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Market or</w:t>
            </w:r>
          </w:p>
        </w:tc>
      </w:tr>
      <w:tr>
        <w:trPr>
          <w:trHeight w:val="160"/>
        </w:trPr>
        <w:tc>
          <w:tcPr>
            <w:tcW w:w="2100" w:type="dxa"/>
            <w:vAlign w:val="bottom"/>
            <w:shd w:val="clear" w:color="auto" w:fill="EAEAEA"/>
          </w:tcPr>
          <w:p>
            <w:pPr>
              <w:spacing w:after="0"/>
              <w:rPr>
                <w:sz w:val="13"/>
                <w:szCs w:val="13"/>
                <w:color w:val="auto"/>
              </w:rPr>
            </w:pPr>
          </w:p>
        </w:tc>
        <w:tc>
          <w:tcPr>
            <w:tcW w:w="108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60" w:type="dxa"/>
            <w:vAlign w:val="bottom"/>
            <w:shd w:val="clear" w:color="auto" w:fill="EAEAEA"/>
          </w:tcPr>
          <w:p>
            <w:pPr>
              <w:spacing w:after="0"/>
              <w:rPr>
                <w:sz w:val="13"/>
                <w:szCs w:val="13"/>
                <w:color w:val="auto"/>
              </w:rPr>
            </w:pPr>
          </w:p>
        </w:tc>
        <w:tc>
          <w:tcPr>
            <w:tcW w:w="80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spacing w:after="0"/>
              <w:rPr>
                <w:sz w:val="13"/>
                <w:szCs w:val="13"/>
                <w:color w:val="auto"/>
              </w:rPr>
            </w:pPr>
          </w:p>
        </w:tc>
        <w:tc>
          <w:tcPr>
            <w:tcW w:w="960" w:type="dxa"/>
            <w:vAlign w:val="bottom"/>
            <w:shd w:val="clear" w:color="auto" w:fill="EAEAEA"/>
          </w:tcPr>
          <w:p>
            <w:pPr>
              <w:spacing w:after="0"/>
              <w:rPr>
                <w:sz w:val="13"/>
                <w:szCs w:val="13"/>
                <w:color w:val="auto"/>
              </w:rPr>
            </w:pP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Awards:</w:t>
            </w:r>
          </w:p>
        </w:tc>
        <w:tc>
          <w:tcPr>
            <w:tcW w:w="9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Payout</w:t>
            </w:r>
          </w:p>
        </w:tc>
      </w:tr>
      <w:tr>
        <w:trPr>
          <w:trHeight w:val="160"/>
        </w:trPr>
        <w:tc>
          <w:tcPr>
            <w:tcW w:w="2100" w:type="dxa"/>
            <w:vAlign w:val="bottom"/>
            <w:shd w:val="clear" w:color="auto" w:fill="EAEAEA"/>
          </w:tcPr>
          <w:p>
            <w:pPr>
              <w:spacing w:after="0"/>
              <w:rPr>
                <w:sz w:val="13"/>
                <w:szCs w:val="13"/>
                <w:color w:val="auto"/>
              </w:rPr>
            </w:pPr>
          </w:p>
        </w:tc>
        <w:tc>
          <w:tcPr>
            <w:tcW w:w="108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60" w:type="dxa"/>
            <w:vAlign w:val="bottom"/>
            <w:shd w:val="clear" w:color="auto" w:fill="EAEAEA"/>
          </w:tcPr>
          <w:p>
            <w:pPr>
              <w:spacing w:after="0"/>
              <w:rPr>
                <w:sz w:val="13"/>
                <w:szCs w:val="13"/>
                <w:color w:val="auto"/>
              </w:rPr>
            </w:pPr>
          </w:p>
        </w:tc>
        <w:tc>
          <w:tcPr>
            <w:tcW w:w="80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spacing w:after="0"/>
              <w:rPr>
                <w:sz w:val="13"/>
                <w:szCs w:val="13"/>
                <w:color w:val="auto"/>
              </w:rPr>
            </w:pP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Market</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Number of</w:t>
            </w:r>
          </w:p>
        </w:tc>
        <w:tc>
          <w:tcPr>
            <w:tcW w:w="98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7"/>
              </w:rPr>
              <w:t>Value of</w:t>
            </w:r>
          </w:p>
        </w:tc>
      </w:tr>
      <w:tr>
        <w:trPr>
          <w:trHeight w:val="160"/>
        </w:trPr>
        <w:tc>
          <w:tcPr>
            <w:tcW w:w="2100" w:type="dxa"/>
            <w:vAlign w:val="bottom"/>
            <w:shd w:val="clear" w:color="auto" w:fill="EAEAEA"/>
          </w:tcPr>
          <w:p>
            <w:pPr>
              <w:spacing w:after="0"/>
              <w:rPr>
                <w:sz w:val="13"/>
                <w:szCs w:val="13"/>
                <w:color w:val="auto"/>
              </w:rPr>
            </w:pPr>
          </w:p>
        </w:tc>
        <w:tc>
          <w:tcPr>
            <w:tcW w:w="108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60" w:type="dxa"/>
            <w:vAlign w:val="bottom"/>
            <w:shd w:val="clear" w:color="auto" w:fill="EAEAEA"/>
          </w:tcPr>
          <w:p>
            <w:pPr>
              <w:spacing w:after="0"/>
              <w:rPr>
                <w:sz w:val="13"/>
                <w:szCs w:val="13"/>
                <w:color w:val="auto"/>
              </w:rPr>
            </w:pPr>
          </w:p>
        </w:tc>
        <w:tc>
          <w:tcPr>
            <w:tcW w:w="80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jc w:val="center"/>
              <w:ind w:right="87"/>
              <w:spacing w:after="0"/>
              <w:rPr>
                <w:sz w:val="20"/>
                <w:szCs w:val="20"/>
                <w:color w:val="auto"/>
              </w:rPr>
            </w:pPr>
            <w:r>
              <w:rPr>
                <w:rFonts w:ascii="Arial" w:cs="Arial" w:eastAsia="Arial" w:hAnsi="Arial"/>
                <w:sz w:val="14"/>
                <w:szCs w:val="14"/>
                <w:color w:val="051D49"/>
              </w:rPr>
              <w:t>Number</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Value</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Unearned</w:t>
            </w:r>
          </w:p>
        </w:tc>
        <w:tc>
          <w:tcPr>
            <w:tcW w:w="9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Unearned</w:t>
            </w:r>
          </w:p>
        </w:tc>
      </w:tr>
      <w:tr>
        <w:trPr>
          <w:trHeight w:val="160"/>
        </w:trPr>
        <w:tc>
          <w:tcPr>
            <w:tcW w:w="2100" w:type="dxa"/>
            <w:vAlign w:val="bottom"/>
            <w:shd w:val="clear" w:color="auto" w:fill="EAEAEA"/>
          </w:tcPr>
          <w:p>
            <w:pPr>
              <w:spacing w:after="0"/>
              <w:rPr>
                <w:sz w:val="13"/>
                <w:szCs w:val="13"/>
                <w:color w:val="auto"/>
              </w:rPr>
            </w:pPr>
          </w:p>
        </w:tc>
        <w:tc>
          <w:tcPr>
            <w:tcW w:w="108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1160" w:type="dxa"/>
            <w:vAlign w:val="bottom"/>
            <w:shd w:val="clear" w:color="auto" w:fill="EAEAEA"/>
          </w:tcPr>
          <w:p>
            <w:pPr>
              <w:spacing w:after="0"/>
              <w:rPr>
                <w:sz w:val="13"/>
                <w:szCs w:val="13"/>
                <w:color w:val="auto"/>
              </w:rPr>
            </w:pPr>
          </w:p>
        </w:tc>
        <w:tc>
          <w:tcPr>
            <w:tcW w:w="80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jc w:val="center"/>
              <w:ind w:right="87"/>
              <w:spacing w:after="0"/>
              <w:rPr>
                <w:sz w:val="20"/>
                <w:szCs w:val="20"/>
                <w:color w:val="auto"/>
              </w:rPr>
            </w:pPr>
            <w:r>
              <w:rPr>
                <w:rFonts w:ascii="Arial" w:cs="Arial" w:eastAsia="Arial" w:hAnsi="Arial"/>
                <w:sz w:val="14"/>
                <w:szCs w:val="14"/>
                <w:color w:val="051D49"/>
              </w:rPr>
              <w:t>of Shares</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of Shares</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Shares,</w:t>
            </w:r>
          </w:p>
        </w:tc>
        <w:tc>
          <w:tcPr>
            <w:tcW w:w="9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Shares,</w:t>
            </w:r>
          </w:p>
        </w:tc>
      </w:tr>
      <w:tr>
        <w:trPr>
          <w:trHeight w:val="160"/>
        </w:trPr>
        <w:tc>
          <w:tcPr>
            <w:tcW w:w="2100" w:type="dxa"/>
            <w:vAlign w:val="bottom"/>
            <w:shd w:val="clear" w:color="auto" w:fill="EAEAEA"/>
          </w:tcPr>
          <w:p>
            <w:pPr>
              <w:spacing w:after="0"/>
              <w:rPr>
                <w:sz w:val="13"/>
                <w:szCs w:val="13"/>
                <w:color w:val="auto"/>
              </w:rPr>
            </w:pPr>
          </w:p>
        </w:tc>
        <w:tc>
          <w:tcPr>
            <w:tcW w:w="108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66"/>
              <w:spacing w:after="0"/>
              <w:rPr>
                <w:sz w:val="20"/>
                <w:szCs w:val="20"/>
                <w:color w:val="auto"/>
              </w:rPr>
            </w:pPr>
            <w:r>
              <w:rPr>
                <w:rFonts w:ascii="Arial" w:cs="Arial" w:eastAsia="Arial" w:hAnsi="Arial"/>
                <w:sz w:val="14"/>
                <w:szCs w:val="14"/>
                <w:color w:val="051D49"/>
              </w:rPr>
              <w:t>Number of</w:t>
            </w:r>
          </w:p>
        </w:tc>
        <w:tc>
          <w:tcPr>
            <w:tcW w:w="11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Number of</w:t>
            </w:r>
          </w:p>
        </w:tc>
        <w:tc>
          <w:tcPr>
            <w:tcW w:w="80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jc w:val="center"/>
              <w:ind w:right="87"/>
              <w:spacing w:after="0"/>
              <w:rPr>
                <w:sz w:val="20"/>
                <w:szCs w:val="20"/>
                <w:color w:val="auto"/>
              </w:rPr>
            </w:pPr>
            <w:r>
              <w:rPr>
                <w:rFonts w:ascii="Arial" w:cs="Arial" w:eastAsia="Arial" w:hAnsi="Arial"/>
                <w:sz w:val="14"/>
                <w:szCs w:val="14"/>
                <w:color w:val="051D49"/>
              </w:rPr>
              <w:t>or Units of</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or Units</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Units</w:t>
            </w:r>
          </w:p>
        </w:tc>
        <w:tc>
          <w:tcPr>
            <w:tcW w:w="9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Units or</w:t>
            </w:r>
          </w:p>
        </w:tc>
      </w:tr>
      <w:tr>
        <w:trPr>
          <w:trHeight w:val="160"/>
        </w:trPr>
        <w:tc>
          <w:tcPr>
            <w:tcW w:w="2100" w:type="dxa"/>
            <w:vAlign w:val="bottom"/>
            <w:shd w:val="clear" w:color="auto" w:fill="EAEAEA"/>
          </w:tcPr>
          <w:p>
            <w:pPr>
              <w:spacing w:after="0"/>
              <w:rPr>
                <w:sz w:val="13"/>
                <w:szCs w:val="13"/>
                <w:color w:val="auto"/>
              </w:rPr>
            </w:pPr>
          </w:p>
        </w:tc>
        <w:tc>
          <w:tcPr>
            <w:tcW w:w="108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66"/>
              <w:spacing w:after="0"/>
              <w:rPr>
                <w:sz w:val="20"/>
                <w:szCs w:val="20"/>
                <w:color w:val="auto"/>
              </w:rPr>
            </w:pPr>
            <w:r>
              <w:rPr>
                <w:rFonts w:ascii="Arial" w:cs="Arial" w:eastAsia="Arial" w:hAnsi="Arial"/>
                <w:sz w:val="14"/>
                <w:szCs w:val="14"/>
                <w:color w:val="051D49"/>
              </w:rPr>
              <w:t>Securities</w:t>
            </w:r>
          </w:p>
        </w:tc>
        <w:tc>
          <w:tcPr>
            <w:tcW w:w="11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Securities</w:t>
            </w:r>
          </w:p>
        </w:tc>
        <w:tc>
          <w:tcPr>
            <w:tcW w:w="80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jc w:val="center"/>
              <w:ind w:right="87"/>
              <w:spacing w:after="0"/>
              <w:rPr>
                <w:sz w:val="20"/>
                <w:szCs w:val="20"/>
                <w:color w:val="auto"/>
              </w:rPr>
            </w:pPr>
            <w:r>
              <w:rPr>
                <w:rFonts w:ascii="Arial" w:cs="Arial" w:eastAsia="Arial" w:hAnsi="Arial"/>
                <w:sz w:val="14"/>
                <w:szCs w:val="14"/>
                <w:color w:val="051D49"/>
              </w:rPr>
              <w:t>Stock</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of Stock</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or Other</w:t>
            </w:r>
          </w:p>
        </w:tc>
        <w:tc>
          <w:tcPr>
            <w:tcW w:w="9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Other</w:t>
            </w:r>
          </w:p>
        </w:tc>
      </w:tr>
      <w:tr>
        <w:trPr>
          <w:trHeight w:val="160"/>
        </w:trPr>
        <w:tc>
          <w:tcPr>
            <w:tcW w:w="2100" w:type="dxa"/>
            <w:vAlign w:val="bottom"/>
            <w:shd w:val="clear" w:color="auto" w:fill="EAEAEA"/>
          </w:tcPr>
          <w:p>
            <w:pPr>
              <w:spacing w:after="0"/>
              <w:rPr>
                <w:sz w:val="13"/>
                <w:szCs w:val="13"/>
                <w:color w:val="auto"/>
              </w:rPr>
            </w:pPr>
          </w:p>
        </w:tc>
        <w:tc>
          <w:tcPr>
            <w:tcW w:w="108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46"/>
              <w:spacing w:after="0"/>
              <w:rPr>
                <w:sz w:val="20"/>
                <w:szCs w:val="20"/>
                <w:color w:val="auto"/>
              </w:rPr>
            </w:pPr>
            <w:r>
              <w:rPr>
                <w:rFonts w:ascii="Arial" w:cs="Arial" w:eastAsia="Arial" w:hAnsi="Arial"/>
                <w:sz w:val="14"/>
                <w:szCs w:val="14"/>
                <w:color w:val="051D49"/>
              </w:rPr>
              <w:t>Underlying</w:t>
            </w:r>
          </w:p>
        </w:tc>
        <w:tc>
          <w:tcPr>
            <w:tcW w:w="11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Underlying</w:t>
            </w:r>
          </w:p>
        </w:tc>
        <w:tc>
          <w:tcPr>
            <w:tcW w:w="80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jc w:val="center"/>
              <w:ind w:right="87"/>
              <w:spacing w:after="0"/>
              <w:rPr>
                <w:sz w:val="20"/>
                <w:szCs w:val="20"/>
                <w:color w:val="auto"/>
              </w:rPr>
            </w:pPr>
            <w:r>
              <w:rPr>
                <w:rFonts w:ascii="Arial" w:cs="Arial" w:eastAsia="Arial" w:hAnsi="Arial"/>
                <w:sz w:val="14"/>
                <w:szCs w:val="14"/>
                <w:color w:val="051D49"/>
                <w:w w:val="97"/>
              </w:rPr>
              <w:t>Held</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Held</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Rights</w:t>
            </w:r>
          </w:p>
        </w:tc>
        <w:tc>
          <w:tcPr>
            <w:tcW w:w="9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Rights</w:t>
            </w:r>
          </w:p>
        </w:tc>
      </w:tr>
      <w:tr>
        <w:trPr>
          <w:trHeight w:val="160"/>
        </w:trPr>
        <w:tc>
          <w:tcPr>
            <w:tcW w:w="2100" w:type="dxa"/>
            <w:vAlign w:val="bottom"/>
            <w:shd w:val="clear" w:color="auto" w:fill="EAEAEA"/>
          </w:tcPr>
          <w:p>
            <w:pPr>
              <w:spacing w:after="0"/>
              <w:rPr>
                <w:sz w:val="13"/>
                <w:szCs w:val="13"/>
                <w:color w:val="auto"/>
              </w:rPr>
            </w:pPr>
          </w:p>
        </w:tc>
        <w:tc>
          <w:tcPr>
            <w:tcW w:w="108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right"/>
              <w:ind w:right="66"/>
              <w:spacing w:after="0"/>
              <w:rPr>
                <w:sz w:val="20"/>
                <w:szCs w:val="20"/>
                <w:color w:val="auto"/>
              </w:rPr>
            </w:pPr>
            <w:r>
              <w:rPr>
                <w:rFonts w:ascii="Arial" w:cs="Arial" w:eastAsia="Arial" w:hAnsi="Arial"/>
                <w:sz w:val="14"/>
                <w:szCs w:val="14"/>
                <w:color w:val="051D49"/>
                <w:w w:val="97"/>
              </w:rPr>
              <w:t>Unexercised</w:t>
            </w:r>
          </w:p>
        </w:tc>
        <w:tc>
          <w:tcPr>
            <w:tcW w:w="11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Unexercised</w:t>
            </w:r>
          </w:p>
        </w:tc>
        <w:tc>
          <w:tcPr>
            <w:tcW w:w="8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Option</w:t>
            </w:r>
          </w:p>
        </w:tc>
        <w:tc>
          <w:tcPr>
            <w:tcW w:w="9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840" w:type="dxa"/>
            <w:vAlign w:val="bottom"/>
            <w:shd w:val="clear" w:color="auto" w:fill="EAEAEA"/>
          </w:tcPr>
          <w:p>
            <w:pPr>
              <w:jc w:val="center"/>
              <w:ind w:right="107"/>
              <w:spacing w:after="0"/>
              <w:rPr>
                <w:sz w:val="20"/>
                <w:szCs w:val="20"/>
                <w:color w:val="auto"/>
              </w:rPr>
            </w:pPr>
            <w:r>
              <w:rPr>
                <w:rFonts w:ascii="Arial" w:cs="Arial" w:eastAsia="Arial" w:hAnsi="Arial"/>
                <w:sz w:val="14"/>
                <w:szCs w:val="14"/>
                <w:color w:val="051D49"/>
              </w:rPr>
              <w:t>That Have</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that Have</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That Have</w:t>
            </w:r>
          </w:p>
        </w:tc>
        <w:tc>
          <w:tcPr>
            <w:tcW w:w="9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That Have</w:t>
            </w:r>
          </w:p>
        </w:tc>
      </w:tr>
      <w:tr>
        <w:trPr>
          <w:trHeight w:val="160"/>
        </w:trPr>
        <w:tc>
          <w:tcPr>
            <w:tcW w:w="2100" w:type="dxa"/>
            <w:vAlign w:val="bottom"/>
            <w:shd w:val="clear" w:color="auto" w:fill="EAEAEA"/>
          </w:tcPr>
          <w:p>
            <w:pPr>
              <w:spacing w:after="0"/>
              <w:rPr>
                <w:sz w:val="13"/>
                <w:szCs w:val="13"/>
                <w:color w:val="auto"/>
              </w:rPr>
            </w:pPr>
          </w:p>
        </w:tc>
        <w:tc>
          <w:tcPr>
            <w:tcW w:w="108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66"/>
              <w:spacing w:after="0"/>
              <w:rPr>
                <w:sz w:val="20"/>
                <w:szCs w:val="20"/>
                <w:color w:val="auto"/>
              </w:rPr>
            </w:pPr>
            <w:r>
              <w:rPr>
                <w:rFonts w:ascii="Arial" w:cs="Arial" w:eastAsia="Arial" w:hAnsi="Arial"/>
                <w:sz w:val="14"/>
                <w:szCs w:val="14"/>
                <w:color w:val="051D49"/>
                <w:w w:val="99"/>
              </w:rPr>
              <w:t>Options —</w:t>
            </w:r>
          </w:p>
        </w:tc>
        <w:tc>
          <w:tcPr>
            <w:tcW w:w="11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Options —</w:t>
            </w:r>
          </w:p>
        </w:tc>
        <w:tc>
          <w:tcPr>
            <w:tcW w:w="800" w:type="dxa"/>
            <w:vAlign w:val="bottom"/>
            <w:shd w:val="clear" w:color="auto" w:fill="EAEAEA"/>
          </w:tcPr>
          <w:p>
            <w:pPr>
              <w:jc w:val="right"/>
              <w:ind w:right="46"/>
              <w:spacing w:after="0"/>
              <w:rPr>
                <w:sz w:val="20"/>
                <w:szCs w:val="20"/>
                <w:color w:val="auto"/>
              </w:rPr>
            </w:pPr>
            <w:r>
              <w:rPr>
                <w:rFonts w:ascii="Arial" w:cs="Arial" w:eastAsia="Arial" w:hAnsi="Arial"/>
                <w:sz w:val="14"/>
                <w:szCs w:val="14"/>
                <w:color w:val="051D49"/>
              </w:rPr>
              <w:t>Exercise</w:t>
            </w:r>
          </w:p>
        </w:tc>
        <w:tc>
          <w:tcPr>
            <w:tcW w:w="1040" w:type="dxa"/>
            <w:vAlign w:val="bottom"/>
            <w:gridSpan w:val="2"/>
            <w:shd w:val="clear" w:color="auto" w:fill="EAEAEA"/>
          </w:tcPr>
          <w:p>
            <w:pPr>
              <w:jc w:val="center"/>
              <w:ind w:right="140"/>
              <w:spacing w:after="0"/>
              <w:rPr>
                <w:sz w:val="20"/>
                <w:szCs w:val="20"/>
                <w:color w:val="auto"/>
              </w:rPr>
            </w:pPr>
            <w:r>
              <w:rPr>
                <w:rFonts w:ascii="Arial" w:cs="Arial" w:eastAsia="Arial" w:hAnsi="Arial"/>
                <w:sz w:val="14"/>
                <w:szCs w:val="14"/>
                <w:color w:val="051D49"/>
              </w:rPr>
              <w:t>Option</w:t>
            </w:r>
          </w:p>
        </w:tc>
        <w:tc>
          <w:tcPr>
            <w:tcW w:w="840" w:type="dxa"/>
            <w:vAlign w:val="bottom"/>
            <w:shd w:val="clear" w:color="auto" w:fill="EAEAEA"/>
          </w:tcPr>
          <w:p>
            <w:pPr>
              <w:jc w:val="center"/>
              <w:ind w:right="107"/>
              <w:spacing w:after="0"/>
              <w:rPr>
                <w:sz w:val="20"/>
                <w:szCs w:val="20"/>
                <w:color w:val="auto"/>
              </w:rPr>
            </w:pPr>
            <w:r>
              <w:rPr>
                <w:rFonts w:ascii="Arial" w:cs="Arial" w:eastAsia="Arial" w:hAnsi="Arial"/>
                <w:sz w:val="14"/>
                <w:szCs w:val="14"/>
                <w:color w:val="051D49"/>
              </w:rPr>
              <w:t>Not</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8"/>
              </w:rPr>
              <w:t>Not Yet</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8"/>
              </w:rPr>
              <w:t>Not Yet</w:t>
            </w:r>
          </w:p>
        </w:tc>
        <w:tc>
          <w:tcPr>
            <w:tcW w:w="98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8"/>
              </w:rPr>
              <w:t>Not Yet</w:t>
            </w:r>
          </w:p>
        </w:tc>
      </w:tr>
      <w:tr>
        <w:trPr>
          <w:trHeight w:val="160"/>
        </w:trPr>
        <w:tc>
          <w:tcPr>
            <w:tcW w:w="2100" w:type="dxa"/>
            <w:vAlign w:val="bottom"/>
            <w:shd w:val="clear" w:color="auto" w:fill="EAEAEA"/>
          </w:tcPr>
          <w:p>
            <w:pPr>
              <w:spacing w:after="0"/>
              <w:rPr>
                <w:sz w:val="13"/>
                <w:szCs w:val="13"/>
                <w:color w:val="auto"/>
              </w:rPr>
            </w:pPr>
          </w:p>
        </w:tc>
        <w:tc>
          <w:tcPr>
            <w:tcW w:w="1080" w:type="dxa"/>
            <w:vAlign w:val="bottom"/>
            <w:shd w:val="clear" w:color="auto" w:fill="EAEAEA"/>
          </w:tcPr>
          <w:p>
            <w:pPr>
              <w:jc w:val="right"/>
              <w:ind w:right="325"/>
              <w:spacing w:after="0"/>
              <w:rPr>
                <w:sz w:val="20"/>
                <w:szCs w:val="20"/>
                <w:color w:val="auto"/>
              </w:rPr>
            </w:pPr>
            <w:r>
              <w:rPr>
                <w:rFonts w:ascii="Arial" w:cs="Arial" w:eastAsia="Arial" w:hAnsi="Arial"/>
                <w:sz w:val="14"/>
                <w:szCs w:val="14"/>
                <w:color w:val="051D49"/>
              </w:rPr>
              <w:t>Grant</w:t>
            </w:r>
          </w:p>
        </w:tc>
        <w:tc>
          <w:tcPr>
            <w:tcW w:w="100" w:type="dxa"/>
            <w:vAlign w:val="bottom"/>
            <w:shd w:val="clear" w:color="auto" w:fill="EAEAEA"/>
          </w:tcPr>
          <w:p>
            <w:pPr>
              <w:spacing w:after="0"/>
              <w:rPr>
                <w:sz w:val="13"/>
                <w:szCs w:val="13"/>
                <w:color w:val="auto"/>
              </w:rPr>
            </w:pPr>
          </w:p>
        </w:tc>
        <w:tc>
          <w:tcPr>
            <w:tcW w:w="920" w:type="dxa"/>
            <w:vAlign w:val="bottom"/>
            <w:shd w:val="clear" w:color="auto" w:fill="EAEAEA"/>
          </w:tcPr>
          <w:p>
            <w:pPr>
              <w:jc w:val="center"/>
              <w:ind w:right="66"/>
              <w:spacing w:after="0"/>
              <w:rPr>
                <w:sz w:val="20"/>
                <w:szCs w:val="20"/>
                <w:color w:val="auto"/>
              </w:rPr>
            </w:pPr>
            <w:r>
              <w:rPr>
                <w:rFonts w:ascii="Arial" w:cs="Arial" w:eastAsia="Arial" w:hAnsi="Arial"/>
                <w:sz w:val="14"/>
                <w:szCs w:val="14"/>
                <w:color w:val="051D49"/>
              </w:rPr>
              <w:t>Exercisable</w:t>
            </w:r>
          </w:p>
        </w:tc>
        <w:tc>
          <w:tcPr>
            <w:tcW w:w="1160" w:type="dxa"/>
            <w:vAlign w:val="bottom"/>
            <w:shd w:val="clear" w:color="auto" w:fill="EAEAEA"/>
          </w:tcPr>
          <w:p>
            <w:pPr>
              <w:jc w:val="right"/>
              <w:ind w:right="46"/>
              <w:spacing w:after="0"/>
              <w:rPr>
                <w:sz w:val="20"/>
                <w:szCs w:val="20"/>
                <w:color w:val="auto"/>
              </w:rPr>
            </w:pPr>
            <w:r>
              <w:rPr>
                <w:rFonts w:ascii="Arial" w:cs="Arial" w:eastAsia="Arial" w:hAnsi="Arial"/>
                <w:sz w:val="14"/>
                <w:szCs w:val="14"/>
                <w:color w:val="051D49"/>
              </w:rPr>
              <w:t>Unexercisable</w:t>
            </w:r>
          </w:p>
        </w:tc>
        <w:tc>
          <w:tcPr>
            <w:tcW w:w="8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Price</w:t>
            </w:r>
          </w:p>
        </w:tc>
        <w:tc>
          <w:tcPr>
            <w:tcW w:w="1040" w:type="dxa"/>
            <w:vAlign w:val="bottom"/>
            <w:gridSpan w:val="2"/>
            <w:shd w:val="clear" w:color="auto" w:fill="EAEAEA"/>
          </w:tcPr>
          <w:p>
            <w:pPr>
              <w:jc w:val="right"/>
              <w:ind w:right="260"/>
              <w:spacing w:after="0"/>
              <w:rPr>
                <w:sz w:val="20"/>
                <w:szCs w:val="20"/>
                <w:color w:val="auto"/>
              </w:rPr>
            </w:pPr>
            <w:r>
              <w:rPr>
                <w:rFonts w:ascii="Arial" w:cs="Arial" w:eastAsia="Arial" w:hAnsi="Arial"/>
                <w:sz w:val="14"/>
                <w:szCs w:val="14"/>
                <w:color w:val="051D49"/>
              </w:rPr>
              <w:t>Expiration</w:t>
            </w:r>
          </w:p>
        </w:tc>
        <w:tc>
          <w:tcPr>
            <w:tcW w:w="840" w:type="dxa"/>
            <w:vAlign w:val="bottom"/>
            <w:shd w:val="clear" w:color="auto" w:fill="EAEAEA"/>
          </w:tcPr>
          <w:p>
            <w:pPr>
              <w:jc w:val="center"/>
              <w:ind w:right="87"/>
              <w:spacing w:after="0"/>
              <w:rPr>
                <w:sz w:val="20"/>
                <w:szCs w:val="20"/>
                <w:color w:val="auto"/>
              </w:rPr>
            </w:pPr>
            <w:r>
              <w:rPr>
                <w:rFonts w:ascii="Arial" w:cs="Arial" w:eastAsia="Arial" w:hAnsi="Arial"/>
                <w:sz w:val="14"/>
                <w:szCs w:val="14"/>
                <w:color w:val="051D49"/>
              </w:rPr>
              <w:t>Vested</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Vested</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Vested</w:t>
            </w:r>
          </w:p>
        </w:tc>
        <w:tc>
          <w:tcPr>
            <w:tcW w:w="9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Vested</w:t>
            </w:r>
          </w:p>
        </w:tc>
      </w:tr>
      <w:tr>
        <w:trPr>
          <w:trHeight w:val="183"/>
        </w:trPr>
        <w:tc>
          <w:tcPr>
            <w:tcW w:w="2100" w:type="dxa"/>
            <w:vAlign w:val="bottom"/>
            <w:shd w:val="clear" w:color="auto" w:fill="EAEAEA"/>
          </w:tcPr>
          <w:p>
            <w:pPr>
              <w:ind w:left="80"/>
              <w:spacing w:after="0"/>
              <w:rPr>
                <w:sz w:val="20"/>
                <w:szCs w:val="20"/>
                <w:color w:val="auto"/>
              </w:rPr>
            </w:pPr>
            <w:r>
              <w:rPr>
                <w:rFonts w:ascii="Arial" w:cs="Arial" w:eastAsia="Arial" w:hAnsi="Arial"/>
                <w:sz w:val="14"/>
                <w:szCs w:val="14"/>
                <w:color w:val="051D49"/>
              </w:rPr>
              <w:t>Name</w:t>
            </w:r>
          </w:p>
        </w:tc>
        <w:tc>
          <w:tcPr>
            <w:tcW w:w="1080" w:type="dxa"/>
            <w:vAlign w:val="bottom"/>
            <w:shd w:val="clear" w:color="auto" w:fill="EAEAEA"/>
          </w:tcPr>
          <w:p>
            <w:pPr>
              <w:jc w:val="right"/>
              <w:ind w:right="345"/>
              <w:spacing w:after="0"/>
              <w:rPr>
                <w:sz w:val="20"/>
                <w:szCs w:val="20"/>
                <w:color w:val="auto"/>
              </w:rPr>
            </w:pPr>
            <w:r>
              <w:rPr>
                <w:rFonts w:ascii="Arial" w:cs="Arial" w:eastAsia="Arial" w:hAnsi="Arial"/>
                <w:sz w:val="14"/>
                <w:szCs w:val="14"/>
                <w:color w:val="051D49"/>
              </w:rPr>
              <w:t>Date</w:t>
            </w:r>
          </w:p>
        </w:tc>
        <w:tc>
          <w:tcPr>
            <w:tcW w:w="1020" w:type="dxa"/>
            <w:vAlign w:val="bottom"/>
            <w:gridSpan w:val="2"/>
            <w:shd w:val="clear" w:color="auto" w:fill="EAEAEA"/>
          </w:tcPr>
          <w:p>
            <w:pPr>
              <w:jc w:val="center"/>
              <w:spacing w:after="0"/>
              <w:rPr>
                <w:sz w:val="20"/>
                <w:szCs w:val="20"/>
                <w:color w:val="auto"/>
              </w:rPr>
            </w:pPr>
            <w:r>
              <w:rPr>
                <w:rFonts w:ascii="Arial" w:cs="Arial" w:eastAsia="Arial" w:hAnsi="Arial"/>
                <w:sz w:val="14"/>
                <w:szCs w:val="14"/>
                <w:color w:val="051D49"/>
              </w:rPr>
              <w:t>(#)</w:t>
            </w:r>
          </w:p>
        </w:tc>
        <w:tc>
          <w:tcPr>
            <w:tcW w:w="11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(#)(1)</w:t>
            </w:r>
          </w:p>
        </w:tc>
        <w:tc>
          <w:tcPr>
            <w:tcW w:w="8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w:t>
            </w:r>
          </w:p>
        </w:tc>
        <w:tc>
          <w:tcPr>
            <w:tcW w:w="1040" w:type="dxa"/>
            <w:vAlign w:val="bottom"/>
            <w:gridSpan w:val="2"/>
            <w:shd w:val="clear" w:color="auto" w:fill="EAEAEA"/>
          </w:tcPr>
          <w:p>
            <w:pPr>
              <w:jc w:val="center"/>
              <w:ind w:right="140"/>
              <w:spacing w:after="0"/>
              <w:rPr>
                <w:sz w:val="20"/>
                <w:szCs w:val="20"/>
                <w:color w:val="auto"/>
              </w:rPr>
            </w:pPr>
            <w:r>
              <w:rPr>
                <w:rFonts w:ascii="Arial" w:cs="Arial" w:eastAsia="Arial" w:hAnsi="Arial"/>
                <w:sz w:val="14"/>
                <w:szCs w:val="14"/>
                <w:color w:val="051D49"/>
              </w:rPr>
              <w:t>Date</w:t>
            </w:r>
          </w:p>
        </w:tc>
        <w:tc>
          <w:tcPr>
            <w:tcW w:w="840" w:type="dxa"/>
            <w:vAlign w:val="bottom"/>
            <w:shd w:val="clear" w:color="auto" w:fill="EAEAEA"/>
          </w:tcPr>
          <w:p>
            <w:pPr>
              <w:jc w:val="center"/>
              <w:ind w:right="87"/>
              <w:spacing w:after="0"/>
              <w:rPr>
                <w:sz w:val="20"/>
                <w:szCs w:val="20"/>
                <w:color w:val="auto"/>
              </w:rPr>
            </w:pPr>
            <w:r>
              <w:rPr>
                <w:rFonts w:ascii="Arial" w:cs="Arial" w:eastAsia="Arial" w:hAnsi="Arial"/>
                <w:sz w:val="14"/>
                <w:szCs w:val="14"/>
                <w:color w:val="051D49"/>
              </w:rPr>
              <w:t>(#)(2)</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(#)(3)</w:t>
            </w:r>
          </w:p>
        </w:tc>
        <w:tc>
          <w:tcPr>
            <w:tcW w:w="9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w:t>
            </w:r>
          </w:p>
        </w:tc>
      </w:tr>
      <w:tr>
        <w:trPr>
          <w:trHeight w:val="143"/>
        </w:trPr>
        <w:tc>
          <w:tcPr>
            <w:tcW w:w="2100" w:type="dxa"/>
            <w:vAlign w:val="bottom"/>
          </w:tcPr>
          <w:p>
            <w:pPr>
              <w:spacing w:after="0"/>
              <w:rPr>
                <w:sz w:val="12"/>
                <w:szCs w:val="12"/>
                <w:color w:val="auto"/>
              </w:rPr>
            </w:pPr>
          </w:p>
        </w:tc>
        <w:tc>
          <w:tcPr>
            <w:tcW w:w="1080" w:type="dxa"/>
            <w:vAlign w:val="bottom"/>
          </w:tcPr>
          <w:p>
            <w:pPr>
              <w:jc w:val="right"/>
              <w:ind w:right="85"/>
              <w:spacing w:after="0" w:line="144" w:lineRule="exact"/>
              <w:rPr>
                <w:sz w:val="20"/>
                <w:szCs w:val="20"/>
                <w:color w:val="auto"/>
              </w:rPr>
            </w:pPr>
            <w:r>
              <w:rPr>
                <w:rFonts w:ascii="Arial" w:cs="Arial" w:eastAsia="Arial" w:hAnsi="Arial"/>
                <w:sz w:val="15"/>
                <w:szCs w:val="15"/>
                <w:color w:val="auto"/>
              </w:rPr>
              <w:t>1/31/2018</w:t>
            </w:r>
          </w:p>
        </w:tc>
        <w:tc>
          <w:tcPr>
            <w:tcW w:w="100" w:type="dxa"/>
            <w:vAlign w:val="bottom"/>
          </w:tcPr>
          <w:p>
            <w:pPr>
              <w:spacing w:after="0"/>
              <w:rPr>
                <w:sz w:val="12"/>
                <w:szCs w:val="12"/>
                <w:color w:val="auto"/>
              </w:rPr>
            </w:pPr>
          </w:p>
        </w:tc>
        <w:tc>
          <w:tcPr>
            <w:tcW w:w="920" w:type="dxa"/>
            <w:vAlign w:val="bottom"/>
          </w:tcPr>
          <w:p>
            <w:pPr>
              <w:jc w:val="right"/>
              <w:ind w:right="46"/>
              <w:spacing w:after="0" w:line="144" w:lineRule="exact"/>
              <w:rPr>
                <w:sz w:val="20"/>
                <w:szCs w:val="20"/>
                <w:color w:val="auto"/>
              </w:rPr>
            </w:pPr>
            <w:r>
              <w:rPr>
                <w:rFonts w:ascii="Arial" w:cs="Arial" w:eastAsia="Arial" w:hAnsi="Arial"/>
                <w:sz w:val="15"/>
                <w:szCs w:val="15"/>
                <w:color w:val="auto"/>
              </w:rPr>
              <w:t>—</w:t>
            </w:r>
          </w:p>
        </w:tc>
        <w:tc>
          <w:tcPr>
            <w:tcW w:w="1160" w:type="dxa"/>
            <w:vAlign w:val="bottom"/>
          </w:tcPr>
          <w:p>
            <w:pPr>
              <w:jc w:val="right"/>
              <w:ind w:right="46"/>
              <w:spacing w:after="0" w:line="144"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6"/>
              <w:spacing w:after="0" w:line="144" w:lineRule="exact"/>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line="144"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87"/>
              <w:spacing w:after="0" w:line="144" w:lineRule="exact"/>
              <w:rPr>
                <w:sz w:val="20"/>
                <w:szCs w:val="20"/>
                <w:color w:val="auto"/>
              </w:rPr>
            </w:pPr>
            <w:r>
              <w:rPr>
                <w:rFonts w:ascii="Arial" w:cs="Arial" w:eastAsia="Arial" w:hAnsi="Arial"/>
                <w:sz w:val="15"/>
                <w:szCs w:val="15"/>
                <w:color w:val="auto"/>
              </w:rPr>
              <w:t>1,093</w:t>
            </w:r>
          </w:p>
        </w:tc>
        <w:tc>
          <w:tcPr>
            <w:tcW w:w="960" w:type="dxa"/>
            <w:vAlign w:val="bottom"/>
          </w:tcPr>
          <w:p>
            <w:pPr>
              <w:jc w:val="right"/>
              <w:ind w:right="47"/>
              <w:spacing w:after="0" w:line="144" w:lineRule="exact"/>
              <w:rPr>
                <w:sz w:val="20"/>
                <w:szCs w:val="20"/>
                <w:color w:val="auto"/>
              </w:rPr>
            </w:pPr>
            <w:r>
              <w:rPr>
                <w:rFonts w:ascii="Arial" w:cs="Arial" w:eastAsia="Arial" w:hAnsi="Arial"/>
                <w:sz w:val="15"/>
                <w:szCs w:val="15"/>
                <w:color w:val="auto"/>
              </w:rPr>
              <w:t>32,987</w:t>
            </w:r>
          </w:p>
        </w:tc>
        <w:tc>
          <w:tcPr>
            <w:tcW w:w="940" w:type="dxa"/>
            <w:vAlign w:val="bottom"/>
          </w:tcPr>
          <w:p>
            <w:pPr>
              <w:jc w:val="right"/>
              <w:ind w:right="47"/>
              <w:spacing w:after="0" w:line="144"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7"/>
              <w:spacing w:after="0" w:line="144" w:lineRule="exact"/>
              <w:rPr>
                <w:sz w:val="20"/>
                <w:szCs w:val="20"/>
                <w:color w:val="auto"/>
              </w:rPr>
            </w:pPr>
            <w:r>
              <w:rPr>
                <w:rFonts w:ascii="Arial" w:cs="Arial" w:eastAsia="Arial" w:hAnsi="Arial"/>
                <w:sz w:val="15"/>
                <w:szCs w:val="15"/>
                <w:color w:val="auto"/>
              </w:rPr>
              <w:t>—</w:t>
            </w:r>
          </w:p>
        </w:tc>
      </w:tr>
      <w:tr>
        <w:trPr>
          <w:trHeight w:val="160"/>
        </w:trPr>
        <w:tc>
          <w:tcPr>
            <w:tcW w:w="2100" w:type="dxa"/>
            <w:vAlign w:val="bottom"/>
          </w:tcPr>
          <w:p>
            <w:pPr>
              <w:spacing w:after="0"/>
              <w:rPr>
                <w:sz w:val="13"/>
                <w:szCs w:val="13"/>
                <w:color w:val="auto"/>
              </w:rPr>
            </w:pPr>
          </w:p>
        </w:tc>
        <w:tc>
          <w:tcPr>
            <w:tcW w:w="1080" w:type="dxa"/>
            <w:vAlign w:val="bottom"/>
          </w:tcPr>
          <w:p>
            <w:pPr>
              <w:jc w:val="right"/>
              <w:ind w:right="85"/>
              <w:spacing w:after="0" w:line="161" w:lineRule="exact"/>
              <w:rPr>
                <w:sz w:val="20"/>
                <w:szCs w:val="20"/>
                <w:color w:val="auto"/>
              </w:rPr>
            </w:pPr>
            <w:r>
              <w:rPr>
                <w:rFonts w:ascii="Arial" w:cs="Arial" w:eastAsia="Arial" w:hAnsi="Arial"/>
                <w:sz w:val="15"/>
                <w:szCs w:val="15"/>
                <w:color w:val="auto"/>
              </w:rPr>
              <w:t>11/30/2018</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6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line="161"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87"/>
              <w:spacing w:after="0" w:line="161" w:lineRule="exact"/>
              <w:rPr>
                <w:sz w:val="20"/>
                <w:szCs w:val="20"/>
                <w:color w:val="auto"/>
              </w:rPr>
            </w:pPr>
            <w:r>
              <w:rPr>
                <w:rFonts w:ascii="Arial" w:cs="Arial" w:eastAsia="Arial" w:hAnsi="Arial"/>
                <w:sz w:val="15"/>
                <w:szCs w:val="15"/>
                <w:color w:val="auto"/>
              </w:rPr>
              <w:t>1,183</w:t>
            </w:r>
          </w:p>
        </w:tc>
        <w:tc>
          <w:tcPr>
            <w:tcW w:w="960" w:type="dxa"/>
            <w:vAlign w:val="bottom"/>
          </w:tcPr>
          <w:p>
            <w:pPr>
              <w:jc w:val="right"/>
              <w:ind w:right="47"/>
              <w:spacing w:after="0" w:line="161" w:lineRule="exact"/>
              <w:rPr>
                <w:sz w:val="20"/>
                <w:szCs w:val="20"/>
                <w:color w:val="auto"/>
              </w:rPr>
            </w:pPr>
            <w:r>
              <w:rPr>
                <w:rFonts w:ascii="Arial" w:cs="Arial" w:eastAsia="Arial" w:hAnsi="Arial"/>
                <w:sz w:val="15"/>
                <w:szCs w:val="15"/>
                <w:color w:val="auto"/>
              </w:rPr>
              <w:t>35,703</w:t>
            </w:r>
          </w:p>
        </w:tc>
        <w:tc>
          <w:tcPr>
            <w:tcW w:w="940" w:type="dxa"/>
            <w:vAlign w:val="bottom"/>
          </w:tcPr>
          <w:p>
            <w:pPr>
              <w:jc w:val="right"/>
              <w:ind w:right="47"/>
              <w:spacing w:after="0" w:line="161"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7"/>
              <w:spacing w:after="0" w:line="161" w:lineRule="exact"/>
              <w:rPr>
                <w:sz w:val="20"/>
                <w:szCs w:val="20"/>
                <w:color w:val="auto"/>
              </w:rPr>
            </w:pPr>
            <w:r>
              <w:rPr>
                <w:rFonts w:ascii="Arial" w:cs="Arial" w:eastAsia="Arial" w:hAnsi="Arial"/>
                <w:sz w:val="15"/>
                <w:szCs w:val="15"/>
                <w:color w:val="auto"/>
              </w:rPr>
              <w:t>—</w:t>
            </w:r>
          </w:p>
        </w:tc>
      </w:tr>
      <w:tr>
        <w:trPr>
          <w:trHeight w:val="160"/>
        </w:trPr>
        <w:tc>
          <w:tcPr>
            <w:tcW w:w="2100" w:type="dxa"/>
            <w:vAlign w:val="bottom"/>
          </w:tcPr>
          <w:p>
            <w:pPr>
              <w:spacing w:after="0"/>
              <w:rPr>
                <w:sz w:val="13"/>
                <w:szCs w:val="13"/>
                <w:color w:val="auto"/>
              </w:rPr>
            </w:pPr>
          </w:p>
        </w:tc>
        <w:tc>
          <w:tcPr>
            <w:tcW w:w="1080" w:type="dxa"/>
            <w:vAlign w:val="bottom"/>
          </w:tcPr>
          <w:p>
            <w:pPr>
              <w:jc w:val="right"/>
              <w:ind w:right="85"/>
              <w:spacing w:after="0" w:line="161" w:lineRule="exact"/>
              <w:rPr>
                <w:sz w:val="20"/>
                <w:szCs w:val="20"/>
                <w:color w:val="auto"/>
              </w:rPr>
            </w:pPr>
            <w:r>
              <w:rPr>
                <w:rFonts w:ascii="Arial" w:cs="Arial" w:eastAsia="Arial" w:hAnsi="Arial"/>
                <w:sz w:val="15"/>
                <w:szCs w:val="15"/>
                <w:color w:val="auto"/>
              </w:rPr>
              <w:t>11/1/2019</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6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line="161"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87"/>
              <w:spacing w:after="0" w:line="161" w:lineRule="exact"/>
              <w:rPr>
                <w:sz w:val="20"/>
                <w:szCs w:val="20"/>
                <w:color w:val="auto"/>
              </w:rPr>
            </w:pPr>
            <w:r>
              <w:rPr>
                <w:rFonts w:ascii="Arial" w:cs="Arial" w:eastAsia="Arial" w:hAnsi="Arial"/>
                <w:sz w:val="15"/>
                <w:szCs w:val="15"/>
                <w:color w:val="auto"/>
              </w:rPr>
              <w:t>12,710</w:t>
            </w:r>
          </w:p>
        </w:tc>
        <w:tc>
          <w:tcPr>
            <w:tcW w:w="960" w:type="dxa"/>
            <w:vAlign w:val="bottom"/>
          </w:tcPr>
          <w:p>
            <w:pPr>
              <w:jc w:val="right"/>
              <w:ind w:right="47"/>
              <w:spacing w:after="0" w:line="161" w:lineRule="exact"/>
              <w:rPr>
                <w:sz w:val="20"/>
                <w:szCs w:val="20"/>
                <w:color w:val="auto"/>
              </w:rPr>
            </w:pPr>
            <w:r>
              <w:rPr>
                <w:rFonts w:ascii="Arial" w:cs="Arial" w:eastAsia="Arial" w:hAnsi="Arial"/>
                <w:sz w:val="15"/>
                <w:szCs w:val="15"/>
                <w:color w:val="auto"/>
              </w:rPr>
              <w:t>383,588</w:t>
            </w:r>
          </w:p>
        </w:tc>
        <w:tc>
          <w:tcPr>
            <w:tcW w:w="940" w:type="dxa"/>
            <w:vAlign w:val="bottom"/>
          </w:tcPr>
          <w:p>
            <w:pPr>
              <w:jc w:val="right"/>
              <w:ind w:right="47"/>
              <w:spacing w:after="0" w:line="161"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7"/>
              <w:spacing w:after="0" w:line="161" w:lineRule="exact"/>
              <w:rPr>
                <w:sz w:val="20"/>
                <w:szCs w:val="20"/>
                <w:color w:val="auto"/>
              </w:rPr>
            </w:pPr>
            <w:r>
              <w:rPr>
                <w:rFonts w:ascii="Arial" w:cs="Arial" w:eastAsia="Arial" w:hAnsi="Arial"/>
                <w:sz w:val="15"/>
                <w:szCs w:val="15"/>
                <w:color w:val="auto"/>
              </w:rPr>
              <w:t>—</w:t>
            </w:r>
          </w:p>
        </w:tc>
      </w:tr>
      <w:tr>
        <w:trPr>
          <w:trHeight w:val="160"/>
        </w:trPr>
        <w:tc>
          <w:tcPr>
            <w:tcW w:w="2100" w:type="dxa"/>
            <w:vAlign w:val="bottom"/>
          </w:tcPr>
          <w:p>
            <w:pPr>
              <w:spacing w:after="0"/>
              <w:rPr>
                <w:sz w:val="13"/>
                <w:szCs w:val="13"/>
                <w:color w:val="auto"/>
              </w:rPr>
            </w:pPr>
          </w:p>
        </w:tc>
        <w:tc>
          <w:tcPr>
            <w:tcW w:w="1080" w:type="dxa"/>
            <w:vAlign w:val="bottom"/>
          </w:tcPr>
          <w:p>
            <w:pPr>
              <w:jc w:val="right"/>
              <w:ind w:right="85"/>
              <w:spacing w:after="0" w:line="161" w:lineRule="exact"/>
              <w:rPr>
                <w:sz w:val="20"/>
                <w:szCs w:val="20"/>
                <w:color w:val="auto"/>
              </w:rPr>
            </w:pPr>
            <w:r>
              <w:rPr>
                <w:rFonts w:ascii="Arial" w:cs="Arial" w:eastAsia="Arial" w:hAnsi="Arial"/>
                <w:sz w:val="15"/>
                <w:szCs w:val="15"/>
                <w:color w:val="auto"/>
              </w:rPr>
              <w:t>11/30/2020</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6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line="161"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87"/>
              <w:spacing w:after="0" w:line="161" w:lineRule="exact"/>
              <w:rPr>
                <w:sz w:val="20"/>
                <w:szCs w:val="20"/>
                <w:color w:val="auto"/>
              </w:rPr>
            </w:pPr>
            <w:r>
              <w:rPr>
                <w:rFonts w:ascii="Arial" w:cs="Arial" w:eastAsia="Arial" w:hAnsi="Arial"/>
                <w:sz w:val="15"/>
                <w:szCs w:val="15"/>
                <w:color w:val="auto"/>
              </w:rPr>
              <w:t>11,958</w:t>
            </w:r>
          </w:p>
        </w:tc>
        <w:tc>
          <w:tcPr>
            <w:tcW w:w="960" w:type="dxa"/>
            <w:vAlign w:val="bottom"/>
          </w:tcPr>
          <w:p>
            <w:pPr>
              <w:jc w:val="right"/>
              <w:ind w:right="47"/>
              <w:spacing w:after="0" w:line="161" w:lineRule="exact"/>
              <w:rPr>
                <w:sz w:val="20"/>
                <w:szCs w:val="20"/>
                <w:color w:val="auto"/>
              </w:rPr>
            </w:pPr>
            <w:r>
              <w:rPr>
                <w:rFonts w:ascii="Arial" w:cs="Arial" w:eastAsia="Arial" w:hAnsi="Arial"/>
                <w:sz w:val="15"/>
                <w:szCs w:val="15"/>
                <w:color w:val="auto"/>
              </w:rPr>
              <w:t>360,892</w:t>
            </w:r>
          </w:p>
        </w:tc>
        <w:tc>
          <w:tcPr>
            <w:tcW w:w="940" w:type="dxa"/>
            <w:vAlign w:val="bottom"/>
          </w:tcPr>
          <w:p>
            <w:pPr>
              <w:jc w:val="right"/>
              <w:ind w:right="47"/>
              <w:spacing w:after="0" w:line="161"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7"/>
              <w:spacing w:after="0" w:line="161" w:lineRule="exact"/>
              <w:rPr>
                <w:sz w:val="20"/>
                <w:szCs w:val="20"/>
                <w:color w:val="auto"/>
              </w:rPr>
            </w:pPr>
            <w:r>
              <w:rPr>
                <w:rFonts w:ascii="Arial" w:cs="Arial" w:eastAsia="Arial" w:hAnsi="Arial"/>
                <w:sz w:val="15"/>
                <w:szCs w:val="15"/>
                <w:color w:val="auto"/>
              </w:rPr>
              <w:t>—</w:t>
            </w:r>
          </w:p>
        </w:tc>
      </w:tr>
      <w:tr>
        <w:trPr>
          <w:trHeight w:val="178"/>
        </w:trPr>
        <w:tc>
          <w:tcPr>
            <w:tcW w:w="2100" w:type="dxa"/>
            <w:vAlign w:val="bottom"/>
            <w:tcBorders>
              <w:bottom w:val="single" w:sz="8" w:color="051D49"/>
            </w:tcBorders>
          </w:tcPr>
          <w:p>
            <w:pPr>
              <w:spacing w:after="0"/>
              <w:rPr>
                <w:sz w:val="15"/>
                <w:szCs w:val="15"/>
                <w:color w:val="auto"/>
              </w:rPr>
            </w:pPr>
          </w:p>
        </w:tc>
        <w:tc>
          <w:tcPr>
            <w:tcW w:w="1080" w:type="dxa"/>
            <w:vAlign w:val="bottom"/>
            <w:tcBorders>
              <w:bottom w:val="single" w:sz="8" w:color="051D49"/>
            </w:tcBorders>
          </w:tcPr>
          <w:p>
            <w:pPr>
              <w:jc w:val="right"/>
              <w:ind w:right="85"/>
              <w:spacing w:after="0"/>
              <w:rPr>
                <w:sz w:val="20"/>
                <w:szCs w:val="20"/>
                <w:color w:val="auto"/>
              </w:rPr>
            </w:pPr>
            <w:r>
              <w:rPr>
                <w:rFonts w:ascii="Arial" w:cs="Arial" w:eastAsia="Arial" w:hAnsi="Arial"/>
                <w:sz w:val="15"/>
                <w:szCs w:val="15"/>
                <w:color w:val="auto"/>
              </w:rPr>
              <w:t>11/30/2020</w:t>
            </w:r>
          </w:p>
        </w:tc>
        <w:tc>
          <w:tcPr>
            <w:tcW w:w="100" w:type="dxa"/>
            <w:vAlign w:val="bottom"/>
            <w:tcBorders>
              <w:bottom w:val="single" w:sz="8" w:color="051D49"/>
            </w:tcBorders>
          </w:tcPr>
          <w:p>
            <w:pPr>
              <w:spacing w:after="0"/>
              <w:rPr>
                <w:sz w:val="15"/>
                <w:szCs w:val="15"/>
                <w:color w:val="auto"/>
              </w:rPr>
            </w:pPr>
          </w:p>
        </w:tc>
        <w:tc>
          <w:tcPr>
            <w:tcW w:w="92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051D49"/>
            </w:tcBorders>
          </w:tcPr>
          <w:p>
            <w:pPr>
              <w:jc w:val="right"/>
              <w:ind w:right="4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051D49"/>
            </w:tcBorders>
            <w:gridSpan w:val="2"/>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051D49"/>
            </w:tcBorders>
          </w:tcPr>
          <w:p>
            <w:pPr>
              <w:jc w:val="right"/>
              <w:ind w:right="87"/>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051D49"/>
            </w:tcBorders>
          </w:tcPr>
          <w:p>
            <w:pPr>
              <w:jc w:val="right"/>
              <w:ind w:right="47"/>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051D49"/>
            </w:tcBorders>
          </w:tcPr>
          <w:p>
            <w:pPr>
              <w:jc w:val="right"/>
              <w:ind w:right="47"/>
              <w:spacing w:after="0"/>
              <w:rPr>
                <w:sz w:val="20"/>
                <w:szCs w:val="20"/>
                <w:color w:val="auto"/>
              </w:rPr>
            </w:pPr>
            <w:r>
              <w:rPr>
                <w:rFonts w:ascii="Arial" w:cs="Arial" w:eastAsia="Arial" w:hAnsi="Arial"/>
                <w:sz w:val="15"/>
                <w:szCs w:val="15"/>
                <w:color w:val="auto"/>
              </w:rPr>
              <w:t>4,579</w:t>
            </w:r>
          </w:p>
        </w:tc>
        <w:tc>
          <w:tcPr>
            <w:tcW w:w="980" w:type="dxa"/>
            <w:vAlign w:val="bottom"/>
            <w:tcBorders>
              <w:bottom w:val="single" w:sz="8" w:color="051D49"/>
            </w:tcBorders>
          </w:tcPr>
          <w:p>
            <w:pPr>
              <w:jc w:val="right"/>
              <w:ind w:right="107"/>
              <w:spacing w:after="0"/>
              <w:rPr>
                <w:sz w:val="20"/>
                <w:szCs w:val="20"/>
                <w:color w:val="auto"/>
              </w:rPr>
            </w:pPr>
            <w:r>
              <w:rPr>
                <w:rFonts w:ascii="Arial" w:cs="Arial" w:eastAsia="Arial" w:hAnsi="Arial"/>
                <w:sz w:val="15"/>
                <w:szCs w:val="15"/>
                <w:color w:val="auto"/>
              </w:rPr>
              <w:t>138,194</w:t>
            </w:r>
          </w:p>
        </w:tc>
      </w:tr>
      <w:tr>
        <w:trPr>
          <w:trHeight w:val="136"/>
        </w:trPr>
        <w:tc>
          <w:tcPr>
            <w:tcW w:w="2100" w:type="dxa"/>
            <w:vAlign w:val="bottom"/>
          </w:tcPr>
          <w:p>
            <w:pPr>
              <w:ind w:left="60"/>
              <w:spacing w:after="0" w:line="136" w:lineRule="exact"/>
              <w:rPr>
                <w:sz w:val="20"/>
                <w:szCs w:val="20"/>
                <w:color w:val="auto"/>
              </w:rPr>
            </w:pPr>
            <w:r>
              <w:rPr>
                <w:rFonts w:ascii="Arial" w:cs="Arial" w:eastAsia="Arial" w:hAnsi="Arial"/>
                <w:sz w:val="15"/>
                <w:szCs w:val="15"/>
                <w:color w:val="auto"/>
              </w:rPr>
              <w:t>Nancy Phillips</w:t>
            </w:r>
          </w:p>
        </w:tc>
        <w:tc>
          <w:tcPr>
            <w:tcW w:w="1080" w:type="dxa"/>
            <w:vAlign w:val="bottom"/>
          </w:tcPr>
          <w:p>
            <w:pPr>
              <w:jc w:val="right"/>
              <w:ind w:right="85"/>
              <w:spacing w:after="0" w:line="136" w:lineRule="exact"/>
              <w:rPr>
                <w:sz w:val="20"/>
                <w:szCs w:val="20"/>
                <w:color w:val="auto"/>
              </w:rPr>
            </w:pPr>
            <w:r>
              <w:rPr>
                <w:rFonts w:ascii="Arial" w:cs="Arial" w:eastAsia="Arial" w:hAnsi="Arial"/>
                <w:sz w:val="15"/>
                <w:szCs w:val="15"/>
                <w:color w:val="auto"/>
              </w:rPr>
              <w:t>12/16/2019</w:t>
            </w:r>
          </w:p>
        </w:tc>
        <w:tc>
          <w:tcPr>
            <w:tcW w:w="100" w:type="dxa"/>
            <w:vAlign w:val="bottom"/>
          </w:tcPr>
          <w:p>
            <w:pPr>
              <w:spacing w:after="0"/>
              <w:rPr>
                <w:sz w:val="11"/>
                <w:szCs w:val="11"/>
                <w:color w:val="auto"/>
              </w:rPr>
            </w:pPr>
          </w:p>
        </w:tc>
        <w:tc>
          <w:tcPr>
            <w:tcW w:w="920" w:type="dxa"/>
            <w:vAlign w:val="bottom"/>
          </w:tcPr>
          <w:p>
            <w:pPr>
              <w:jc w:val="right"/>
              <w:ind w:right="46"/>
              <w:spacing w:after="0" w:line="136" w:lineRule="exact"/>
              <w:rPr>
                <w:sz w:val="20"/>
                <w:szCs w:val="20"/>
                <w:color w:val="auto"/>
              </w:rPr>
            </w:pPr>
            <w:r>
              <w:rPr>
                <w:rFonts w:ascii="Arial" w:cs="Arial" w:eastAsia="Arial" w:hAnsi="Arial"/>
                <w:sz w:val="15"/>
                <w:szCs w:val="15"/>
                <w:color w:val="auto"/>
              </w:rPr>
              <w:t>—</w:t>
            </w:r>
          </w:p>
        </w:tc>
        <w:tc>
          <w:tcPr>
            <w:tcW w:w="1160" w:type="dxa"/>
            <w:vAlign w:val="bottom"/>
          </w:tcPr>
          <w:p>
            <w:pPr>
              <w:jc w:val="right"/>
              <w:ind w:right="46"/>
              <w:spacing w:after="0" w:line="136"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6"/>
              <w:spacing w:after="0" w:line="136" w:lineRule="exact"/>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line="136"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87"/>
              <w:spacing w:after="0" w:line="136" w:lineRule="exact"/>
              <w:rPr>
                <w:sz w:val="20"/>
                <w:szCs w:val="20"/>
                <w:color w:val="auto"/>
              </w:rPr>
            </w:pPr>
            <w:r>
              <w:rPr>
                <w:rFonts w:ascii="Arial" w:cs="Arial" w:eastAsia="Arial" w:hAnsi="Arial"/>
                <w:sz w:val="15"/>
                <w:szCs w:val="15"/>
                <w:color w:val="auto"/>
              </w:rPr>
              <w:t>37,735</w:t>
            </w:r>
          </w:p>
        </w:tc>
        <w:tc>
          <w:tcPr>
            <w:tcW w:w="960" w:type="dxa"/>
            <w:vAlign w:val="bottom"/>
          </w:tcPr>
          <w:p>
            <w:pPr>
              <w:jc w:val="right"/>
              <w:ind w:right="47"/>
              <w:spacing w:after="0" w:line="136" w:lineRule="exact"/>
              <w:rPr>
                <w:sz w:val="20"/>
                <w:szCs w:val="20"/>
                <w:color w:val="auto"/>
              </w:rPr>
            </w:pPr>
            <w:r>
              <w:rPr>
                <w:rFonts w:ascii="Arial" w:cs="Arial" w:eastAsia="Arial" w:hAnsi="Arial"/>
                <w:sz w:val="15"/>
                <w:szCs w:val="15"/>
                <w:color w:val="auto"/>
              </w:rPr>
              <w:t>1,138,842</w:t>
            </w:r>
          </w:p>
        </w:tc>
        <w:tc>
          <w:tcPr>
            <w:tcW w:w="940" w:type="dxa"/>
            <w:vAlign w:val="bottom"/>
          </w:tcPr>
          <w:p>
            <w:pPr>
              <w:jc w:val="right"/>
              <w:ind w:right="47"/>
              <w:spacing w:after="0" w:line="136"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7"/>
              <w:spacing w:after="0" w:line="136" w:lineRule="exact"/>
              <w:rPr>
                <w:sz w:val="20"/>
                <w:szCs w:val="20"/>
                <w:color w:val="auto"/>
              </w:rPr>
            </w:pPr>
            <w:r>
              <w:rPr>
                <w:rFonts w:ascii="Arial" w:cs="Arial" w:eastAsia="Arial" w:hAnsi="Arial"/>
                <w:sz w:val="15"/>
                <w:szCs w:val="15"/>
                <w:color w:val="auto"/>
              </w:rPr>
              <w:t>—</w:t>
            </w:r>
          </w:p>
        </w:tc>
      </w:tr>
      <w:tr>
        <w:trPr>
          <w:trHeight w:val="160"/>
        </w:trPr>
        <w:tc>
          <w:tcPr>
            <w:tcW w:w="2100" w:type="dxa"/>
            <w:vAlign w:val="bottom"/>
          </w:tcPr>
          <w:p>
            <w:pPr>
              <w:spacing w:after="0"/>
              <w:rPr>
                <w:sz w:val="13"/>
                <w:szCs w:val="13"/>
                <w:color w:val="auto"/>
              </w:rPr>
            </w:pPr>
          </w:p>
        </w:tc>
        <w:tc>
          <w:tcPr>
            <w:tcW w:w="1080" w:type="dxa"/>
            <w:vAlign w:val="bottom"/>
          </w:tcPr>
          <w:p>
            <w:pPr>
              <w:jc w:val="right"/>
              <w:ind w:right="85"/>
              <w:spacing w:after="0" w:line="161" w:lineRule="exact"/>
              <w:rPr>
                <w:sz w:val="20"/>
                <w:szCs w:val="20"/>
                <w:color w:val="auto"/>
              </w:rPr>
            </w:pPr>
            <w:r>
              <w:rPr>
                <w:rFonts w:ascii="Arial" w:cs="Arial" w:eastAsia="Arial" w:hAnsi="Arial"/>
                <w:sz w:val="15"/>
                <w:szCs w:val="15"/>
                <w:color w:val="auto"/>
              </w:rPr>
              <w:t>11/30/2020</w:t>
            </w:r>
          </w:p>
        </w:tc>
        <w:tc>
          <w:tcPr>
            <w:tcW w:w="100" w:type="dxa"/>
            <w:vAlign w:val="bottom"/>
          </w:tcPr>
          <w:p>
            <w:pPr>
              <w:spacing w:after="0"/>
              <w:rPr>
                <w:sz w:val="13"/>
                <w:szCs w:val="13"/>
                <w:color w:val="auto"/>
              </w:rPr>
            </w:pP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16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line="161"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87"/>
              <w:spacing w:after="0" w:line="161" w:lineRule="exact"/>
              <w:rPr>
                <w:sz w:val="20"/>
                <w:szCs w:val="20"/>
                <w:color w:val="auto"/>
              </w:rPr>
            </w:pPr>
            <w:r>
              <w:rPr>
                <w:rFonts w:ascii="Arial" w:cs="Arial" w:eastAsia="Arial" w:hAnsi="Arial"/>
                <w:sz w:val="15"/>
                <w:szCs w:val="15"/>
                <w:color w:val="auto"/>
              </w:rPr>
              <w:t>15,944</w:t>
            </w:r>
          </w:p>
        </w:tc>
        <w:tc>
          <w:tcPr>
            <w:tcW w:w="960" w:type="dxa"/>
            <w:vAlign w:val="bottom"/>
          </w:tcPr>
          <w:p>
            <w:pPr>
              <w:jc w:val="right"/>
              <w:ind w:right="47"/>
              <w:spacing w:after="0" w:line="161" w:lineRule="exact"/>
              <w:rPr>
                <w:sz w:val="20"/>
                <w:szCs w:val="20"/>
                <w:color w:val="auto"/>
              </w:rPr>
            </w:pPr>
            <w:r>
              <w:rPr>
                <w:rFonts w:ascii="Arial" w:cs="Arial" w:eastAsia="Arial" w:hAnsi="Arial"/>
                <w:sz w:val="15"/>
                <w:szCs w:val="15"/>
                <w:color w:val="auto"/>
              </w:rPr>
              <w:t>481,190</w:t>
            </w:r>
          </w:p>
        </w:tc>
        <w:tc>
          <w:tcPr>
            <w:tcW w:w="940" w:type="dxa"/>
            <w:vAlign w:val="bottom"/>
          </w:tcPr>
          <w:p>
            <w:pPr>
              <w:jc w:val="right"/>
              <w:ind w:right="47"/>
              <w:spacing w:after="0" w:line="161"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7"/>
              <w:spacing w:after="0" w:line="161" w:lineRule="exact"/>
              <w:rPr>
                <w:sz w:val="20"/>
                <w:szCs w:val="20"/>
                <w:color w:val="auto"/>
              </w:rPr>
            </w:pPr>
            <w:r>
              <w:rPr>
                <w:rFonts w:ascii="Arial" w:cs="Arial" w:eastAsia="Arial" w:hAnsi="Arial"/>
                <w:sz w:val="15"/>
                <w:szCs w:val="15"/>
                <w:color w:val="auto"/>
              </w:rPr>
              <w:t>—</w:t>
            </w:r>
          </w:p>
        </w:tc>
      </w:tr>
      <w:tr>
        <w:trPr>
          <w:trHeight w:val="178"/>
        </w:trPr>
        <w:tc>
          <w:tcPr>
            <w:tcW w:w="2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11/30/2020</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6,104</w:t>
            </w:r>
          </w:p>
        </w:tc>
        <w:tc>
          <w:tcPr>
            <w:tcW w:w="98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184,219</w:t>
            </w:r>
          </w:p>
        </w:tc>
      </w:tr>
    </w:tbl>
    <w:p>
      <w:pPr>
        <w:spacing w:after="0" w:line="66" w:lineRule="exact"/>
        <w:rPr>
          <w:sz w:val="20"/>
          <w:szCs w:val="20"/>
          <w:color w:val="auto"/>
        </w:rPr>
      </w:pPr>
    </w:p>
    <w:p>
      <w:pPr>
        <w:ind w:left="480" w:hanging="313"/>
        <w:spacing w:after="0"/>
        <w:tabs>
          <w:tab w:leader="none" w:pos="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Each option award vests 25% on each of the first four anniversaries of the date of grant.</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Each stock award (other than PSUs) vests 25% on each of the first four anniversaries of the date of grant.</w:t>
      </w:r>
    </w:p>
    <w:p>
      <w:pPr>
        <w:spacing w:after="0" w:line="83" w:lineRule="exact"/>
        <w:rPr>
          <w:rFonts w:ascii="Arial" w:cs="Arial" w:eastAsia="Arial" w:hAnsi="Arial"/>
          <w:sz w:val="16"/>
          <w:szCs w:val="16"/>
          <w:color w:val="auto"/>
        </w:rPr>
      </w:pPr>
    </w:p>
    <w:p>
      <w:pPr>
        <w:ind w:left="480" w:right="240" w:hanging="313"/>
        <w:spacing w:after="0" w:line="262" w:lineRule="auto"/>
        <w:tabs>
          <w:tab w:leader="none" w:pos="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the threshold number of outstanding PSUs granted in 2020. PSUs are eligible to vest based on achievement of the applicable TSR goals, on certification following the end of the applicable performance period, with three performance periods beginning on December 1, 2020 and ending on each of the 2nd, 3rd and 4th anniversaries of the grant date, respectively.</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OPTION EXERCISES AND STOCK VESTED DURING 2021</w:t>
      </w:r>
    </w:p>
    <w:p>
      <w:pPr>
        <w:spacing w:after="0" w:line="94" w:lineRule="exact"/>
        <w:rPr>
          <w:sz w:val="20"/>
          <w:szCs w:val="20"/>
          <w:color w:val="auto"/>
        </w:rPr>
      </w:pPr>
    </w:p>
    <w:p>
      <w:pPr>
        <w:ind w:left="160" w:right="60"/>
        <w:spacing w:after="0" w:line="265" w:lineRule="auto"/>
        <w:rPr>
          <w:sz w:val="20"/>
          <w:szCs w:val="20"/>
          <w:color w:val="auto"/>
        </w:rPr>
      </w:pPr>
      <w:r>
        <w:rPr>
          <w:rFonts w:ascii="Arial" w:cs="Arial" w:eastAsia="Arial" w:hAnsi="Arial"/>
          <w:sz w:val="18"/>
          <w:szCs w:val="18"/>
          <w:color w:val="auto"/>
        </w:rPr>
        <w:t>The following table sets forth information concerning the exercise of stock options and vesting of stock awards during 2021 for each of our NEOs.</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2800" w:type="dxa"/>
            <w:vAlign w:val="bottom"/>
            <w:tcBorders>
              <w:bottom w:val="single" w:sz="8" w:color="E5E5E5"/>
            </w:tcBorders>
            <w:shd w:val="clear" w:color="auto" w:fill="EAEAEA"/>
          </w:tcPr>
          <w:p>
            <w:pPr>
              <w:spacing w:after="0"/>
              <w:rPr>
                <w:sz w:val="16"/>
                <w:szCs w:val="16"/>
                <w:color w:val="auto"/>
              </w:rPr>
            </w:pPr>
          </w:p>
        </w:tc>
        <w:tc>
          <w:tcPr>
            <w:tcW w:w="320" w:type="dxa"/>
            <w:vAlign w:val="bottom"/>
            <w:tcBorders>
              <w:bottom w:val="single" w:sz="8" w:color="E5E5E5"/>
            </w:tcBorders>
            <w:shd w:val="clear" w:color="auto" w:fill="EAEAEA"/>
          </w:tcPr>
          <w:p>
            <w:pPr>
              <w:spacing w:after="0"/>
              <w:rPr>
                <w:sz w:val="16"/>
                <w:szCs w:val="16"/>
                <w:color w:val="auto"/>
              </w:rPr>
            </w:pPr>
          </w:p>
        </w:tc>
        <w:tc>
          <w:tcPr>
            <w:tcW w:w="2220" w:type="dxa"/>
            <w:vAlign w:val="bottom"/>
            <w:tcBorders>
              <w:bottom w:val="single" w:sz="8" w:color="051D49"/>
            </w:tcBorders>
            <w:shd w:val="clear" w:color="auto" w:fill="EAEAEA"/>
          </w:tcPr>
          <w:p>
            <w:pPr>
              <w:jc w:val="right"/>
              <w:ind w:right="1"/>
              <w:spacing w:after="0"/>
              <w:rPr>
                <w:sz w:val="20"/>
                <w:szCs w:val="20"/>
                <w:color w:val="auto"/>
              </w:rPr>
            </w:pPr>
            <w:r>
              <w:rPr>
                <w:rFonts w:ascii="Arial" w:cs="Arial" w:eastAsia="Arial" w:hAnsi="Arial"/>
                <w:sz w:val="14"/>
                <w:szCs w:val="14"/>
                <w:color w:val="051D49"/>
              </w:rPr>
              <w:t>Option Awards</w:t>
            </w:r>
          </w:p>
        </w:tc>
        <w:tc>
          <w:tcPr>
            <w:tcW w:w="1500" w:type="dxa"/>
            <w:vAlign w:val="bottom"/>
            <w:tcBorders>
              <w:bottom w:val="single" w:sz="8" w:color="051D49"/>
            </w:tcBorders>
            <w:shd w:val="clear" w:color="auto" w:fill="EAEAEA"/>
          </w:tcPr>
          <w:p>
            <w:pPr>
              <w:spacing w:after="0"/>
              <w:rPr>
                <w:sz w:val="16"/>
                <w:szCs w:val="16"/>
                <w:color w:val="auto"/>
              </w:rPr>
            </w:pPr>
          </w:p>
        </w:tc>
        <w:tc>
          <w:tcPr>
            <w:tcW w:w="380" w:type="dxa"/>
            <w:vAlign w:val="bottom"/>
            <w:tcBorders>
              <w:bottom w:val="single" w:sz="8" w:color="E5E5E5"/>
            </w:tcBorders>
            <w:shd w:val="clear" w:color="auto" w:fill="EAEAEA"/>
          </w:tcPr>
          <w:p>
            <w:pPr>
              <w:spacing w:after="0"/>
              <w:rPr>
                <w:sz w:val="16"/>
                <w:szCs w:val="16"/>
                <w:color w:val="auto"/>
              </w:rPr>
            </w:pPr>
          </w:p>
        </w:tc>
        <w:tc>
          <w:tcPr>
            <w:tcW w:w="2180" w:type="dxa"/>
            <w:vAlign w:val="bottom"/>
            <w:tcBorders>
              <w:bottom w:val="single" w:sz="8" w:color="051D49"/>
            </w:tcBorders>
            <w:shd w:val="clear" w:color="auto" w:fill="EAEAEA"/>
          </w:tcPr>
          <w:p>
            <w:pPr>
              <w:jc w:val="right"/>
              <w:ind w:right="1"/>
              <w:spacing w:after="0"/>
              <w:rPr>
                <w:sz w:val="20"/>
                <w:szCs w:val="20"/>
                <w:color w:val="auto"/>
              </w:rPr>
            </w:pPr>
            <w:r>
              <w:rPr>
                <w:rFonts w:ascii="Arial" w:cs="Arial" w:eastAsia="Arial" w:hAnsi="Arial"/>
                <w:sz w:val="14"/>
                <w:szCs w:val="14"/>
                <w:color w:val="051D49"/>
              </w:rPr>
              <w:t>Stock Awards</w:t>
            </w:r>
          </w:p>
        </w:tc>
        <w:tc>
          <w:tcPr>
            <w:tcW w:w="1520" w:type="dxa"/>
            <w:vAlign w:val="bottom"/>
            <w:tcBorders>
              <w:bottom w:val="single" w:sz="8" w:color="051D49"/>
            </w:tcBorders>
            <w:shd w:val="clear" w:color="auto" w:fill="EAEAEA"/>
          </w:tcPr>
          <w:p>
            <w:pPr>
              <w:spacing w:after="0"/>
              <w:rPr>
                <w:sz w:val="16"/>
                <w:szCs w:val="16"/>
                <w:color w:val="auto"/>
              </w:rPr>
            </w:pPr>
          </w:p>
        </w:tc>
      </w:tr>
      <w:tr>
        <w:trPr>
          <w:trHeight w:val="220"/>
        </w:trPr>
        <w:tc>
          <w:tcPr>
            <w:tcW w:w="280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2220" w:type="dxa"/>
            <w:vAlign w:val="bottom"/>
            <w:shd w:val="clear" w:color="auto" w:fill="E5E5E5"/>
          </w:tcPr>
          <w:p>
            <w:pPr>
              <w:jc w:val="center"/>
              <w:ind w:right="521"/>
              <w:spacing w:after="0"/>
              <w:rPr>
                <w:sz w:val="20"/>
                <w:szCs w:val="20"/>
                <w:color w:val="auto"/>
              </w:rPr>
            </w:pPr>
            <w:r>
              <w:rPr>
                <w:rFonts w:ascii="Arial" w:cs="Arial" w:eastAsia="Arial" w:hAnsi="Arial"/>
                <w:sz w:val="16"/>
                <w:szCs w:val="16"/>
                <w:color w:val="051D49"/>
              </w:rPr>
              <w:t>Number of Shares</w:t>
            </w:r>
          </w:p>
        </w:tc>
        <w:tc>
          <w:tcPr>
            <w:tcW w:w="1880" w:type="dxa"/>
            <w:vAlign w:val="bottom"/>
            <w:gridSpan w:val="2"/>
            <w:shd w:val="clear" w:color="auto" w:fill="E5E5E5"/>
          </w:tcPr>
          <w:p>
            <w:pPr>
              <w:jc w:val="center"/>
              <w:ind w:right="660"/>
              <w:spacing w:after="0"/>
              <w:rPr>
                <w:sz w:val="20"/>
                <w:szCs w:val="20"/>
                <w:color w:val="auto"/>
              </w:rPr>
            </w:pPr>
            <w:r>
              <w:rPr>
                <w:rFonts w:ascii="Arial" w:cs="Arial" w:eastAsia="Arial" w:hAnsi="Arial"/>
                <w:sz w:val="16"/>
                <w:szCs w:val="16"/>
                <w:color w:val="051D49"/>
                <w:w w:val="98"/>
              </w:rPr>
              <w:t>Value Realized</w:t>
            </w:r>
          </w:p>
        </w:tc>
        <w:tc>
          <w:tcPr>
            <w:tcW w:w="2180" w:type="dxa"/>
            <w:vAlign w:val="bottom"/>
            <w:shd w:val="clear" w:color="auto" w:fill="E5E5E5"/>
          </w:tcPr>
          <w:p>
            <w:pPr>
              <w:jc w:val="center"/>
              <w:ind w:right="561"/>
              <w:spacing w:after="0"/>
              <w:rPr>
                <w:sz w:val="20"/>
                <w:szCs w:val="20"/>
                <w:color w:val="auto"/>
              </w:rPr>
            </w:pPr>
            <w:r>
              <w:rPr>
                <w:rFonts w:ascii="Arial" w:cs="Arial" w:eastAsia="Arial" w:hAnsi="Arial"/>
                <w:sz w:val="16"/>
                <w:szCs w:val="16"/>
                <w:color w:val="051D49"/>
              </w:rPr>
              <w:t>Number of Shares</w:t>
            </w:r>
          </w:p>
        </w:tc>
        <w:tc>
          <w:tcPr>
            <w:tcW w:w="1520" w:type="dxa"/>
            <w:vAlign w:val="bottom"/>
            <w:shd w:val="clear" w:color="auto" w:fill="E5E5E5"/>
          </w:tcPr>
          <w:p>
            <w:pPr>
              <w:jc w:val="center"/>
              <w:ind w:right="180"/>
              <w:spacing w:after="0"/>
              <w:rPr>
                <w:sz w:val="20"/>
                <w:szCs w:val="20"/>
                <w:color w:val="auto"/>
              </w:rPr>
            </w:pPr>
            <w:r>
              <w:rPr>
                <w:rFonts w:ascii="Arial" w:cs="Arial" w:eastAsia="Arial" w:hAnsi="Arial"/>
                <w:sz w:val="16"/>
                <w:szCs w:val="16"/>
                <w:color w:val="051D49"/>
                <w:w w:val="98"/>
              </w:rPr>
              <w:t>Value Realized</w:t>
            </w:r>
          </w:p>
        </w:tc>
      </w:tr>
      <w:tr>
        <w:trPr>
          <w:trHeight w:val="187"/>
        </w:trPr>
        <w:tc>
          <w:tcPr>
            <w:tcW w:w="28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2220" w:type="dxa"/>
            <w:vAlign w:val="bottom"/>
            <w:shd w:val="clear" w:color="auto" w:fill="E5E5E5"/>
          </w:tcPr>
          <w:p>
            <w:pPr>
              <w:jc w:val="center"/>
              <w:ind w:right="541"/>
              <w:spacing w:after="0"/>
              <w:rPr>
                <w:sz w:val="20"/>
                <w:szCs w:val="20"/>
                <w:color w:val="auto"/>
              </w:rPr>
            </w:pPr>
            <w:r>
              <w:rPr>
                <w:rFonts w:ascii="Arial" w:cs="Arial" w:eastAsia="Arial" w:hAnsi="Arial"/>
                <w:sz w:val="16"/>
                <w:szCs w:val="16"/>
                <w:color w:val="051D49"/>
              </w:rPr>
              <w:t>Acquired on Exercise</w:t>
            </w:r>
          </w:p>
        </w:tc>
        <w:tc>
          <w:tcPr>
            <w:tcW w:w="1880" w:type="dxa"/>
            <w:vAlign w:val="bottom"/>
            <w:gridSpan w:val="2"/>
            <w:shd w:val="clear" w:color="auto" w:fill="E5E5E5"/>
          </w:tcPr>
          <w:p>
            <w:pPr>
              <w:jc w:val="center"/>
              <w:ind w:right="680"/>
              <w:spacing w:after="0"/>
              <w:rPr>
                <w:sz w:val="20"/>
                <w:szCs w:val="20"/>
                <w:color w:val="auto"/>
              </w:rPr>
            </w:pPr>
            <w:r>
              <w:rPr>
                <w:rFonts w:ascii="Arial" w:cs="Arial" w:eastAsia="Arial" w:hAnsi="Arial"/>
                <w:sz w:val="16"/>
                <w:szCs w:val="16"/>
                <w:color w:val="051D49"/>
              </w:rPr>
              <w:t>on Exercise</w:t>
            </w:r>
          </w:p>
        </w:tc>
        <w:tc>
          <w:tcPr>
            <w:tcW w:w="2180" w:type="dxa"/>
            <w:vAlign w:val="bottom"/>
            <w:shd w:val="clear" w:color="auto" w:fill="E5E5E5"/>
          </w:tcPr>
          <w:p>
            <w:pPr>
              <w:jc w:val="center"/>
              <w:ind w:right="561"/>
              <w:spacing w:after="0"/>
              <w:rPr>
                <w:sz w:val="20"/>
                <w:szCs w:val="20"/>
                <w:color w:val="auto"/>
              </w:rPr>
            </w:pPr>
            <w:r>
              <w:rPr>
                <w:rFonts w:ascii="Arial" w:cs="Arial" w:eastAsia="Arial" w:hAnsi="Arial"/>
                <w:sz w:val="16"/>
                <w:szCs w:val="16"/>
                <w:color w:val="051D49"/>
                <w:w w:val="99"/>
              </w:rPr>
              <w:t>Acquired on Vesting</w:t>
            </w:r>
          </w:p>
        </w:tc>
        <w:tc>
          <w:tcPr>
            <w:tcW w:w="1520" w:type="dxa"/>
            <w:vAlign w:val="bottom"/>
            <w:shd w:val="clear" w:color="auto" w:fill="E5E5E5"/>
          </w:tcPr>
          <w:p>
            <w:pPr>
              <w:jc w:val="center"/>
              <w:ind w:right="200"/>
              <w:spacing w:after="0"/>
              <w:rPr>
                <w:sz w:val="20"/>
                <w:szCs w:val="20"/>
                <w:color w:val="auto"/>
              </w:rPr>
            </w:pPr>
            <w:r>
              <w:rPr>
                <w:rFonts w:ascii="Arial" w:cs="Arial" w:eastAsia="Arial" w:hAnsi="Arial"/>
                <w:sz w:val="16"/>
                <w:szCs w:val="16"/>
                <w:color w:val="051D49"/>
              </w:rPr>
              <w:t>on Vesting</w:t>
            </w:r>
          </w:p>
        </w:tc>
      </w:tr>
      <w:tr>
        <w:trPr>
          <w:trHeight w:val="215"/>
        </w:trPr>
        <w:tc>
          <w:tcPr>
            <w:tcW w:w="2800" w:type="dxa"/>
            <w:vAlign w:val="bottom"/>
            <w:shd w:val="clear" w:color="auto" w:fill="E5E5E5"/>
          </w:tcPr>
          <w:p>
            <w:pPr>
              <w:ind w:left="80"/>
              <w:spacing w:after="0"/>
              <w:rPr>
                <w:sz w:val="20"/>
                <w:szCs w:val="20"/>
                <w:color w:val="auto"/>
              </w:rPr>
            </w:pPr>
            <w:r>
              <w:rPr>
                <w:rFonts w:ascii="Arial" w:cs="Arial" w:eastAsia="Arial" w:hAnsi="Arial"/>
                <w:sz w:val="16"/>
                <w:szCs w:val="16"/>
                <w:color w:val="051D49"/>
              </w:rPr>
              <w:t>Name</w:t>
            </w:r>
          </w:p>
        </w:tc>
        <w:tc>
          <w:tcPr>
            <w:tcW w:w="2540" w:type="dxa"/>
            <w:vAlign w:val="bottom"/>
            <w:gridSpan w:val="2"/>
            <w:shd w:val="clear" w:color="auto" w:fill="E5E5E5"/>
          </w:tcPr>
          <w:p>
            <w:pPr>
              <w:jc w:val="center"/>
              <w:ind w:right="221"/>
              <w:spacing w:after="0"/>
              <w:rPr>
                <w:sz w:val="20"/>
                <w:szCs w:val="20"/>
                <w:color w:val="auto"/>
              </w:rPr>
            </w:pPr>
            <w:r>
              <w:rPr>
                <w:rFonts w:ascii="Arial" w:cs="Arial" w:eastAsia="Arial" w:hAnsi="Arial"/>
                <w:sz w:val="16"/>
                <w:szCs w:val="16"/>
                <w:color w:val="051D49"/>
              </w:rPr>
              <w:t>(#)</w:t>
            </w:r>
          </w:p>
        </w:tc>
        <w:tc>
          <w:tcPr>
            <w:tcW w:w="1500" w:type="dxa"/>
            <w:vAlign w:val="bottom"/>
            <w:shd w:val="clear" w:color="auto" w:fill="E5E5E5"/>
          </w:tcPr>
          <w:p>
            <w:pPr>
              <w:jc w:val="center"/>
              <w:ind w:right="220"/>
              <w:spacing w:after="0"/>
              <w:rPr>
                <w:sz w:val="20"/>
                <w:szCs w:val="20"/>
                <w:color w:val="auto"/>
              </w:rPr>
            </w:pPr>
            <w:r>
              <w:rPr>
                <w:rFonts w:ascii="Arial" w:cs="Arial" w:eastAsia="Arial" w:hAnsi="Arial"/>
                <w:sz w:val="16"/>
                <w:szCs w:val="16"/>
                <w:color w:val="051D49"/>
              </w:rPr>
              <w:t>($)</w:t>
            </w:r>
          </w:p>
        </w:tc>
        <w:tc>
          <w:tcPr>
            <w:tcW w:w="380" w:type="dxa"/>
            <w:vAlign w:val="bottom"/>
            <w:shd w:val="clear" w:color="auto" w:fill="E5E5E5"/>
          </w:tcPr>
          <w:p>
            <w:pPr>
              <w:spacing w:after="0"/>
              <w:rPr>
                <w:sz w:val="18"/>
                <w:szCs w:val="18"/>
                <w:color w:val="auto"/>
              </w:rPr>
            </w:pPr>
          </w:p>
        </w:tc>
        <w:tc>
          <w:tcPr>
            <w:tcW w:w="2180" w:type="dxa"/>
            <w:vAlign w:val="bottom"/>
            <w:shd w:val="clear" w:color="auto" w:fill="E5E5E5"/>
          </w:tcPr>
          <w:p>
            <w:pPr>
              <w:jc w:val="center"/>
              <w:ind w:right="581"/>
              <w:spacing w:after="0"/>
              <w:rPr>
                <w:sz w:val="20"/>
                <w:szCs w:val="20"/>
                <w:color w:val="auto"/>
              </w:rPr>
            </w:pPr>
            <w:r>
              <w:rPr>
                <w:rFonts w:ascii="Arial" w:cs="Arial" w:eastAsia="Arial" w:hAnsi="Arial"/>
                <w:sz w:val="16"/>
                <w:szCs w:val="16"/>
                <w:color w:val="051D49"/>
              </w:rPr>
              <w:t>(#)(1)</w:t>
            </w:r>
          </w:p>
        </w:tc>
        <w:tc>
          <w:tcPr>
            <w:tcW w:w="1520" w:type="dxa"/>
            <w:vAlign w:val="bottom"/>
            <w:shd w:val="clear" w:color="auto" w:fill="E5E5E5"/>
          </w:tcPr>
          <w:p>
            <w:pPr>
              <w:jc w:val="center"/>
              <w:ind w:right="200"/>
              <w:spacing w:after="0"/>
              <w:rPr>
                <w:sz w:val="20"/>
                <w:szCs w:val="20"/>
                <w:color w:val="auto"/>
              </w:rPr>
            </w:pPr>
            <w:r>
              <w:rPr>
                <w:rFonts w:ascii="Arial" w:cs="Arial" w:eastAsia="Arial" w:hAnsi="Arial"/>
                <w:sz w:val="16"/>
                <w:szCs w:val="16"/>
                <w:color w:val="051D49"/>
              </w:rPr>
              <w:t>($)(2)</w:t>
            </w:r>
          </w:p>
        </w:tc>
      </w:tr>
      <w:tr>
        <w:trPr>
          <w:trHeight w:val="237"/>
        </w:trPr>
        <w:tc>
          <w:tcPr>
            <w:tcW w:w="2800" w:type="dxa"/>
            <w:vAlign w:val="bottom"/>
          </w:tcPr>
          <w:p>
            <w:pPr>
              <w:ind w:left="80"/>
              <w:spacing w:after="0"/>
              <w:rPr>
                <w:sz w:val="20"/>
                <w:szCs w:val="20"/>
                <w:color w:val="auto"/>
              </w:rPr>
            </w:pPr>
            <w:r>
              <w:rPr>
                <w:rFonts w:ascii="Arial" w:cs="Arial" w:eastAsia="Arial" w:hAnsi="Arial"/>
                <w:sz w:val="16"/>
                <w:szCs w:val="16"/>
                <w:color w:val="auto"/>
              </w:rPr>
              <w:t>Robert M. Bakish</w:t>
            </w:r>
          </w:p>
        </w:tc>
        <w:tc>
          <w:tcPr>
            <w:tcW w:w="320" w:type="dxa"/>
            <w:vAlign w:val="bottom"/>
          </w:tcPr>
          <w:p>
            <w:pPr>
              <w:spacing w:after="0"/>
              <w:rPr>
                <w:sz w:val="20"/>
                <w:szCs w:val="20"/>
                <w:color w:val="auto"/>
              </w:rPr>
            </w:pPr>
          </w:p>
        </w:tc>
        <w:tc>
          <w:tcPr>
            <w:tcW w:w="2220" w:type="dxa"/>
            <w:vAlign w:val="bottom"/>
          </w:tcPr>
          <w:p>
            <w:pPr>
              <w:jc w:val="right"/>
              <w:ind w:right="581"/>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621"/>
              <w:spacing w:after="0"/>
              <w:rPr>
                <w:sz w:val="20"/>
                <w:szCs w:val="20"/>
                <w:color w:val="auto"/>
              </w:rPr>
            </w:pPr>
            <w:r>
              <w:rPr>
                <w:rFonts w:ascii="Arial" w:cs="Arial" w:eastAsia="Arial" w:hAnsi="Arial"/>
                <w:sz w:val="16"/>
                <w:szCs w:val="16"/>
                <w:color w:val="auto"/>
              </w:rPr>
              <w:t>362,437</w:t>
            </w:r>
          </w:p>
        </w:tc>
        <w:tc>
          <w:tcPr>
            <w:tcW w:w="1520" w:type="dxa"/>
            <w:vAlign w:val="bottom"/>
          </w:tcPr>
          <w:p>
            <w:pPr>
              <w:jc w:val="right"/>
              <w:ind w:right="280"/>
              <w:spacing w:after="0"/>
              <w:rPr>
                <w:sz w:val="20"/>
                <w:szCs w:val="20"/>
                <w:color w:val="auto"/>
              </w:rPr>
            </w:pPr>
            <w:r>
              <w:rPr>
                <w:rFonts w:ascii="Arial" w:cs="Arial" w:eastAsia="Arial" w:hAnsi="Arial"/>
                <w:sz w:val="16"/>
                <w:szCs w:val="16"/>
                <w:color w:val="auto"/>
              </w:rPr>
              <w:t>13,027,393</w:t>
            </w:r>
          </w:p>
        </w:tc>
      </w:tr>
      <w:tr>
        <w:trPr>
          <w:trHeight w:val="30"/>
        </w:trPr>
        <w:tc>
          <w:tcPr>
            <w:tcW w:w="2800" w:type="dxa"/>
            <w:vAlign w:val="bottom"/>
            <w:tcBorders>
              <w:bottom w:val="single" w:sz="8" w:color="051D49"/>
            </w:tcBorders>
          </w:tcPr>
          <w:p>
            <w:pPr>
              <w:spacing w:after="0"/>
              <w:rPr>
                <w:sz w:val="2"/>
                <w:szCs w:val="2"/>
                <w:color w:val="auto"/>
              </w:rPr>
            </w:pPr>
          </w:p>
        </w:tc>
        <w:tc>
          <w:tcPr>
            <w:tcW w:w="320" w:type="dxa"/>
            <w:vAlign w:val="bottom"/>
            <w:tcBorders>
              <w:bottom w:val="single" w:sz="8" w:color="051D49"/>
            </w:tcBorders>
          </w:tcPr>
          <w:p>
            <w:pPr>
              <w:spacing w:after="0"/>
              <w:rPr>
                <w:sz w:val="2"/>
                <w:szCs w:val="2"/>
                <w:color w:val="auto"/>
              </w:rPr>
            </w:pPr>
          </w:p>
        </w:tc>
        <w:tc>
          <w:tcPr>
            <w:tcW w:w="2220" w:type="dxa"/>
            <w:vAlign w:val="bottom"/>
            <w:tcBorders>
              <w:bottom w:val="single" w:sz="8" w:color="051D49"/>
            </w:tcBorders>
          </w:tcPr>
          <w:p>
            <w:pPr>
              <w:spacing w:after="0"/>
              <w:rPr>
                <w:sz w:val="2"/>
                <w:szCs w:val="2"/>
                <w:color w:val="auto"/>
              </w:rPr>
            </w:pPr>
          </w:p>
        </w:tc>
        <w:tc>
          <w:tcPr>
            <w:tcW w:w="1500" w:type="dxa"/>
            <w:vAlign w:val="bottom"/>
            <w:tcBorders>
              <w:bottom w:val="single" w:sz="8" w:color="051D49"/>
            </w:tcBorders>
          </w:tcPr>
          <w:p>
            <w:pPr>
              <w:spacing w:after="0"/>
              <w:rPr>
                <w:sz w:val="2"/>
                <w:szCs w:val="2"/>
                <w:color w:val="auto"/>
              </w:rPr>
            </w:pPr>
          </w:p>
        </w:tc>
        <w:tc>
          <w:tcPr>
            <w:tcW w:w="380" w:type="dxa"/>
            <w:vAlign w:val="bottom"/>
            <w:tcBorders>
              <w:bottom w:val="single" w:sz="8" w:color="051D49"/>
            </w:tcBorders>
          </w:tcPr>
          <w:p>
            <w:pPr>
              <w:spacing w:after="0"/>
              <w:rPr>
                <w:sz w:val="2"/>
                <w:szCs w:val="2"/>
                <w:color w:val="auto"/>
              </w:rPr>
            </w:pPr>
          </w:p>
        </w:tc>
        <w:tc>
          <w:tcPr>
            <w:tcW w:w="2180" w:type="dxa"/>
            <w:vAlign w:val="bottom"/>
            <w:tcBorders>
              <w:bottom w:val="single" w:sz="8" w:color="051D49"/>
            </w:tcBorders>
          </w:tcPr>
          <w:p>
            <w:pPr>
              <w:spacing w:after="0"/>
              <w:rPr>
                <w:sz w:val="2"/>
                <w:szCs w:val="2"/>
                <w:color w:val="auto"/>
              </w:rPr>
            </w:pPr>
          </w:p>
        </w:tc>
        <w:tc>
          <w:tcPr>
            <w:tcW w:w="1520" w:type="dxa"/>
            <w:vAlign w:val="bottom"/>
            <w:tcBorders>
              <w:bottom w:val="single" w:sz="8" w:color="051D49"/>
            </w:tcBorders>
          </w:tcPr>
          <w:p>
            <w:pPr>
              <w:spacing w:after="0"/>
              <w:rPr>
                <w:sz w:val="2"/>
                <w:szCs w:val="2"/>
                <w:color w:val="auto"/>
              </w:rPr>
            </w:pPr>
          </w:p>
        </w:tc>
      </w:tr>
      <w:tr>
        <w:trPr>
          <w:trHeight w:val="231"/>
        </w:trPr>
        <w:tc>
          <w:tcPr>
            <w:tcW w:w="2800" w:type="dxa"/>
            <w:vAlign w:val="bottom"/>
          </w:tcPr>
          <w:p>
            <w:pPr>
              <w:ind w:left="80"/>
              <w:spacing w:after="0"/>
              <w:rPr>
                <w:sz w:val="20"/>
                <w:szCs w:val="20"/>
                <w:color w:val="auto"/>
              </w:rPr>
            </w:pPr>
            <w:r>
              <w:rPr>
                <w:rFonts w:ascii="Arial" w:cs="Arial" w:eastAsia="Arial" w:hAnsi="Arial"/>
                <w:sz w:val="16"/>
                <w:szCs w:val="16"/>
                <w:color w:val="auto"/>
              </w:rPr>
              <w:t>Naveen Chopra</w:t>
            </w:r>
          </w:p>
        </w:tc>
        <w:tc>
          <w:tcPr>
            <w:tcW w:w="320" w:type="dxa"/>
            <w:vAlign w:val="bottom"/>
          </w:tcPr>
          <w:p>
            <w:pPr>
              <w:spacing w:after="0"/>
              <w:rPr>
                <w:sz w:val="20"/>
                <w:szCs w:val="20"/>
                <w:color w:val="auto"/>
              </w:rPr>
            </w:pPr>
          </w:p>
        </w:tc>
        <w:tc>
          <w:tcPr>
            <w:tcW w:w="2220" w:type="dxa"/>
            <w:vAlign w:val="bottom"/>
          </w:tcPr>
          <w:p>
            <w:pPr>
              <w:jc w:val="right"/>
              <w:ind w:right="581"/>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621"/>
              <w:spacing w:after="0"/>
              <w:rPr>
                <w:sz w:val="20"/>
                <w:szCs w:val="20"/>
                <w:color w:val="auto"/>
              </w:rPr>
            </w:pPr>
            <w:r>
              <w:rPr>
                <w:rFonts w:ascii="Arial" w:cs="Arial" w:eastAsia="Arial" w:hAnsi="Arial"/>
                <w:sz w:val="16"/>
                <w:szCs w:val="16"/>
                <w:color w:val="auto"/>
              </w:rPr>
              <w:t>67,835</w:t>
            </w:r>
          </w:p>
        </w:tc>
        <w:tc>
          <w:tcPr>
            <w:tcW w:w="1520" w:type="dxa"/>
            <w:vAlign w:val="bottom"/>
          </w:tcPr>
          <w:p>
            <w:pPr>
              <w:jc w:val="right"/>
              <w:ind w:right="280"/>
              <w:spacing w:after="0"/>
              <w:rPr>
                <w:sz w:val="20"/>
                <w:szCs w:val="20"/>
                <w:color w:val="auto"/>
              </w:rPr>
            </w:pPr>
            <w:r>
              <w:rPr>
                <w:rFonts w:ascii="Arial" w:cs="Arial" w:eastAsia="Arial" w:hAnsi="Arial"/>
                <w:sz w:val="16"/>
                <w:szCs w:val="16"/>
                <w:color w:val="auto"/>
              </w:rPr>
              <w:t>2,760,885</w:t>
            </w:r>
          </w:p>
        </w:tc>
      </w:tr>
      <w:tr>
        <w:trPr>
          <w:trHeight w:val="30"/>
        </w:trPr>
        <w:tc>
          <w:tcPr>
            <w:tcW w:w="2800" w:type="dxa"/>
            <w:vAlign w:val="bottom"/>
            <w:tcBorders>
              <w:bottom w:val="single" w:sz="8" w:color="051D49"/>
            </w:tcBorders>
          </w:tcPr>
          <w:p>
            <w:pPr>
              <w:spacing w:after="0"/>
              <w:rPr>
                <w:sz w:val="2"/>
                <w:szCs w:val="2"/>
                <w:color w:val="auto"/>
              </w:rPr>
            </w:pPr>
          </w:p>
        </w:tc>
        <w:tc>
          <w:tcPr>
            <w:tcW w:w="320" w:type="dxa"/>
            <w:vAlign w:val="bottom"/>
            <w:tcBorders>
              <w:bottom w:val="single" w:sz="8" w:color="051D49"/>
            </w:tcBorders>
          </w:tcPr>
          <w:p>
            <w:pPr>
              <w:spacing w:after="0"/>
              <w:rPr>
                <w:sz w:val="2"/>
                <w:szCs w:val="2"/>
                <w:color w:val="auto"/>
              </w:rPr>
            </w:pPr>
          </w:p>
        </w:tc>
        <w:tc>
          <w:tcPr>
            <w:tcW w:w="2220" w:type="dxa"/>
            <w:vAlign w:val="bottom"/>
            <w:tcBorders>
              <w:bottom w:val="single" w:sz="8" w:color="051D49"/>
            </w:tcBorders>
          </w:tcPr>
          <w:p>
            <w:pPr>
              <w:spacing w:after="0"/>
              <w:rPr>
                <w:sz w:val="2"/>
                <w:szCs w:val="2"/>
                <w:color w:val="auto"/>
              </w:rPr>
            </w:pPr>
          </w:p>
        </w:tc>
        <w:tc>
          <w:tcPr>
            <w:tcW w:w="1500" w:type="dxa"/>
            <w:vAlign w:val="bottom"/>
            <w:tcBorders>
              <w:bottom w:val="single" w:sz="8" w:color="051D49"/>
            </w:tcBorders>
          </w:tcPr>
          <w:p>
            <w:pPr>
              <w:spacing w:after="0"/>
              <w:rPr>
                <w:sz w:val="2"/>
                <w:szCs w:val="2"/>
                <w:color w:val="auto"/>
              </w:rPr>
            </w:pPr>
          </w:p>
        </w:tc>
        <w:tc>
          <w:tcPr>
            <w:tcW w:w="380" w:type="dxa"/>
            <w:vAlign w:val="bottom"/>
            <w:tcBorders>
              <w:bottom w:val="single" w:sz="8" w:color="051D49"/>
            </w:tcBorders>
          </w:tcPr>
          <w:p>
            <w:pPr>
              <w:spacing w:after="0"/>
              <w:rPr>
                <w:sz w:val="2"/>
                <w:szCs w:val="2"/>
                <w:color w:val="auto"/>
              </w:rPr>
            </w:pPr>
          </w:p>
        </w:tc>
        <w:tc>
          <w:tcPr>
            <w:tcW w:w="2180" w:type="dxa"/>
            <w:vAlign w:val="bottom"/>
            <w:tcBorders>
              <w:bottom w:val="single" w:sz="8" w:color="051D49"/>
            </w:tcBorders>
          </w:tcPr>
          <w:p>
            <w:pPr>
              <w:spacing w:after="0"/>
              <w:rPr>
                <w:sz w:val="2"/>
                <w:szCs w:val="2"/>
                <w:color w:val="auto"/>
              </w:rPr>
            </w:pPr>
          </w:p>
        </w:tc>
        <w:tc>
          <w:tcPr>
            <w:tcW w:w="1520" w:type="dxa"/>
            <w:vAlign w:val="bottom"/>
            <w:tcBorders>
              <w:bottom w:val="single" w:sz="8" w:color="051D49"/>
            </w:tcBorders>
          </w:tcPr>
          <w:p>
            <w:pPr>
              <w:spacing w:after="0"/>
              <w:rPr>
                <w:sz w:val="2"/>
                <w:szCs w:val="2"/>
                <w:color w:val="auto"/>
              </w:rPr>
            </w:pPr>
          </w:p>
        </w:tc>
      </w:tr>
      <w:tr>
        <w:trPr>
          <w:trHeight w:val="231"/>
        </w:trPr>
        <w:tc>
          <w:tcPr>
            <w:tcW w:w="2800" w:type="dxa"/>
            <w:vAlign w:val="bottom"/>
          </w:tcPr>
          <w:p>
            <w:pPr>
              <w:ind w:left="80"/>
              <w:spacing w:after="0"/>
              <w:rPr>
                <w:sz w:val="20"/>
                <w:szCs w:val="20"/>
                <w:color w:val="auto"/>
              </w:rPr>
            </w:pPr>
            <w:r>
              <w:rPr>
                <w:rFonts w:ascii="Arial" w:cs="Arial" w:eastAsia="Arial" w:hAnsi="Arial"/>
                <w:sz w:val="16"/>
                <w:szCs w:val="16"/>
                <w:color w:val="auto"/>
              </w:rPr>
              <w:t>Christa A. D’Alimonte</w:t>
            </w:r>
          </w:p>
        </w:tc>
        <w:tc>
          <w:tcPr>
            <w:tcW w:w="320" w:type="dxa"/>
            <w:vAlign w:val="bottom"/>
          </w:tcPr>
          <w:p>
            <w:pPr>
              <w:spacing w:after="0"/>
              <w:rPr>
                <w:sz w:val="20"/>
                <w:szCs w:val="20"/>
                <w:color w:val="auto"/>
              </w:rPr>
            </w:pPr>
          </w:p>
        </w:tc>
        <w:tc>
          <w:tcPr>
            <w:tcW w:w="2220" w:type="dxa"/>
            <w:vAlign w:val="bottom"/>
          </w:tcPr>
          <w:p>
            <w:pPr>
              <w:jc w:val="right"/>
              <w:ind w:right="581"/>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621"/>
              <w:spacing w:after="0"/>
              <w:rPr>
                <w:sz w:val="20"/>
                <w:szCs w:val="20"/>
                <w:color w:val="auto"/>
              </w:rPr>
            </w:pPr>
            <w:r>
              <w:rPr>
                <w:rFonts w:ascii="Arial" w:cs="Arial" w:eastAsia="Arial" w:hAnsi="Arial"/>
                <w:sz w:val="16"/>
                <w:szCs w:val="16"/>
                <w:color w:val="auto"/>
              </w:rPr>
              <w:t>44,661</w:t>
            </w:r>
          </w:p>
        </w:tc>
        <w:tc>
          <w:tcPr>
            <w:tcW w:w="1520" w:type="dxa"/>
            <w:vAlign w:val="bottom"/>
          </w:tcPr>
          <w:p>
            <w:pPr>
              <w:jc w:val="right"/>
              <w:ind w:right="280"/>
              <w:spacing w:after="0"/>
              <w:rPr>
                <w:sz w:val="20"/>
                <w:szCs w:val="20"/>
                <w:color w:val="auto"/>
              </w:rPr>
            </w:pPr>
            <w:r>
              <w:rPr>
                <w:rFonts w:ascii="Arial" w:cs="Arial" w:eastAsia="Arial" w:hAnsi="Arial"/>
                <w:sz w:val="16"/>
                <w:szCs w:val="16"/>
                <w:color w:val="auto"/>
              </w:rPr>
              <w:t>1,626,294</w:t>
            </w:r>
          </w:p>
        </w:tc>
      </w:tr>
      <w:tr>
        <w:trPr>
          <w:trHeight w:val="30"/>
        </w:trPr>
        <w:tc>
          <w:tcPr>
            <w:tcW w:w="2800" w:type="dxa"/>
            <w:vAlign w:val="bottom"/>
            <w:tcBorders>
              <w:bottom w:val="single" w:sz="8" w:color="051D49"/>
            </w:tcBorders>
          </w:tcPr>
          <w:p>
            <w:pPr>
              <w:spacing w:after="0"/>
              <w:rPr>
                <w:sz w:val="2"/>
                <w:szCs w:val="2"/>
                <w:color w:val="auto"/>
              </w:rPr>
            </w:pPr>
          </w:p>
        </w:tc>
        <w:tc>
          <w:tcPr>
            <w:tcW w:w="320" w:type="dxa"/>
            <w:vAlign w:val="bottom"/>
            <w:tcBorders>
              <w:bottom w:val="single" w:sz="8" w:color="051D49"/>
            </w:tcBorders>
          </w:tcPr>
          <w:p>
            <w:pPr>
              <w:spacing w:after="0"/>
              <w:rPr>
                <w:sz w:val="2"/>
                <w:szCs w:val="2"/>
                <w:color w:val="auto"/>
              </w:rPr>
            </w:pPr>
          </w:p>
        </w:tc>
        <w:tc>
          <w:tcPr>
            <w:tcW w:w="2220" w:type="dxa"/>
            <w:vAlign w:val="bottom"/>
            <w:tcBorders>
              <w:bottom w:val="single" w:sz="8" w:color="051D49"/>
            </w:tcBorders>
          </w:tcPr>
          <w:p>
            <w:pPr>
              <w:spacing w:after="0"/>
              <w:rPr>
                <w:sz w:val="2"/>
                <w:szCs w:val="2"/>
                <w:color w:val="auto"/>
              </w:rPr>
            </w:pPr>
          </w:p>
        </w:tc>
        <w:tc>
          <w:tcPr>
            <w:tcW w:w="1500" w:type="dxa"/>
            <w:vAlign w:val="bottom"/>
            <w:tcBorders>
              <w:bottom w:val="single" w:sz="8" w:color="051D49"/>
            </w:tcBorders>
          </w:tcPr>
          <w:p>
            <w:pPr>
              <w:spacing w:after="0"/>
              <w:rPr>
                <w:sz w:val="2"/>
                <w:szCs w:val="2"/>
                <w:color w:val="auto"/>
              </w:rPr>
            </w:pPr>
          </w:p>
        </w:tc>
        <w:tc>
          <w:tcPr>
            <w:tcW w:w="380" w:type="dxa"/>
            <w:vAlign w:val="bottom"/>
            <w:tcBorders>
              <w:bottom w:val="single" w:sz="8" w:color="051D49"/>
            </w:tcBorders>
          </w:tcPr>
          <w:p>
            <w:pPr>
              <w:spacing w:after="0"/>
              <w:rPr>
                <w:sz w:val="2"/>
                <w:szCs w:val="2"/>
                <w:color w:val="auto"/>
              </w:rPr>
            </w:pPr>
          </w:p>
        </w:tc>
        <w:tc>
          <w:tcPr>
            <w:tcW w:w="2180" w:type="dxa"/>
            <w:vAlign w:val="bottom"/>
            <w:tcBorders>
              <w:bottom w:val="single" w:sz="8" w:color="051D49"/>
            </w:tcBorders>
          </w:tcPr>
          <w:p>
            <w:pPr>
              <w:spacing w:after="0"/>
              <w:rPr>
                <w:sz w:val="2"/>
                <w:szCs w:val="2"/>
                <w:color w:val="auto"/>
              </w:rPr>
            </w:pPr>
          </w:p>
        </w:tc>
        <w:tc>
          <w:tcPr>
            <w:tcW w:w="1520" w:type="dxa"/>
            <w:vAlign w:val="bottom"/>
            <w:tcBorders>
              <w:bottom w:val="single" w:sz="8" w:color="051D49"/>
            </w:tcBorders>
          </w:tcPr>
          <w:p>
            <w:pPr>
              <w:spacing w:after="0"/>
              <w:rPr>
                <w:sz w:val="2"/>
                <w:szCs w:val="2"/>
                <w:color w:val="auto"/>
              </w:rPr>
            </w:pPr>
          </w:p>
        </w:tc>
      </w:tr>
      <w:tr>
        <w:trPr>
          <w:trHeight w:val="231"/>
        </w:trPr>
        <w:tc>
          <w:tcPr>
            <w:tcW w:w="2800" w:type="dxa"/>
            <w:vAlign w:val="bottom"/>
          </w:tcPr>
          <w:p>
            <w:pPr>
              <w:ind w:left="80"/>
              <w:spacing w:after="0"/>
              <w:rPr>
                <w:sz w:val="20"/>
                <w:szCs w:val="20"/>
                <w:color w:val="auto"/>
              </w:rPr>
            </w:pPr>
            <w:r>
              <w:rPr>
                <w:rFonts w:ascii="Arial" w:cs="Arial" w:eastAsia="Arial" w:hAnsi="Arial"/>
                <w:sz w:val="16"/>
                <w:szCs w:val="16"/>
                <w:color w:val="auto"/>
              </w:rPr>
              <w:t>Doretha F. Lea</w:t>
            </w:r>
          </w:p>
        </w:tc>
        <w:tc>
          <w:tcPr>
            <w:tcW w:w="2540" w:type="dxa"/>
            <w:vAlign w:val="bottom"/>
            <w:gridSpan w:val="2"/>
          </w:tcPr>
          <w:p>
            <w:pPr>
              <w:jc w:val="right"/>
              <w:ind w:right="581"/>
              <w:spacing w:after="0"/>
              <w:rPr>
                <w:sz w:val="20"/>
                <w:szCs w:val="20"/>
                <w:color w:val="auto"/>
              </w:rPr>
            </w:pPr>
            <w:r>
              <w:rPr>
                <w:rFonts w:ascii="Arial" w:cs="Arial" w:eastAsia="Arial" w:hAnsi="Arial"/>
                <w:sz w:val="16"/>
                <w:szCs w:val="16"/>
                <w:color w:val="auto"/>
              </w:rPr>
              <w:t>23,099</w:t>
            </w:r>
          </w:p>
        </w:tc>
        <w:tc>
          <w:tcPr>
            <w:tcW w:w="1500" w:type="dxa"/>
            <w:vAlign w:val="bottom"/>
          </w:tcPr>
          <w:p>
            <w:pPr>
              <w:jc w:val="right"/>
              <w:ind w:right="280"/>
              <w:spacing w:after="0"/>
              <w:rPr>
                <w:sz w:val="20"/>
                <w:szCs w:val="20"/>
                <w:color w:val="auto"/>
              </w:rPr>
            </w:pPr>
            <w:r>
              <w:rPr>
                <w:rFonts w:ascii="Arial" w:cs="Arial" w:eastAsia="Arial" w:hAnsi="Arial"/>
                <w:sz w:val="16"/>
                <w:szCs w:val="16"/>
                <w:color w:val="auto"/>
              </w:rPr>
              <w:t>739,879</w:t>
            </w:r>
          </w:p>
        </w:tc>
        <w:tc>
          <w:tcPr>
            <w:tcW w:w="380" w:type="dxa"/>
            <w:vAlign w:val="bottom"/>
          </w:tcPr>
          <w:p>
            <w:pPr>
              <w:spacing w:after="0"/>
              <w:rPr>
                <w:sz w:val="20"/>
                <w:szCs w:val="20"/>
                <w:color w:val="auto"/>
              </w:rPr>
            </w:pPr>
          </w:p>
        </w:tc>
        <w:tc>
          <w:tcPr>
            <w:tcW w:w="2180" w:type="dxa"/>
            <w:vAlign w:val="bottom"/>
          </w:tcPr>
          <w:p>
            <w:pPr>
              <w:jc w:val="right"/>
              <w:ind w:right="621"/>
              <w:spacing w:after="0"/>
              <w:rPr>
                <w:sz w:val="20"/>
                <w:szCs w:val="20"/>
                <w:color w:val="auto"/>
              </w:rPr>
            </w:pPr>
            <w:r>
              <w:rPr>
                <w:rFonts w:ascii="Arial" w:cs="Arial" w:eastAsia="Arial" w:hAnsi="Arial"/>
                <w:sz w:val="16"/>
                <w:szCs w:val="16"/>
                <w:color w:val="auto"/>
              </w:rPr>
              <w:t>19,911</w:t>
            </w:r>
          </w:p>
        </w:tc>
        <w:tc>
          <w:tcPr>
            <w:tcW w:w="1520" w:type="dxa"/>
            <w:vAlign w:val="bottom"/>
          </w:tcPr>
          <w:p>
            <w:pPr>
              <w:jc w:val="right"/>
              <w:ind w:right="280"/>
              <w:spacing w:after="0"/>
              <w:rPr>
                <w:sz w:val="20"/>
                <w:szCs w:val="20"/>
                <w:color w:val="auto"/>
              </w:rPr>
            </w:pPr>
            <w:r>
              <w:rPr>
                <w:rFonts w:ascii="Arial" w:cs="Arial" w:eastAsia="Arial" w:hAnsi="Arial"/>
                <w:sz w:val="16"/>
                <w:szCs w:val="16"/>
                <w:color w:val="auto"/>
              </w:rPr>
              <w:t>739,089</w:t>
            </w:r>
          </w:p>
        </w:tc>
      </w:tr>
      <w:tr>
        <w:trPr>
          <w:trHeight w:val="30"/>
        </w:trPr>
        <w:tc>
          <w:tcPr>
            <w:tcW w:w="2800" w:type="dxa"/>
            <w:vAlign w:val="bottom"/>
            <w:tcBorders>
              <w:bottom w:val="single" w:sz="8" w:color="051D49"/>
            </w:tcBorders>
          </w:tcPr>
          <w:p>
            <w:pPr>
              <w:spacing w:after="0"/>
              <w:rPr>
                <w:sz w:val="2"/>
                <w:szCs w:val="2"/>
                <w:color w:val="auto"/>
              </w:rPr>
            </w:pPr>
          </w:p>
        </w:tc>
        <w:tc>
          <w:tcPr>
            <w:tcW w:w="320" w:type="dxa"/>
            <w:vAlign w:val="bottom"/>
            <w:tcBorders>
              <w:bottom w:val="single" w:sz="8" w:color="051D49"/>
            </w:tcBorders>
          </w:tcPr>
          <w:p>
            <w:pPr>
              <w:spacing w:after="0"/>
              <w:rPr>
                <w:sz w:val="2"/>
                <w:szCs w:val="2"/>
                <w:color w:val="auto"/>
              </w:rPr>
            </w:pPr>
          </w:p>
        </w:tc>
        <w:tc>
          <w:tcPr>
            <w:tcW w:w="2220" w:type="dxa"/>
            <w:vAlign w:val="bottom"/>
            <w:tcBorders>
              <w:bottom w:val="single" w:sz="8" w:color="051D49"/>
            </w:tcBorders>
          </w:tcPr>
          <w:p>
            <w:pPr>
              <w:spacing w:after="0"/>
              <w:rPr>
                <w:sz w:val="2"/>
                <w:szCs w:val="2"/>
                <w:color w:val="auto"/>
              </w:rPr>
            </w:pPr>
          </w:p>
        </w:tc>
        <w:tc>
          <w:tcPr>
            <w:tcW w:w="1500" w:type="dxa"/>
            <w:vAlign w:val="bottom"/>
            <w:tcBorders>
              <w:bottom w:val="single" w:sz="8" w:color="051D49"/>
            </w:tcBorders>
          </w:tcPr>
          <w:p>
            <w:pPr>
              <w:spacing w:after="0"/>
              <w:rPr>
                <w:sz w:val="2"/>
                <w:szCs w:val="2"/>
                <w:color w:val="auto"/>
              </w:rPr>
            </w:pPr>
          </w:p>
        </w:tc>
        <w:tc>
          <w:tcPr>
            <w:tcW w:w="380" w:type="dxa"/>
            <w:vAlign w:val="bottom"/>
            <w:tcBorders>
              <w:bottom w:val="single" w:sz="8" w:color="051D49"/>
            </w:tcBorders>
          </w:tcPr>
          <w:p>
            <w:pPr>
              <w:spacing w:after="0"/>
              <w:rPr>
                <w:sz w:val="2"/>
                <w:szCs w:val="2"/>
                <w:color w:val="auto"/>
              </w:rPr>
            </w:pPr>
          </w:p>
        </w:tc>
        <w:tc>
          <w:tcPr>
            <w:tcW w:w="2180" w:type="dxa"/>
            <w:vAlign w:val="bottom"/>
            <w:tcBorders>
              <w:bottom w:val="single" w:sz="8" w:color="051D49"/>
            </w:tcBorders>
          </w:tcPr>
          <w:p>
            <w:pPr>
              <w:spacing w:after="0"/>
              <w:rPr>
                <w:sz w:val="2"/>
                <w:szCs w:val="2"/>
                <w:color w:val="auto"/>
              </w:rPr>
            </w:pPr>
          </w:p>
        </w:tc>
        <w:tc>
          <w:tcPr>
            <w:tcW w:w="1520" w:type="dxa"/>
            <w:vAlign w:val="bottom"/>
            <w:tcBorders>
              <w:bottom w:val="single" w:sz="8" w:color="051D49"/>
            </w:tcBorders>
          </w:tcPr>
          <w:p>
            <w:pPr>
              <w:spacing w:after="0"/>
              <w:rPr>
                <w:sz w:val="2"/>
                <w:szCs w:val="2"/>
                <w:color w:val="auto"/>
              </w:rPr>
            </w:pPr>
          </w:p>
        </w:tc>
      </w:tr>
      <w:tr>
        <w:trPr>
          <w:trHeight w:val="231"/>
        </w:trPr>
        <w:tc>
          <w:tcPr>
            <w:tcW w:w="2800" w:type="dxa"/>
            <w:vAlign w:val="bottom"/>
          </w:tcPr>
          <w:p>
            <w:pPr>
              <w:ind w:left="80"/>
              <w:spacing w:after="0"/>
              <w:rPr>
                <w:sz w:val="20"/>
                <w:szCs w:val="20"/>
                <w:color w:val="auto"/>
              </w:rPr>
            </w:pPr>
            <w:r>
              <w:rPr>
                <w:rFonts w:ascii="Arial" w:cs="Arial" w:eastAsia="Arial" w:hAnsi="Arial"/>
                <w:sz w:val="16"/>
                <w:szCs w:val="16"/>
                <w:color w:val="auto"/>
              </w:rPr>
              <w:t>Nancy Phillips</w:t>
            </w:r>
          </w:p>
        </w:tc>
        <w:tc>
          <w:tcPr>
            <w:tcW w:w="320" w:type="dxa"/>
            <w:vAlign w:val="bottom"/>
          </w:tcPr>
          <w:p>
            <w:pPr>
              <w:spacing w:after="0"/>
              <w:rPr>
                <w:sz w:val="20"/>
                <w:szCs w:val="20"/>
                <w:color w:val="auto"/>
              </w:rPr>
            </w:pPr>
          </w:p>
        </w:tc>
        <w:tc>
          <w:tcPr>
            <w:tcW w:w="2220" w:type="dxa"/>
            <w:vAlign w:val="bottom"/>
          </w:tcPr>
          <w:p>
            <w:pPr>
              <w:jc w:val="right"/>
              <w:ind w:right="581"/>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621"/>
              <w:spacing w:after="0"/>
              <w:rPr>
                <w:sz w:val="20"/>
                <w:szCs w:val="20"/>
                <w:color w:val="auto"/>
              </w:rPr>
            </w:pPr>
            <w:r>
              <w:rPr>
                <w:rFonts w:ascii="Arial" w:cs="Arial" w:eastAsia="Arial" w:hAnsi="Arial"/>
                <w:sz w:val="16"/>
                <w:szCs w:val="16"/>
                <w:color w:val="auto"/>
              </w:rPr>
              <w:t>24,183</w:t>
            </w:r>
          </w:p>
        </w:tc>
        <w:tc>
          <w:tcPr>
            <w:tcW w:w="1520" w:type="dxa"/>
            <w:vAlign w:val="bottom"/>
          </w:tcPr>
          <w:p>
            <w:pPr>
              <w:jc w:val="right"/>
              <w:ind w:right="280"/>
              <w:spacing w:after="0"/>
              <w:rPr>
                <w:sz w:val="20"/>
                <w:szCs w:val="20"/>
                <w:color w:val="auto"/>
              </w:rPr>
            </w:pPr>
            <w:r>
              <w:rPr>
                <w:rFonts w:ascii="Arial" w:cs="Arial" w:eastAsia="Arial" w:hAnsi="Arial"/>
                <w:sz w:val="16"/>
                <w:szCs w:val="16"/>
                <w:color w:val="auto"/>
              </w:rPr>
              <w:t>725,634</w:t>
            </w:r>
          </w:p>
        </w:tc>
      </w:tr>
      <w:tr>
        <w:trPr>
          <w:trHeight w:val="30"/>
        </w:trPr>
        <w:tc>
          <w:tcPr>
            <w:tcW w:w="2800" w:type="dxa"/>
            <w:vAlign w:val="bottom"/>
            <w:tcBorders>
              <w:bottom w:val="single" w:sz="8" w:color="051D49"/>
            </w:tcBorders>
          </w:tcPr>
          <w:p>
            <w:pPr>
              <w:spacing w:after="0"/>
              <w:rPr>
                <w:sz w:val="2"/>
                <w:szCs w:val="2"/>
                <w:color w:val="auto"/>
              </w:rPr>
            </w:pPr>
          </w:p>
        </w:tc>
        <w:tc>
          <w:tcPr>
            <w:tcW w:w="320" w:type="dxa"/>
            <w:vAlign w:val="bottom"/>
            <w:tcBorders>
              <w:bottom w:val="single" w:sz="8" w:color="051D49"/>
            </w:tcBorders>
          </w:tcPr>
          <w:p>
            <w:pPr>
              <w:spacing w:after="0"/>
              <w:rPr>
                <w:sz w:val="2"/>
                <w:szCs w:val="2"/>
                <w:color w:val="auto"/>
              </w:rPr>
            </w:pPr>
          </w:p>
        </w:tc>
        <w:tc>
          <w:tcPr>
            <w:tcW w:w="2220" w:type="dxa"/>
            <w:vAlign w:val="bottom"/>
            <w:tcBorders>
              <w:bottom w:val="single" w:sz="8" w:color="051D49"/>
            </w:tcBorders>
          </w:tcPr>
          <w:p>
            <w:pPr>
              <w:spacing w:after="0"/>
              <w:rPr>
                <w:sz w:val="2"/>
                <w:szCs w:val="2"/>
                <w:color w:val="auto"/>
              </w:rPr>
            </w:pPr>
          </w:p>
        </w:tc>
        <w:tc>
          <w:tcPr>
            <w:tcW w:w="1500" w:type="dxa"/>
            <w:vAlign w:val="bottom"/>
            <w:tcBorders>
              <w:bottom w:val="single" w:sz="8" w:color="051D49"/>
            </w:tcBorders>
          </w:tcPr>
          <w:p>
            <w:pPr>
              <w:spacing w:after="0"/>
              <w:rPr>
                <w:sz w:val="2"/>
                <w:szCs w:val="2"/>
                <w:color w:val="auto"/>
              </w:rPr>
            </w:pPr>
          </w:p>
        </w:tc>
        <w:tc>
          <w:tcPr>
            <w:tcW w:w="380" w:type="dxa"/>
            <w:vAlign w:val="bottom"/>
            <w:tcBorders>
              <w:bottom w:val="single" w:sz="8" w:color="051D49"/>
            </w:tcBorders>
          </w:tcPr>
          <w:p>
            <w:pPr>
              <w:spacing w:after="0"/>
              <w:rPr>
                <w:sz w:val="2"/>
                <w:szCs w:val="2"/>
                <w:color w:val="auto"/>
              </w:rPr>
            </w:pPr>
          </w:p>
        </w:tc>
        <w:tc>
          <w:tcPr>
            <w:tcW w:w="2180" w:type="dxa"/>
            <w:vAlign w:val="bottom"/>
            <w:tcBorders>
              <w:bottom w:val="single" w:sz="8" w:color="051D49"/>
            </w:tcBorders>
          </w:tcPr>
          <w:p>
            <w:pPr>
              <w:spacing w:after="0"/>
              <w:rPr>
                <w:sz w:val="2"/>
                <w:szCs w:val="2"/>
                <w:color w:val="auto"/>
              </w:rPr>
            </w:pPr>
          </w:p>
        </w:tc>
        <w:tc>
          <w:tcPr>
            <w:tcW w:w="1520" w:type="dxa"/>
            <w:vAlign w:val="bottom"/>
            <w:tcBorders>
              <w:bottom w:val="single" w:sz="8" w:color="051D49"/>
            </w:tcBorders>
          </w:tcPr>
          <w:p>
            <w:pPr>
              <w:spacing w:after="0"/>
              <w:rPr>
                <w:sz w:val="2"/>
                <w:szCs w:val="2"/>
                <w:color w:val="auto"/>
              </w:rPr>
            </w:pPr>
          </w:p>
        </w:tc>
      </w:tr>
    </w:tbl>
    <w:p>
      <w:pPr>
        <w:spacing w:after="0" w:line="66" w:lineRule="exact"/>
        <w:rPr>
          <w:sz w:val="20"/>
          <w:szCs w:val="20"/>
          <w:color w:val="auto"/>
        </w:rPr>
      </w:pPr>
    </w:p>
    <w:p>
      <w:pPr>
        <w:ind w:left="480" w:right="300" w:hanging="313"/>
        <w:spacing w:after="0" w:line="254" w:lineRule="auto"/>
        <w:tabs>
          <w:tab w:leader="none" w:pos="4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Represents RSUs that vested during 2021. The number of shares and value realized on vesting include shares withheld to satisfy tax withholding obligations. The net shares delivered to each NEO with respect to RSUs after withholding for applicable taxes were: Mr. Bakish, 169,871;</w:t>
      </w:r>
    </w:p>
    <w:p>
      <w:pPr>
        <w:spacing w:after="0" w:line="1"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Mr. Chopra, 43,872; Ms. D’Alimonte, 19,885; Ms. Lea, 10,415; and Ms. Phillips, 14,298.</w:t>
      </w:r>
    </w:p>
    <w:p>
      <w:pPr>
        <w:spacing w:after="0" w:line="67" w:lineRule="exact"/>
        <w:rPr>
          <w:rFonts w:ascii="Arial" w:cs="Arial" w:eastAsia="Arial" w:hAnsi="Arial"/>
          <w:sz w:val="16"/>
          <w:szCs w:val="16"/>
          <w:color w:val="auto"/>
        </w:rPr>
      </w:pPr>
    </w:p>
    <w:p>
      <w:pPr>
        <w:ind w:left="480" w:right="700" w:hanging="313"/>
        <w:spacing w:after="0" w:line="279" w:lineRule="auto"/>
        <w:tabs>
          <w:tab w:leader="none" w:pos="4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Represents the number of shares underlying RSUs that vested in 2021, multiplied by the closing price of our Class B Common Stock on the applicable vesting date.</w:t>
      </w:r>
    </w:p>
    <w:p>
      <w:pPr>
        <w:spacing w:after="0" w:line="108"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61</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PENSION BENEFITS IN 2021</w:t>
      </w:r>
    </w:p>
    <w:p>
      <w:pPr>
        <w:spacing w:after="0" w:line="94" w:lineRule="exact"/>
        <w:rPr>
          <w:sz w:val="20"/>
          <w:szCs w:val="20"/>
          <w:color w:val="auto"/>
        </w:rPr>
      </w:pPr>
    </w:p>
    <w:p>
      <w:pPr>
        <w:ind w:left="160"/>
        <w:spacing w:after="0" w:line="243" w:lineRule="auto"/>
        <w:rPr>
          <w:sz w:val="20"/>
          <w:szCs w:val="20"/>
          <w:color w:val="auto"/>
        </w:rPr>
      </w:pPr>
      <w:r>
        <w:rPr>
          <w:rFonts w:ascii="Arial" w:cs="Arial" w:eastAsia="Arial" w:hAnsi="Arial"/>
          <w:sz w:val="18"/>
          <w:szCs w:val="18"/>
          <w:color w:val="auto"/>
        </w:rPr>
        <w:t>The following table sets forth information concerning each qualified and nonqualified defined benefit pension plan that provides payments in connection with retirement with respect to the NEOs who participate in any such plan. None of the below plans provided for accrual of benefits during 2021 for the NEOs; however, as shown below, the applicable NEOs had an accumulated benefit under such plans. None of the NEOs received payments under pension plans during 2021.</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1580" w:type="dxa"/>
            <w:vAlign w:val="bottom"/>
            <w:shd w:val="clear" w:color="auto" w:fill="EAEAEA"/>
          </w:tcPr>
          <w:p>
            <w:pPr>
              <w:spacing w:after="0"/>
              <w:rPr>
                <w:sz w:val="20"/>
                <w:szCs w:val="20"/>
                <w:color w:val="auto"/>
              </w:rPr>
            </w:pPr>
          </w:p>
        </w:tc>
        <w:tc>
          <w:tcPr>
            <w:tcW w:w="4120" w:type="dxa"/>
            <w:vAlign w:val="bottom"/>
            <w:shd w:val="clear" w:color="auto" w:fill="EAEAEA"/>
          </w:tcPr>
          <w:p>
            <w:pPr>
              <w:spacing w:after="0"/>
              <w:rPr>
                <w:sz w:val="20"/>
                <w:szCs w:val="20"/>
                <w:color w:val="auto"/>
              </w:rPr>
            </w:pPr>
          </w:p>
        </w:tc>
        <w:tc>
          <w:tcPr>
            <w:tcW w:w="1720" w:type="dxa"/>
            <w:vAlign w:val="bottom"/>
            <w:shd w:val="clear" w:color="auto" w:fill="EAEAEA"/>
          </w:tcPr>
          <w:p>
            <w:pPr>
              <w:spacing w:after="0"/>
              <w:rPr>
                <w:sz w:val="20"/>
                <w:szCs w:val="20"/>
                <w:color w:val="auto"/>
              </w:rPr>
            </w:pPr>
          </w:p>
        </w:tc>
        <w:tc>
          <w:tcPr>
            <w:tcW w:w="1640" w:type="dxa"/>
            <w:vAlign w:val="bottom"/>
            <w:shd w:val="clear" w:color="auto" w:fill="EAEAEA"/>
          </w:tcPr>
          <w:p>
            <w:pPr>
              <w:jc w:val="center"/>
              <w:spacing w:after="0"/>
              <w:rPr>
                <w:sz w:val="20"/>
                <w:szCs w:val="20"/>
                <w:color w:val="auto"/>
              </w:rPr>
            </w:pPr>
            <w:r>
              <w:rPr>
                <w:rFonts w:ascii="Arial" w:cs="Arial" w:eastAsia="Arial" w:hAnsi="Arial"/>
                <w:sz w:val="16"/>
                <w:szCs w:val="16"/>
                <w:color w:val="051D49"/>
                <w:w w:val="99"/>
              </w:rPr>
              <w:t>Present Value</w:t>
            </w:r>
          </w:p>
        </w:tc>
        <w:tc>
          <w:tcPr>
            <w:tcW w:w="1860" w:type="dxa"/>
            <w:vAlign w:val="bottom"/>
            <w:shd w:val="clear" w:color="auto" w:fill="EAEAEA"/>
          </w:tcPr>
          <w:p>
            <w:pPr>
              <w:spacing w:after="0"/>
              <w:rPr>
                <w:sz w:val="20"/>
                <w:szCs w:val="20"/>
                <w:color w:val="auto"/>
              </w:rPr>
            </w:pPr>
          </w:p>
        </w:tc>
      </w:tr>
      <w:tr>
        <w:trPr>
          <w:trHeight w:val="187"/>
        </w:trPr>
        <w:tc>
          <w:tcPr>
            <w:tcW w:w="1580" w:type="dxa"/>
            <w:vAlign w:val="bottom"/>
            <w:shd w:val="clear" w:color="auto" w:fill="EAEAEA"/>
          </w:tcPr>
          <w:p>
            <w:pPr>
              <w:spacing w:after="0"/>
              <w:rPr>
                <w:sz w:val="16"/>
                <w:szCs w:val="16"/>
                <w:color w:val="auto"/>
              </w:rPr>
            </w:pPr>
          </w:p>
        </w:tc>
        <w:tc>
          <w:tcPr>
            <w:tcW w:w="4120" w:type="dxa"/>
            <w:vAlign w:val="bottom"/>
            <w:shd w:val="clear" w:color="auto" w:fill="EAEAEA"/>
          </w:tcPr>
          <w:p>
            <w:pPr>
              <w:spacing w:after="0"/>
              <w:rPr>
                <w:sz w:val="16"/>
                <w:szCs w:val="16"/>
                <w:color w:val="auto"/>
              </w:rPr>
            </w:pPr>
          </w:p>
        </w:tc>
        <w:tc>
          <w:tcPr>
            <w:tcW w:w="1720" w:type="dxa"/>
            <w:vAlign w:val="bottom"/>
            <w:shd w:val="clear" w:color="auto" w:fill="EAEAEA"/>
          </w:tcPr>
          <w:p>
            <w:pPr>
              <w:jc w:val="center"/>
              <w:spacing w:after="0"/>
              <w:rPr>
                <w:sz w:val="20"/>
                <w:szCs w:val="20"/>
                <w:color w:val="auto"/>
              </w:rPr>
            </w:pPr>
            <w:r>
              <w:rPr>
                <w:rFonts w:ascii="Arial" w:cs="Arial" w:eastAsia="Arial" w:hAnsi="Arial"/>
                <w:sz w:val="16"/>
                <w:szCs w:val="16"/>
                <w:color w:val="051D49"/>
                <w:w w:val="99"/>
              </w:rPr>
              <w:t>Number of Years</w:t>
            </w:r>
          </w:p>
        </w:tc>
        <w:tc>
          <w:tcPr>
            <w:tcW w:w="1640" w:type="dxa"/>
            <w:vAlign w:val="bottom"/>
            <w:shd w:val="clear" w:color="auto" w:fill="EAEAEA"/>
          </w:tcPr>
          <w:p>
            <w:pPr>
              <w:jc w:val="center"/>
              <w:spacing w:after="0"/>
              <w:rPr>
                <w:sz w:val="20"/>
                <w:szCs w:val="20"/>
                <w:color w:val="auto"/>
              </w:rPr>
            </w:pPr>
            <w:r>
              <w:rPr>
                <w:rFonts w:ascii="Arial" w:cs="Arial" w:eastAsia="Arial" w:hAnsi="Arial"/>
                <w:sz w:val="16"/>
                <w:szCs w:val="16"/>
                <w:color w:val="051D49"/>
                <w:w w:val="97"/>
              </w:rPr>
              <w:t>of Accumulated</w:t>
            </w:r>
          </w:p>
        </w:tc>
        <w:tc>
          <w:tcPr>
            <w:tcW w:w="1860" w:type="dxa"/>
            <w:vAlign w:val="bottom"/>
            <w:shd w:val="clear" w:color="auto" w:fill="EAEAEA"/>
          </w:tcPr>
          <w:p>
            <w:pPr>
              <w:jc w:val="right"/>
              <w:ind w:right="340"/>
              <w:spacing w:after="0"/>
              <w:rPr>
                <w:sz w:val="20"/>
                <w:szCs w:val="20"/>
                <w:color w:val="auto"/>
              </w:rPr>
            </w:pPr>
            <w:r>
              <w:rPr>
                <w:rFonts w:ascii="Arial" w:cs="Arial" w:eastAsia="Arial" w:hAnsi="Arial"/>
                <w:sz w:val="16"/>
                <w:szCs w:val="16"/>
                <w:color w:val="051D49"/>
              </w:rPr>
              <w:t>Payments During</w:t>
            </w:r>
          </w:p>
        </w:tc>
      </w:tr>
      <w:tr>
        <w:trPr>
          <w:trHeight w:val="187"/>
        </w:trPr>
        <w:tc>
          <w:tcPr>
            <w:tcW w:w="1580" w:type="dxa"/>
            <w:vAlign w:val="bottom"/>
            <w:shd w:val="clear" w:color="auto" w:fill="EAEAEA"/>
          </w:tcPr>
          <w:p>
            <w:pPr>
              <w:spacing w:after="0"/>
              <w:rPr>
                <w:sz w:val="16"/>
                <w:szCs w:val="16"/>
                <w:color w:val="auto"/>
              </w:rPr>
            </w:pPr>
          </w:p>
        </w:tc>
        <w:tc>
          <w:tcPr>
            <w:tcW w:w="4120" w:type="dxa"/>
            <w:vAlign w:val="bottom"/>
            <w:shd w:val="clear" w:color="auto" w:fill="EAEAEA"/>
          </w:tcPr>
          <w:p>
            <w:pPr>
              <w:spacing w:after="0"/>
              <w:rPr>
                <w:sz w:val="16"/>
                <w:szCs w:val="16"/>
                <w:color w:val="auto"/>
              </w:rPr>
            </w:pPr>
          </w:p>
        </w:tc>
        <w:tc>
          <w:tcPr>
            <w:tcW w:w="1720" w:type="dxa"/>
            <w:vAlign w:val="bottom"/>
            <w:shd w:val="clear" w:color="auto" w:fill="EAEAEA"/>
          </w:tcPr>
          <w:p>
            <w:pPr>
              <w:jc w:val="center"/>
              <w:spacing w:after="0"/>
              <w:rPr>
                <w:sz w:val="20"/>
                <w:szCs w:val="20"/>
                <w:color w:val="auto"/>
              </w:rPr>
            </w:pPr>
            <w:r>
              <w:rPr>
                <w:rFonts w:ascii="Arial" w:cs="Arial" w:eastAsia="Arial" w:hAnsi="Arial"/>
                <w:sz w:val="16"/>
                <w:szCs w:val="16"/>
                <w:color w:val="051D49"/>
              </w:rPr>
              <w:t>Credited Service</w:t>
            </w:r>
          </w:p>
        </w:tc>
        <w:tc>
          <w:tcPr>
            <w:tcW w:w="1640" w:type="dxa"/>
            <w:vAlign w:val="bottom"/>
            <w:shd w:val="clear" w:color="auto" w:fill="EAEAEA"/>
          </w:tcPr>
          <w:p>
            <w:pPr>
              <w:jc w:val="center"/>
              <w:spacing w:after="0"/>
              <w:rPr>
                <w:sz w:val="20"/>
                <w:szCs w:val="20"/>
                <w:color w:val="auto"/>
              </w:rPr>
            </w:pPr>
            <w:r>
              <w:rPr>
                <w:rFonts w:ascii="Arial" w:cs="Arial" w:eastAsia="Arial" w:hAnsi="Arial"/>
                <w:sz w:val="16"/>
                <w:szCs w:val="16"/>
                <w:color w:val="051D49"/>
              </w:rPr>
              <w:t>Benefit</w:t>
            </w:r>
          </w:p>
        </w:tc>
        <w:tc>
          <w:tcPr>
            <w:tcW w:w="1860" w:type="dxa"/>
            <w:vAlign w:val="bottom"/>
            <w:shd w:val="clear" w:color="auto" w:fill="EAEAEA"/>
          </w:tcPr>
          <w:p>
            <w:pPr>
              <w:jc w:val="right"/>
              <w:ind w:right="380"/>
              <w:spacing w:after="0"/>
              <w:rPr>
                <w:sz w:val="20"/>
                <w:szCs w:val="20"/>
                <w:color w:val="auto"/>
              </w:rPr>
            </w:pPr>
            <w:r>
              <w:rPr>
                <w:rFonts w:ascii="Arial" w:cs="Arial" w:eastAsia="Arial" w:hAnsi="Arial"/>
                <w:sz w:val="16"/>
                <w:szCs w:val="16"/>
                <w:color w:val="051D49"/>
              </w:rPr>
              <w:t>Last Fiscal Year</w:t>
            </w:r>
          </w:p>
        </w:tc>
      </w:tr>
      <w:tr>
        <w:trPr>
          <w:trHeight w:val="241"/>
        </w:trPr>
        <w:tc>
          <w:tcPr>
            <w:tcW w:w="1580" w:type="dxa"/>
            <w:vAlign w:val="bottom"/>
            <w:shd w:val="clear" w:color="auto" w:fill="EAEAEA"/>
          </w:tcPr>
          <w:p>
            <w:pPr>
              <w:ind w:left="80"/>
              <w:spacing w:after="0"/>
              <w:rPr>
                <w:sz w:val="20"/>
                <w:szCs w:val="20"/>
                <w:color w:val="auto"/>
              </w:rPr>
            </w:pPr>
            <w:r>
              <w:rPr>
                <w:rFonts w:ascii="Arial" w:cs="Arial" w:eastAsia="Arial" w:hAnsi="Arial"/>
                <w:sz w:val="16"/>
                <w:szCs w:val="16"/>
                <w:color w:val="051D49"/>
              </w:rPr>
              <w:t>Name</w:t>
            </w:r>
          </w:p>
        </w:tc>
        <w:tc>
          <w:tcPr>
            <w:tcW w:w="4120" w:type="dxa"/>
            <w:vAlign w:val="bottom"/>
            <w:shd w:val="clear" w:color="auto" w:fill="EAEAEA"/>
          </w:tcPr>
          <w:p>
            <w:pPr>
              <w:jc w:val="center"/>
              <w:ind w:left="140"/>
              <w:spacing w:after="0"/>
              <w:rPr>
                <w:sz w:val="20"/>
                <w:szCs w:val="20"/>
                <w:color w:val="auto"/>
              </w:rPr>
            </w:pPr>
            <w:r>
              <w:rPr>
                <w:rFonts w:ascii="Arial" w:cs="Arial" w:eastAsia="Arial" w:hAnsi="Arial"/>
                <w:sz w:val="16"/>
                <w:szCs w:val="16"/>
                <w:color w:val="051D49"/>
                <w:w w:val="98"/>
              </w:rPr>
              <w:t>Plan Name</w:t>
            </w:r>
          </w:p>
        </w:tc>
        <w:tc>
          <w:tcPr>
            <w:tcW w:w="1720" w:type="dxa"/>
            <w:vAlign w:val="bottom"/>
            <w:shd w:val="clear" w:color="auto" w:fill="EAEAEA"/>
          </w:tcPr>
          <w:p>
            <w:pPr>
              <w:jc w:val="center"/>
              <w:spacing w:after="0"/>
              <w:rPr>
                <w:sz w:val="20"/>
                <w:szCs w:val="20"/>
                <w:color w:val="auto"/>
              </w:rPr>
            </w:pPr>
            <w:r>
              <w:rPr>
                <w:rFonts w:ascii="Arial" w:cs="Arial" w:eastAsia="Arial" w:hAnsi="Arial"/>
                <w:sz w:val="16"/>
                <w:szCs w:val="16"/>
                <w:color w:val="051D49"/>
              </w:rPr>
              <w:t>(#)(1)</w:t>
            </w:r>
          </w:p>
        </w:tc>
        <w:tc>
          <w:tcPr>
            <w:tcW w:w="1640" w:type="dxa"/>
            <w:vAlign w:val="bottom"/>
            <w:shd w:val="clear" w:color="auto" w:fill="EAEAEA"/>
          </w:tcPr>
          <w:p>
            <w:pPr>
              <w:jc w:val="center"/>
              <w:spacing w:after="0"/>
              <w:rPr>
                <w:sz w:val="20"/>
                <w:szCs w:val="20"/>
                <w:color w:val="auto"/>
              </w:rPr>
            </w:pPr>
            <w:r>
              <w:rPr>
                <w:rFonts w:ascii="Arial" w:cs="Arial" w:eastAsia="Arial" w:hAnsi="Arial"/>
                <w:sz w:val="16"/>
                <w:szCs w:val="16"/>
                <w:color w:val="051D49"/>
              </w:rPr>
              <w:t>($)(2)</w:t>
            </w:r>
          </w:p>
        </w:tc>
        <w:tc>
          <w:tcPr>
            <w:tcW w:w="1860" w:type="dxa"/>
            <w:vAlign w:val="bottom"/>
            <w:shd w:val="clear" w:color="auto" w:fill="EAEAEA"/>
          </w:tcPr>
          <w:p>
            <w:pPr>
              <w:jc w:val="right"/>
              <w:ind w:right="860"/>
              <w:spacing w:after="0"/>
              <w:rPr>
                <w:sz w:val="20"/>
                <w:szCs w:val="20"/>
                <w:color w:val="auto"/>
              </w:rPr>
            </w:pPr>
            <w:r>
              <w:rPr>
                <w:rFonts w:ascii="Arial" w:cs="Arial" w:eastAsia="Arial" w:hAnsi="Arial"/>
                <w:sz w:val="16"/>
                <w:szCs w:val="16"/>
                <w:color w:val="051D49"/>
              </w:rPr>
              <w:t>($)</w:t>
            </w:r>
          </w:p>
        </w:tc>
      </w:tr>
      <w:tr>
        <w:trPr>
          <w:trHeight w:val="264"/>
        </w:trPr>
        <w:tc>
          <w:tcPr>
            <w:tcW w:w="1580" w:type="dxa"/>
            <w:vAlign w:val="bottom"/>
          </w:tcPr>
          <w:p>
            <w:pPr>
              <w:ind w:left="80"/>
              <w:spacing w:after="0"/>
              <w:rPr>
                <w:sz w:val="20"/>
                <w:szCs w:val="20"/>
                <w:color w:val="auto"/>
              </w:rPr>
            </w:pPr>
            <w:r>
              <w:rPr>
                <w:rFonts w:ascii="Arial" w:cs="Arial" w:eastAsia="Arial" w:hAnsi="Arial"/>
                <w:sz w:val="16"/>
                <w:szCs w:val="16"/>
                <w:color w:val="auto"/>
              </w:rPr>
              <w:t>Robert M. Bakish</w:t>
            </w:r>
          </w:p>
        </w:tc>
        <w:tc>
          <w:tcPr>
            <w:tcW w:w="4120" w:type="dxa"/>
            <w:vAlign w:val="bottom"/>
          </w:tcPr>
          <w:p>
            <w:pPr>
              <w:jc w:val="center"/>
              <w:ind w:left="160"/>
              <w:spacing w:after="0"/>
              <w:rPr>
                <w:sz w:val="20"/>
                <w:szCs w:val="20"/>
                <w:color w:val="auto"/>
              </w:rPr>
            </w:pPr>
            <w:r>
              <w:rPr>
                <w:rFonts w:ascii="Arial" w:cs="Arial" w:eastAsia="Arial" w:hAnsi="Arial"/>
                <w:sz w:val="16"/>
                <w:szCs w:val="16"/>
                <w:color w:val="auto"/>
              </w:rPr>
              <w:t>Qualified—The Viacom Pension Plan</w:t>
            </w:r>
          </w:p>
        </w:tc>
        <w:tc>
          <w:tcPr>
            <w:tcW w:w="1720" w:type="dxa"/>
            <w:vAlign w:val="bottom"/>
          </w:tcPr>
          <w:p>
            <w:pPr>
              <w:jc w:val="right"/>
              <w:ind w:right="220"/>
              <w:spacing w:after="0"/>
              <w:rPr>
                <w:sz w:val="20"/>
                <w:szCs w:val="20"/>
                <w:color w:val="auto"/>
              </w:rPr>
            </w:pPr>
            <w:r>
              <w:rPr>
                <w:rFonts w:ascii="Arial" w:cs="Arial" w:eastAsia="Arial" w:hAnsi="Arial"/>
                <w:sz w:val="16"/>
                <w:szCs w:val="16"/>
                <w:color w:val="auto"/>
              </w:rPr>
              <w:t>14.9</w:t>
            </w:r>
          </w:p>
        </w:tc>
        <w:tc>
          <w:tcPr>
            <w:tcW w:w="1640" w:type="dxa"/>
            <w:vAlign w:val="bottom"/>
          </w:tcPr>
          <w:p>
            <w:pPr>
              <w:jc w:val="right"/>
              <w:ind w:right="140"/>
              <w:spacing w:after="0"/>
              <w:rPr>
                <w:sz w:val="20"/>
                <w:szCs w:val="20"/>
                <w:color w:val="auto"/>
              </w:rPr>
            </w:pPr>
            <w:r>
              <w:rPr>
                <w:rFonts w:ascii="Arial" w:cs="Arial" w:eastAsia="Arial" w:hAnsi="Arial"/>
                <w:sz w:val="16"/>
                <w:szCs w:val="16"/>
                <w:color w:val="auto"/>
              </w:rPr>
              <w:t>561,348</w:t>
            </w:r>
          </w:p>
        </w:tc>
        <w:tc>
          <w:tcPr>
            <w:tcW w:w="1860" w:type="dxa"/>
            <w:vAlign w:val="bottom"/>
          </w:tcPr>
          <w:p>
            <w:pPr>
              <w:jc w:val="right"/>
              <w:ind w:right="340"/>
              <w:spacing w:after="0"/>
              <w:rPr>
                <w:sz w:val="20"/>
                <w:szCs w:val="20"/>
                <w:color w:val="auto"/>
              </w:rPr>
            </w:pPr>
            <w:r>
              <w:rPr>
                <w:rFonts w:ascii="Arial" w:cs="Arial" w:eastAsia="Arial" w:hAnsi="Arial"/>
                <w:sz w:val="16"/>
                <w:szCs w:val="16"/>
                <w:color w:val="auto"/>
              </w:rPr>
              <w:t>—</w:t>
            </w:r>
          </w:p>
        </w:tc>
      </w:tr>
      <w:tr>
        <w:trPr>
          <w:trHeight w:val="304"/>
        </w:trPr>
        <w:tc>
          <w:tcPr>
            <w:tcW w:w="1580" w:type="dxa"/>
            <w:vAlign w:val="bottom"/>
            <w:tcBorders>
              <w:bottom w:val="single" w:sz="8" w:color="051D49"/>
            </w:tcBorders>
          </w:tcPr>
          <w:p>
            <w:pPr>
              <w:spacing w:after="0"/>
              <w:rPr>
                <w:sz w:val="24"/>
                <w:szCs w:val="24"/>
                <w:color w:val="auto"/>
              </w:rPr>
            </w:pPr>
          </w:p>
        </w:tc>
        <w:tc>
          <w:tcPr>
            <w:tcW w:w="4120" w:type="dxa"/>
            <w:vAlign w:val="bottom"/>
            <w:tcBorders>
              <w:bottom w:val="single" w:sz="8" w:color="051D49"/>
            </w:tcBorders>
          </w:tcPr>
          <w:p>
            <w:pPr>
              <w:jc w:val="center"/>
              <w:ind w:left="140"/>
              <w:spacing w:after="0"/>
              <w:rPr>
                <w:sz w:val="20"/>
                <w:szCs w:val="20"/>
                <w:color w:val="auto"/>
              </w:rPr>
            </w:pPr>
            <w:r>
              <w:rPr>
                <w:rFonts w:ascii="Arial" w:cs="Arial" w:eastAsia="Arial" w:hAnsi="Arial"/>
                <w:sz w:val="16"/>
                <w:szCs w:val="16"/>
                <w:color w:val="auto"/>
              </w:rPr>
              <w:t>Nonqualified—The Viacom Excess Pension Plan</w:t>
            </w:r>
          </w:p>
        </w:tc>
        <w:tc>
          <w:tcPr>
            <w:tcW w:w="1720" w:type="dxa"/>
            <w:vAlign w:val="bottom"/>
            <w:tcBorders>
              <w:bottom w:val="single" w:sz="8" w:color="051D49"/>
            </w:tcBorders>
          </w:tcPr>
          <w:p>
            <w:pPr>
              <w:jc w:val="right"/>
              <w:ind w:right="220"/>
              <w:spacing w:after="0"/>
              <w:rPr>
                <w:sz w:val="20"/>
                <w:szCs w:val="20"/>
                <w:color w:val="auto"/>
              </w:rPr>
            </w:pPr>
            <w:r>
              <w:rPr>
                <w:rFonts w:ascii="Arial" w:cs="Arial" w:eastAsia="Arial" w:hAnsi="Arial"/>
                <w:sz w:val="16"/>
                <w:szCs w:val="16"/>
                <w:color w:val="auto"/>
              </w:rPr>
              <w:t>11.2</w:t>
            </w:r>
          </w:p>
        </w:tc>
        <w:tc>
          <w:tcPr>
            <w:tcW w:w="1640" w:type="dxa"/>
            <w:vAlign w:val="bottom"/>
            <w:tcBorders>
              <w:bottom w:val="single" w:sz="8" w:color="051D49"/>
            </w:tcBorders>
          </w:tcPr>
          <w:p>
            <w:pPr>
              <w:jc w:val="right"/>
              <w:ind w:right="140"/>
              <w:spacing w:after="0"/>
              <w:rPr>
                <w:sz w:val="20"/>
                <w:szCs w:val="20"/>
                <w:color w:val="auto"/>
              </w:rPr>
            </w:pPr>
            <w:r>
              <w:rPr>
                <w:rFonts w:ascii="Arial" w:cs="Arial" w:eastAsia="Arial" w:hAnsi="Arial"/>
                <w:sz w:val="16"/>
                <w:szCs w:val="16"/>
                <w:color w:val="auto"/>
              </w:rPr>
              <w:t>1,237,668</w:t>
            </w:r>
          </w:p>
        </w:tc>
        <w:tc>
          <w:tcPr>
            <w:tcW w:w="1860" w:type="dxa"/>
            <w:vAlign w:val="bottom"/>
            <w:tcBorders>
              <w:bottom w:val="single" w:sz="8" w:color="051D49"/>
            </w:tcBorders>
          </w:tcPr>
          <w:p>
            <w:pPr>
              <w:jc w:val="right"/>
              <w:ind w:right="340"/>
              <w:spacing w:after="0"/>
              <w:rPr>
                <w:sz w:val="20"/>
                <w:szCs w:val="20"/>
                <w:color w:val="auto"/>
              </w:rPr>
            </w:pPr>
            <w:r>
              <w:rPr>
                <w:rFonts w:ascii="Arial" w:cs="Arial" w:eastAsia="Arial" w:hAnsi="Arial"/>
                <w:sz w:val="16"/>
                <w:szCs w:val="16"/>
                <w:color w:val="auto"/>
              </w:rPr>
              <w:t>—</w:t>
            </w:r>
          </w:p>
        </w:tc>
      </w:tr>
      <w:tr>
        <w:trPr>
          <w:trHeight w:val="251"/>
        </w:trPr>
        <w:tc>
          <w:tcPr>
            <w:tcW w:w="1580" w:type="dxa"/>
            <w:vAlign w:val="bottom"/>
          </w:tcPr>
          <w:p>
            <w:pPr>
              <w:ind w:left="80"/>
              <w:spacing w:after="0"/>
              <w:rPr>
                <w:sz w:val="20"/>
                <w:szCs w:val="20"/>
                <w:color w:val="auto"/>
              </w:rPr>
            </w:pPr>
            <w:r>
              <w:rPr>
                <w:rFonts w:ascii="Arial" w:cs="Arial" w:eastAsia="Arial" w:hAnsi="Arial"/>
                <w:sz w:val="16"/>
                <w:szCs w:val="16"/>
                <w:color w:val="auto"/>
              </w:rPr>
              <w:t>Doretha F. Lea</w:t>
            </w:r>
          </w:p>
        </w:tc>
        <w:tc>
          <w:tcPr>
            <w:tcW w:w="4120" w:type="dxa"/>
            <w:vAlign w:val="bottom"/>
          </w:tcPr>
          <w:p>
            <w:pPr>
              <w:jc w:val="center"/>
              <w:ind w:left="160"/>
              <w:spacing w:after="0"/>
              <w:rPr>
                <w:sz w:val="20"/>
                <w:szCs w:val="20"/>
                <w:color w:val="auto"/>
              </w:rPr>
            </w:pPr>
            <w:r>
              <w:rPr>
                <w:rFonts w:ascii="Arial" w:cs="Arial" w:eastAsia="Arial" w:hAnsi="Arial"/>
                <w:sz w:val="16"/>
                <w:szCs w:val="16"/>
                <w:color w:val="auto"/>
              </w:rPr>
              <w:t>Qualified—The Viacom Pension Plan</w:t>
            </w:r>
          </w:p>
        </w:tc>
        <w:tc>
          <w:tcPr>
            <w:tcW w:w="1720" w:type="dxa"/>
            <w:vAlign w:val="bottom"/>
          </w:tcPr>
          <w:p>
            <w:pPr>
              <w:jc w:val="right"/>
              <w:ind w:right="220"/>
              <w:spacing w:after="0"/>
              <w:rPr>
                <w:sz w:val="20"/>
                <w:szCs w:val="20"/>
                <w:color w:val="auto"/>
              </w:rPr>
            </w:pPr>
            <w:r>
              <w:rPr>
                <w:rFonts w:ascii="Arial" w:cs="Arial" w:eastAsia="Arial" w:hAnsi="Arial"/>
                <w:sz w:val="16"/>
                <w:szCs w:val="16"/>
                <w:color w:val="auto"/>
              </w:rPr>
              <w:t>13.2</w:t>
            </w:r>
          </w:p>
        </w:tc>
        <w:tc>
          <w:tcPr>
            <w:tcW w:w="1640" w:type="dxa"/>
            <w:vAlign w:val="bottom"/>
          </w:tcPr>
          <w:p>
            <w:pPr>
              <w:jc w:val="right"/>
              <w:ind w:right="140"/>
              <w:spacing w:after="0"/>
              <w:rPr>
                <w:sz w:val="20"/>
                <w:szCs w:val="20"/>
                <w:color w:val="auto"/>
              </w:rPr>
            </w:pPr>
            <w:r>
              <w:rPr>
                <w:rFonts w:ascii="Arial" w:cs="Arial" w:eastAsia="Arial" w:hAnsi="Arial"/>
                <w:sz w:val="16"/>
                <w:szCs w:val="16"/>
                <w:color w:val="auto"/>
              </w:rPr>
              <w:t>483,031</w:t>
            </w:r>
          </w:p>
        </w:tc>
        <w:tc>
          <w:tcPr>
            <w:tcW w:w="1860" w:type="dxa"/>
            <w:vAlign w:val="bottom"/>
          </w:tcPr>
          <w:p>
            <w:pPr>
              <w:jc w:val="right"/>
              <w:ind w:right="340"/>
              <w:spacing w:after="0"/>
              <w:rPr>
                <w:sz w:val="20"/>
                <w:szCs w:val="20"/>
                <w:color w:val="auto"/>
              </w:rPr>
            </w:pPr>
            <w:r>
              <w:rPr>
                <w:rFonts w:ascii="Arial" w:cs="Arial" w:eastAsia="Arial" w:hAnsi="Arial"/>
                <w:sz w:val="16"/>
                <w:szCs w:val="16"/>
                <w:color w:val="auto"/>
              </w:rPr>
              <w:t>—</w:t>
            </w:r>
          </w:p>
        </w:tc>
      </w:tr>
      <w:tr>
        <w:trPr>
          <w:trHeight w:val="304"/>
        </w:trPr>
        <w:tc>
          <w:tcPr>
            <w:tcW w:w="1580" w:type="dxa"/>
            <w:vAlign w:val="bottom"/>
            <w:tcBorders>
              <w:bottom w:val="single" w:sz="8" w:color="051D49"/>
            </w:tcBorders>
          </w:tcPr>
          <w:p>
            <w:pPr>
              <w:spacing w:after="0"/>
              <w:rPr>
                <w:sz w:val="24"/>
                <w:szCs w:val="24"/>
                <w:color w:val="auto"/>
              </w:rPr>
            </w:pPr>
          </w:p>
        </w:tc>
        <w:tc>
          <w:tcPr>
            <w:tcW w:w="4120" w:type="dxa"/>
            <w:vAlign w:val="bottom"/>
            <w:tcBorders>
              <w:bottom w:val="single" w:sz="8" w:color="051D49"/>
            </w:tcBorders>
          </w:tcPr>
          <w:p>
            <w:pPr>
              <w:jc w:val="center"/>
              <w:ind w:left="140"/>
              <w:spacing w:after="0"/>
              <w:rPr>
                <w:sz w:val="20"/>
                <w:szCs w:val="20"/>
                <w:color w:val="auto"/>
              </w:rPr>
            </w:pPr>
            <w:r>
              <w:rPr>
                <w:rFonts w:ascii="Arial" w:cs="Arial" w:eastAsia="Arial" w:hAnsi="Arial"/>
                <w:sz w:val="16"/>
                <w:szCs w:val="16"/>
                <w:color w:val="auto"/>
              </w:rPr>
              <w:t>Nonqualified—The Viacom Excess Pension Plan</w:t>
            </w:r>
          </w:p>
        </w:tc>
        <w:tc>
          <w:tcPr>
            <w:tcW w:w="1720" w:type="dxa"/>
            <w:vAlign w:val="bottom"/>
            <w:tcBorders>
              <w:bottom w:val="single" w:sz="8" w:color="051D49"/>
            </w:tcBorders>
          </w:tcPr>
          <w:p>
            <w:pPr>
              <w:jc w:val="right"/>
              <w:ind w:right="220"/>
              <w:spacing w:after="0"/>
              <w:rPr>
                <w:sz w:val="20"/>
                <w:szCs w:val="20"/>
                <w:color w:val="auto"/>
              </w:rPr>
            </w:pPr>
            <w:r>
              <w:rPr>
                <w:rFonts w:ascii="Arial" w:cs="Arial" w:eastAsia="Arial" w:hAnsi="Arial"/>
                <w:sz w:val="16"/>
                <w:szCs w:val="16"/>
                <w:color w:val="auto"/>
              </w:rPr>
              <w:t>9.4</w:t>
            </w:r>
          </w:p>
        </w:tc>
        <w:tc>
          <w:tcPr>
            <w:tcW w:w="1640" w:type="dxa"/>
            <w:vAlign w:val="bottom"/>
            <w:tcBorders>
              <w:bottom w:val="single" w:sz="8" w:color="051D49"/>
            </w:tcBorders>
          </w:tcPr>
          <w:p>
            <w:pPr>
              <w:jc w:val="right"/>
              <w:ind w:right="140"/>
              <w:spacing w:after="0"/>
              <w:rPr>
                <w:sz w:val="20"/>
                <w:szCs w:val="20"/>
                <w:color w:val="auto"/>
              </w:rPr>
            </w:pPr>
            <w:r>
              <w:rPr>
                <w:rFonts w:ascii="Arial" w:cs="Arial" w:eastAsia="Arial" w:hAnsi="Arial"/>
                <w:sz w:val="16"/>
                <w:szCs w:val="16"/>
                <w:color w:val="auto"/>
              </w:rPr>
              <w:t>812,584</w:t>
            </w:r>
          </w:p>
        </w:tc>
        <w:tc>
          <w:tcPr>
            <w:tcW w:w="1860" w:type="dxa"/>
            <w:vAlign w:val="bottom"/>
            <w:tcBorders>
              <w:bottom w:val="single" w:sz="8" w:color="051D49"/>
            </w:tcBorders>
          </w:tcPr>
          <w:p>
            <w:pPr>
              <w:jc w:val="right"/>
              <w:ind w:right="340"/>
              <w:spacing w:after="0"/>
              <w:rPr>
                <w:sz w:val="20"/>
                <w:szCs w:val="20"/>
                <w:color w:val="auto"/>
              </w:rPr>
            </w:pPr>
            <w:r>
              <w:rPr>
                <w:rFonts w:ascii="Arial" w:cs="Arial" w:eastAsia="Arial" w:hAnsi="Arial"/>
                <w:sz w:val="16"/>
                <w:szCs w:val="16"/>
                <w:color w:val="auto"/>
              </w:rPr>
              <w:t>—</w:t>
            </w:r>
          </w:p>
        </w:tc>
      </w:tr>
    </w:tbl>
    <w:p>
      <w:pPr>
        <w:spacing w:after="0" w:line="106" w:lineRule="exact"/>
        <w:rPr>
          <w:sz w:val="20"/>
          <w:szCs w:val="20"/>
          <w:color w:val="auto"/>
        </w:rPr>
      </w:pPr>
    </w:p>
    <w:p>
      <w:pPr>
        <w:ind w:left="480" w:right="20" w:hanging="313"/>
        <w:spacing w:after="0" w:line="262" w:lineRule="auto"/>
        <w:tabs>
          <w:tab w:leader="none" w:pos="4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Years of credited service for Mr. Bakish and Ms. Lea differ from actual years of service based on the date they satisfied age and service requirements under the applicable plan and the date benefit accruals were frozen under such plan (</w:t>
      </w:r>
      <w:r>
        <w:rPr>
          <w:rFonts w:ascii="Arial" w:cs="Arial" w:eastAsia="Arial" w:hAnsi="Arial"/>
          <w:sz w:val="16"/>
          <w:szCs w:val="16"/>
          <w:i w:val="1"/>
          <w:iCs w:val="1"/>
          <w:color w:val="auto"/>
        </w:rPr>
        <w:t>i.e.</w:t>
      </w:r>
      <w:r>
        <w:rPr>
          <w:rFonts w:ascii="Arial" w:cs="Arial" w:eastAsia="Arial" w:hAnsi="Arial"/>
          <w:sz w:val="16"/>
          <w:szCs w:val="16"/>
          <w:color w:val="auto"/>
        </w:rPr>
        <w:t>, December 31, 2012 for the Viacom Pension Plan and April 1, 2009 for the Viacom Excess Pension Plan). These differences did not result in any increased benefits to the executives.</w:t>
      </w:r>
    </w:p>
    <w:p>
      <w:pPr>
        <w:spacing w:after="0" w:line="79" w:lineRule="exact"/>
        <w:rPr>
          <w:rFonts w:ascii="Arial" w:cs="Arial" w:eastAsia="Arial" w:hAnsi="Arial"/>
          <w:sz w:val="16"/>
          <w:szCs w:val="16"/>
          <w:color w:val="auto"/>
        </w:rPr>
      </w:pPr>
    </w:p>
    <w:p>
      <w:pPr>
        <w:ind w:left="480" w:right="60" w:hanging="313"/>
        <w:spacing w:after="0" w:line="247" w:lineRule="auto"/>
        <w:tabs>
          <w:tab w:leader="none" w:pos="4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present value of each of Mr. Bakish and Ms. Lea’s accumulated benefit on December 31, 2021 in the Viacom Pension Plan and the Viacom Excess Pension Plan was calculated assuming commencement of benefits at age 65, using a discount rate of 3.19%, and mortality rates in accordance with RPH-2015 mixed collar sex distinct table multiplied by 1.03 and with generational projection of MP-2020 with a 0.75% long-term improvement rate. (The modified generational improvement scale adopts all the parameter changes implemented and published by the Society of Actuaries for MP-2019 except for the ultimate improvement rate which under the modified improvement scale is 0.75% instead of 1.00%.) The present value of each of Mr. Bakish’s and Ms. Lea’s accumulated benefit on December 31, 2021 in the Viacom Pension Plan reflects established assumptions regarding the form of payment elected by participants, specifically that 70% of retirement eligible participants elect lump sums and 30% elect life annuities and that 75% of vested eligible participants elect lump sums and 25% elect life annuities. As it relates to the present value of each of Mr. Bakish’s and Ms. Lea’s accumulated benefit on December 31, 2021, the amount shown in the Viacom Excess Pension Plan assumes the grandfathered benefit under Section 409A of the Code is payable in the same form of payment as the benefit under the Viacom Pension Plan. The benefit accumulated after the implementation of Section 409A of the Code assumes 100% of participants elect life annuities.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Description of Pension Benefits</w:t>
      </w:r>
    </w:p>
    <w:p>
      <w:pPr>
        <w:spacing w:after="0" w:line="101"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color w:val="auto"/>
        </w:rPr>
        <w:t>We currently maintain several qualified and nonqualified defined benefit plans as a result of various mergers, acquisitions and divestitures involving the Company and its various businesses, as well as changes implemented by the Company and its predecessors in retirement programs. All of the plans identified below have been frozen and closed to new participants. The normal retirement age for all Company-sponsored pension plans is 65.</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 Viacom Pension Plan</w:t>
      </w:r>
    </w:p>
    <w:p>
      <w:pPr>
        <w:spacing w:after="0" w:line="99" w:lineRule="exact"/>
        <w:rPr>
          <w:sz w:val="20"/>
          <w:szCs w:val="20"/>
          <w:color w:val="auto"/>
        </w:rPr>
      </w:pPr>
    </w:p>
    <w:p>
      <w:pPr>
        <w:ind w:left="160" w:right="220"/>
        <w:spacing w:after="0" w:line="236" w:lineRule="auto"/>
        <w:rPr>
          <w:sz w:val="20"/>
          <w:szCs w:val="20"/>
          <w:color w:val="auto"/>
        </w:rPr>
      </w:pPr>
      <w:r>
        <w:rPr>
          <w:rFonts w:ascii="Arial" w:cs="Arial" w:eastAsia="Arial" w:hAnsi="Arial"/>
          <w:sz w:val="18"/>
          <w:szCs w:val="18"/>
          <w:color w:val="auto"/>
        </w:rPr>
        <w:t>We maintain the Viacom Pension Plan, a tax-qualified defined benefit plan for eligible employees who satisfied age and service requirements (including Mr. Bakish and Ms. Lea) prior to the Viacom Pension Plan’s closure to new participants and cessation of benefit accruals as of December 31, 2012. Participants are fully vested in their accrued benefit upon the completion of five years of vesting service. We pay the cost of the benefits provided under the Viacom Pension Plan. The normal forms of payment for a married or single participant are a 50% joint and survivor annuity or a single life annuity, respectively. The Viacom Pension Plan also offers a lump-sum distribution option. All optional forms of payment under the Viacom Pension Plan are actuarially equivalent to the normal forms of payment. A reduction is applied to the single life annuity benefit if an optional form is elected. If a participant in the Viacom Pension Plan has reached age 55 and has 10 or more years of vesting service (as is the case for Mr. Bakish and Ms. Lea), he or she is eligible for an early retirement benefit. The early retirement reduction ranges between 4% to 6% per year for each year the benefit begins between 65 and 55.</w:t>
      </w:r>
    </w:p>
    <w:p>
      <w:pPr>
        <w:spacing w:after="0" w:line="185" w:lineRule="exact"/>
        <w:rPr>
          <w:sz w:val="20"/>
          <w:szCs w:val="20"/>
          <w:color w:val="auto"/>
        </w:rPr>
      </w:pPr>
    </w:p>
    <w:p>
      <w:pPr>
        <w:ind w:left="160" w:right="380"/>
        <w:spacing w:after="0" w:line="265" w:lineRule="auto"/>
        <w:rPr>
          <w:sz w:val="20"/>
          <w:szCs w:val="20"/>
          <w:color w:val="auto"/>
        </w:rPr>
      </w:pPr>
      <w:r>
        <w:rPr>
          <w:rFonts w:ascii="Arial" w:cs="Arial" w:eastAsia="Arial" w:hAnsi="Arial"/>
          <w:sz w:val="18"/>
          <w:szCs w:val="18"/>
          <w:color w:val="auto"/>
        </w:rPr>
        <w:t>The benefit formula for calculating an age 65 accrued benefit under the Viacom Pension Plan is equal to the sum of (i) the employee’s accrued benefit as of December 31, 2009 and (ii) the employee’s accrued benefit from January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374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188"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62</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80"/>
          </w:cols>
          <w:pgMar w:left="320" w:top="454" w:right="49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8840"/>
        <w:spacing w:after="0"/>
        <w:rPr>
          <w:sz w:val="20"/>
          <w:szCs w:val="20"/>
          <w:color w:val="auto"/>
        </w:rPr>
      </w:pPr>
      <w:r>
        <w:rPr>
          <w:rFonts w:ascii="Arial" w:cs="Arial" w:eastAsia="Arial" w:hAnsi="Arial"/>
          <w:sz w:val="15"/>
          <w:szCs w:val="15"/>
          <w:color w:val="auto"/>
        </w:rPr>
        <w:t>EXECUTIVE COMPENSATION</w:t>
      </w:r>
    </w:p>
    <w:p>
      <w:pPr>
        <w:spacing w:after="0" w:line="157"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through December 31, 2012. The benefit formula for part (i) is a monthly benefit payable in the form of a single life annuity at a normal retirement age of 65, determined by taking 1.25% times final average compensation up to the covered compensation amount, times benefit service (up to a maximum of 30 years), plus 1.75% times final average compensation above the covered compensation amount, times benefit service (up to a maximum of 30 years). The benefit formula for part (ii) is a single-sum benefit payable at a normal retirement age of 65 determined by taking 10% of the employee’s post-2009 accumulated compensation, adjusted annually during employment by a wage inflation factor (based on the annual increase in the Social Security Wage Base), with an annual cap of 4%.</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 Viacom Excess Pension Plan (the “VEP”)</w:t>
      </w:r>
    </w:p>
    <w:p>
      <w:pPr>
        <w:spacing w:after="0" w:line="99" w:lineRule="exact"/>
        <w:rPr>
          <w:sz w:val="20"/>
          <w:szCs w:val="20"/>
          <w:color w:val="auto"/>
        </w:rPr>
      </w:pPr>
    </w:p>
    <w:p>
      <w:pPr>
        <w:ind w:left="160" w:right="100"/>
        <w:spacing w:after="0" w:line="235" w:lineRule="auto"/>
        <w:rPr>
          <w:sz w:val="20"/>
          <w:szCs w:val="20"/>
          <w:color w:val="auto"/>
        </w:rPr>
      </w:pPr>
      <w:r>
        <w:rPr>
          <w:rFonts w:ascii="Arial" w:cs="Arial" w:eastAsia="Arial" w:hAnsi="Arial"/>
          <w:sz w:val="18"/>
          <w:szCs w:val="18"/>
          <w:color w:val="auto"/>
        </w:rPr>
        <w:t>We also maintain the VEP, an unfunded nonqualified defined benefit plan, to provide benefits to employees (including Mr. Bakish and Ms. Lea) who participate in the Viacom Pension Plan and whose annual base salary exceeds the applicable eligible compensation for purposes of the Company’s 401(k) Plan ($290,000 for 2021) (the “Annual Limit”). Effective April 1, 2009, further accruals were discontinued under the VEP. The benefits under the VEP are calculated by determining the excess, if any, of (i) the benefits that would be payable under the Viacom Pension Plan if it were not subject to the Annual Limit and (ii) the benefits actually payable under the Viacom Pension Plan. The maximum amount of total compensation earned on or before March 31, 2009 taken into account under the Viacom Pension Plan and the VEP together generally is $750,000. The normal and optional forms of payment for the benefit are the same under the VEP as under the Viacom Pension Plan; however, a lump sum option is not available for the portion accrued post-2004. We generally do not grant employees extra years of benefit service under the Viacom Pension Plan or the VEP for purposes of calculating a pension benefit. If a participant in the VEP has reached age 55 and has 10 or more years of vesting service (as is the case for Mr. Bakish and Ms. Lea), he or she is considered eligible for an early retirement benefit. The early retirement reduction is 6% per year for each year the benefit begins between ages 65 and 60, plus 4% per year for each year the benefit begins between 60 and 55. Unless an election was made in 2008, the benefit will begin at the later of age 55 and six months following the employee’s termination.</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NONQUALIFIED DEFERRED COMPENSATION IN 2021</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information concerning nonqualified deferred compensation for 2021 for each of our NEOs.</w:t>
      </w:r>
    </w:p>
    <w:p>
      <w:pPr>
        <w:spacing w:after="0" w:line="253"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2020" w:type="dxa"/>
            <w:vAlign w:val="bottom"/>
            <w:shd w:val="clear" w:color="auto" w:fill="EAEAEA"/>
          </w:tcPr>
          <w:p>
            <w:pPr>
              <w:spacing w:after="0"/>
              <w:rPr>
                <w:sz w:val="18"/>
                <w:szCs w:val="18"/>
                <w:color w:val="auto"/>
              </w:rPr>
            </w:pPr>
          </w:p>
        </w:tc>
        <w:tc>
          <w:tcPr>
            <w:tcW w:w="2640" w:type="dxa"/>
            <w:vAlign w:val="bottom"/>
            <w:shd w:val="clear" w:color="auto" w:fill="EAEAEA"/>
          </w:tcPr>
          <w:p>
            <w:pPr>
              <w:spacing w:after="0"/>
              <w:rPr>
                <w:sz w:val="18"/>
                <w:szCs w:val="18"/>
                <w:color w:val="auto"/>
              </w:rPr>
            </w:pPr>
          </w:p>
        </w:tc>
        <w:tc>
          <w:tcPr>
            <w:tcW w:w="1500" w:type="dxa"/>
            <w:vAlign w:val="bottom"/>
            <w:shd w:val="clear" w:color="auto" w:fill="EAEAEA"/>
          </w:tcPr>
          <w:p>
            <w:pPr>
              <w:spacing w:after="0"/>
              <w:rPr>
                <w:sz w:val="18"/>
                <w:szCs w:val="18"/>
                <w:color w:val="auto"/>
              </w:rPr>
            </w:pPr>
          </w:p>
        </w:tc>
        <w:tc>
          <w:tcPr>
            <w:tcW w:w="1280" w:type="dxa"/>
            <w:vAlign w:val="bottom"/>
            <w:shd w:val="clear" w:color="auto" w:fill="EAEAEA"/>
          </w:tcPr>
          <w:p>
            <w:pPr>
              <w:spacing w:after="0"/>
              <w:rPr>
                <w:sz w:val="18"/>
                <w:szCs w:val="18"/>
                <w:color w:val="auto"/>
              </w:rPr>
            </w:pPr>
          </w:p>
        </w:tc>
        <w:tc>
          <w:tcPr>
            <w:tcW w:w="11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Aggregate</w:t>
            </w:r>
          </w:p>
        </w:tc>
        <w:tc>
          <w:tcPr>
            <w:tcW w:w="1300" w:type="dxa"/>
            <w:vAlign w:val="bottom"/>
            <w:shd w:val="clear" w:color="auto" w:fill="EAEAEA"/>
          </w:tcPr>
          <w:p>
            <w:pPr>
              <w:spacing w:after="0"/>
              <w:rPr>
                <w:sz w:val="18"/>
                <w:szCs w:val="18"/>
                <w:color w:val="auto"/>
              </w:rPr>
            </w:pPr>
          </w:p>
        </w:tc>
        <w:tc>
          <w:tcPr>
            <w:tcW w:w="1020" w:type="dxa"/>
            <w:vAlign w:val="bottom"/>
            <w:shd w:val="clear" w:color="auto" w:fill="EAEAEA"/>
          </w:tcPr>
          <w:p>
            <w:pPr>
              <w:spacing w:after="0"/>
              <w:rPr>
                <w:sz w:val="18"/>
                <w:szCs w:val="18"/>
                <w:color w:val="auto"/>
              </w:rPr>
            </w:pPr>
          </w:p>
        </w:tc>
      </w:tr>
      <w:tr>
        <w:trPr>
          <w:trHeight w:val="160"/>
        </w:trPr>
        <w:tc>
          <w:tcPr>
            <w:tcW w:w="2020" w:type="dxa"/>
            <w:vAlign w:val="bottom"/>
            <w:shd w:val="clear" w:color="auto" w:fill="EAEAEA"/>
          </w:tcPr>
          <w:p>
            <w:pPr>
              <w:spacing w:after="0"/>
              <w:rPr>
                <w:sz w:val="13"/>
                <w:szCs w:val="13"/>
                <w:color w:val="auto"/>
              </w:rPr>
            </w:pPr>
          </w:p>
        </w:tc>
        <w:tc>
          <w:tcPr>
            <w:tcW w:w="2640" w:type="dxa"/>
            <w:vAlign w:val="bottom"/>
            <w:shd w:val="clear" w:color="auto" w:fill="EAEAEA"/>
          </w:tcPr>
          <w:p>
            <w:pPr>
              <w:spacing w:after="0"/>
              <w:rPr>
                <w:sz w:val="13"/>
                <w:szCs w:val="13"/>
                <w:color w:val="auto"/>
              </w:rPr>
            </w:pPr>
          </w:p>
        </w:tc>
        <w:tc>
          <w:tcPr>
            <w:tcW w:w="1500" w:type="dxa"/>
            <w:vAlign w:val="bottom"/>
            <w:shd w:val="clear" w:color="auto" w:fill="EAEAEA"/>
          </w:tcPr>
          <w:p>
            <w:pPr>
              <w:jc w:val="center"/>
              <w:ind w:left="166"/>
              <w:spacing w:after="0"/>
              <w:rPr>
                <w:sz w:val="20"/>
                <w:szCs w:val="20"/>
                <w:color w:val="auto"/>
              </w:rPr>
            </w:pPr>
            <w:r>
              <w:rPr>
                <w:rFonts w:ascii="Arial" w:cs="Arial" w:eastAsia="Arial" w:hAnsi="Arial"/>
                <w:sz w:val="14"/>
                <w:szCs w:val="14"/>
                <w:color w:val="051D49"/>
              </w:rPr>
              <w:t>Executive</w:t>
            </w:r>
          </w:p>
        </w:tc>
        <w:tc>
          <w:tcPr>
            <w:tcW w:w="12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Registrant</w:t>
            </w:r>
          </w:p>
        </w:tc>
        <w:tc>
          <w:tcPr>
            <w:tcW w:w="11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Earnings</w:t>
            </w:r>
          </w:p>
        </w:tc>
        <w:tc>
          <w:tcPr>
            <w:tcW w:w="130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r>
      <w:tr>
        <w:trPr>
          <w:trHeight w:val="160"/>
        </w:trPr>
        <w:tc>
          <w:tcPr>
            <w:tcW w:w="2020" w:type="dxa"/>
            <w:vAlign w:val="bottom"/>
            <w:shd w:val="clear" w:color="auto" w:fill="EAEAEA"/>
          </w:tcPr>
          <w:p>
            <w:pPr>
              <w:spacing w:after="0"/>
              <w:rPr>
                <w:sz w:val="13"/>
                <w:szCs w:val="13"/>
                <w:color w:val="auto"/>
              </w:rPr>
            </w:pPr>
          </w:p>
        </w:tc>
        <w:tc>
          <w:tcPr>
            <w:tcW w:w="2640" w:type="dxa"/>
            <w:vAlign w:val="bottom"/>
            <w:shd w:val="clear" w:color="auto" w:fill="EAEAEA"/>
          </w:tcPr>
          <w:p>
            <w:pPr>
              <w:spacing w:after="0"/>
              <w:rPr>
                <w:sz w:val="13"/>
                <w:szCs w:val="13"/>
                <w:color w:val="auto"/>
              </w:rPr>
            </w:pPr>
          </w:p>
        </w:tc>
        <w:tc>
          <w:tcPr>
            <w:tcW w:w="1500" w:type="dxa"/>
            <w:vAlign w:val="bottom"/>
            <w:shd w:val="clear" w:color="auto" w:fill="EAEAEA"/>
          </w:tcPr>
          <w:p>
            <w:pPr>
              <w:jc w:val="center"/>
              <w:ind w:left="186"/>
              <w:spacing w:after="0"/>
              <w:rPr>
                <w:sz w:val="20"/>
                <w:szCs w:val="20"/>
                <w:color w:val="auto"/>
              </w:rPr>
            </w:pPr>
            <w:r>
              <w:rPr>
                <w:rFonts w:ascii="Arial" w:cs="Arial" w:eastAsia="Arial" w:hAnsi="Arial"/>
                <w:sz w:val="14"/>
                <w:szCs w:val="14"/>
                <w:color w:val="051D49"/>
              </w:rPr>
              <w:t>Contributions</w:t>
            </w:r>
          </w:p>
        </w:tc>
        <w:tc>
          <w:tcPr>
            <w:tcW w:w="12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Contributions</w:t>
            </w:r>
          </w:p>
        </w:tc>
        <w:tc>
          <w:tcPr>
            <w:tcW w:w="11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in Last</w:t>
            </w:r>
          </w:p>
        </w:tc>
        <w:tc>
          <w:tcPr>
            <w:tcW w:w="13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Aggregate</w:t>
            </w:r>
          </w:p>
        </w:tc>
        <w:tc>
          <w:tcPr>
            <w:tcW w:w="1020" w:type="dxa"/>
            <w:vAlign w:val="bottom"/>
            <w:shd w:val="clear" w:color="auto" w:fill="EAEAEA"/>
          </w:tcPr>
          <w:p>
            <w:pPr>
              <w:jc w:val="center"/>
              <w:ind w:left="86"/>
              <w:spacing w:after="0"/>
              <w:rPr>
                <w:sz w:val="20"/>
                <w:szCs w:val="20"/>
                <w:color w:val="auto"/>
              </w:rPr>
            </w:pPr>
            <w:r>
              <w:rPr>
                <w:rFonts w:ascii="Arial" w:cs="Arial" w:eastAsia="Arial" w:hAnsi="Arial"/>
                <w:sz w:val="14"/>
                <w:szCs w:val="14"/>
                <w:color w:val="051D49"/>
              </w:rPr>
              <w:t>Aggregate</w:t>
            </w:r>
          </w:p>
        </w:tc>
      </w:tr>
      <w:tr>
        <w:trPr>
          <w:trHeight w:val="160"/>
        </w:trPr>
        <w:tc>
          <w:tcPr>
            <w:tcW w:w="2020" w:type="dxa"/>
            <w:vAlign w:val="bottom"/>
            <w:shd w:val="clear" w:color="auto" w:fill="EAEAEA"/>
          </w:tcPr>
          <w:p>
            <w:pPr>
              <w:spacing w:after="0"/>
              <w:rPr>
                <w:sz w:val="13"/>
                <w:szCs w:val="13"/>
                <w:color w:val="auto"/>
              </w:rPr>
            </w:pPr>
          </w:p>
        </w:tc>
        <w:tc>
          <w:tcPr>
            <w:tcW w:w="2640" w:type="dxa"/>
            <w:vAlign w:val="bottom"/>
            <w:shd w:val="clear" w:color="auto" w:fill="EAEAEA"/>
          </w:tcPr>
          <w:p>
            <w:pPr>
              <w:spacing w:after="0"/>
              <w:rPr>
                <w:sz w:val="13"/>
                <w:szCs w:val="13"/>
                <w:color w:val="auto"/>
              </w:rPr>
            </w:pPr>
          </w:p>
        </w:tc>
        <w:tc>
          <w:tcPr>
            <w:tcW w:w="1500" w:type="dxa"/>
            <w:vAlign w:val="bottom"/>
            <w:shd w:val="clear" w:color="auto" w:fill="EAEAEA"/>
          </w:tcPr>
          <w:p>
            <w:pPr>
              <w:jc w:val="center"/>
              <w:ind w:left="186"/>
              <w:spacing w:after="0"/>
              <w:rPr>
                <w:sz w:val="20"/>
                <w:szCs w:val="20"/>
                <w:color w:val="auto"/>
              </w:rPr>
            </w:pPr>
            <w:r>
              <w:rPr>
                <w:rFonts w:ascii="Arial" w:cs="Arial" w:eastAsia="Arial" w:hAnsi="Arial"/>
                <w:sz w:val="14"/>
                <w:szCs w:val="14"/>
                <w:color w:val="051D49"/>
              </w:rPr>
              <w:t>in Last Fiscal</w:t>
            </w:r>
          </w:p>
        </w:tc>
        <w:tc>
          <w:tcPr>
            <w:tcW w:w="12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in Last Fiscal</w:t>
            </w:r>
          </w:p>
        </w:tc>
        <w:tc>
          <w:tcPr>
            <w:tcW w:w="116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8"/>
              </w:rPr>
              <w:t>Fiscal</w:t>
            </w:r>
          </w:p>
        </w:tc>
        <w:tc>
          <w:tcPr>
            <w:tcW w:w="130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Withdrawals /</w:t>
            </w:r>
          </w:p>
        </w:tc>
        <w:tc>
          <w:tcPr>
            <w:tcW w:w="1020" w:type="dxa"/>
            <w:vAlign w:val="bottom"/>
            <w:shd w:val="clear" w:color="auto" w:fill="EAEAEA"/>
          </w:tcPr>
          <w:p>
            <w:pPr>
              <w:jc w:val="center"/>
              <w:ind w:left="66"/>
              <w:spacing w:after="0"/>
              <w:rPr>
                <w:sz w:val="20"/>
                <w:szCs w:val="20"/>
                <w:color w:val="auto"/>
              </w:rPr>
            </w:pPr>
            <w:r>
              <w:rPr>
                <w:rFonts w:ascii="Arial" w:cs="Arial" w:eastAsia="Arial" w:hAnsi="Arial"/>
                <w:sz w:val="14"/>
                <w:szCs w:val="14"/>
                <w:color w:val="051D49"/>
              </w:rPr>
              <w:t>Balance at</w:t>
            </w:r>
          </w:p>
        </w:tc>
      </w:tr>
      <w:tr>
        <w:trPr>
          <w:trHeight w:val="160"/>
        </w:trPr>
        <w:tc>
          <w:tcPr>
            <w:tcW w:w="2020" w:type="dxa"/>
            <w:vAlign w:val="bottom"/>
            <w:shd w:val="clear" w:color="auto" w:fill="EAEAEA"/>
          </w:tcPr>
          <w:p>
            <w:pPr>
              <w:spacing w:after="0"/>
              <w:rPr>
                <w:sz w:val="13"/>
                <w:szCs w:val="13"/>
                <w:color w:val="auto"/>
              </w:rPr>
            </w:pPr>
          </w:p>
        </w:tc>
        <w:tc>
          <w:tcPr>
            <w:tcW w:w="2640" w:type="dxa"/>
            <w:vAlign w:val="bottom"/>
            <w:shd w:val="clear" w:color="auto" w:fill="EAEAEA"/>
          </w:tcPr>
          <w:p>
            <w:pPr>
              <w:spacing w:after="0"/>
              <w:rPr>
                <w:sz w:val="13"/>
                <w:szCs w:val="13"/>
                <w:color w:val="auto"/>
              </w:rPr>
            </w:pPr>
          </w:p>
        </w:tc>
        <w:tc>
          <w:tcPr>
            <w:tcW w:w="1500" w:type="dxa"/>
            <w:vAlign w:val="bottom"/>
            <w:shd w:val="clear" w:color="auto" w:fill="EAEAEA"/>
          </w:tcPr>
          <w:p>
            <w:pPr>
              <w:jc w:val="center"/>
              <w:ind w:left="186"/>
              <w:spacing w:after="0"/>
              <w:rPr>
                <w:sz w:val="20"/>
                <w:szCs w:val="20"/>
                <w:color w:val="auto"/>
              </w:rPr>
            </w:pPr>
            <w:r>
              <w:rPr>
                <w:rFonts w:ascii="Arial" w:cs="Arial" w:eastAsia="Arial" w:hAnsi="Arial"/>
                <w:sz w:val="14"/>
                <w:szCs w:val="14"/>
                <w:color w:val="051D49"/>
                <w:w w:val="94"/>
              </w:rPr>
              <w:t>Year</w:t>
            </w:r>
          </w:p>
        </w:tc>
        <w:tc>
          <w:tcPr>
            <w:tcW w:w="128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4"/>
              </w:rPr>
              <w:t>Year</w:t>
            </w:r>
          </w:p>
        </w:tc>
        <w:tc>
          <w:tcPr>
            <w:tcW w:w="116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4"/>
              </w:rPr>
              <w:t>Year</w:t>
            </w:r>
          </w:p>
        </w:tc>
        <w:tc>
          <w:tcPr>
            <w:tcW w:w="13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Distributions</w:t>
            </w:r>
          </w:p>
        </w:tc>
        <w:tc>
          <w:tcPr>
            <w:tcW w:w="1020" w:type="dxa"/>
            <w:vAlign w:val="bottom"/>
            <w:shd w:val="clear" w:color="auto" w:fill="EAEAEA"/>
          </w:tcPr>
          <w:p>
            <w:pPr>
              <w:jc w:val="center"/>
              <w:ind w:left="86"/>
              <w:spacing w:after="0"/>
              <w:rPr>
                <w:sz w:val="20"/>
                <w:szCs w:val="20"/>
                <w:color w:val="auto"/>
              </w:rPr>
            </w:pPr>
            <w:r>
              <w:rPr>
                <w:rFonts w:ascii="Arial" w:cs="Arial" w:eastAsia="Arial" w:hAnsi="Arial"/>
                <w:sz w:val="14"/>
                <w:szCs w:val="14"/>
                <w:color w:val="051D49"/>
              </w:rPr>
              <w:t>Last FYE</w:t>
            </w:r>
          </w:p>
        </w:tc>
      </w:tr>
      <w:tr>
        <w:trPr>
          <w:trHeight w:val="210"/>
        </w:trPr>
        <w:tc>
          <w:tcPr>
            <w:tcW w:w="2020" w:type="dxa"/>
            <w:vAlign w:val="bottom"/>
            <w:shd w:val="clear" w:color="auto" w:fill="EAEAEA"/>
          </w:tcPr>
          <w:p>
            <w:pPr>
              <w:ind w:left="80"/>
              <w:spacing w:after="0"/>
              <w:rPr>
                <w:sz w:val="20"/>
                <w:szCs w:val="20"/>
                <w:color w:val="auto"/>
              </w:rPr>
            </w:pPr>
            <w:r>
              <w:rPr>
                <w:rFonts w:ascii="Arial" w:cs="Arial" w:eastAsia="Arial" w:hAnsi="Arial"/>
                <w:sz w:val="14"/>
                <w:szCs w:val="14"/>
                <w:color w:val="051D49"/>
              </w:rPr>
              <w:t>Name</w:t>
            </w:r>
          </w:p>
        </w:tc>
        <w:tc>
          <w:tcPr>
            <w:tcW w:w="2640" w:type="dxa"/>
            <w:vAlign w:val="bottom"/>
            <w:shd w:val="clear" w:color="auto" w:fill="EAEAEA"/>
          </w:tcPr>
          <w:p>
            <w:pPr>
              <w:jc w:val="center"/>
              <w:ind w:left="185"/>
              <w:spacing w:after="0"/>
              <w:rPr>
                <w:sz w:val="20"/>
                <w:szCs w:val="20"/>
                <w:color w:val="auto"/>
              </w:rPr>
            </w:pPr>
            <w:r>
              <w:rPr>
                <w:rFonts w:ascii="Arial" w:cs="Arial" w:eastAsia="Arial" w:hAnsi="Arial"/>
                <w:sz w:val="14"/>
                <w:szCs w:val="14"/>
                <w:color w:val="051D49"/>
              </w:rPr>
              <w:t>Plan Name</w:t>
            </w:r>
          </w:p>
        </w:tc>
        <w:tc>
          <w:tcPr>
            <w:tcW w:w="1500" w:type="dxa"/>
            <w:vAlign w:val="bottom"/>
            <w:shd w:val="clear" w:color="auto" w:fill="EAEAEA"/>
          </w:tcPr>
          <w:p>
            <w:pPr>
              <w:jc w:val="center"/>
              <w:ind w:left="186"/>
              <w:spacing w:after="0"/>
              <w:rPr>
                <w:sz w:val="20"/>
                <w:szCs w:val="20"/>
                <w:color w:val="auto"/>
              </w:rPr>
            </w:pPr>
            <w:r>
              <w:rPr>
                <w:rFonts w:ascii="Arial" w:cs="Arial" w:eastAsia="Arial" w:hAnsi="Arial"/>
                <w:sz w:val="14"/>
                <w:szCs w:val="14"/>
                <w:color w:val="051D49"/>
              </w:rPr>
              <w:t>(1)($)</w:t>
            </w:r>
          </w:p>
        </w:tc>
        <w:tc>
          <w:tcPr>
            <w:tcW w:w="12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(2)($)</w:t>
            </w:r>
          </w:p>
        </w:tc>
        <w:tc>
          <w:tcPr>
            <w:tcW w:w="11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(3)($)</w:t>
            </w:r>
          </w:p>
        </w:tc>
        <w:tc>
          <w:tcPr>
            <w:tcW w:w="130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3"/>
              </w:rPr>
              <w:t>($)</w:t>
            </w:r>
          </w:p>
        </w:tc>
        <w:tc>
          <w:tcPr>
            <w:tcW w:w="1020" w:type="dxa"/>
            <w:vAlign w:val="bottom"/>
            <w:shd w:val="clear" w:color="auto" w:fill="EAEAEA"/>
          </w:tcPr>
          <w:p>
            <w:pPr>
              <w:jc w:val="center"/>
              <w:ind w:left="86"/>
              <w:spacing w:after="0"/>
              <w:rPr>
                <w:sz w:val="20"/>
                <w:szCs w:val="20"/>
                <w:color w:val="auto"/>
              </w:rPr>
            </w:pPr>
            <w:r>
              <w:rPr>
                <w:rFonts w:ascii="Arial" w:cs="Arial" w:eastAsia="Arial" w:hAnsi="Arial"/>
                <w:sz w:val="14"/>
                <w:szCs w:val="14"/>
                <w:color w:val="051D49"/>
              </w:rPr>
              <w:t>($)</w:t>
            </w:r>
          </w:p>
        </w:tc>
      </w:tr>
      <w:tr>
        <w:trPr>
          <w:trHeight w:val="249"/>
        </w:trPr>
        <w:tc>
          <w:tcPr>
            <w:tcW w:w="2020" w:type="dxa"/>
            <w:vAlign w:val="bottom"/>
          </w:tcPr>
          <w:p>
            <w:pPr>
              <w:ind w:left="60"/>
              <w:spacing w:after="0"/>
              <w:rPr>
                <w:sz w:val="20"/>
                <w:szCs w:val="20"/>
                <w:color w:val="auto"/>
              </w:rPr>
            </w:pPr>
            <w:r>
              <w:rPr>
                <w:rFonts w:ascii="Arial" w:cs="Arial" w:eastAsia="Arial" w:hAnsi="Arial"/>
                <w:sz w:val="15"/>
                <w:szCs w:val="15"/>
                <w:color w:val="auto"/>
              </w:rPr>
              <w:t>Robert M. Bakish</w:t>
            </w:r>
          </w:p>
        </w:tc>
        <w:tc>
          <w:tcPr>
            <w:tcW w:w="2640" w:type="dxa"/>
            <w:vAlign w:val="bottom"/>
          </w:tcPr>
          <w:p>
            <w:pPr>
              <w:jc w:val="center"/>
              <w:ind w:left="205"/>
              <w:spacing w:after="0"/>
              <w:rPr>
                <w:sz w:val="20"/>
                <w:szCs w:val="20"/>
                <w:color w:val="auto"/>
              </w:rPr>
            </w:pPr>
            <w:r>
              <w:rPr>
                <w:rFonts w:ascii="Arial" w:cs="Arial" w:eastAsia="Arial" w:hAnsi="Arial"/>
                <w:sz w:val="15"/>
                <w:szCs w:val="15"/>
                <w:color w:val="auto"/>
              </w:rPr>
              <w:t>Deferred Salary Plans</w:t>
            </w:r>
          </w:p>
        </w:tc>
        <w:tc>
          <w:tcPr>
            <w:tcW w:w="15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2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2,492,688</w:t>
            </w:r>
          </w:p>
        </w:tc>
        <w:tc>
          <w:tcPr>
            <w:tcW w:w="1300" w:type="dxa"/>
            <w:vAlign w:val="bottom"/>
          </w:tcPr>
          <w:p>
            <w:pPr>
              <w:ind w:left="6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16,820,023</w:t>
            </w:r>
          </w:p>
        </w:tc>
      </w:tr>
      <w:tr>
        <w:trPr>
          <w:trHeight w:val="257"/>
        </w:trPr>
        <w:tc>
          <w:tcPr>
            <w:tcW w:w="2020" w:type="dxa"/>
            <w:vAlign w:val="bottom"/>
            <w:tcBorders>
              <w:bottom w:val="single" w:sz="8" w:color="051D49"/>
            </w:tcBorders>
          </w:tcPr>
          <w:p>
            <w:pPr>
              <w:spacing w:after="0"/>
              <w:rPr>
                <w:sz w:val="22"/>
                <w:szCs w:val="22"/>
                <w:color w:val="auto"/>
              </w:rPr>
            </w:pPr>
          </w:p>
        </w:tc>
        <w:tc>
          <w:tcPr>
            <w:tcW w:w="2640" w:type="dxa"/>
            <w:vAlign w:val="bottom"/>
            <w:tcBorders>
              <w:bottom w:val="single" w:sz="8" w:color="051D49"/>
            </w:tcBorders>
          </w:tcPr>
          <w:p>
            <w:pPr>
              <w:jc w:val="center"/>
              <w:ind w:left="205"/>
              <w:spacing w:after="0"/>
              <w:rPr>
                <w:sz w:val="20"/>
                <w:szCs w:val="20"/>
                <w:color w:val="auto"/>
              </w:rPr>
            </w:pPr>
            <w:r>
              <w:rPr>
                <w:rFonts w:ascii="Arial" w:cs="Arial" w:eastAsia="Arial" w:hAnsi="Arial"/>
                <w:sz w:val="15"/>
                <w:szCs w:val="15"/>
                <w:color w:val="auto"/>
              </w:rPr>
              <w:t>Deferred Bonus Plans</w:t>
            </w:r>
          </w:p>
        </w:tc>
        <w:tc>
          <w:tcPr>
            <w:tcW w:w="1500" w:type="dxa"/>
            <w:vAlign w:val="bottom"/>
            <w:tcBorders>
              <w:bottom w:val="single" w:sz="8" w:color="051D49"/>
            </w:tcBorders>
          </w:tcPr>
          <w:p>
            <w:pPr>
              <w:jc w:val="right"/>
              <w:ind w:right="126"/>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051D49"/>
            </w:tcBorders>
          </w:tcPr>
          <w:p>
            <w:pPr>
              <w:jc w:val="right"/>
              <w:ind w:right="2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51D49"/>
            </w:tcBorders>
          </w:tcPr>
          <w:p>
            <w:pPr>
              <w:jc w:val="right"/>
              <w:ind w:right="126"/>
              <w:spacing w:after="0"/>
              <w:rPr>
                <w:sz w:val="20"/>
                <w:szCs w:val="20"/>
                <w:color w:val="auto"/>
              </w:rPr>
            </w:pPr>
            <w:r>
              <w:rPr>
                <w:rFonts w:ascii="Arial" w:cs="Arial" w:eastAsia="Arial" w:hAnsi="Arial"/>
                <w:sz w:val="15"/>
                <w:szCs w:val="15"/>
                <w:color w:val="auto"/>
              </w:rPr>
              <w:t>1,041,523</w:t>
            </w:r>
          </w:p>
        </w:tc>
        <w:tc>
          <w:tcPr>
            <w:tcW w:w="1300" w:type="dxa"/>
            <w:vAlign w:val="bottom"/>
            <w:tcBorders>
              <w:bottom w:val="single" w:sz="8" w:color="051D49"/>
            </w:tcBorders>
          </w:tcPr>
          <w:p>
            <w:pPr>
              <w:ind w:left="60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6,978,884</w:t>
            </w:r>
          </w:p>
        </w:tc>
      </w:tr>
      <w:tr>
        <w:trPr>
          <w:trHeight w:val="231"/>
        </w:trPr>
        <w:tc>
          <w:tcPr>
            <w:tcW w:w="2020" w:type="dxa"/>
            <w:vAlign w:val="bottom"/>
          </w:tcPr>
          <w:p>
            <w:pPr>
              <w:ind w:left="60"/>
              <w:spacing w:after="0"/>
              <w:rPr>
                <w:sz w:val="20"/>
                <w:szCs w:val="20"/>
                <w:color w:val="auto"/>
              </w:rPr>
            </w:pPr>
            <w:r>
              <w:rPr>
                <w:rFonts w:ascii="Arial" w:cs="Arial" w:eastAsia="Arial" w:hAnsi="Arial"/>
                <w:sz w:val="15"/>
                <w:szCs w:val="15"/>
                <w:color w:val="auto"/>
              </w:rPr>
              <w:t>Naveen Chopra</w:t>
            </w:r>
          </w:p>
        </w:tc>
        <w:tc>
          <w:tcPr>
            <w:tcW w:w="2640" w:type="dxa"/>
            <w:vAlign w:val="bottom"/>
          </w:tcPr>
          <w:p>
            <w:pPr>
              <w:jc w:val="center"/>
              <w:ind w:left="205"/>
              <w:spacing w:after="0"/>
              <w:rPr>
                <w:sz w:val="20"/>
                <w:szCs w:val="20"/>
                <w:color w:val="auto"/>
              </w:rPr>
            </w:pPr>
            <w:r>
              <w:rPr>
                <w:rFonts w:ascii="Arial" w:cs="Arial" w:eastAsia="Arial" w:hAnsi="Arial"/>
                <w:sz w:val="15"/>
                <w:szCs w:val="15"/>
                <w:color w:val="auto"/>
              </w:rPr>
              <w:t>Deferred Salary Plans</w:t>
            </w:r>
          </w:p>
        </w:tc>
        <w:tc>
          <w:tcPr>
            <w:tcW w:w="15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2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300" w:type="dxa"/>
            <w:vAlign w:val="bottom"/>
          </w:tcPr>
          <w:p>
            <w:pPr>
              <w:ind w:left="6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57"/>
        </w:trPr>
        <w:tc>
          <w:tcPr>
            <w:tcW w:w="2020" w:type="dxa"/>
            <w:vAlign w:val="bottom"/>
            <w:tcBorders>
              <w:bottom w:val="single" w:sz="8" w:color="051D49"/>
            </w:tcBorders>
          </w:tcPr>
          <w:p>
            <w:pPr>
              <w:spacing w:after="0"/>
              <w:rPr>
                <w:sz w:val="22"/>
                <w:szCs w:val="22"/>
                <w:color w:val="auto"/>
              </w:rPr>
            </w:pPr>
          </w:p>
        </w:tc>
        <w:tc>
          <w:tcPr>
            <w:tcW w:w="2640" w:type="dxa"/>
            <w:vAlign w:val="bottom"/>
            <w:tcBorders>
              <w:bottom w:val="single" w:sz="8" w:color="051D49"/>
            </w:tcBorders>
          </w:tcPr>
          <w:p>
            <w:pPr>
              <w:jc w:val="center"/>
              <w:ind w:left="205"/>
              <w:spacing w:after="0"/>
              <w:rPr>
                <w:sz w:val="20"/>
                <w:szCs w:val="20"/>
                <w:color w:val="auto"/>
              </w:rPr>
            </w:pPr>
            <w:r>
              <w:rPr>
                <w:rFonts w:ascii="Arial" w:cs="Arial" w:eastAsia="Arial" w:hAnsi="Arial"/>
                <w:sz w:val="15"/>
                <w:szCs w:val="15"/>
                <w:color w:val="auto"/>
              </w:rPr>
              <w:t>Deferred Bonus Plans</w:t>
            </w:r>
          </w:p>
        </w:tc>
        <w:tc>
          <w:tcPr>
            <w:tcW w:w="1500" w:type="dxa"/>
            <w:vAlign w:val="bottom"/>
            <w:tcBorders>
              <w:bottom w:val="single" w:sz="8" w:color="051D49"/>
            </w:tcBorders>
          </w:tcPr>
          <w:p>
            <w:pPr>
              <w:jc w:val="right"/>
              <w:ind w:right="126"/>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051D49"/>
            </w:tcBorders>
          </w:tcPr>
          <w:p>
            <w:pPr>
              <w:jc w:val="right"/>
              <w:ind w:right="2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51D49"/>
            </w:tcBorders>
          </w:tcPr>
          <w:p>
            <w:pPr>
              <w:jc w:val="right"/>
              <w:ind w:right="12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051D49"/>
            </w:tcBorders>
          </w:tcPr>
          <w:p>
            <w:pPr>
              <w:ind w:left="60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w:t>
            </w:r>
          </w:p>
        </w:tc>
      </w:tr>
      <w:tr>
        <w:trPr>
          <w:trHeight w:val="231"/>
        </w:trPr>
        <w:tc>
          <w:tcPr>
            <w:tcW w:w="2020" w:type="dxa"/>
            <w:vAlign w:val="bottom"/>
          </w:tcPr>
          <w:p>
            <w:pPr>
              <w:ind w:left="60"/>
              <w:spacing w:after="0"/>
              <w:rPr>
                <w:sz w:val="20"/>
                <w:szCs w:val="20"/>
                <w:color w:val="auto"/>
              </w:rPr>
            </w:pPr>
            <w:r>
              <w:rPr>
                <w:rFonts w:ascii="Arial" w:cs="Arial" w:eastAsia="Arial" w:hAnsi="Arial"/>
                <w:sz w:val="15"/>
                <w:szCs w:val="15"/>
                <w:color w:val="auto"/>
              </w:rPr>
              <w:t>Christa A. D’Alimonte</w:t>
            </w:r>
          </w:p>
        </w:tc>
        <w:tc>
          <w:tcPr>
            <w:tcW w:w="2640" w:type="dxa"/>
            <w:vAlign w:val="bottom"/>
          </w:tcPr>
          <w:p>
            <w:pPr>
              <w:jc w:val="center"/>
              <w:ind w:left="205"/>
              <w:spacing w:after="0"/>
              <w:rPr>
                <w:sz w:val="20"/>
                <w:szCs w:val="20"/>
                <w:color w:val="auto"/>
              </w:rPr>
            </w:pPr>
            <w:r>
              <w:rPr>
                <w:rFonts w:ascii="Arial" w:cs="Arial" w:eastAsia="Arial" w:hAnsi="Arial"/>
                <w:sz w:val="15"/>
                <w:szCs w:val="15"/>
                <w:color w:val="auto"/>
              </w:rPr>
              <w:t>Deferred Salary Plans</w:t>
            </w:r>
          </w:p>
        </w:tc>
        <w:tc>
          <w:tcPr>
            <w:tcW w:w="1500" w:type="dxa"/>
            <w:vAlign w:val="bottom"/>
          </w:tcPr>
          <w:p>
            <w:pPr>
              <w:jc w:val="right"/>
              <w:ind w:right="126"/>
              <w:spacing w:after="0"/>
              <w:rPr>
                <w:sz w:val="20"/>
                <w:szCs w:val="20"/>
                <w:color w:val="auto"/>
              </w:rPr>
            </w:pPr>
            <w:r>
              <w:rPr>
                <w:rFonts w:ascii="Arial" w:cs="Arial" w:eastAsia="Arial" w:hAnsi="Arial"/>
                <w:sz w:val="15"/>
                <w:szCs w:val="15"/>
                <w:color w:val="auto"/>
              </w:rPr>
              <w:t>115,250</w:t>
            </w:r>
          </w:p>
        </w:tc>
        <w:tc>
          <w:tcPr>
            <w:tcW w:w="1280" w:type="dxa"/>
            <w:vAlign w:val="bottom"/>
          </w:tcPr>
          <w:p>
            <w:pPr>
              <w:jc w:val="right"/>
              <w:ind w:right="226"/>
              <w:spacing w:after="0"/>
              <w:rPr>
                <w:sz w:val="20"/>
                <w:szCs w:val="20"/>
                <w:color w:val="auto"/>
              </w:rPr>
            </w:pPr>
            <w:r>
              <w:rPr>
                <w:rFonts w:ascii="Arial" w:cs="Arial" w:eastAsia="Arial" w:hAnsi="Arial"/>
                <w:sz w:val="15"/>
                <w:szCs w:val="15"/>
                <w:color w:val="auto"/>
              </w:rPr>
              <w:t>14,087</w:t>
            </w: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113,039</w:t>
            </w:r>
          </w:p>
        </w:tc>
        <w:tc>
          <w:tcPr>
            <w:tcW w:w="1300" w:type="dxa"/>
            <w:vAlign w:val="bottom"/>
          </w:tcPr>
          <w:p>
            <w:pPr>
              <w:ind w:left="6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1,250,820</w:t>
            </w:r>
          </w:p>
        </w:tc>
      </w:tr>
      <w:tr>
        <w:trPr>
          <w:trHeight w:val="257"/>
        </w:trPr>
        <w:tc>
          <w:tcPr>
            <w:tcW w:w="2020" w:type="dxa"/>
            <w:vAlign w:val="bottom"/>
            <w:tcBorders>
              <w:bottom w:val="single" w:sz="8" w:color="051D49"/>
            </w:tcBorders>
          </w:tcPr>
          <w:p>
            <w:pPr>
              <w:spacing w:after="0"/>
              <w:rPr>
                <w:sz w:val="22"/>
                <w:szCs w:val="22"/>
                <w:color w:val="auto"/>
              </w:rPr>
            </w:pPr>
          </w:p>
        </w:tc>
        <w:tc>
          <w:tcPr>
            <w:tcW w:w="2640" w:type="dxa"/>
            <w:vAlign w:val="bottom"/>
            <w:tcBorders>
              <w:bottom w:val="single" w:sz="8" w:color="051D49"/>
            </w:tcBorders>
          </w:tcPr>
          <w:p>
            <w:pPr>
              <w:jc w:val="center"/>
              <w:ind w:left="205"/>
              <w:spacing w:after="0"/>
              <w:rPr>
                <w:sz w:val="20"/>
                <w:szCs w:val="20"/>
                <w:color w:val="auto"/>
              </w:rPr>
            </w:pPr>
            <w:r>
              <w:rPr>
                <w:rFonts w:ascii="Arial" w:cs="Arial" w:eastAsia="Arial" w:hAnsi="Arial"/>
                <w:sz w:val="15"/>
                <w:szCs w:val="15"/>
                <w:color w:val="auto"/>
              </w:rPr>
              <w:t>Deferred Bonus Plans</w:t>
            </w:r>
          </w:p>
        </w:tc>
        <w:tc>
          <w:tcPr>
            <w:tcW w:w="1500" w:type="dxa"/>
            <w:vAlign w:val="bottom"/>
            <w:tcBorders>
              <w:bottom w:val="single" w:sz="8" w:color="051D49"/>
            </w:tcBorders>
          </w:tcPr>
          <w:p>
            <w:pPr>
              <w:jc w:val="right"/>
              <w:ind w:right="126"/>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051D49"/>
            </w:tcBorders>
          </w:tcPr>
          <w:p>
            <w:pPr>
              <w:jc w:val="right"/>
              <w:ind w:right="2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51D49"/>
            </w:tcBorders>
          </w:tcPr>
          <w:p>
            <w:pPr>
              <w:jc w:val="right"/>
              <w:ind w:right="12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051D49"/>
            </w:tcBorders>
          </w:tcPr>
          <w:p>
            <w:pPr>
              <w:ind w:left="60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w:t>
            </w:r>
          </w:p>
        </w:tc>
      </w:tr>
      <w:tr>
        <w:trPr>
          <w:trHeight w:val="231"/>
        </w:trPr>
        <w:tc>
          <w:tcPr>
            <w:tcW w:w="2020" w:type="dxa"/>
            <w:vAlign w:val="bottom"/>
          </w:tcPr>
          <w:p>
            <w:pPr>
              <w:ind w:left="60"/>
              <w:spacing w:after="0"/>
              <w:rPr>
                <w:sz w:val="20"/>
                <w:szCs w:val="20"/>
                <w:color w:val="auto"/>
              </w:rPr>
            </w:pPr>
            <w:r>
              <w:rPr>
                <w:rFonts w:ascii="Arial" w:cs="Arial" w:eastAsia="Arial" w:hAnsi="Arial"/>
                <w:sz w:val="15"/>
                <w:szCs w:val="15"/>
                <w:color w:val="auto"/>
              </w:rPr>
              <w:t>Doretha F. Lea</w:t>
            </w:r>
          </w:p>
        </w:tc>
        <w:tc>
          <w:tcPr>
            <w:tcW w:w="2640" w:type="dxa"/>
            <w:vAlign w:val="bottom"/>
          </w:tcPr>
          <w:p>
            <w:pPr>
              <w:jc w:val="center"/>
              <w:ind w:left="205"/>
              <w:spacing w:after="0"/>
              <w:rPr>
                <w:sz w:val="20"/>
                <w:szCs w:val="20"/>
                <w:color w:val="auto"/>
              </w:rPr>
            </w:pPr>
            <w:r>
              <w:rPr>
                <w:rFonts w:ascii="Arial" w:cs="Arial" w:eastAsia="Arial" w:hAnsi="Arial"/>
                <w:sz w:val="15"/>
                <w:szCs w:val="15"/>
                <w:color w:val="auto"/>
              </w:rPr>
              <w:t>Deferred Salary Plans</w:t>
            </w:r>
          </w:p>
        </w:tc>
        <w:tc>
          <w:tcPr>
            <w:tcW w:w="1500" w:type="dxa"/>
            <w:vAlign w:val="bottom"/>
          </w:tcPr>
          <w:p>
            <w:pPr>
              <w:jc w:val="right"/>
              <w:ind w:right="126"/>
              <w:spacing w:after="0"/>
              <w:rPr>
                <w:sz w:val="20"/>
                <w:szCs w:val="20"/>
                <w:color w:val="auto"/>
              </w:rPr>
            </w:pPr>
            <w:r>
              <w:rPr>
                <w:rFonts w:ascii="Arial" w:cs="Arial" w:eastAsia="Arial" w:hAnsi="Arial"/>
                <w:sz w:val="15"/>
                <w:szCs w:val="15"/>
                <w:color w:val="auto"/>
              </w:rPr>
              <w:t>110,166</w:t>
            </w:r>
          </w:p>
        </w:tc>
        <w:tc>
          <w:tcPr>
            <w:tcW w:w="1280" w:type="dxa"/>
            <w:vAlign w:val="bottom"/>
          </w:tcPr>
          <w:p>
            <w:pPr>
              <w:jc w:val="right"/>
              <w:ind w:right="226"/>
              <w:spacing w:after="0"/>
              <w:rPr>
                <w:sz w:val="20"/>
                <w:szCs w:val="20"/>
                <w:color w:val="auto"/>
              </w:rPr>
            </w:pPr>
            <w:r>
              <w:rPr>
                <w:rFonts w:ascii="Arial" w:cs="Arial" w:eastAsia="Arial" w:hAnsi="Arial"/>
                <w:sz w:val="15"/>
                <w:szCs w:val="15"/>
                <w:color w:val="auto"/>
              </w:rPr>
              <w:t>11,301</w:t>
            </w: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218,248</w:t>
            </w:r>
          </w:p>
        </w:tc>
        <w:tc>
          <w:tcPr>
            <w:tcW w:w="1300" w:type="dxa"/>
            <w:vAlign w:val="bottom"/>
          </w:tcPr>
          <w:p>
            <w:pPr>
              <w:ind w:left="6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1,490,023</w:t>
            </w:r>
          </w:p>
        </w:tc>
      </w:tr>
      <w:tr>
        <w:trPr>
          <w:trHeight w:val="257"/>
        </w:trPr>
        <w:tc>
          <w:tcPr>
            <w:tcW w:w="2020" w:type="dxa"/>
            <w:vAlign w:val="bottom"/>
            <w:tcBorders>
              <w:bottom w:val="single" w:sz="8" w:color="051D49"/>
            </w:tcBorders>
          </w:tcPr>
          <w:p>
            <w:pPr>
              <w:spacing w:after="0"/>
              <w:rPr>
                <w:sz w:val="22"/>
                <w:szCs w:val="22"/>
                <w:color w:val="auto"/>
              </w:rPr>
            </w:pPr>
          </w:p>
        </w:tc>
        <w:tc>
          <w:tcPr>
            <w:tcW w:w="2640" w:type="dxa"/>
            <w:vAlign w:val="bottom"/>
            <w:tcBorders>
              <w:bottom w:val="single" w:sz="8" w:color="051D49"/>
            </w:tcBorders>
          </w:tcPr>
          <w:p>
            <w:pPr>
              <w:jc w:val="center"/>
              <w:ind w:left="205"/>
              <w:spacing w:after="0"/>
              <w:rPr>
                <w:sz w:val="20"/>
                <w:szCs w:val="20"/>
                <w:color w:val="auto"/>
              </w:rPr>
            </w:pPr>
            <w:r>
              <w:rPr>
                <w:rFonts w:ascii="Arial" w:cs="Arial" w:eastAsia="Arial" w:hAnsi="Arial"/>
                <w:sz w:val="15"/>
                <w:szCs w:val="15"/>
                <w:color w:val="auto"/>
              </w:rPr>
              <w:t>Deferred Bonus Plans</w:t>
            </w:r>
          </w:p>
        </w:tc>
        <w:tc>
          <w:tcPr>
            <w:tcW w:w="1500" w:type="dxa"/>
            <w:vAlign w:val="bottom"/>
            <w:tcBorders>
              <w:bottom w:val="single" w:sz="8" w:color="051D49"/>
            </w:tcBorders>
          </w:tcPr>
          <w:p>
            <w:pPr>
              <w:jc w:val="right"/>
              <w:ind w:right="126"/>
              <w:spacing w:after="0"/>
              <w:rPr>
                <w:sz w:val="20"/>
                <w:szCs w:val="20"/>
                <w:color w:val="auto"/>
              </w:rPr>
            </w:pPr>
            <w:r>
              <w:rPr>
                <w:rFonts w:ascii="Arial" w:cs="Arial" w:eastAsia="Arial" w:hAnsi="Arial"/>
                <w:sz w:val="15"/>
                <w:szCs w:val="15"/>
                <w:color w:val="auto"/>
              </w:rPr>
              <w:t>59,356</w:t>
            </w:r>
          </w:p>
        </w:tc>
        <w:tc>
          <w:tcPr>
            <w:tcW w:w="1280" w:type="dxa"/>
            <w:vAlign w:val="bottom"/>
            <w:tcBorders>
              <w:bottom w:val="single" w:sz="8" w:color="051D49"/>
            </w:tcBorders>
          </w:tcPr>
          <w:p>
            <w:pPr>
              <w:jc w:val="right"/>
              <w:ind w:right="2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51D49"/>
            </w:tcBorders>
          </w:tcPr>
          <w:p>
            <w:pPr>
              <w:jc w:val="right"/>
              <w:ind w:right="126"/>
              <w:spacing w:after="0"/>
              <w:rPr>
                <w:sz w:val="20"/>
                <w:szCs w:val="20"/>
                <w:color w:val="auto"/>
              </w:rPr>
            </w:pPr>
            <w:r>
              <w:rPr>
                <w:rFonts w:ascii="Arial" w:cs="Arial" w:eastAsia="Arial" w:hAnsi="Arial"/>
                <w:sz w:val="15"/>
                <w:szCs w:val="15"/>
                <w:color w:val="auto"/>
              </w:rPr>
              <w:t>39,743</w:t>
            </w:r>
          </w:p>
        </w:tc>
        <w:tc>
          <w:tcPr>
            <w:tcW w:w="1300" w:type="dxa"/>
            <w:vAlign w:val="bottom"/>
            <w:tcBorders>
              <w:bottom w:val="single" w:sz="8" w:color="051D49"/>
            </w:tcBorders>
          </w:tcPr>
          <w:p>
            <w:pPr>
              <w:ind w:left="60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285,479</w:t>
            </w:r>
          </w:p>
        </w:tc>
      </w:tr>
      <w:tr>
        <w:trPr>
          <w:trHeight w:val="231"/>
        </w:trPr>
        <w:tc>
          <w:tcPr>
            <w:tcW w:w="2020" w:type="dxa"/>
            <w:vAlign w:val="bottom"/>
          </w:tcPr>
          <w:p>
            <w:pPr>
              <w:ind w:left="60"/>
              <w:spacing w:after="0"/>
              <w:rPr>
                <w:sz w:val="20"/>
                <w:szCs w:val="20"/>
                <w:color w:val="auto"/>
              </w:rPr>
            </w:pPr>
            <w:r>
              <w:rPr>
                <w:rFonts w:ascii="Arial" w:cs="Arial" w:eastAsia="Arial" w:hAnsi="Arial"/>
                <w:sz w:val="15"/>
                <w:szCs w:val="15"/>
                <w:color w:val="auto"/>
              </w:rPr>
              <w:t>Nancy Phillips</w:t>
            </w:r>
          </w:p>
        </w:tc>
        <w:tc>
          <w:tcPr>
            <w:tcW w:w="2640" w:type="dxa"/>
            <w:vAlign w:val="bottom"/>
          </w:tcPr>
          <w:p>
            <w:pPr>
              <w:jc w:val="center"/>
              <w:ind w:left="205"/>
              <w:spacing w:after="0"/>
              <w:rPr>
                <w:sz w:val="20"/>
                <w:szCs w:val="20"/>
                <w:color w:val="auto"/>
              </w:rPr>
            </w:pPr>
            <w:r>
              <w:rPr>
                <w:rFonts w:ascii="Arial" w:cs="Arial" w:eastAsia="Arial" w:hAnsi="Arial"/>
                <w:sz w:val="15"/>
                <w:szCs w:val="15"/>
                <w:color w:val="auto"/>
              </w:rPr>
              <w:t>Deferred Salary Plans</w:t>
            </w:r>
          </w:p>
        </w:tc>
        <w:tc>
          <w:tcPr>
            <w:tcW w:w="1500" w:type="dxa"/>
            <w:vAlign w:val="bottom"/>
          </w:tcPr>
          <w:p>
            <w:pPr>
              <w:jc w:val="right"/>
              <w:ind w:right="126"/>
              <w:spacing w:after="0"/>
              <w:rPr>
                <w:sz w:val="20"/>
                <w:szCs w:val="20"/>
                <w:color w:val="auto"/>
              </w:rPr>
            </w:pPr>
            <w:r>
              <w:rPr>
                <w:rFonts w:ascii="Arial" w:cs="Arial" w:eastAsia="Arial" w:hAnsi="Arial"/>
                <w:sz w:val="15"/>
                <w:szCs w:val="15"/>
                <w:color w:val="auto"/>
              </w:rPr>
              <w:t>30,536</w:t>
            </w:r>
          </w:p>
        </w:tc>
        <w:tc>
          <w:tcPr>
            <w:tcW w:w="1280" w:type="dxa"/>
            <w:vAlign w:val="bottom"/>
          </w:tcPr>
          <w:p>
            <w:pPr>
              <w:jc w:val="right"/>
              <w:ind w:right="226"/>
              <w:spacing w:after="0"/>
              <w:rPr>
                <w:sz w:val="20"/>
                <w:szCs w:val="20"/>
                <w:color w:val="auto"/>
              </w:rPr>
            </w:pPr>
            <w:r>
              <w:rPr>
                <w:rFonts w:ascii="Arial" w:cs="Arial" w:eastAsia="Arial" w:hAnsi="Arial"/>
                <w:sz w:val="15"/>
                <w:szCs w:val="15"/>
                <w:color w:val="auto"/>
              </w:rPr>
              <w:t>7,750</w:t>
            </w: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10,850</w:t>
            </w:r>
          </w:p>
        </w:tc>
        <w:tc>
          <w:tcPr>
            <w:tcW w:w="1300" w:type="dxa"/>
            <w:vAlign w:val="bottom"/>
          </w:tcPr>
          <w:p>
            <w:pPr>
              <w:ind w:left="6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142,046</w:t>
            </w:r>
          </w:p>
        </w:tc>
      </w:tr>
      <w:tr>
        <w:trPr>
          <w:trHeight w:val="257"/>
        </w:trPr>
        <w:tc>
          <w:tcPr>
            <w:tcW w:w="2020" w:type="dxa"/>
            <w:vAlign w:val="bottom"/>
            <w:tcBorders>
              <w:bottom w:val="single" w:sz="8" w:color="051D49"/>
            </w:tcBorders>
          </w:tcPr>
          <w:p>
            <w:pPr>
              <w:spacing w:after="0"/>
              <w:rPr>
                <w:sz w:val="22"/>
                <w:szCs w:val="22"/>
                <w:color w:val="auto"/>
              </w:rPr>
            </w:pPr>
          </w:p>
        </w:tc>
        <w:tc>
          <w:tcPr>
            <w:tcW w:w="2640" w:type="dxa"/>
            <w:vAlign w:val="bottom"/>
            <w:tcBorders>
              <w:bottom w:val="single" w:sz="8" w:color="051D49"/>
            </w:tcBorders>
          </w:tcPr>
          <w:p>
            <w:pPr>
              <w:jc w:val="center"/>
              <w:ind w:left="205"/>
              <w:spacing w:after="0"/>
              <w:rPr>
                <w:sz w:val="20"/>
                <w:szCs w:val="20"/>
                <w:color w:val="auto"/>
              </w:rPr>
            </w:pPr>
            <w:r>
              <w:rPr>
                <w:rFonts w:ascii="Arial" w:cs="Arial" w:eastAsia="Arial" w:hAnsi="Arial"/>
                <w:sz w:val="15"/>
                <w:szCs w:val="15"/>
                <w:color w:val="auto"/>
              </w:rPr>
              <w:t>Deferred Bonus Plans</w:t>
            </w:r>
          </w:p>
        </w:tc>
        <w:tc>
          <w:tcPr>
            <w:tcW w:w="1500" w:type="dxa"/>
            <w:vAlign w:val="bottom"/>
            <w:tcBorders>
              <w:bottom w:val="single" w:sz="8" w:color="051D49"/>
            </w:tcBorders>
          </w:tcPr>
          <w:p>
            <w:pPr>
              <w:jc w:val="right"/>
              <w:ind w:right="126"/>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051D49"/>
            </w:tcBorders>
          </w:tcPr>
          <w:p>
            <w:pPr>
              <w:jc w:val="right"/>
              <w:ind w:right="22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51D49"/>
            </w:tcBorders>
          </w:tcPr>
          <w:p>
            <w:pPr>
              <w:jc w:val="right"/>
              <w:ind w:right="12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051D49"/>
            </w:tcBorders>
          </w:tcPr>
          <w:p>
            <w:pPr>
              <w:ind w:left="60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w:t>
            </w:r>
          </w:p>
        </w:tc>
      </w:tr>
    </w:tbl>
    <w:p>
      <w:pPr>
        <w:spacing w:after="0" w:line="106" w:lineRule="exact"/>
        <w:rPr>
          <w:sz w:val="20"/>
          <w:szCs w:val="20"/>
          <w:color w:val="auto"/>
        </w:rPr>
      </w:pPr>
    </w:p>
    <w:p>
      <w:pPr>
        <w:ind w:left="480" w:right="800" w:hanging="313"/>
        <w:spacing w:after="0" w:line="279" w:lineRule="auto"/>
        <w:tabs>
          <w:tab w:leader="none" w:pos="4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Executive contributions pursuant to deferred salary and bonus plans are included in the “Salary” and “Non-Equity Incentive Plan” columns, respectively, in the Summary Compensation Table for Fiscal Year 2021.</w:t>
      </w:r>
    </w:p>
    <w:p>
      <w:pPr>
        <w:spacing w:after="0" w:line="67" w:lineRule="exact"/>
        <w:rPr>
          <w:rFonts w:ascii="Arial" w:cs="Arial" w:eastAsia="Arial" w:hAnsi="Arial"/>
          <w:sz w:val="16"/>
          <w:szCs w:val="16"/>
          <w:color w:val="auto"/>
        </w:rPr>
      </w:pPr>
    </w:p>
    <w:p>
      <w:pPr>
        <w:ind w:left="480" w:hanging="313"/>
        <w:spacing w:after="0"/>
        <w:tabs>
          <w:tab w:leader="none" w:pos="4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Amounts reported are included in the “All Other Compensation” column of the Summary Compensation Table for Fiscal Year 2021.</w:t>
      </w:r>
    </w:p>
    <w:p>
      <w:pPr>
        <w:spacing w:after="0" w:line="123" w:lineRule="exact"/>
        <w:rPr>
          <w:rFonts w:ascii="Arial" w:cs="Arial" w:eastAsia="Arial" w:hAnsi="Arial"/>
          <w:sz w:val="16"/>
          <w:szCs w:val="16"/>
          <w:color w:val="auto"/>
        </w:rPr>
      </w:pPr>
    </w:p>
    <w:p>
      <w:pPr>
        <w:ind w:left="480" w:right="240" w:hanging="313"/>
        <w:spacing w:after="0" w:line="262" w:lineRule="auto"/>
        <w:tabs>
          <w:tab w:leader="none" w:pos="4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Amounts reflect earnings or losses on all amounts deferred in 2021 and prior years in nonqualified plans, net of deductions for fees. No portion of these amounts is included in the Summary Compensation Table for Fiscal Year 2021, as none of these plans or arrangements provided for above-market or preferential earnings during 2021, as noted in footnote (5) to the Summary Compensation Table for Fiscal Year 2021.</w:t>
      </w:r>
    </w:p>
    <w:p>
      <w:pPr>
        <w:spacing w:after="0" w:line="120"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63</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Description of Nonqualified Deferred Compensation</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Set forth below is information with respect to each plan under which deferrals of compensation are reflected in the table above.</w:t>
      </w:r>
    </w:p>
    <w:p>
      <w:pPr>
        <w:spacing w:after="0" w:line="3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1D49"/>
        </w:rPr>
        <w:t>Deferred Salary Plan</w:t>
      </w:r>
    </w:p>
    <w:p>
      <w:pPr>
        <w:spacing w:after="0" w:line="99" w:lineRule="exact"/>
        <w:rPr>
          <w:sz w:val="20"/>
          <w:szCs w:val="20"/>
          <w:color w:val="auto"/>
        </w:rPr>
      </w:pPr>
    </w:p>
    <w:p>
      <w:pPr>
        <w:ind w:left="160" w:right="100"/>
        <w:spacing w:after="0" w:line="243" w:lineRule="auto"/>
        <w:rPr>
          <w:sz w:val="20"/>
          <w:szCs w:val="20"/>
          <w:color w:val="auto"/>
        </w:rPr>
      </w:pPr>
      <w:r>
        <w:rPr>
          <w:rFonts w:ascii="Arial" w:cs="Arial" w:eastAsia="Arial" w:hAnsi="Arial"/>
          <w:sz w:val="18"/>
          <w:szCs w:val="18"/>
          <w:color w:val="auto"/>
        </w:rPr>
        <w:t>We maintain supplemental 401(k) plans, including the Viacom Excess 401(k) Plan for Designated Senior Executives (the “Viacom Excess 401(k) Plan”), an unfunded nonqualified deferred compensation plan intended to provide benefits to employees who are eligible to participate in a Company-sponsored 401(k) plan (“</w:t>
      </w:r>
      <w:r>
        <w:rPr>
          <w:rFonts w:ascii="Arial" w:cs="Arial" w:eastAsia="Arial" w:hAnsi="Arial"/>
          <w:sz w:val="18"/>
          <w:szCs w:val="18"/>
          <w:i w:val="1"/>
          <w:iCs w:val="1"/>
          <w:color w:val="auto"/>
        </w:rPr>
        <w:t>Company 401(k) Plan</w:t>
      </w:r>
      <w:r>
        <w:rPr>
          <w:rFonts w:ascii="Arial" w:cs="Arial" w:eastAsia="Arial" w:hAnsi="Arial"/>
          <w:sz w:val="18"/>
          <w:szCs w:val="18"/>
          <w:color w:val="auto"/>
        </w:rPr>
        <w:t>”), and whose annual base salary exceeds the Annual Limit. A participant can defer between 1% and 15% of his or her eligible compensation through payroll deductions on a pre-tax basis.</w:t>
      </w:r>
    </w:p>
    <w:p>
      <w:pPr>
        <w:spacing w:after="0" w:line="178" w:lineRule="exact"/>
        <w:rPr>
          <w:sz w:val="20"/>
          <w:szCs w:val="20"/>
          <w:color w:val="auto"/>
        </w:rPr>
      </w:pPr>
    </w:p>
    <w:p>
      <w:pPr>
        <w:ind w:left="160" w:right="140"/>
        <w:spacing w:after="0" w:line="235" w:lineRule="auto"/>
        <w:rPr>
          <w:sz w:val="20"/>
          <w:szCs w:val="20"/>
          <w:color w:val="auto"/>
        </w:rPr>
      </w:pPr>
      <w:r>
        <w:rPr>
          <w:rFonts w:ascii="Arial" w:cs="Arial" w:eastAsia="Arial" w:hAnsi="Arial"/>
          <w:sz w:val="18"/>
          <w:szCs w:val="18"/>
          <w:color w:val="auto"/>
        </w:rPr>
        <w:t>Under the Viacom Excess 401(k) Plan, eligible compensation generally includes a participant’s base pay including all pre-tax elective contributions made on behalf of a participant either to a company “qualified cash or deferred arrangement” (as defined under Section 401(k) of the Code and applicable regulations), a “cafeteria plan” (as defined under Section 125 of the Code and applicable regulations) or a “qualified transportation fringe” (as defined under Section 132(f) of the Code and applicable regulations). Eligible compensation under the Viacom Excess 401(k) Plan does not include deferred compensation or cash bonuses under the Company’s short-term incentive plan. In fiscal year 2021, eligible compensation contributed by a participant on a pre-tax basis was matched 100% of the first 1% and 50% of the next 5%. Matching contributions credited under the Viacom Excess 401(k) Plan for any participant were subject to an eligible compensation limit of $500,000. Participants become fully vested in the matching contribution after two years of service. Participant accounts under the Viacom Excess 401(k) Plan are credited (or charged) with earnings, gains or losses based on the investment performance of the funds selected by the participant for amounts contributed to the Company 401(k) Plan. The vested portion of a participant’s Viacom Excess 401(k) Plan account is distributed in cash after termination of employment in accordance with the participant’s distribution election, either in a lump sum payment or in installment payments.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1D49"/>
        </w:rPr>
        <w:t>Deferred Bonus Plan</w:t>
      </w:r>
    </w:p>
    <w:p>
      <w:pPr>
        <w:spacing w:after="0" w:line="99" w:lineRule="exact"/>
        <w:rPr>
          <w:sz w:val="20"/>
          <w:szCs w:val="20"/>
          <w:color w:val="auto"/>
        </w:rPr>
      </w:pPr>
    </w:p>
    <w:p>
      <w:pPr>
        <w:ind w:left="160" w:right="40"/>
        <w:spacing w:after="0" w:line="254" w:lineRule="auto"/>
        <w:rPr>
          <w:sz w:val="20"/>
          <w:szCs w:val="20"/>
          <w:color w:val="auto"/>
        </w:rPr>
      </w:pPr>
      <w:r>
        <w:rPr>
          <w:rFonts w:ascii="Arial" w:cs="Arial" w:eastAsia="Arial" w:hAnsi="Arial"/>
          <w:sz w:val="17"/>
          <w:szCs w:val="17"/>
          <w:color w:val="auto"/>
        </w:rPr>
        <w:t>We maintain the Viacom Bonus Deferral Plan for Designated Senior Executives (the “Viacom BDP”), an unfunded nonqualified deferred compensation plan intended to provide benefits to employees who are eligible to participate in a Company 401(k) Plan, and whose annual base salary exceeds the Annual Limit. Participants can defer between 1% and 15% of their short-term incentive plan bonus to the Viacom BDP on a pre-tax basis. Participant accounts under the Viacom BDP are credited (or charged) with earnings, gains or losses based on the investment performance of the funds selected by the participant for amounts contributed to a Company 401(k) Plan. Amounts deferred under the Viacom BDP are distributed in cash after termination of employment in accordance with the participant’s distribution election, either in a lump sum payment or installment payments. Matching contributions are not made under the Viacom BDP.</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POTENTIAL PAYMENTS UPON TERMINATION AND CERTAIN OTHER EVENTS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Potential Payments Pursuant to Arrangements with NEOs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of December 31, 2021, all of our NEOs had employment agreements providing for payments upon certain terminations of employment. The table below sets forth estimated potential payments that would have been made to each NEO if his or her employment had terminated as of December 31, 2021 under certain circumstances. We have assumed in all cases that the NEO has complied and continues to comply with all of the restrictive and other covenants included in his or her employment agreement and has not become employed by a new employer in those cases where the employment agreement requires offset of severance amounts or benefits.</w:t>
      </w:r>
    </w:p>
    <w:p>
      <w:pPr>
        <w:spacing w:after="0" w:line="182"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The following table reflects the incremental payments and benefits due to the executive in connection with (i) such executive’s termination without “Cause” or resignation with “Good Reason” (each, a “qualifying termination”) or (ii) such executive’s termination as a result of his or her death or disability, in each case, assuming a termination on December 31, 2021. These amounts represent payments and benefits beyond what the NEO earned and those that were no longer subject to vesting conditions, as of December 31, 2021, and do not reflect benefits that are provided pursuant to plans or arrangements that do not discriminate in favor of executive officers and are available generally to all salaried employees (such as amounts accrued under the 401(k) plans, disability benefits and accrued vacation pay) or that are set forth in the Nonqualified Deferred Compensation in 2021 table or Pension Benefits in 2021 table (such as amounts under Excess Plans and accumulated and vested benefits under our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29755" cy="2374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13"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64</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80"/>
          </w:cols>
          <w:pgMar w:left="320" w:top="454" w:right="49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8840"/>
        <w:spacing w:after="0"/>
        <w:rPr>
          <w:sz w:val="20"/>
          <w:szCs w:val="20"/>
          <w:color w:val="auto"/>
        </w:rPr>
      </w:pPr>
      <w:r>
        <w:rPr>
          <w:rFonts w:ascii="Arial" w:cs="Arial" w:eastAsia="Arial" w:hAnsi="Arial"/>
          <w:sz w:val="15"/>
          <w:szCs w:val="15"/>
          <w:color w:val="auto"/>
        </w:rPr>
        <w:t>EXECUTIVE COMPENSATION</w:t>
      </w:r>
    </w:p>
    <w:p>
      <w:pPr>
        <w:spacing w:after="0" w:line="157" w:lineRule="exact"/>
        <w:rPr>
          <w:sz w:val="20"/>
          <w:szCs w:val="20"/>
          <w:color w:val="auto"/>
        </w:rPr>
      </w:pPr>
    </w:p>
    <w:p>
      <w:pPr>
        <w:ind w:left="160" w:right="100"/>
        <w:spacing w:after="0" w:line="243" w:lineRule="auto"/>
        <w:rPr>
          <w:sz w:val="20"/>
          <w:szCs w:val="20"/>
          <w:color w:val="auto"/>
        </w:rPr>
      </w:pPr>
      <w:r>
        <w:rPr>
          <w:rFonts w:ascii="Arial" w:cs="Arial" w:eastAsia="Arial" w:hAnsi="Arial"/>
          <w:sz w:val="18"/>
          <w:szCs w:val="18"/>
          <w:color w:val="auto"/>
        </w:rPr>
        <w:t>No NEO would receive incremental payments or other benefits if they resigned from the Company without “Good Reason” or were terminated by the Company for “Cause.” None of the employment agreements with our NEOs in effect as of December 31, 2021 provides for payments and benefits solely in the event of a change-in-control or enhanced payments or benefits upon a termination in connection with a change-in-control.</w:t>
      </w:r>
    </w:p>
    <w:p>
      <w:pPr>
        <w:spacing w:after="0" w:line="178" w:lineRule="exact"/>
        <w:rPr>
          <w:sz w:val="20"/>
          <w:szCs w:val="20"/>
          <w:color w:val="auto"/>
        </w:rPr>
      </w:pPr>
    </w:p>
    <w:p>
      <w:pPr>
        <w:ind w:left="160" w:right="200"/>
        <w:spacing w:after="0" w:line="243" w:lineRule="auto"/>
        <w:rPr>
          <w:sz w:val="20"/>
          <w:szCs w:val="20"/>
          <w:color w:val="auto"/>
        </w:rPr>
      </w:pPr>
      <w:r>
        <w:rPr>
          <w:rFonts w:ascii="Arial" w:cs="Arial" w:eastAsia="Arial" w:hAnsi="Arial"/>
          <w:sz w:val="18"/>
          <w:szCs w:val="18"/>
          <w:color w:val="auto"/>
        </w:rPr>
        <w:t>Each of the NEOs’ employment agreements provides that if, at the time of a qualifying termination, there is in effect a severance plan for which the applicable executive is eligible that provides for more favorable severance payments and benefits than those set forth in the executive’s employment agreement, then the executive’s severance amounts will be automatically adjusted to those amounts. As of December 31, 2021, no NEO participated in any such severance plan.</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3740" w:type="dxa"/>
            <w:vAlign w:val="bottom"/>
            <w:shd w:val="clear" w:color="auto" w:fill="EAEAEA"/>
          </w:tcPr>
          <w:p>
            <w:pPr>
              <w:spacing w:after="0"/>
              <w:rPr>
                <w:sz w:val="18"/>
                <w:szCs w:val="18"/>
                <w:color w:val="auto"/>
              </w:rPr>
            </w:pPr>
          </w:p>
        </w:tc>
        <w:tc>
          <w:tcPr>
            <w:tcW w:w="1180" w:type="dxa"/>
            <w:vAlign w:val="bottom"/>
            <w:shd w:val="clear" w:color="auto" w:fill="EAEAEA"/>
          </w:tcPr>
          <w:p>
            <w:pPr>
              <w:spacing w:after="0"/>
              <w:rPr>
                <w:sz w:val="18"/>
                <w:szCs w:val="18"/>
                <w:color w:val="auto"/>
              </w:rPr>
            </w:pPr>
          </w:p>
        </w:tc>
        <w:tc>
          <w:tcPr>
            <w:tcW w:w="1140" w:type="dxa"/>
            <w:vAlign w:val="bottom"/>
            <w:shd w:val="clear" w:color="auto" w:fill="EAEAEA"/>
          </w:tcPr>
          <w:p>
            <w:pPr>
              <w:spacing w:after="0"/>
              <w:rPr>
                <w:sz w:val="18"/>
                <w:szCs w:val="18"/>
                <w:color w:val="auto"/>
              </w:rPr>
            </w:pPr>
          </w:p>
        </w:tc>
        <w:tc>
          <w:tcPr>
            <w:tcW w:w="1360" w:type="dxa"/>
            <w:vAlign w:val="bottom"/>
            <w:shd w:val="clear" w:color="auto" w:fill="EAEAEA"/>
          </w:tcPr>
          <w:p>
            <w:pPr>
              <w:jc w:val="center"/>
              <w:ind w:right="46"/>
              <w:spacing w:after="0"/>
              <w:rPr>
                <w:sz w:val="20"/>
                <w:szCs w:val="20"/>
                <w:color w:val="auto"/>
              </w:rPr>
            </w:pPr>
            <w:r>
              <w:rPr>
                <w:rFonts w:ascii="Arial" w:cs="Arial" w:eastAsia="Arial" w:hAnsi="Arial"/>
                <w:sz w:val="14"/>
                <w:szCs w:val="14"/>
                <w:color w:val="051D49"/>
              </w:rPr>
              <w:t>Continuation</w:t>
            </w:r>
          </w:p>
        </w:tc>
        <w:tc>
          <w:tcPr>
            <w:tcW w:w="1400" w:type="dxa"/>
            <w:vAlign w:val="bottom"/>
            <w:shd w:val="clear" w:color="auto" w:fill="EAEAEA"/>
          </w:tcPr>
          <w:p>
            <w:pPr>
              <w:spacing w:after="0"/>
              <w:rPr>
                <w:sz w:val="18"/>
                <w:szCs w:val="18"/>
                <w:color w:val="auto"/>
              </w:rPr>
            </w:pP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6"/>
              </w:rPr>
              <w:t>Total</w:t>
            </w:r>
          </w:p>
        </w:tc>
        <w:tc>
          <w:tcPr>
            <w:tcW w:w="920" w:type="dxa"/>
            <w:vAlign w:val="bottom"/>
            <w:shd w:val="clear" w:color="auto" w:fill="EAEAEA"/>
          </w:tcPr>
          <w:p>
            <w:pPr>
              <w:spacing w:after="0"/>
              <w:rPr>
                <w:sz w:val="18"/>
                <w:szCs w:val="18"/>
                <w:color w:val="auto"/>
              </w:rPr>
            </w:pPr>
          </w:p>
        </w:tc>
      </w:tr>
      <w:tr>
        <w:trPr>
          <w:trHeight w:val="160"/>
        </w:trPr>
        <w:tc>
          <w:tcPr>
            <w:tcW w:w="3740" w:type="dxa"/>
            <w:vAlign w:val="bottom"/>
            <w:shd w:val="clear" w:color="auto" w:fill="EAEAEA"/>
          </w:tcPr>
          <w:p>
            <w:pPr>
              <w:spacing w:after="0"/>
              <w:rPr>
                <w:sz w:val="13"/>
                <w:szCs w:val="13"/>
                <w:color w:val="auto"/>
              </w:rPr>
            </w:pP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Continuation</w:t>
            </w:r>
          </w:p>
        </w:tc>
        <w:tc>
          <w:tcPr>
            <w:tcW w:w="1140" w:type="dxa"/>
            <w:vAlign w:val="bottom"/>
            <w:shd w:val="clear" w:color="auto" w:fill="EAEAEA"/>
          </w:tcPr>
          <w:p>
            <w:pPr>
              <w:spacing w:after="0"/>
              <w:rPr>
                <w:sz w:val="13"/>
                <w:szCs w:val="13"/>
                <w:color w:val="auto"/>
              </w:rPr>
            </w:pPr>
          </w:p>
        </w:tc>
        <w:tc>
          <w:tcPr>
            <w:tcW w:w="1360" w:type="dxa"/>
            <w:vAlign w:val="bottom"/>
            <w:shd w:val="clear" w:color="auto" w:fill="EAEAEA"/>
          </w:tcPr>
          <w:p>
            <w:pPr>
              <w:jc w:val="center"/>
              <w:ind w:right="46"/>
              <w:spacing w:after="0"/>
              <w:rPr>
                <w:sz w:val="20"/>
                <w:szCs w:val="20"/>
                <w:color w:val="auto"/>
              </w:rPr>
            </w:pPr>
            <w:r>
              <w:rPr>
                <w:rFonts w:ascii="Arial" w:cs="Arial" w:eastAsia="Arial" w:hAnsi="Arial"/>
                <w:sz w:val="14"/>
                <w:szCs w:val="14"/>
                <w:color w:val="051D49"/>
              </w:rPr>
              <w:t>of</w:t>
            </w:r>
          </w:p>
        </w:tc>
        <w:tc>
          <w:tcPr>
            <w:tcW w:w="1400" w:type="dxa"/>
            <w:vAlign w:val="bottom"/>
            <w:shd w:val="clear" w:color="auto" w:fill="EAEAEA"/>
          </w:tcPr>
          <w:p>
            <w:pPr>
              <w:spacing w:after="0"/>
              <w:rPr>
                <w:sz w:val="13"/>
                <w:szCs w:val="13"/>
                <w:color w:val="auto"/>
              </w:rPr>
            </w:pP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Acceleration/</w:t>
            </w:r>
          </w:p>
        </w:tc>
        <w:tc>
          <w:tcPr>
            <w:tcW w:w="920" w:type="dxa"/>
            <w:vAlign w:val="bottom"/>
            <w:shd w:val="clear" w:color="auto" w:fill="EAEAEA"/>
          </w:tcPr>
          <w:p>
            <w:pPr>
              <w:spacing w:after="0"/>
              <w:rPr>
                <w:sz w:val="13"/>
                <w:szCs w:val="13"/>
                <w:color w:val="auto"/>
              </w:rPr>
            </w:pPr>
          </w:p>
        </w:tc>
      </w:tr>
      <w:tr>
        <w:trPr>
          <w:trHeight w:val="160"/>
        </w:trPr>
        <w:tc>
          <w:tcPr>
            <w:tcW w:w="3740" w:type="dxa"/>
            <w:vAlign w:val="bottom"/>
            <w:shd w:val="clear" w:color="auto" w:fill="EAEAEA"/>
          </w:tcPr>
          <w:p>
            <w:pPr>
              <w:spacing w:after="0"/>
              <w:rPr>
                <w:sz w:val="13"/>
                <w:szCs w:val="13"/>
                <w:color w:val="auto"/>
              </w:rPr>
            </w:pP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of Salary and</w:t>
            </w:r>
          </w:p>
        </w:tc>
        <w:tc>
          <w:tcPr>
            <w:tcW w:w="1140" w:type="dxa"/>
            <w:vAlign w:val="bottom"/>
            <w:shd w:val="clear" w:color="auto" w:fill="EAEAEA"/>
          </w:tcPr>
          <w:p>
            <w:pPr>
              <w:jc w:val="center"/>
              <w:ind w:right="65"/>
              <w:spacing w:after="0"/>
              <w:rPr>
                <w:sz w:val="20"/>
                <w:szCs w:val="20"/>
                <w:color w:val="auto"/>
              </w:rPr>
            </w:pPr>
            <w:r>
              <w:rPr>
                <w:rFonts w:ascii="Arial" w:cs="Arial" w:eastAsia="Arial" w:hAnsi="Arial"/>
                <w:sz w:val="14"/>
                <w:szCs w:val="14"/>
                <w:color w:val="051D49"/>
              </w:rPr>
              <w:t>Annual</w:t>
            </w:r>
          </w:p>
        </w:tc>
        <w:tc>
          <w:tcPr>
            <w:tcW w:w="136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Medical,</w:t>
            </w:r>
          </w:p>
        </w:tc>
        <w:tc>
          <w:tcPr>
            <w:tcW w:w="1400" w:type="dxa"/>
            <w:vAlign w:val="bottom"/>
            <w:shd w:val="clear" w:color="auto" w:fill="EAEAEA"/>
          </w:tcPr>
          <w:p>
            <w:pPr>
              <w:spacing w:after="0"/>
              <w:rPr>
                <w:sz w:val="13"/>
                <w:szCs w:val="13"/>
                <w:color w:val="auto"/>
              </w:rPr>
            </w:pP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Continuation</w:t>
            </w:r>
          </w:p>
        </w:tc>
        <w:tc>
          <w:tcPr>
            <w:tcW w:w="920" w:type="dxa"/>
            <w:vAlign w:val="bottom"/>
            <w:shd w:val="clear" w:color="auto" w:fill="EAEAEA"/>
          </w:tcPr>
          <w:p>
            <w:pPr>
              <w:spacing w:after="0"/>
              <w:rPr>
                <w:sz w:val="13"/>
                <w:szCs w:val="13"/>
                <w:color w:val="auto"/>
              </w:rPr>
            </w:pPr>
          </w:p>
        </w:tc>
      </w:tr>
      <w:tr>
        <w:trPr>
          <w:trHeight w:val="160"/>
        </w:trPr>
        <w:tc>
          <w:tcPr>
            <w:tcW w:w="3740" w:type="dxa"/>
            <w:vAlign w:val="bottom"/>
            <w:shd w:val="clear" w:color="auto" w:fill="EAEAEA"/>
          </w:tcPr>
          <w:p>
            <w:pPr>
              <w:spacing w:after="0"/>
              <w:rPr>
                <w:sz w:val="13"/>
                <w:szCs w:val="13"/>
                <w:color w:val="auto"/>
              </w:rPr>
            </w:pP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Other Cash</w:t>
            </w:r>
          </w:p>
        </w:tc>
        <w:tc>
          <w:tcPr>
            <w:tcW w:w="1140" w:type="dxa"/>
            <w:vAlign w:val="bottom"/>
            <w:shd w:val="clear" w:color="auto" w:fill="EAEAEA"/>
          </w:tcPr>
          <w:p>
            <w:pPr>
              <w:jc w:val="center"/>
              <w:ind w:right="65"/>
              <w:spacing w:after="0"/>
              <w:rPr>
                <w:sz w:val="20"/>
                <w:szCs w:val="20"/>
                <w:color w:val="auto"/>
              </w:rPr>
            </w:pPr>
            <w:r>
              <w:rPr>
                <w:rFonts w:ascii="Arial" w:cs="Arial" w:eastAsia="Arial" w:hAnsi="Arial"/>
                <w:sz w:val="14"/>
                <w:szCs w:val="14"/>
                <w:color w:val="051D49"/>
              </w:rPr>
              <w:t>Bonus</w:t>
            </w:r>
          </w:p>
        </w:tc>
        <w:tc>
          <w:tcPr>
            <w:tcW w:w="136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Dental &amp; Life</w:t>
            </w:r>
          </w:p>
        </w:tc>
        <w:tc>
          <w:tcPr>
            <w:tcW w:w="1400" w:type="dxa"/>
            <w:vAlign w:val="bottom"/>
            <w:shd w:val="clear" w:color="auto" w:fill="EAEAEA"/>
          </w:tcPr>
          <w:p>
            <w:pPr>
              <w:jc w:val="center"/>
              <w:ind w:left="25"/>
              <w:spacing w:after="0"/>
              <w:rPr>
                <w:sz w:val="20"/>
                <w:szCs w:val="20"/>
                <w:color w:val="auto"/>
              </w:rPr>
            </w:pPr>
            <w:r>
              <w:rPr>
                <w:rFonts w:ascii="Arial" w:cs="Arial" w:eastAsia="Arial" w:hAnsi="Arial"/>
                <w:sz w:val="14"/>
                <w:szCs w:val="14"/>
                <w:color w:val="051D49"/>
              </w:rPr>
              <w:t>Outplacement</w:t>
            </w: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of Equity</w:t>
            </w:r>
          </w:p>
        </w:tc>
        <w:tc>
          <w:tcPr>
            <w:tcW w:w="920" w:type="dxa"/>
            <w:vAlign w:val="bottom"/>
            <w:shd w:val="clear" w:color="auto" w:fill="EAEAEA"/>
          </w:tcPr>
          <w:p>
            <w:pPr>
              <w:spacing w:after="0"/>
              <w:rPr>
                <w:sz w:val="13"/>
                <w:szCs w:val="13"/>
                <w:color w:val="auto"/>
              </w:rPr>
            </w:pPr>
          </w:p>
        </w:tc>
      </w:tr>
      <w:tr>
        <w:trPr>
          <w:trHeight w:val="160"/>
        </w:trPr>
        <w:tc>
          <w:tcPr>
            <w:tcW w:w="3740" w:type="dxa"/>
            <w:vAlign w:val="bottom"/>
            <w:shd w:val="clear" w:color="auto" w:fill="EAEAEA"/>
          </w:tcPr>
          <w:p>
            <w:pPr>
              <w:spacing w:after="0"/>
              <w:rPr>
                <w:sz w:val="13"/>
                <w:szCs w:val="13"/>
                <w:color w:val="auto"/>
              </w:rPr>
            </w:pP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Compensation</w:t>
            </w:r>
          </w:p>
        </w:tc>
        <w:tc>
          <w:tcPr>
            <w:tcW w:w="1140" w:type="dxa"/>
            <w:vAlign w:val="bottom"/>
            <w:shd w:val="clear" w:color="auto" w:fill="EAEAEA"/>
          </w:tcPr>
          <w:p>
            <w:pPr>
              <w:jc w:val="center"/>
              <w:ind w:right="65"/>
              <w:spacing w:after="0"/>
              <w:rPr>
                <w:sz w:val="20"/>
                <w:szCs w:val="20"/>
                <w:color w:val="auto"/>
              </w:rPr>
            </w:pPr>
            <w:r>
              <w:rPr>
                <w:rFonts w:ascii="Arial" w:cs="Arial" w:eastAsia="Arial" w:hAnsi="Arial"/>
                <w:sz w:val="14"/>
                <w:szCs w:val="14"/>
                <w:color w:val="051D49"/>
              </w:rPr>
              <w:t>Continuation</w:t>
            </w:r>
          </w:p>
        </w:tc>
        <w:tc>
          <w:tcPr>
            <w:tcW w:w="136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Insurance</w:t>
            </w:r>
          </w:p>
        </w:tc>
        <w:tc>
          <w:tcPr>
            <w:tcW w:w="1400" w:type="dxa"/>
            <w:vAlign w:val="bottom"/>
            <w:shd w:val="clear" w:color="auto" w:fill="EAEAEA"/>
          </w:tcPr>
          <w:p>
            <w:pPr>
              <w:jc w:val="center"/>
              <w:ind w:left="25"/>
              <w:spacing w:after="0"/>
              <w:rPr>
                <w:sz w:val="20"/>
                <w:szCs w:val="20"/>
                <w:color w:val="auto"/>
              </w:rPr>
            </w:pPr>
            <w:r>
              <w:rPr>
                <w:rFonts w:ascii="Arial" w:cs="Arial" w:eastAsia="Arial" w:hAnsi="Arial"/>
                <w:sz w:val="14"/>
                <w:szCs w:val="14"/>
                <w:color w:val="051D49"/>
              </w:rPr>
              <w:t>Assistance</w:t>
            </w: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Awards</w:t>
            </w:r>
          </w:p>
        </w:tc>
        <w:tc>
          <w:tcPr>
            <w:tcW w:w="920" w:type="dxa"/>
            <w:vAlign w:val="bottom"/>
            <w:shd w:val="clear" w:color="auto" w:fill="EAEAEA"/>
          </w:tcPr>
          <w:p>
            <w:pPr>
              <w:jc w:val="right"/>
              <w:ind w:right="225"/>
              <w:spacing w:after="0"/>
              <w:rPr>
                <w:sz w:val="20"/>
                <w:szCs w:val="20"/>
                <w:color w:val="auto"/>
              </w:rPr>
            </w:pPr>
            <w:r>
              <w:rPr>
                <w:rFonts w:ascii="Arial" w:cs="Arial" w:eastAsia="Arial" w:hAnsi="Arial"/>
                <w:sz w:val="14"/>
                <w:szCs w:val="14"/>
                <w:color w:val="051D49"/>
              </w:rPr>
              <w:t>Total</w:t>
            </w:r>
          </w:p>
        </w:tc>
      </w:tr>
      <w:tr>
        <w:trPr>
          <w:trHeight w:val="210"/>
        </w:trPr>
        <w:tc>
          <w:tcPr>
            <w:tcW w:w="3740" w:type="dxa"/>
            <w:vAlign w:val="bottom"/>
            <w:shd w:val="clear" w:color="auto" w:fill="EAEAEA"/>
          </w:tcPr>
          <w:p>
            <w:pPr>
              <w:ind w:left="80"/>
              <w:spacing w:after="0"/>
              <w:rPr>
                <w:sz w:val="20"/>
                <w:szCs w:val="20"/>
                <w:color w:val="auto"/>
              </w:rPr>
            </w:pPr>
            <w:r>
              <w:rPr>
                <w:rFonts w:ascii="Arial" w:cs="Arial" w:eastAsia="Arial" w:hAnsi="Arial"/>
                <w:sz w:val="14"/>
                <w:szCs w:val="14"/>
                <w:color w:val="051D49"/>
              </w:rPr>
              <w:t>Termination Scenario</w:t>
            </w: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($)(2)</w:t>
            </w:r>
          </w:p>
        </w:tc>
        <w:tc>
          <w:tcPr>
            <w:tcW w:w="1140" w:type="dxa"/>
            <w:vAlign w:val="bottom"/>
            <w:shd w:val="clear" w:color="auto" w:fill="EAEAEA"/>
          </w:tcPr>
          <w:p>
            <w:pPr>
              <w:jc w:val="center"/>
              <w:ind w:right="65"/>
              <w:spacing w:after="0"/>
              <w:rPr>
                <w:sz w:val="20"/>
                <w:szCs w:val="20"/>
                <w:color w:val="auto"/>
              </w:rPr>
            </w:pPr>
            <w:r>
              <w:rPr>
                <w:rFonts w:ascii="Arial" w:cs="Arial" w:eastAsia="Arial" w:hAnsi="Arial"/>
                <w:sz w:val="14"/>
                <w:szCs w:val="14"/>
                <w:color w:val="051D49"/>
              </w:rPr>
              <w:t>($)(3)</w:t>
            </w:r>
          </w:p>
        </w:tc>
        <w:tc>
          <w:tcPr>
            <w:tcW w:w="136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w w:val="99"/>
              </w:rPr>
              <w:t>($)(4)</w:t>
            </w:r>
          </w:p>
        </w:tc>
        <w:tc>
          <w:tcPr>
            <w:tcW w:w="1400" w:type="dxa"/>
            <w:vAlign w:val="bottom"/>
            <w:shd w:val="clear" w:color="auto" w:fill="EAEAEA"/>
          </w:tcPr>
          <w:p>
            <w:pPr>
              <w:jc w:val="center"/>
              <w:ind w:left="25"/>
              <w:spacing w:after="0"/>
              <w:rPr>
                <w:sz w:val="20"/>
                <w:szCs w:val="20"/>
                <w:color w:val="auto"/>
              </w:rPr>
            </w:pPr>
            <w:r>
              <w:rPr>
                <w:rFonts w:ascii="Arial" w:cs="Arial" w:eastAsia="Arial" w:hAnsi="Arial"/>
                <w:sz w:val="14"/>
                <w:szCs w:val="14"/>
                <w:color w:val="051D49"/>
                <w:w w:val="99"/>
              </w:rPr>
              <w:t>($)(5)</w:t>
            </w: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($)(6)</w:t>
            </w:r>
          </w:p>
        </w:tc>
        <w:tc>
          <w:tcPr>
            <w:tcW w:w="920" w:type="dxa"/>
            <w:vAlign w:val="bottom"/>
            <w:shd w:val="clear" w:color="auto" w:fill="EAEAEA"/>
          </w:tcPr>
          <w:p>
            <w:pPr>
              <w:jc w:val="right"/>
              <w:ind w:right="285"/>
              <w:spacing w:after="0"/>
              <w:rPr>
                <w:sz w:val="20"/>
                <w:szCs w:val="20"/>
                <w:color w:val="auto"/>
              </w:rPr>
            </w:pPr>
            <w:r>
              <w:rPr>
                <w:rFonts w:ascii="Arial" w:cs="Arial" w:eastAsia="Arial" w:hAnsi="Arial"/>
                <w:sz w:val="14"/>
                <w:szCs w:val="14"/>
                <w:color w:val="051D49"/>
              </w:rPr>
              <w:t>($)</w:t>
            </w:r>
          </w:p>
        </w:tc>
      </w:tr>
      <w:tr>
        <w:trPr>
          <w:trHeight w:val="257"/>
        </w:trPr>
        <w:tc>
          <w:tcPr>
            <w:tcW w:w="3740" w:type="dxa"/>
            <w:vAlign w:val="bottom"/>
          </w:tcPr>
          <w:p>
            <w:pPr>
              <w:ind w:left="60"/>
              <w:spacing w:after="0"/>
              <w:rPr>
                <w:sz w:val="20"/>
                <w:szCs w:val="20"/>
                <w:color w:val="auto"/>
              </w:rPr>
            </w:pPr>
            <w:r>
              <w:rPr>
                <w:rFonts w:ascii="Arial" w:cs="Arial" w:eastAsia="Arial" w:hAnsi="Arial"/>
                <w:sz w:val="15"/>
                <w:szCs w:val="15"/>
                <w:b w:val="1"/>
                <w:bCs w:val="1"/>
                <w:color w:val="auto"/>
              </w:rPr>
              <w:t>Robert M. Bakish</w:t>
            </w:r>
          </w:p>
        </w:tc>
        <w:tc>
          <w:tcPr>
            <w:tcW w:w="1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6"/>
        </w:trPr>
        <w:tc>
          <w:tcPr>
            <w:tcW w:w="3740" w:type="dxa"/>
            <w:vAlign w:val="bottom"/>
          </w:tcPr>
          <w:p>
            <w:pPr>
              <w:ind w:left="60"/>
              <w:spacing w:after="0"/>
              <w:rPr>
                <w:sz w:val="20"/>
                <w:szCs w:val="20"/>
                <w:color w:val="auto"/>
              </w:rPr>
            </w:pPr>
            <w:r>
              <w:rPr>
                <w:rFonts w:ascii="Arial" w:cs="Arial" w:eastAsia="Arial" w:hAnsi="Arial"/>
                <w:sz w:val="15"/>
                <w:szCs w:val="15"/>
                <w:color w:val="auto"/>
              </w:rPr>
              <w:t>Termination without Cause or for Good Reason(1)</w:t>
            </w:r>
          </w:p>
        </w:tc>
        <w:tc>
          <w:tcPr>
            <w:tcW w:w="1180" w:type="dxa"/>
            <w:vAlign w:val="bottom"/>
          </w:tcPr>
          <w:p>
            <w:pPr>
              <w:jc w:val="right"/>
              <w:ind w:right="45"/>
              <w:spacing w:after="0"/>
              <w:rPr>
                <w:sz w:val="20"/>
                <w:szCs w:val="20"/>
                <w:color w:val="auto"/>
              </w:rPr>
            </w:pPr>
            <w:r>
              <w:rPr>
                <w:rFonts w:ascii="Arial" w:cs="Arial" w:eastAsia="Arial" w:hAnsi="Arial"/>
                <w:sz w:val="15"/>
                <w:szCs w:val="15"/>
                <w:color w:val="auto"/>
              </w:rPr>
              <w:t>6,200,000</w:t>
            </w:r>
          </w:p>
        </w:tc>
        <w:tc>
          <w:tcPr>
            <w:tcW w:w="1140" w:type="dxa"/>
            <w:vAlign w:val="bottom"/>
          </w:tcPr>
          <w:p>
            <w:pPr>
              <w:jc w:val="right"/>
              <w:ind w:right="125"/>
              <w:spacing w:after="0"/>
              <w:rPr>
                <w:sz w:val="20"/>
                <w:szCs w:val="20"/>
                <w:color w:val="auto"/>
              </w:rPr>
            </w:pPr>
            <w:r>
              <w:rPr>
                <w:rFonts w:ascii="Arial" w:cs="Arial" w:eastAsia="Arial" w:hAnsi="Arial"/>
                <w:sz w:val="15"/>
                <w:szCs w:val="15"/>
                <w:color w:val="auto"/>
              </w:rPr>
              <w:t>24,800,000</w:t>
            </w:r>
          </w:p>
        </w:tc>
        <w:tc>
          <w:tcPr>
            <w:tcW w:w="1360" w:type="dxa"/>
            <w:vAlign w:val="bottom"/>
          </w:tcPr>
          <w:p>
            <w:pPr>
              <w:jc w:val="right"/>
              <w:ind w:right="406"/>
              <w:spacing w:after="0"/>
              <w:rPr>
                <w:sz w:val="20"/>
                <w:szCs w:val="20"/>
                <w:color w:val="auto"/>
              </w:rPr>
            </w:pPr>
            <w:r>
              <w:rPr>
                <w:rFonts w:ascii="Arial" w:cs="Arial" w:eastAsia="Arial" w:hAnsi="Arial"/>
                <w:sz w:val="15"/>
                <w:szCs w:val="15"/>
                <w:color w:val="auto"/>
              </w:rPr>
              <w:t>78,188</w:t>
            </w:r>
          </w:p>
        </w:tc>
        <w:tc>
          <w:tcPr>
            <w:tcW w:w="1400" w:type="dxa"/>
            <w:vAlign w:val="bottom"/>
          </w:tcPr>
          <w:p>
            <w:pPr>
              <w:jc w:val="right"/>
              <w:ind w:right="345"/>
              <w:spacing w:after="0"/>
              <w:rPr>
                <w:sz w:val="20"/>
                <w:szCs w:val="20"/>
                <w:color w:val="auto"/>
              </w:rPr>
            </w:pPr>
            <w:r>
              <w:rPr>
                <w:rFonts w:ascii="Arial" w:cs="Arial" w:eastAsia="Arial" w:hAnsi="Arial"/>
                <w:sz w:val="15"/>
                <w:szCs w:val="15"/>
                <w:color w:val="auto"/>
              </w:rPr>
              <w:t>5,895</w:t>
            </w: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21,413,404</w:t>
            </w:r>
          </w:p>
        </w:tc>
        <w:tc>
          <w:tcPr>
            <w:tcW w:w="920" w:type="dxa"/>
            <w:vAlign w:val="bottom"/>
          </w:tcPr>
          <w:p>
            <w:pPr>
              <w:jc w:val="right"/>
              <w:spacing w:after="0"/>
              <w:rPr>
                <w:sz w:val="20"/>
                <w:szCs w:val="20"/>
                <w:color w:val="auto"/>
              </w:rPr>
            </w:pPr>
            <w:r>
              <w:rPr>
                <w:rFonts w:ascii="Arial" w:cs="Arial" w:eastAsia="Arial" w:hAnsi="Arial"/>
                <w:sz w:val="15"/>
                <w:szCs w:val="15"/>
                <w:color w:val="auto"/>
              </w:rPr>
              <w:t>52,497,487</w:t>
            </w:r>
          </w:p>
        </w:tc>
      </w:tr>
      <w:tr>
        <w:trPr>
          <w:trHeight w:val="257"/>
        </w:trPr>
        <w:tc>
          <w:tcPr>
            <w:tcW w:w="374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Death or Disability</w:t>
            </w:r>
          </w:p>
        </w:tc>
        <w:tc>
          <w:tcPr>
            <w:tcW w:w="118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51D49"/>
            </w:tcBorders>
          </w:tcPr>
          <w:p>
            <w:pPr>
              <w:jc w:val="right"/>
              <w:ind w:right="125"/>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051D49"/>
            </w:tcBorders>
          </w:tcPr>
          <w:p>
            <w:pPr>
              <w:jc w:val="right"/>
              <w:ind w:right="406"/>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051D49"/>
            </w:tcBorders>
          </w:tcPr>
          <w:p>
            <w:pPr>
              <w:jc w:val="right"/>
              <w:ind w:right="34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21,413,404</w:t>
            </w:r>
          </w:p>
        </w:tc>
        <w:tc>
          <w:tcPr>
            <w:tcW w:w="9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21,413,404</w:t>
            </w:r>
          </w:p>
        </w:tc>
      </w:tr>
      <w:tr>
        <w:trPr>
          <w:trHeight w:val="239"/>
        </w:trPr>
        <w:tc>
          <w:tcPr>
            <w:tcW w:w="3740" w:type="dxa"/>
            <w:vAlign w:val="bottom"/>
          </w:tcPr>
          <w:p>
            <w:pPr>
              <w:ind w:left="60"/>
              <w:spacing w:after="0"/>
              <w:rPr>
                <w:sz w:val="20"/>
                <w:szCs w:val="20"/>
                <w:color w:val="auto"/>
              </w:rPr>
            </w:pPr>
            <w:r>
              <w:rPr>
                <w:rFonts w:ascii="Arial" w:cs="Arial" w:eastAsia="Arial" w:hAnsi="Arial"/>
                <w:sz w:val="15"/>
                <w:szCs w:val="15"/>
                <w:b w:val="1"/>
                <w:bCs w:val="1"/>
                <w:color w:val="auto"/>
              </w:rPr>
              <w:t>Naveen Chopra</w:t>
            </w: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6"/>
        </w:trPr>
        <w:tc>
          <w:tcPr>
            <w:tcW w:w="3740" w:type="dxa"/>
            <w:vAlign w:val="bottom"/>
          </w:tcPr>
          <w:p>
            <w:pPr>
              <w:ind w:left="60"/>
              <w:spacing w:after="0"/>
              <w:rPr>
                <w:sz w:val="20"/>
                <w:szCs w:val="20"/>
                <w:color w:val="auto"/>
              </w:rPr>
            </w:pPr>
            <w:r>
              <w:rPr>
                <w:rFonts w:ascii="Arial" w:cs="Arial" w:eastAsia="Arial" w:hAnsi="Arial"/>
                <w:sz w:val="15"/>
                <w:szCs w:val="15"/>
                <w:color w:val="auto"/>
              </w:rPr>
              <w:t>Termination without Cause or for Good Reason(1)</w:t>
            </w:r>
          </w:p>
        </w:tc>
        <w:tc>
          <w:tcPr>
            <w:tcW w:w="1180" w:type="dxa"/>
            <w:vAlign w:val="bottom"/>
          </w:tcPr>
          <w:p>
            <w:pPr>
              <w:jc w:val="right"/>
              <w:ind w:right="45"/>
              <w:spacing w:after="0"/>
              <w:rPr>
                <w:sz w:val="20"/>
                <w:szCs w:val="20"/>
                <w:color w:val="auto"/>
              </w:rPr>
            </w:pPr>
            <w:r>
              <w:rPr>
                <w:rFonts w:ascii="Arial" w:cs="Arial" w:eastAsia="Arial" w:hAnsi="Arial"/>
                <w:sz w:val="15"/>
                <w:szCs w:val="15"/>
                <w:color w:val="auto"/>
              </w:rPr>
              <w:t>2,250,769</w:t>
            </w:r>
          </w:p>
        </w:tc>
        <w:tc>
          <w:tcPr>
            <w:tcW w:w="1140" w:type="dxa"/>
            <w:vAlign w:val="bottom"/>
          </w:tcPr>
          <w:p>
            <w:pPr>
              <w:jc w:val="right"/>
              <w:ind w:right="125"/>
              <w:spacing w:after="0"/>
              <w:rPr>
                <w:sz w:val="20"/>
                <w:szCs w:val="20"/>
                <w:color w:val="auto"/>
              </w:rPr>
            </w:pPr>
            <w:r>
              <w:rPr>
                <w:rFonts w:ascii="Arial" w:cs="Arial" w:eastAsia="Arial" w:hAnsi="Arial"/>
                <w:sz w:val="15"/>
                <w:szCs w:val="15"/>
                <w:color w:val="auto"/>
              </w:rPr>
              <w:t>3,376,154</w:t>
            </w:r>
          </w:p>
        </w:tc>
        <w:tc>
          <w:tcPr>
            <w:tcW w:w="1360" w:type="dxa"/>
            <w:vAlign w:val="bottom"/>
          </w:tcPr>
          <w:p>
            <w:pPr>
              <w:jc w:val="right"/>
              <w:ind w:right="406"/>
              <w:spacing w:after="0"/>
              <w:rPr>
                <w:sz w:val="20"/>
                <w:szCs w:val="20"/>
                <w:color w:val="auto"/>
              </w:rPr>
            </w:pPr>
            <w:r>
              <w:rPr>
                <w:rFonts w:ascii="Arial" w:cs="Arial" w:eastAsia="Arial" w:hAnsi="Arial"/>
                <w:sz w:val="15"/>
                <w:szCs w:val="15"/>
                <w:color w:val="auto"/>
              </w:rPr>
              <w:t>54,650</w:t>
            </w:r>
          </w:p>
        </w:tc>
        <w:tc>
          <w:tcPr>
            <w:tcW w:w="1400" w:type="dxa"/>
            <w:vAlign w:val="bottom"/>
          </w:tcPr>
          <w:p>
            <w:pPr>
              <w:jc w:val="right"/>
              <w:ind w:right="345"/>
              <w:spacing w:after="0"/>
              <w:rPr>
                <w:sz w:val="20"/>
                <w:szCs w:val="20"/>
                <w:color w:val="auto"/>
              </w:rPr>
            </w:pPr>
            <w:r>
              <w:rPr>
                <w:rFonts w:ascii="Arial" w:cs="Arial" w:eastAsia="Arial" w:hAnsi="Arial"/>
                <w:sz w:val="15"/>
                <w:szCs w:val="15"/>
                <w:color w:val="auto"/>
              </w:rPr>
              <w:t>5,895</w:t>
            </w: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6,141,932</w:t>
            </w:r>
          </w:p>
        </w:tc>
        <w:tc>
          <w:tcPr>
            <w:tcW w:w="920" w:type="dxa"/>
            <w:vAlign w:val="bottom"/>
          </w:tcPr>
          <w:p>
            <w:pPr>
              <w:jc w:val="right"/>
              <w:spacing w:after="0"/>
              <w:rPr>
                <w:sz w:val="20"/>
                <w:szCs w:val="20"/>
                <w:color w:val="auto"/>
              </w:rPr>
            </w:pPr>
            <w:r>
              <w:rPr>
                <w:rFonts w:ascii="Arial" w:cs="Arial" w:eastAsia="Arial" w:hAnsi="Arial"/>
                <w:sz w:val="15"/>
                <w:szCs w:val="15"/>
                <w:color w:val="auto"/>
              </w:rPr>
              <w:t>11,829,401</w:t>
            </w:r>
          </w:p>
        </w:tc>
      </w:tr>
      <w:tr>
        <w:trPr>
          <w:trHeight w:val="233"/>
        </w:trPr>
        <w:tc>
          <w:tcPr>
            <w:tcW w:w="374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Death or Disability</w:t>
            </w:r>
          </w:p>
        </w:tc>
        <w:tc>
          <w:tcPr>
            <w:tcW w:w="118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51D49"/>
            </w:tcBorders>
          </w:tcPr>
          <w:p>
            <w:pPr>
              <w:jc w:val="right"/>
              <w:ind w:right="125"/>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051D49"/>
            </w:tcBorders>
          </w:tcPr>
          <w:p>
            <w:pPr>
              <w:jc w:val="right"/>
              <w:ind w:right="406"/>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051D49"/>
            </w:tcBorders>
          </w:tcPr>
          <w:p>
            <w:pPr>
              <w:jc w:val="right"/>
              <w:ind w:right="34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6,141,932</w:t>
            </w:r>
          </w:p>
        </w:tc>
        <w:tc>
          <w:tcPr>
            <w:tcW w:w="9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6,141,932</w:t>
            </w:r>
          </w:p>
        </w:tc>
      </w:tr>
      <w:tr>
        <w:trPr>
          <w:trHeight w:val="237"/>
        </w:trPr>
        <w:tc>
          <w:tcPr>
            <w:tcW w:w="3740" w:type="dxa"/>
            <w:vAlign w:val="bottom"/>
          </w:tcPr>
          <w:p>
            <w:pPr>
              <w:ind w:left="60"/>
              <w:spacing w:after="0"/>
              <w:rPr>
                <w:sz w:val="20"/>
                <w:szCs w:val="20"/>
                <w:color w:val="auto"/>
              </w:rPr>
            </w:pPr>
            <w:r>
              <w:rPr>
                <w:rFonts w:ascii="Arial" w:cs="Arial" w:eastAsia="Arial" w:hAnsi="Arial"/>
                <w:sz w:val="15"/>
                <w:szCs w:val="15"/>
                <w:b w:val="1"/>
                <w:bCs w:val="1"/>
                <w:color w:val="auto"/>
              </w:rPr>
              <w:t>Christa A. D’Alimonte</w:t>
            </w: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6"/>
        </w:trPr>
        <w:tc>
          <w:tcPr>
            <w:tcW w:w="3740" w:type="dxa"/>
            <w:vAlign w:val="bottom"/>
          </w:tcPr>
          <w:p>
            <w:pPr>
              <w:ind w:left="60"/>
              <w:spacing w:after="0"/>
              <w:rPr>
                <w:sz w:val="20"/>
                <w:szCs w:val="20"/>
                <w:color w:val="auto"/>
              </w:rPr>
            </w:pPr>
            <w:r>
              <w:rPr>
                <w:rFonts w:ascii="Arial" w:cs="Arial" w:eastAsia="Arial" w:hAnsi="Arial"/>
                <w:sz w:val="15"/>
                <w:szCs w:val="15"/>
                <w:color w:val="auto"/>
              </w:rPr>
              <w:t>Termination without Cause or for Good Reason(1)</w:t>
            </w:r>
          </w:p>
        </w:tc>
        <w:tc>
          <w:tcPr>
            <w:tcW w:w="1180" w:type="dxa"/>
            <w:vAlign w:val="bottom"/>
          </w:tcPr>
          <w:p>
            <w:pPr>
              <w:jc w:val="right"/>
              <w:ind w:right="45"/>
              <w:spacing w:after="0"/>
              <w:rPr>
                <w:sz w:val="20"/>
                <w:szCs w:val="20"/>
                <w:color w:val="auto"/>
              </w:rPr>
            </w:pPr>
            <w:r>
              <w:rPr>
                <w:rFonts w:ascii="Arial" w:cs="Arial" w:eastAsia="Arial" w:hAnsi="Arial"/>
                <w:sz w:val="15"/>
                <w:szCs w:val="15"/>
                <w:color w:val="auto"/>
              </w:rPr>
              <w:t>1,250,000</w:t>
            </w:r>
          </w:p>
        </w:tc>
        <w:tc>
          <w:tcPr>
            <w:tcW w:w="1140" w:type="dxa"/>
            <w:vAlign w:val="bottom"/>
          </w:tcPr>
          <w:p>
            <w:pPr>
              <w:jc w:val="right"/>
              <w:ind w:right="125"/>
              <w:spacing w:after="0"/>
              <w:rPr>
                <w:sz w:val="20"/>
                <w:szCs w:val="20"/>
                <w:color w:val="auto"/>
              </w:rPr>
            </w:pPr>
            <w:r>
              <w:rPr>
                <w:rFonts w:ascii="Arial" w:cs="Arial" w:eastAsia="Arial" w:hAnsi="Arial"/>
                <w:sz w:val="15"/>
                <w:szCs w:val="15"/>
                <w:color w:val="auto"/>
              </w:rPr>
              <w:t>1,442,308</w:t>
            </w:r>
          </w:p>
        </w:tc>
        <w:tc>
          <w:tcPr>
            <w:tcW w:w="1360" w:type="dxa"/>
            <w:vAlign w:val="bottom"/>
          </w:tcPr>
          <w:p>
            <w:pPr>
              <w:jc w:val="right"/>
              <w:ind w:right="406"/>
              <w:spacing w:after="0"/>
              <w:rPr>
                <w:sz w:val="20"/>
                <w:szCs w:val="20"/>
                <w:color w:val="auto"/>
              </w:rPr>
            </w:pPr>
            <w:r>
              <w:rPr>
                <w:rFonts w:ascii="Arial" w:cs="Arial" w:eastAsia="Arial" w:hAnsi="Arial"/>
                <w:sz w:val="15"/>
                <w:szCs w:val="15"/>
                <w:color w:val="auto"/>
              </w:rPr>
              <w:t>33,784</w:t>
            </w:r>
          </w:p>
        </w:tc>
        <w:tc>
          <w:tcPr>
            <w:tcW w:w="1400" w:type="dxa"/>
            <w:vAlign w:val="bottom"/>
          </w:tcPr>
          <w:p>
            <w:pPr>
              <w:jc w:val="right"/>
              <w:ind w:right="345"/>
              <w:spacing w:after="0"/>
              <w:rPr>
                <w:sz w:val="20"/>
                <w:szCs w:val="20"/>
                <w:color w:val="auto"/>
              </w:rPr>
            </w:pPr>
            <w:r>
              <w:rPr>
                <w:rFonts w:ascii="Arial" w:cs="Arial" w:eastAsia="Arial" w:hAnsi="Arial"/>
                <w:sz w:val="15"/>
                <w:szCs w:val="15"/>
                <w:color w:val="auto"/>
              </w:rPr>
              <w:t>5,895</w:t>
            </w: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1,188,217</w:t>
            </w:r>
          </w:p>
        </w:tc>
        <w:tc>
          <w:tcPr>
            <w:tcW w:w="920" w:type="dxa"/>
            <w:vAlign w:val="bottom"/>
          </w:tcPr>
          <w:p>
            <w:pPr>
              <w:jc w:val="right"/>
              <w:spacing w:after="0"/>
              <w:rPr>
                <w:sz w:val="20"/>
                <w:szCs w:val="20"/>
                <w:color w:val="auto"/>
              </w:rPr>
            </w:pPr>
            <w:r>
              <w:rPr>
                <w:rFonts w:ascii="Arial" w:cs="Arial" w:eastAsia="Arial" w:hAnsi="Arial"/>
                <w:sz w:val="15"/>
                <w:szCs w:val="15"/>
                <w:color w:val="auto"/>
              </w:rPr>
              <w:t>3,920,204</w:t>
            </w:r>
          </w:p>
        </w:tc>
      </w:tr>
      <w:tr>
        <w:trPr>
          <w:trHeight w:val="254"/>
        </w:trPr>
        <w:tc>
          <w:tcPr>
            <w:tcW w:w="3740" w:type="dxa"/>
            <w:vAlign w:val="bottom"/>
          </w:tcPr>
          <w:p>
            <w:pPr>
              <w:ind w:left="60"/>
              <w:spacing w:after="0"/>
              <w:rPr>
                <w:sz w:val="20"/>
                <w:szCs w:val="20"/>
                <w:color w:val="auto"/>
              </w:rPr>
            </w:pPr>
            <w:r>
              <w:rPr>
                <w:rFonts w:ascii="Arial" w:cs="Arial" w:eastAsia="Arial" w:hAnsi="Arial"/>
                <w:sz w:val="15"/>
                <w:szCs w:val="15"/>
                <w:color w:val="auto"/>
              </w:rPr>
              <w:t>Death</w:t>
            </w:r>
          </w:p>
        </w:tc>
        <w:tc>
          <w:tcPr>
            <w:tcW w:w="11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406"/>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345"/>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2,790,624</w:t>
            </w:r>
          </w:p>
        </w:tc>
        <w:tc>
          <w:tcPr>
            <w:tcW w:w="920" w:type="dxa"/>
            <w:vAlign w:val="bottom"/>
          </w:tcPr>
          <w:p>
            <w:pPr>
              <w:jc w:val="right"/>
              <w:spacing w:after="0"/>
              <w:rPr>
                <w:sz w:val="20"/>
                <w:szCs w:val="20"/>
                <w:color w:val="auto"/>
              </w:rPr>
            </w:pPr>
            <w:r>
              <w:rPr>
                <w:rFonts w:ascii="Arial" w:cs="Arial" w:eastAsia="Arial" w:hAnsi="Arial"/>
                <w:sz w:val="15"/>
                <w:szCs w:val="15"/>
                <w:color w:val="auto"/>
              </w:rPr>
              <w:t>2,790,624</w:t>
            </w:r>
          </w:p>
        </w:tc>
      </w:tr>
      <w:tr>
        <w:trPr>
          <w:trHeight w:val="257"/>
        </w:trPr>
        <w:tc>
          <w:tcPr>
            <w:tcW w:w="374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Disability</w:t>
            </w:r>
          </w:p>
        </w:tc>
        <w:tc>
          <w:tcPr>
            <w:tcW w:w="118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51D49"/>
            </w:tcBorders>
          </w:tcPr>
          <w:p>
            <w:pPr>
              <w:jc w:val="right"/>
              <w:ind w:right="125"/>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051D49"/>
            </w:tcBorders>
          </w:tcPr>
          <w:p>
            <w:pPr>
              <w:jc w:val="right"/>
              <w:ind w:right="406"/>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051D49"/>
            </w:tcBorders>
          </w:tcPr>
          <w:p>
            <w:pPr>
              <w:jc w:val="right"/>
              <w:ind w:right="34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1,556,322</w:t>
            </w:r>
          </w:p>
        </w:tc>
        <w:tc>
          <w:tcPr>
            <w:tcW w:w="9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1,556,322</w:t>
            </w:r>
          </w:p>
        </w:tc>
      </w:tr>
      <w:tr>
        <w:trPr>
          <w:trHeight w:val="239"/>
        </w:trPr>
        <w:tc>
          <w:tcPr>
            <w:tcW w:w="3740" w:type="dxa"/>
            <w:vAlign w:val="bottom"/>
          </w:tcPr>
          <w:p>
            <w:pPr>
              <w:ind w:left="60"/>
              <w:spacing w:after="0"/>
              <w:rPr>
                <w:sz w:val="20"/>
                <w:szCs w:val="20"/>
                <w:color w:val="auto"/>
              </w:rPr>
            </w:pPr>
            <w:r>
              <w:rPr>
                <w:rFonts w:ascii="Arial" w:cs="Arial" w:eastAsia="Arial" w:hAnsi="Arial"/>
                <w:sz w:val="15"/>
                <w:szCs w:val="15"/>
                <w:b w:val="1"/>
                <w:bCs w:val="1"/>
                <w:color w:val="auto"/>
              </w:rPr>
              <w:t>Doretha F. Lea</w:t>
            </w: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6"/>
        </w:trPr>
        <w:tc>
          <w:tcPr>
            <w:tcW w:w="3740" w:type="dxa"/>
            <w:vAlign w:val="bottom"/>
          </w:tcPr>
          <w:p>
            <w:pPr>
              <w:ind w:left="60"/>
              <w:spacing w:after="0"/>
              <w:rPr>
                <w:sz w:val="20"/>
                <w:szCs w:val="20"/>
                <w:color w:val="auto"/>
              </w:rPr>
            </w:pPr>
            <w:r>
              <w:rPr>
                <w:rFonts w:ascii="Arial" w:cs="Arial" w:eastAsia="Arial" w:hAnsi="Arial"/>
                <w:sz w:val="15"/>
                <w:szCs w:val="15"/>
                <w:color w:val="auto"/>
              </w:rPr>
              <w:t>Termination without Cause or for Good Reason(1)</w:t>
            </w:r>
          </w:p>
        </w:tc>
        <w:tc>
          <w:tcPr>
            <w:tcW w:w="1180" w:type="dxa"/>
            <w:vAlign w:val="bottom"/>
          </w:tcPr>
          <w:p>
            <w:pPr>
              <w:jc w:val="right"/>
              <w:ind w:right="45"/>
              <w:spacing w:after="0"/>
              <w:rPr>
                <w:sz w:val="20"/>
                <w:szCs w:val="20"/>
                <w:color w:val="auto"/>
              </w:rPr>
            </w:pPr>
            <w:r>
              <w:rPr>
                <w:rFonts w:ascii="Arial" w:cs="Arial" w:eastAsia="Arial" w:hAnsi="Arial"/>
                <w:sz w:val="15"/>
                <w:szCs w:val="15"/>
                <w:color w:val="auto"/>
              </w:rPr>
              <w:t>911,550</w:t>
            </w:r>
          </w:p>
        </w:tc>
        <w:tc>
          <w:tcPr>
            <w:tcW w:w="1140" w:type="dxa"/>
            <w:vAlign w:val="bottom"/>
          </w:tcPr>
          <w:p>
            <w:pPr>
              <w:jc w:val="right"/>
              <w:ind w:right="125"/>
              <w:spacing w:after="0"/>
              <w:rPr>
                <w:sz w:val="20"/>
                <w:szCs w:val="20"/>
                <w:color w:val="auto"/>
              </w:rPr>
            </w:pPr>
            <w:r>
              <w:rPr>
                <w:rFonts w:ascii="Arial" w:cs="Arial" w:eastAsia="Arial" w:hAnsi="Arial"/>
                <w:sz w:val="15"/>
                <w:szCs w:val="15"/>
                <w:color w:val="auto"/>
              </w:rPr>
              <w:t>841,431</w:t>
            </w:r>
          </w:p>
        </w:tc>
        <w:tc>
          <w:tcPr>
            <w:tcW w:w="1360" w:type="dxa"/>
            <w:vAlign w:val="bottom"/>
          </w:tcPr>
          <w:p>
            <w:pPr>
              <w:jc w:val="right"/>
              <w:ind w:right="406"/>
              <w:spacing w:after="0"/>
              <w:rPr>
                <w:sz w:val="20"/>
                <w:szCs w:val="20"/>
                <w:color w:val="auto"/>
              </w:rPr>
            </w:pPr>
            <w:r>
              <w:rPr>
                <w:rFonts w:ascii="Arial" w:cs="Arial" w:eastAsia="Arial" w:hAnsi="Arial"/>
                <w:sz w:val="15"/>
                <w:szCs w:val="15"/>
                <w:color w:val="auto"/>
              </w:rPr>
              <w:t>33,306</w:t>
            </w:r>
          </w:p>
        </w:tc>
        <w:tc>
          <w:tcPr>
            <w:tcW w:w="1400" w:type="dxa"/>
            <w:vAlign w:val="bottom"/>
          </w:tcPr>
          <w:p>
            <w:pPr>
              <w:jc w:val="right"/>
              <w:ind w:right="345"/>
              <w:spacing w:after="0"/>
              <w:rPr>
                <w:sz w:val="20"/>
                <w:szCs w:val="20"/>
                <w:color w:val="auto"/>
              </w:rPr>
            </w:pPr>
            <w:r>
              <w:rPr>
                <w:rFonts w:ascii="Arial" w:cs="Arial" w:eastAsia="Arial" w:hAnsi="Arial"/>
                <w:sz w:val="15"/>
                <w:szCs w:val="15"/>
                <w:color w:val="auto"/>
              </w:rPr>
              <w:t>5,895</w:t>
            </w: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436,463</w:t>
            </w:r>
          </w:p>
        </w:tc>
        <w:tc>
          <w:tcPr>
            <w:tcW w:w="920" w:type="dxa"/>
            <w:vAlign w:val="bottom"/>
          </w:tcPr>
          <w:p>
            <w:pPr>
              <w:jc w:val="right"/>
              <w:spacing w:after="0"/>
              <w:rPr>
                <w:sz w:val="20"/>
                <w:szCs w:val="20"/>
                <w:color w:val="auto"/>
              </w:rPr>
            </w:pPr>
            <w:r>
              <w:rPr>
                <w:rFonts w:ascii="Arial" w:cs="Arial" w:eastAsia="Arial" w:hAnsi="Arial"/>
                <w:sz w:val="15"/>
                <w:szCs w:val="15"/>
                <w:color w:val="auto"/>
              </w:rPr>
              <w:t>2,228,644</w:t>
            </w:r>
          </w:p>
        </w:tc>
      </w:tr>
      <w:tr>
        <w:trPr>
          <w:trHeight w:val="254"/>
        </w:trPr>
        <w:tc>
          <w:tcPr>
            <w:tcW w:w="3740" w:type="dxa"/>
            <w:vAlign w:val="bottom"/>
          </w:tcPr>
          <w:p>
            <w:pPr>
              <w:ind w:left="60"/>
              <w:spacing w:after="0"/>
              <w:rPr>
                <w:sz w:val="20"/>
                <w:szCs w:val="20"/>
                <w:color w:val="auto"/>
              </w:rPr>
            </w:pPr>
            <w:r>
              <w:rPr>
                <w:rFonts w:ascii="Arial" w:cs="Arial" w:eastAsia="Arial" w:hAnsi="Arial"/>
                <w:sz w:val="15"/>
                <w:szCs w:val="15"/>
                <w:color w:val="auto"/>
              </w:rPr>
              <w:t>Death</w:t>
            </w:r>
          </w:p>
        </w:tc>
        <w:tc>
          <w:tcPr>
            <w:tcW w:w="11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406"/>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345"/>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985,860</w:t>
            </w:r>
          </w:p>
        </w:tc>
        <w:tc>
          <w:tcPr>
            <w:tcW w:w="920" w:type="dxa"/>
            <w:vAlign w:val="bottom"/>
          </w:tcPr>
          <w:p>
            <w:pPr>
              <w:jc w:val="right"/>
              <w:spacing w:after="0"/>
              <w:rPr>
                <w:sz w:val="20"/>
                <w:szCs w:val="20"/>
                <w:color w:val="auto"/>
              </w:rPr>
            </w:pPr>
            <w:r>
              <w:rPr>
                <w:rFonts w:ascii="Arial" w:cs="Arial" w:eastAsia="Arial" w:hAnsi="Arial"/>
                <w:sz w:val="15"/>
                <w:szCs w:val="15"/>
                <w:color w:val="auto"/>
              </w:rPr>
              <w:t>985,860</w:t>
            </w:r>
          </w:p>
        </w:tc>
      </w:tr>
      <w:tr>
        <w:trPr>
          <w:trHeight w:val="257"/>
        </w:trPr>
        <w:tc>
          <w:tcPr>
            <w:tcW w:w="374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Disability</w:t>
            </w:r>
          </w:p>
        </w:tc>
        <w:tc>
          <w:tcPr>
            <w:tcW w:w="118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51D49"/>
            </w:tcBorders>
          </w:tcPr>
          <w:p>
            <w:pPr>
              <w:jc w:val="right"/>
              <w:ind w:right="125"/>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051D49"/>
            </w:tcBorders>
          </w:tcPr>
          <w:p>
            <w:pPr>
              <w:jc w:val="right"/>
              <w:ind w:right="406"/>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051D49"/>
            </w:tcBorders>
          </w:tcPr>
          <w:p>
            <w:pPr>
              <w:jc w:val="right"/>
              <w:ind w:right="34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533,582</w:t>
            </w:r>
          </w:p>
        </w:tc>
        <w:tc>
          <w:tcPr>
            <w:tcW w:w="9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533,582</w:t>
            </w:r>
          </w:p>
        </w:tc>
      </w:tr>
      <w:tr>
        <w:trPr>
          <w:trHeight w:val="239"/>
        </w:trPr>
        <w:tc>
          <w:tcPr>
            <w:tcW w:w="3740" w:type="dxa"/>
            <w:vAlign w:val="bottom"/>
          </w:tcPr>
          <w:p>
            <w:pPr>
              <w:ind w:left="60"/>
              <w:spacing w:after="0"/>
              <w:rPr>
                <w:sz w:val="20"/>
                <w:szCs w:val="20"/>
                <w:color w:val="auto"/>
              </w:rPr>
            </w:pPr>
            <w:r>
              <w:rPr>
                <w:rFonts w:ascii="Arial" w:cs="Arial" w:eastAsia="Arial" w:hAnsi="Arial"/>
                <w:sz w:val="15"/>
                <w:szCs w:val="15"/>
                <w:b w:val="1"/>
                <w:bCs w:val="1"/>
                <w:color w:val="auto"/>
              </w:rPr>
              <w:t>Nancy Phillips</w:t>
            </w: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6"/>
        </w:trPr>
        <w:tc>
          <w:tcPr>
            <w:tcW w:w="3740" w:type="dxa"/>
            <w:vAlign w:val="bottom"/>
          </w:tcPr>
          <w:p>
            <w:pPr>
              <w:ind w:left="60"/>
              <w:spacing w:after="0"/>
              <w:rPr>
                <w:sz w:val="20"/>
                <w:szCs w:val="20"/>
                <w:color w:val="auto"/>
              </w:rPr>
            </w:pPr>
            <w:r>
              <w:rPr>
                <w:rFonts w:ascii="Arial" w:cs="Arial" w:eastAsia="Arial" w:hAnsi="Arial"/>
                <w:sz w:val="15"/>
                <w:szCs w:val="15"/>
                <w:color w:val="auto"/>
              </w:rPr>
              <w:t>Termination without Cause or for Good Reason(1)</w:t>
            </w:r>
          </w:p>
        </w:tc>
        <w:tc>
          <w:tcPr>
            <w:tcW w:w="1180" w:type="dxa"/>
            <w:vAlign w:val="bottom"/>
          </w:tcPr>
          <w:p>
            <w:pPr>
              <w:jc w:val="right"/>
              <w:ind w:right="45"/>
              <w:spacing w:after="0"/>
              <w:rPr>
                <w:sz w:val="20"/>
                <w:szCs w:val="20"/>
                <w:color w:val="auto"/>
              </w:rPr>
            </w:pPr>
            <w:r>
              <w:rPr>
                <w:rFonts w:ascii="Arial" w:cs="Arial" w:eastAsia="Arial" w:hAnsi="Arial"/>
                <w:sz w:val="15"/>
                <w:szCs w:val="15"/>
                <w:color w:val="auto"/>
              </w:rPr>
              <w:t>787,500</w:t>
            </w:r>
          </w:p>
        </w:tc>
        <w:tc>
          <w:tcPr>
            <w:tcW w:w="1140" w:type="dxa"/>
            <w:vAlign w:val="bottom"/>
          </w:tcPr>
          <w:p>
            <w:pPr>
              <w:jc w:val="right"/>
              <w:ind w:right="125"/>
              <w:spacing w:after="0"/>
              <w:rPr>
                <w:sz w:val="20"/>
                <w:szCs w:val="20"/>
                <w:color w:val="auto"/>
              </w:rPr>
            </w:pPr>
            <w:r>
              <w:rPr>
                <w:rFonts w:ascii="Arial" w:cs="Arial" w:eastAsia="Arial" w:hAnsi="Arial"/>
                <w:sz w:val="15"/>
                <w:szCs w:val="15"/>
                <w:color w:val="auto"/>
              </w:rPr>
              <w:t>723,894</w:t>
            </w:r>
          </w:p>
        </w:tc>
        <w:tc>
          <w:tcPr>
            <w:tcW w:w="1360" w:type="dxa"/>
            <w:vAlign w:val="bottom"/>
          </w:tcPr>
          <w:p>
            <w:pPr>
              <w:jc w:val="right"/>
              <w:ind w:right="406"/>
              <w:spacing w:after="0"/>
              <w:rPr>
                <w:sz w:val="20"/>
                <w:szCs w:val="20"/>
                <w:color w:val="auto"/>
              </w:rPr>
            </w:pPr>
            <w:r>
              <w:rPr>
                <w:rFonts w:ascii="Arial" w:cs="Arial" w:eastAsia="Arial" w:hAnsi="Arial"/>
                <w:sz w:val="15"/>
                <w:szCs w:val="15"/>
                <w:color w:val="auto"/>
              </w:rPr>
              <w:t>10,512</w:t>
            </w:r>
          </w:p>
        </w:tc>
        <w:tc>
          <w:tcPr>
            <w:tcW w:w="1400" w:type="dxa"/>
            <w:vAlign w:val="bottom"/>
          </w:tcPr>
          <w:p>
            <w:pPr>
              <w:jc w:val="right"/>
              <w:ind w:right="345"/>
              <w:spacing w:after="0"/>
              <w:rPr>
                <w:sz w:val="20"/>
                <w:szCs w:val="20"/>
                <w:color w:val="auto"/>
              </w:rPr>
            </w:pPr>
            <w:r>
              <w:rPr>
                <w:rFonts w:ascii="Arial" w:cs="Arial" w:eastAsia="Arial" w:hAnsi="Arial"/>
                <w:sz w:val="15"/>
                <w:szCs w:val="15"/>
                <w:color w:val="auto"/>
              </w:rPr>
              <w:t>5,895</w:t>
            </w: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898,972</w:t>
            </w:r>
          </w:p>
        </w:tc>
        <w:tc>
          <w:tcPr>
            <w:tcW w:w="920" w:type="dxa"/>
            <w:vAlign w:val="bottom"/>
          </w:tcPr>
          <w:p>
            <w:pPr>
              <w:jc w:val="right"/>
              <w:spacing w:after="0"/>
              <w:rPr>
                <w:sz w:val="20"/>
                <w:szCs w:val="20"/>
                <w:color w:val="auto"/>
              </w:rPr>
            </w:pPr>
            <w:r>
              <w:rPr>
                <w:rFonts w:ascii="Arial" w:cs="Arial" w:eastAsia="Arial" w:hAnsi="Arial"/>
                <w:sz w:val="15"/>
                <w:szCs w:val="15"/>
                <w:color w:val="auto"/>
              </w:rPr>
              <w:t>2,426,773</w:t>
            </w:r>
          </w:p>
        </w:tc>
      </w:tr>
      <w:tr>
        <w:trPr>
          <w:trHeight w:val="254"/>
        </w:trPr>
        <w:tc>
          <w:tcPr>
            <w:tcW w:w="3740" w:type="dxa"/>
            <w:vAlign w:val="bottom"/>
          </w:tcPr>
          <w:p>
            <w:pPr>
              <w:ind w:left="60"/>
              <w:spacing w:after="0"/>
              <w:rPr>
                <w:sz w:val="20"/>
                <w:szCs w:val="20"/>
                <w:color w:val="auto"/>
              </w:rPr>
            </w:pPr>
            <w:r>
              <w:rPr>
                <w:rFonts w:ascii="Arial" w:cs="Arial" w:eastAsia="Arial" w:hAnsi="Arial"/>
                <w:sz w:val="15"/>
                <w:szCs w:val="15"/>
                <w:color w:val="auto"/>
              </w:rPr>
              <w:t>Death</w:t>
            </w:r>
          </w:p>
        </w:tc>
        <w:tc>
          <w:tcPr>
            <w:tcW w:w="11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406"/>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345"/>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1,850,275</w:t>
            </w:r>
          </w:p>
        </w:tc>
        <w:tc>
          <w:tcPr>
            <w:tcW w:w="920" w:type="dxa"/>
            <w:vAlign w:val="bottom"/>
          </w:tcPr>
          <w:p>
            <w:pPr>
              <w:jc w:val="right"/>
              <w:spacing w:after="0"/>
              <w:rPr>
                <w:sz w:val="20"/>
                <w:szCs w:val="20"/>
                <w:color w:val="auto"/>
              </w:rPr>
            </w:pPr>
            <w:r>
              <w:rPr>
                <w:rFonts w:ascii="Arial" w:cs="Arial" w:eastAsia="Arial" w:hAnsi="Arial"/>
                <w:sz w:val="15"/>
                <w:szCs w:val="15"/>
                <w:color w:val="auto"/>
              </w:rPr>
              <w:t>1,850,275</w:t>
            </w:r>
          </w:p>
        </w:tc>
      </w:tr>
      <w:tr>
        <w:trPr>
          <w:trHeight w:val="257"/>
        </w:trPr>
        <w:tc>
          <w:tcPr>
            <w:tcW w:w="374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Disability</w:t>
            </w:r>
          </w:p>
        </w:tc>
        <w:tc>
          <w:tcPr>
            <w:tcW w:w="1180" w:type="dxa"/>
            <w:vAlign w:val="bottom"/>
            <w:tcBorders>
              <w:bottom w:val="single" w:sz="8" w:color="051D49"/>
            </w:tcBorders>
          </w:tcPr>
          <w:p>
            <w:pPr>
              <w:jc w:val="right"/>
              <w:ind w:right="45"/>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51D49"/>
            </w:tcBorders>
          </w:tcPr>
          <w:p>
            <w:pPr>
              <w:jc w:val="right"/>
              <w:ind w:right="125"/>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051D49"/>
            </w:tcBorders>
          </w:tcPr>
          <w:p>
            <w:pPr>
              <w:jc w:val="right"/>
              <w:ind w:right="406"/>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051D49"/>
            </w:tcBorders>
          </w:tcPr>
          <w:p>
            <w:pPr>
              <w:jc w:val="right"/>
              <w:ind w:right="34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051D49"/>
            </w:tcBorders>
          </w:tcPr>
          <w:p>
            <w:pPr>
              <w:jc w:val="right"/>
              <w:ind w:right="66"/>
              <w:spacing w:after="0"/>
              <w:rPr>
                <w:sz w:val="20"/>
                <w:szCs w:val="20"/>
                <w:color w:val="auto"/>
              </w:rPr>
            </w:pPr>
            <w:r>
              <w:rPr>
                <w:rFonts w:ascii="Arial" w:cs="Arial" w:eastAsia="Arial" w:hAnsi="Arial"/>
                <w:sz w:val="15"/>
                <w:szCs w:val="15"/>
                <w:color w:val="auto"/>
              </w:rPr>
              <w:t>711,433</w:t>
            </w:r>
          </w:p>
        </w:tc>
        <w:tc>
          <w:tcPr>
            <w:tcW w:w="9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711,433</w:t>
            </w:r>
          </w:p>
        </w:tc>
      </w:tr>
    </w:tbl>
    <w:p>
      <w:pPr>
        <w:spacing w:after="0" w:line="66" w:lineRule="exact"/>
        <w:rPr>
          <w:sz w:val="20"/>
          <w:szCs w:val="20"/>
          <w:color w:val="auto"/>
        </w:rPr>
      </w:pPr>
    </w:p>
    <w:p>
      <w:pPr>
        <w:ind w:left="600" w:hanging="433"/>
        <w:spacing w:after="0"/>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Amounts reflect payments pursuant to the NEO’s employment agreement.</w:t>
      </w:r>
    </w:p>
    <w:p>
      <w:pPr>
        <w:spacing w:after="0" w:line="83" w:lineRule="exact"/>
        <w:rPr>
          <w:rFonts w:ascii="Arial" w:cs="Arial" w:eastAsia="Arial" w:hAnsi="Arial"/>
          <w:sz w:val="16"/>
          <w:szCs w:val="16"/>
          <w:color w:val="auto"/>
        </w:rPr>
      </w:pPr>
    </w:p>
    <w:p>
      <w:pPr>
        <w:jc w:val="both"/>
        <w:ind w:left="600" w:right="140" w:hanging="433"/>
        <w:spacing w:after="0" w:line="262" w:lineRule="auto"/>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Amounts reflect (i) for Mr. Bakish, continuation of his base salary amount for 24 months, (ii) for Mr. Chopra, continuation of his base salary amount through the end of the term of his contract period on August 9, 2023, and (iii) for Mses. D’Alimonte, Lea and Phillips, continuation of the applicable executive’s annual base salary for 12 months.</w:t>
      </w:r>
    </w:p>
    <w:p>
      <w:pPr>
        <w:spacing w:after="0" w:line="39" w:lineRule="exact"/>
        <w:rPr>
          <w:rFonts w:ascii="Arial" w:cs="Arial" w:eastAsia="Arial" w:hAnsi="Arial"/>
          <w:sz w:val="16"/>
          <w:szCs w:val="16"/>
          <w:color w:val="auto"/>
        </w:rPr>
      </w:pPr>
    </w:p>
    <w:p>
      <w:pPr>
        <w:ind w:left="600" w:hanging="433"/>
        <w:spacing w:after="0" w:line="251" w:lineRule="auto"/>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Amounts reflect (i) for Mr. Bakish, two times his target bonus, (ii) for Mr. Chopra, approximately one and three-fifths times his target bonus, representing his full target bonus with respect to 2022 and a pro-rata target bonus with respect to 2023 based on the end of his contract period, and (iii) for Mses. D’Alimonte, Lea and Phillips, a pro-rata target bonus with respect to 2022 based on the end of the applicable executive’s contract period. Since a December 31, 2021 termination date is assumed, pro-rated bonus amounts for 2021 are not included as “Annual Bonus Continuation” and the executive’s full annual bonus would have been paid in the amount disclosed in the “Non-Equity Incentive Plan Compensation” column of the Summary Compensation Table for Fiscal Year 2021, in accordance with the terms of the Company’s STIP.</w:t>
      </w:r>
    </w:p>
    <w:p>
      <w:pPr>
        <w:spacing w:after="0" w:line="49" w:lineRule="exact"/>
        <w:rPr>
          <w:rFonts w:ascii="Arial" w:cs="Arial" w:eastAsia="Arial" w:hAnsi="Arial"/>
          <w:sz w:val="16"/>
          <w:szCs w:val="16"/>
          <w:color w:val="auto"/>
        </w:rPr>
      </w:pPr>
    </w:p>
    <w:p>
      <w:pPr>
        <w:ind w:left="600" w:right="380" w:hanging="433"/>
        <w:spacing w:after="0" w:line="279" w:lineRule="auto"/>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Amounts reflect our cost of providing continued health insurance benefits and life insurance coverage as provided in the executives’ respective employment agreements.</w:t>
      </w:r>
    </w:p>
    <w:p>
      <w:pPr>
        <w:spacing w:after="0" w:line="26" w:lineRule="exact"/>
        <w:rPr>
          <w:rFonts w:ascii="Arial" w:cs="Arial" w:eastAsia="Arial" w:hAnsi="Arial"/>
          <w:sz w:val="16"/>
          <w:szCs w:val="16"/>
          <w:color w:val="auto"/>
        </w:rPr>
      </w:pPr>
    </w:p>
    <w:p>
      <w:pPr>
        <w:ind w:left="600" w:right="60" w:hanging="433"/>
        <w:spacing w:after="0" w:line="279" w:lineRule="auto"/>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Amounts reflect our cost of providing outplacement services for a maximum period of 6 months following termination of employment, in accordance with our practice of providing outplacement services to executives with employment agreements who are terminated without “Cause.”</w:t>
      </w:r>
    </w:p>
    <w:p>
      <w:pPr>
        <w:spacing w:after="0" w:line="26" w:lineRule="exact"/>
        <w:rPr>
          <w:rFonts w:ascii="Arial" w:cs="Arial" w:eastAsia="Arial" w:hAnsi="Arial"/>
          <w:sz w:val="16"/>
          <w:szCs w:val="16"/>
          <w:color w:val="auto"/>
        </w:rPr>
      </w:pPr>
    </w:p>
    <w:p>
      <w:pPr>
        <w:ind w:left="600" w:right="100" w:hanging="433"/>
        <w:spacing w:after="0" w:line="262" w:lineRule="auto"/>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calculation of the value associated with the acceleration of the vesting of outstanding equity awards (i) in the case of stock awards, was based on the closing price of our Class B Common Stock on December 31, 2021 of $30.18, and (ii) in the case of options, was based on the difference between such closing price and the exercise price of the option.</w:t>
      </w:r>
    </w:p>
    <w:p>
      <w:pPr>
        <w:spacing w:after="0" w:line="120"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65</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46" w:lineRule="exact"/>
        <w:rPr>
          <w:sz w:val="20"/>
          <w:szCs w:val="20"/>
          <w:color w:val="auto"/>
        </w:rPr>
      </w:pPr>
    </w:p>
    <w:p>
      <w:pPr>
        <w:ind w:left="160" w:right="3980"/>
        <w:spacing w:after="0" w:line="356" w:lineRule="auto"/>
        <w:rPr>
          <w:sz w:val="20"/>
          <w:szCs w:val="20"/>
          <w:color w:val="auto"/>
        </w:rPr>
      </w:pPr>
      <w:r>
        <w:rPr>
          <w:rFonts w:ascii="Arial" w:cs="Arial" w:eastAsia="Arial" w:hAnsi="Arial"/>
          <w:sz w:val="18"/>
          <w:szCs w:val="18"/>
          <w:b w:val="1"/>
          <w:bCs w:val="1"/>
          <w:color w:val="051D49"/>
        </w:rPr>
        <w:t xml:space="preserve">Termination Without “Cause” by the Company or for “Good Reason” by the NEOs </w:t>
      </w:r>
      <w:r>
        <w:rPr>
          <w:rFonts w:ascii="Arial" w:cs="Arial" w:eastAsia="Arial" w:hAnsi="Arial"/>
          <w:sz w:val="18"/>
          <w:szCs w:val="18"/>
          <w:b w:val="1"/>
          <w:bCs w:val="1"/>
          <w:i w:val="1"/>
          <w:iCs w:val="1"/>
          <w:color w:val="051D49"/>
        </w:rPr>
        <w:t>Bakish</w:t>
      </w:r>
    </w:p>
    <w:p>
      <w:pPr>
        <w:spacing w:after="0" w:line="1" w:lineRule="exact"/>
        <w:rPr>
          <w:sz w:val="20"/>
          <w:szCs w:val="20"/>
          <w:color w:val="auto"/>
        </w:rPr>
      </w:pPr>
    </w:p>
    <w:p>
      <w:pPr>
        <w:jc w:val="both"/>
        <w:ind w:left="160" w:right="100"/>
        <w:spacing w:after="0" w:line="249" w:lineRule="auto"/>
        <w:rPr>
          <w:sz w:val="20"/>
          <w:szCs w:val="20"/>
          <w:color w:val="auto"/>
        </w:rPr>
      </w:pPr>
      <w:r>
        <w:rPr>
          <w:rFonts w:ascii="Arial" w:cs="Arial" w:eastAsia="Arial" w:hAnsi="Arial"/>
          <w:sz w:val="18"/>
          <w:szCs w:val="18"/>
          <w:color w:val="auto"/>
        </w:rPr>
        <w:t>Mr. Bakish would have received the following termination payments and benefits if we terminated his employment without “Cause” or if he terminated his employment with us for “Good Reason” pursuant to his employment agreement in effect as of December 31, 2021, subject to execution of a release:</w:t>
      </w:r>
    </w:p>
    <w:p>
      <w:pPr>
        <w:spacing w:after="0" w:line="78" w:lineRule="exact"/>
        <w:rPr>
          <w:sz w:val="20"/>
          <w:szCs w:val="20"/>
          <w:color w:val="auto"/>
        </w:rPr>
      </w:pPr>
    </w:p>
    <w:p>
      <w:pPr>
        <w:ind w:left="380" w:right="100" w:hanging="213"/>
        <w:spacing w:after="0" w:line="243" w:lineRule="auto"/>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subject to an overall cap of two times the sum of his base salary and target bonus amount, salary payable until the second anniversary of termination, at the same time that it would have been paid had he remained employed, and an annual bonus at his target bonus amount as if he had remained employed through the second anniversary of termination, payable at the same time and in the same manner as the salary payments;</w:t>
      </w:r>
    </w:p>
    <w:p>
      <w:pPr>
        <w:spacing w:after="0" w:line="84" w:lineRule="exact"/>
        <w:rPr>
          <w:rFonts w:ascii="Arial" w:cs="Arial" w:eastAsia="Arial" w:hAnsi="Arial"/>
          <w:sz w:val="18"/>
          <w:szCs w:val="18"/>
          <w:color w:val="auto"/>
        </w:rPr>
      </w:pPr>
    </w:p>
    <w:p>
      <w:pPr>
        <w:ind w:left="380" w:hanging="213"/>
        <w:spacing w:after="0" w:line="265" w:lineRule="auto"/>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Company-paid medical and dental benefits for the longer of the remainder of the contract period and 24 months, or until the time that he becomes covered by another employer’s plan, if earlier;</w:t>
      </w:r>
    </w:p>
    <w:p>
      <w:pPr>
        <w:spacing w:after="0" w:line="64" w:lineRule="exact"/>
        <w:rPr>
          <w:rFonts w:ascii="Arial" w:cs="Arial" w:eastAsia="Arial" w:hAnsi="Arial"/>
          <w:sz w:val="18"/>
          <w:szCs w:val="18"/>
          <w:color w:val="auto"/>
        </w:rPr>
      </w:pPr>
    </w:p>
    <w:p>
      <w:pPr>
        <w:ind w:left="380" w:right="320" w:hanging="213"/>
        <w:spacing w:after="0" w:line="265" w:lineRule="auto"/>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Company-paid life insurance until the end of the contract term, or, if longer, the end of the period that the executive is receiving cash severance payments, or until the time that he becomes eligible under another employer’s plan, if earlier; and</w:t>
      </w:r>
    </w:p>
    <w:p>
      <w:pPr>
        <w:spacing w:after="0" w:line="64" w:lineRule="exact"/>
        <w:rPr>
          <w:rFonts w:ascii="Arial" w:cs="Arial" w:eastAsia="Arial" w:hAnsi="Arial"/>
          <w:sz w:val="18"/>
          <w:szCs w:val="18"/>
          <w:color w:val="auto"/>
        </w:rPr>
      </w:pPr>
    </w:p>
    <w:p>
      <w:pPr>
        <w:ind w:left="380" w:right="140" w:hanging="213"/>
        <w:spacing w:after="0" w:line="243" w:lineRule="auto"/>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full vesting of all outstanding equity awards, with performance for any PSUs for which the performance period is not yet complete deemed achieved at a target level and outstanding stock options remaining exercisable for two years following the termination of employment or, if later, as provided under the applicable long-term incentive plan, but in no event later than the original expiration date of the stock option.</w:t>
      </w:r>
    </w:p>
    <w:p>
      <w:pPr>
        <w:spacing w:after="0" w:line="71"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Mr. Bakish’s employment agreement also provides that, in connection with a qualifying termination, subject to the execution of a release, he would be entitled to a pro-rated annual bonus for the year of termination of employment, paid at the lesser of his target amount or the target amount modified by the Company performance factor. However, based on the assumption that Mr. Bakish remained employed through the end of the calendar year, he would have received his full annual bonus in the amount disclosed in the “Non-Equity Incentive Plan Compensation” column of the Summary Compensation Table for Fiscal Year 2021 in lieu of a pro-rated bonus, in accordance with the terms of our STIP as in effect on December 31, 2021.</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051D49"/>
        </w:rPr>
        <w:t>Chopra, D’Alimonte, Lea and Phillips</w:t>
      </w:r>
    </w:p>
    <w:p>
      <w:pPr>
        <w:spacing w:after="0" w:line="99"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Mr. Chopra and Mses. D’Alimonte, Lea and Phillips would have received the following termination payments and benefits if we terminated his or her employment without “Cause” or if he or she terminated his or her employment with us for “Good Reason” pursuant to the applicable executive’s employment agreement in effect as of December 31, 2021, subject to execution of a release:</w:t>
      </w:r>
    </w:p>
    <w:p>
      <w:pPr>
        <w:spacing w:after="0" w:line="78" w:lineRule="exact"/>
        <w:rPr>
          <w:sz w:val="20"/>
          <w:szCs w:val="20"/>
          <w:color w:val="auto"/>
        </w:rPr>
      </w:pPr>
    </w:p>
    <w:p>
      <w:pPr>
        <w:jc w:val="both"/>
        <w:ind w:left="380" w:right="140" w:hanging="213"/>
        <w:spacing w:after="0" w:line="243" w:lineRule="auto"/>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subject to an overall cap of two times the sum of the applicable executive’s base salary and target bonus amount, salary payable until the later of the (x) first anniversary of termination or (y) end of the contract term, at the same time that it would have been paid had the executive remained employed, and an annual bonus and/or pro-rated bonus for each remaining year of the contract term at the lesser of the executive’s target amount or the target amount modified by the Company performance factor;</w:t>
      </w:r>
    </w:p>
    <w:p>
      <w:pPr>
        <w:spacing w:after="0" w:line="84" w:lineRule="exact"/>
        <w:rPr>
          <w:rFonts w:ascii="Arial" w:cs="Arial" w:eastAsia="Arial" w:hAnsi="Arial"/>
          <w:sz w:val="18"/>
          <w:szCs w:val="18"/>
          <w:color w:val="auto"/>
        </w:rPr>
      </w:pPr>
    </w:p>
    <w:p>
      <w:pPr>
        <w:ind w:left="380" w:right="40" w:hanging="213"/>
        <w:spacing w:after="0" w:line="237" w:lineRule="auto"/>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Mr. Chopra, pursuant to the Chopra Letter Agreement and his employment agreement, full acceleration of both equity grants he received on August 24, 2020, for Ms. D’Alimonte, acceleration of outstanding equity awards that would have vested during the longer of the contract term and the 18-month period following her termination, for Ms. Phillips, pursuant to the Phillips Letter Agreement and her employment agreement, acceleration of the one-time equity grant she received on December 19, 2019 and acceleration of her other outstanding equity awards that would have vested during the contract term (</w:t>
      </w:r>
      <w:r>
        <w:rPr>
          <w:rFonts w:ascii="Arial" w:cs="Arial" w:eastAsia="Arial" w:hAnsi="Arial"/>
          <w:sz w:val="18"/>
          <w:szCs w:val="18"/>
          <w:i w:val="1"/>
          <w:iCs w:val="1"/>
          <w:color w:val="auto"/>
        </w:rPr>
        <w:t>i.e.</w:t>
      </w:r>
      <w:r>
        <w:rPr>
          <w:rFonts w:ascii="Arial" w:cs="Arial" w:eastAsia="Arial" w:hAnsi="Arial"/>
          <w:sz w:val="18"/>
          <w:szCs w:val="18"/>
          <w:color w:val="auto"/>
        </w:rPr>
        <w:t>, through December 1, 2022) and for Ms. Lea, acceleration of outstanding equity awards that would have vested during the contract term (</w:t>
      </w:r>
      <w:r>
        <w:rPr>
          <w:rFonts w:ascii="Arial" w:cs="Arial" w:eastAsia="Arial" w:hAnsi="Arial"/>
          <w:sz w:val="18"/>
          <w:szCs w:val="18"/>
          <w:i w:val="1"/>
          <w:iCs w:val="1"/>
          <w:color w:val="auto"/>
        </w:rPr>
        <w:t>i.e.</w:t>
      </w:r>
      <w:r>
        <w:rPr>
          <w:rFonts w:ascii="Arial" w:cs="Arial" w:eastAsia="Arial" w:hAnsi="Arial"/>
          <w:sz w:val="18"/>
          <w:szCs w:val="18"/>
          <w:color w:val="auto"/>
        </w:rPr>
        <w:t>, through December 4, 2022) — in each case with performance for any PSUs for which the performance period is not yet complete deemed achieved at a target level and, for Ms. D’Alimonte, with outstanding stock options remaining exercisable for 6 months following the termination date or, if later, as provided under the applicable long-term incentive plan, but in no event later than the original expiration date of the stock option;</w:t>
      </w:r>
    </w:p>
    <w:p>
      <w:pPr>
        <w:spacing w:after="0" w:line="86" w:lineRule="exact"/>
        <w:rPr>
          <w:rFonts w:ascii="Arial" w:cs="Arial" w:eastAsia="Arial" w:hAnsi="Arial"/>
          <w:sz w:val="18"/>
          <w:szCs w:val="18"/>
          <w:color w:val="auto"/>
        </w:rPr>
      </w:pPr>
    </w:p>
    <w:p>
      <w:pPr>
        <w:ind w:left="380" w:right="260" w:hanging="213"/>
        <w:spacing w:after="0" w:line="265" w:lineRule="auto"/>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Company-paid medical and dental benefits for the longer of the remainder of the contract period and 12 months, or until the time that the executive becomes covered by another employer’s plan, if earlier;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374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188"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66</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80"/>
          </w:cols>
          <w:pgMar w:left="320" w:top="454" w:right="49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EXECUTIVE COMPENSATION</w:t>
      </w:r>
    </w:p>
    <w:p>
      <w:pPr>
        <w:spacing w:after="0" w:line="146" w:lineRule="exact"/>
        <w:rPr>
          <w:sz w:val="20"/>
          <w:szCs w:val="20"/>
          <w:color w:val="auto"/>
        </w:rPr>
      </w:pPr>
    </w:p>
    <w:p>
      <w:pPr>
        <w:ind w:left="380" w:right="320" w:hanging="213"/>
        <w:spacing w:after="0" w:line="265" w:lineRule="auto"/>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Company-paid life insurance until the end of the contract term, or, if longer, the end of the period that the executive is receiving cash severance payments, or until the time that the executive becomes eligible under another employer’s plan, if earlier.</w:t>
      </w:r>
    </w:p>
    <w:p>
      <w:pPr>
        <w:spacing w:after="0" w:line="51" w:lineRule="exact"/>
        <w:rPr>
          <w:sz w:val="20"/>
          <w:szCs w:val="20"/>
          <w:color w:val="auto"/>
        </w:rPr>
      </w:pPr>
    </w:p>
    <w:p>
      <w:pPr>
        <w:ind w:left="160" w:right="20"/>
        <w:spacing w:after="0" w:line="243" w:lineRule="auto"/>
        <w:rPr>
          <w:sz w:val="20"/>
          <w:szCs w:val="20"/>
          <w:color w:val="auto"/>
        </w:rPr>
      </w:pPr>
      <w:r>
        <w:rPr>
          <w:rFonts w:ascii="Arial" w:cs="Arial" w:eastAsia="Arial" w:hAnsi="Arial"/>
          <w:sz w:val="18"/>
          <w:szCs w:val="18"/>
          <w:color w:val="auto"/>
        </w:rPr>
        <w:t>The severance payments are subject to offset, with respect to the period beginning 12 months after termination and ending when the Company is no longer required to make severance payments, to the extent that the executive is receiving other compensation for the executive’s services. Under the terms of the applicable employment agreement, the executives are subject to certain restrictive covenants, including non-competition and non-solicitation of Company employees, and protection of our confidential information.</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Definition of “Cause”:</w:t>
      </w:r>
    </w:p>
    <w:p>
      <w:pPr>
        <w:spacing w:after="0" w:line="112" w:lineRule="exact"/>
        <w:rPr>
          <w:sz w:val="20"/>
          <w:szCs w:val="20"/>
          <w:color w:val="auto"/>
        </w:rPr>
      </w:pPr>
    </w:p>
    <w:p>
      <w:pPr>
        <w:ind w:left="380" w:right="80" w:hanging="213"/>
        <w:spacing w:after="0" w:line="236" w:lineRule="auto"/>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termination for “Cause” for each of the NEOs generally would have been triggered by one of the following: engaging in embezzlement, fraud or other conduct that would constitute a felony; engaging in conduct that would constitute a financial crime, material act of dishonesty or material unethical business conduct, involving Paramount; engaging in the willful unauthorized disclosure of confidential information; failure to obey a material lawful directive that was appropriate to his or her position from an executive or executives in his or her reporting line; committing a material breach of his or her employment agreement; failure (except in the event of disability) or refusal to substantially perform material obligations under his or her employment agreement; willful failure to cooperate with a bona fide internal investigation or investigation by regulatory or law enforcement authorities, after being instructed by Paramount to cooperate; willful destruction or failure to preserve documents or other material known to be relevant to such an investigation; or willful inducement of others to engage in certain of the conduct described above or to otherwise breach their obligations to Paramount. The full definition of “Cause,” and the provisions relating to the ability to cure such conduct, is set forth in the applicable executive’s employment agreement.</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Definition of “Good Reason”:</w:t>
      </w:r>
    </w:p>
    <w:p>
      <w:pPr>
        <w:spacing w:after="0" w:line="112" w:lineRule="exact"/>
        <w:rPr>
          <w:sz w:val="20"/>
          <w:szCs w:val="20"/>
          <w:color w:val="auto"/>
        </w:rPr>
      </w:pPr>
    </w:p>
    <w:p>
      <w:pPr>
        <w:ind w:left="380" w:right="140" w:hanging="213"/>
        <w:spacing w:after="0" w:line="237"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Mr. Bakish, a termination with “Good Reason” generally would have been triggered by one of the following: his removal as President and Chief Executive Officer of Paramount; his removal from or failure to be re-elected to the Board; his no longer serving as the highest ranking executive of Paramount; the assignment to him of duties or responsibilities substantially inconsistent with his position(s) or duties; any change in reporting such that he does not report solely and directly to the Board; the material reduction in his position, title, offices, authorities, duties or responsibilities; the reduction of his salary, target bonus or target long-term incentive compensation amount; the material breach by Paramount of any material obligation under his employment agreement or any material compensation agreement; the relocation of his position outside the greater New York City metropolitan area; Paramount no longer being a public company or failure to extend the term of his employment. The full definition of “Good Reason” is set forth in the employment agreement with Mr. Bakish.</w:t>
      </w:r>
    </w:p>
    <w:p>
      <w:pPr>
        <w:spacing w:after="0" w:line="86" w:lineRule="exact"/>
        <w:rPr>
          <w:rFonts w:ascii="Arial" w:cs="Arial" w:eastAsia="Arial" w:hAnsi="Arial"/>
          <w:sz w:val="18"/>
          <w:szCs w:val="18"/>
          <w:color w:val="auto"/>
        </w:rPr>
      </w:pPr>
    </w:p>
    <w:p>
      <w:pPr>
        <w:ind w:left="380" w:right="60" w:hanging="213"/>
        <w:spacing w:after="0" w:line="239"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Mr. Chopra and Mses. D’Alimonte, Lea and Phillips, a termination with “Good Reason” generally would have been triggered by one of the following: assignment of duties inconsistent with his or her current position or duties; diminution or withdrawal of his or her duties (including, for Mr. Chopra as the Chief Financial Officer of a publicly-traded company); material breach of material obligations under the executive’s employment agreement, and, in the cases of Mr. Chopra and Ms. D’Alimonte, a material reduction of compensation. For Ms. Lea, “Good Reason” also includes the relocation of her position outside the greater Washington D.C. metropolitan area. The full definition of “Good Reason” is set forth in the applicable executive’s employment agreement.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Termination Due to Disability of the NEOs</w:t>
      </w:r>
    </w:p>
    <w:p>
      <w:pPr>
        <w:spacing w:after="0" w:line="101"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If any of the NEOs had been terminated on December 31, 2021 due to disability, the applicable executive would have received accrued benefits payable through the date of termination and, pursuant to the terms of the applicable equity award agreements, Messrs. Bakish and Chopra would have received accelerated vesting of their outstanding equity awards and Mses. D’Alimonte, Lea and Phillips would have received accelerated vesting of their November 30, 2020 equity awards, in each case assuming target performance for any PSUs for which the performance period was not yet complete. The NEOs’ employment agreements also provide for the applicable executive to receive a pro-rated annual bonus for the year of termination of employment, paid at the lesser of the executive’s target amount or the target amount modified by the Company performance factor. However, based on the assumption that the applicable executive remained employed through the end of the calendar year, he or she would have received his or her full annual bonus in the amount disclosed in the “Non-Equity Incentive Plan Compensation” column of the Summary Compensation Table for Fiscal Year 2021 in lieu of a pro-rated bonus, in accordance with the terms of our STIP as in effect on December 31, 2021.</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67</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51D49"/>
        </w:rPr>
        <w:t>Termination Due to Death of the NEOs</w:t>
      </w:r>
    </w:p>
    <w:p>
      <w:pPr>
        <w:spacing w:after="0" w:line="101"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If any of the NEOs were to have died on December 31, 2021, the applicable executive’s beneficiary or estate would have received accrued benefits payable through the date of death and, pursuant to the terms of the applicable equity award documents, accelerated vesting of the applicable NEO’s outstanding equity awards, in each case assuming target performance for any PSUs for which the performance period was not yet complete. The NEOs’ employment agreements also provide for the applicable executive to receive a pro-rated annual bonus for the year of termination of employment, paid at the lesser of the executive’s target amount or the target amount modified by the Company performance factor. However, based on the assumption that the applicable executive remained employed through the end of the calendar year, he or she would have received his or her full annual bonus in the amount disclosed in the “Non-Equity Incentive Plan Compensation” column of the Summary Compensation Table for Fiscal Year 2021 in lieu of a pro-rated bonus, in accordance with the terms of our STIP as in effect on December 31, 2021.</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PAY RATIO</w:t>
      </w:r>
    </w:p>
    <w:p>
      <w:pPr>
        <w:spacing w:after="0" w:line="94"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color w:val="auto"/>
        </w:rPr>
        <w:t>As required by applicable SEC rules, we are providing the following information about the relationship of the annual total compensation of our employees and the annual total compensation of Mr. Bakish, our President and Chief Executive Officer (“CEO”). The CEO pay ratio figures below are a reasonable estimate calculated in a manner consistent with SEC rules and the methodology described below.</w:t>
      </w:r>
    </w:p>
    <w:p>
      <w:pPr>
        <w:spacing w:after="0" w:line="65" w:lineRule="exact"/>
        <w:rPr>
          <w:sz w:val="20"/>
          <w:szCs w:val="20"/>
          <w:color w:val="auto"/>
        </w:rPr>
      </w:pPr>
    </w:p>
    <w:p>
      <w:pPr>
        <w:ind w:left="160" w:right="40"/>
        <w:spacing w:after="0" w:line="262" w:lineRule="auto"/>
        <w:rPr>
          <w:sz w:val="20"/>
          <w:szCs w:val="20"/>
          <w:color w:val="auto"/>
        </w:rPr>
      </w:pPr>
      <w:r>
        <w:rPr>
          <w:rFonts w:ascii="Arial" w:cs="Arial" w:eastAsia="Arial" w:hAnsi="Arial"/>
          <w:sz w:val="17"/>
          <w:szCs w:val="17"/>
          <w:color w:val="auto"/>
        </w:rPr>
        <w:t>For 2021, our last completed fiscal year, the annual total compensation of the median employee was $94,580 and the annual total compensation of the CEO was $20,056,463. The annual total compensation for our median employee and for the CEO for these purposes includes our cost of health insurance premiums, which was not included in the Summary Compensation Table for Fiscal Year 2021. For 2021, the ratio of the annual total compensation of the CEO to the annual total compensation of the median employee was 212 to 1.</w:t>
      </w:r>
    </w:p>
    <w:p>
      <w:pPr>
        <w:spacing w:after="0" w:line="56" w:lineRule="exact"/>
        <w:rPr>
          <w:sz w:val="20"/>
          <w:szCs w:val="20"/>
          <w:color w:val="auto"/>
        </w:rPr>
      </w:pPr>
    </w:p>
    <w:p>
      <w:pPr>
        <w:jc w:val="both"/>
        <w:ind w:left="160" w:right="180"/>
        <w:spacing w:after="0" w:line="249" w:lineRule="auto"/>
        <w:rPr>
          <w:sz w:val="20"/>
          <w:szCs w:val="20"/>
          <w:color w:val="auto"/>
        </w:rPr>
      </w:pPr>
      <w:r>
        <w:rPr>
          <w:rFonts w:ascii="Arial" w:cs="Arial" w:eastAsia="Arial" w:hAnsi="Arial"/>
          <w:sz w:val="18"/>
          <w:szCs w:val="18"/>
          <w:color w:val="auto"/>
        </w:rPr>
        <w:t>As permitted under SEC rules, we used the same median employee that we used for purposes of disclosing our 2020 pay ratio as there has been no change in our employee population or employee compensation arrangements that we believe would significantly impact the pay ratio analysis.</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described in our 2020 Proxy Statement:</w:t>
      </w:r>
    </w:p>
    <w:p>
      <w:pPr>
        <w:spacing w:after="0" w:line="114" w:lineRule="exact"/>
        <w:rPr>
          <w:sz w:val="20"/>
          <w:szCs w:val="20"/>
          <w:color w:val="auto"/>
        </w:rPr>
      </w:pPr>
    </w:p>
    <w:p>
      <w:pPr>
        <w:ind w:left="380" w:hanging="213"/>
        <w:spacing w:after="0" w:line="238" w:lineRule="auto"/>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employee population on December 31, 2020 consisted of approximately 26,800 individuals, consisting of full-time, part-time and temporary employees, working for us and our consolidated subsidiaries. As permitted under the applicable SEC de minimis rule, we excluded certain non-U.S. employees from our employee population, which collectively amounted to less than 5% of our total number of employees. The jurisdictions and numbers of employees excluded on this basis were Canada (77), China (80), Denmark (44), France (135), Germany (119), Hong Kong (12), India (19), Israel (82), Italy (121), Japan (44), Mexico (129), New Zealand (9), Portugal (11), Russia (64), Singapore (104), South Africa (49), Sweden (35), Taiwan (6), United Arab Emirates (18), and the following countries with five or fewer employees: Belgium, Colombia, Czech Republic, Finland, Ireland, Korea, Nigeria, and the Philippines.</w:t>
      </w:r>
    </w:p>
    <w:p>
      <w:pPr>
        <w:spacing w:after="0" w:line="87" w:lineRule="exact"/>
        <w:rPr>
          <w:rFonts w:ascii="Arial" w:cs="Arial" w:eastAsia="Arial" w:hAnsi="Arial"/>
          <w:sz w:val="18"/>
          <w:szCs w:val="18"/>
          <w:color w:val="auto"/>
        </w:rPr>
      </w:pPr>
    </w:p>
    <w:p>
      <w:pPr>
        <w:ind w:left="380" w:right="520" w:hanging="213"/>
        <w:spacing w:after="0" w:line="265" w:lineRule="auto"/>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identify the “median employee” from our employee population, we used W-2 Box 1 amounts (and the foreign equivalent for our non-U.S. employees) as our consistently applied compensation measure.</w:t>
      </w:r>
    </w:p>
    <w:p>
      <w:pPr>
        <w:spacing w:after="0" w:line="64" w:lineRule="exact"/>
        <w:rPr>
          <w:rFonts w:ascii="Arial" w:cs="Arial" w:eastAsia="Arial" w:hAnsi="Arial"/>
          <w:sz w:val="18"/>
          <w:szCs w:val="18"/>
          <w:color w:val="auto"/>
        </w:rPr>
      </w:pPr>
    </w:p>
    <w:p>
      <w:pPr>
        <w:ind w:left="380" w:hanging="213"/>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Exchange rates were applied as of the determination date to convert all non-U.S. currencies into U.S. dollars.</w:t>
      </w:r>
    </w:p>
    <w:p>
      <w:pPr>
        <w:spacing w:after="0" w:line="113" w:lineRule="exact"/>
        <w:rPr>
          <w:rFonts w:ascii="Arial" w:cs="Arial" w:eastAsia="Arial" w:hAnsi="Arial"/>
          <w:sz w:val="18"/>
          <w:szCs w:val="18"/>
          <w:color w:val="auto"/>
        </w:rPr>
      </w:pPr>
    </w:p>
    <w:p>
      <w:pPr>
        <w:ind w:left="380" w:right="260" w:hanging="213"/>
        <w:spacing w:after="0" w:line="265" w:lineRule="auto"/>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the estimated compensation of each employee, we identified a band of employees with the approximate median estimated compensation value (the “Median Band”).</w:t>
      </w:r>
    </w:p>
    <w:p>
      <w:pPr>
        <w:spacing w:after="0" w:line="64" w:lineRule="exact"/>
        <w:rPr>
          <w:rFonts w:ascii="Arial" w:cs="Arial" w:eastAsia="Arial" w:hAnsi="Arial"/>
          <w:sz w:val="18"/>
          <w:szCs w:val="18"/>
          <w:color w:val="auto"/>
        </w:rPr>
      </w:pPr>
    </w:p>
    <w:p>
      <w:pPr>
        <w:ind w:left="380" w:right="420" w:hanging="213"/>
        <w:spacing w:after="0" w:line="265" w:lineRule="auto"/>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then identified the “median employee” from the employees within the Median Band and calculated that employee’s annual total compensation in accordance with applicable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2374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188"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68</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80"/>
          </w:cols>
          <w:pgMar w:left="320" w:top="454" w:right="49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51D49"/>
        </w:rPr>
        <w:t>Equity Compensation Plan Information</w:t>
      </w:r>
    </w:p>
    <w:p>
      <w:pPr>
        <w:spacing w:after="0" w:line="200" w:lineRule="exact"/>
        <w:rPr>
          <w:sz w:val="20"/>
          <w:szCs w:val="20"/>
          <w:color w:val="auto"/>
        </w:rPr>
      </w:pPr>
    </w:p>
    <w:p>
      <w:pPr>
        <w:spacing w:after="0" w:line="247" w:lineRule="exact"/>
        <w:rPr>
          <w:sz w:val="20"/>
          <w:szCs w:val="20"/>
          <w:color w:val="auto"/>
        </w:rPr>
      </w:pPr>
    </w:p>
    <w:p>
      <w:pPr>
        <w:ind w:left="160" w:right="160"/>
        <w:spacing w:after="0" w:line="243" w:lineRule="auto"/>
        <w:rPr>
          <w:sz w:val="20"/>
          <w:szCs w:val="20"/>
          <w:color w:val="auto"/>
        </w:rPr>
      </w:pPr>
      <w:r>
        <w:rPr>
          <w:rFonts w:ascii="Arial" w:cs="Arial" w:eastAsia="Arial" w:hAnsi="Arial"/>
          <w:sz w:val="18"/>
          <w:szCs w:val="18"/>
          <w:color w:val="auto"/>
        </w:rPr>
        <w:t>The following table sets forth information as of December 31, 2021 concerning shares of our Class B Common Stock authorized for issuance under our equity compensation plans. In connection with the Merger, we assumed certain equity compensation plans that have not been approved by our security holders but that were approved by the security holders of Viacom before the Merger. No shares of our Class A Common Stock are authorized for issuance under our equity compensation plans.</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2800" w:type="dxa"/>
            <w:vAlign w:val="bottom"/>
            <w:shd w:val="clear" w:color="auto" w:fill="EAEAEA"/>
          </w:tcPr>
          <w:p>
            <w:pPr>
              <w:spacing w:after="0"/>
              <w:rPr>
                <w:sz w:val="18"/>
                <w:szCs w:val="18"/>
                <w:color w:val="auto"/>
              </w:rPr>
            </w:pPr>
          </w:p>
        </w:tc>
        <w:tc>
          <w:tcPr>
            <w:tcW w:w="3440" w:type="dxa"/>
            <w:vAlign w:val="bottom"/>
            <w:shd w:val="clear" w:color="auto" w:fill="EAEAEA"/>
          </w:tcPr>
          <w:p>
            <w:pPr>
              <w:spacing w:after="0"/>
              <w:rPr>
                <w:sz w:val="18"/>
                <w:szCs w:val="18"/>
                <w:color w:val="auto"/>
              </w:rPr>
            </w:pPr>
          </w:p>
        </w:tc>
        <w:tc>
          <w:tcPr>
            <w:tcW w:w="2480" w:type="dxa"/>
            <w:vAlign w:val="bottom"/>
            <w:shd w:val="clear" w:color="auto" w:fill="EAEAEA"/>
          </w:tcPr>
          <w:p>
            <w:pPr>
              <w:spacing w:after="0"/>
              <w:rPr>
                <w:sz w:val="18"/>
                <w:szCs w:val="18"/>
                <w:color w:val="auto"/>
              </w:rPr>
            </w:pPr>
          </w:p>
        </w:tc>
        <w:tc>
          <w:tcPr>
            <w:tcW w:w="2200" w:type="dxa"/>
            <w:vAlign w:val="bottom"/>
            <w:shd w:val="clear" w:color="auto" w:fill="EAEAEA"/>
          </w:tcPr>
          <w:p>
            <w:pPr>
              <w:jc w:val="center"/>
              <w:ind w:left="429"/>
              <w:spacing w:after="0"/>
              <w:rPr>
                <w:sz w:val="20"/>
                <w:szCs w:val="20"/>
                <w:color w:val="auto"/>
              </w:rPr>
            </w:pPr>
            <w:r>
              <w:rPr>
                <w:rFonts w:ascii="Arial" w:cs="Arial" w:eastAsia="Arial" w:hAnsi="Arial"/>
                <w:sz w:val="14"/>
                <w:szCs w:val="14"/>
                <w:color w:val="051D49"/>
              </w:rPr>
              <w:t>Number of securities</w:t>
            </w:r>
          </w:p>
        </w:tc>
      </w:tr>
      <w:tr>
        <w:trPr>
          <w:trHeight w:val="160"/>
        </w:trPr>
        <w:tc>
          <w:tcPr>
            <w:tcW w:w="2800" w:type="dxa"/>
            <w:vAlign w:val="bottom"/>
            <w:shd w:val="clear" w:color="auto" w:fill="EAEAEA"/>
          </w:tcPr>
          <w:p>
            <w:pPr>
              <w:spacing w:after="0"/>
              <w:rPr>
                <w:sz w:val="13"/>
                <w:szCs w:val="13"/>
                <w:color w:val="auto"/>
              </w:rPr>
            </w:pPr>
          </w:p>
        </w:tc>
        <w:tc>
          <w:tcPr>
            <w:tcW w:w="3440" w:type="dxa"/>
            <w:vAlign w:val="bottom"/>
            <w:shd w:val="clear" w:color="auto" w:fill="EAEAEA"/>
          </w:tcPr>
          <w:p>
            <w:pPr>
              <w:spacing w:after="0"/>
              <w:rPr>
                <w:sz w:val="13"/>
                <w:szCs w:val="13"/>
                <w:color w:val="auto"/>
              </w:rPr>
            </w:pPr>
          </w:p>
        </w:tc>
        <w:tc>
          <w:tcPr>
            <w:tcW w:w="2480" w:type="dxa"/>
            <w:vAlign w:val="bottom"/>
            <w:shd w:val="clear" w:color="auto" w:fill="EAEAEA"/>
          </w:tcPr>
          <w:p>
            <w:pPr>
              <w:spacing w:after="0"/>
              <w:rPr>
                <w:sz w:val="13"/>
                <w:szCs w:val="13"/>
                <w:color w:val="auto"/>
              </w:rPr>
            </w:pPr>
          </w:p>
        </w:tc>
        <w:tc>
          <w:tcPr>
            <w:tcW w:w="2200" w:type="dxa"/>
            <w:vAlign w:val="bottom"/>
            <w:shd w:val="clear" w:color="auto" w:fill="EAEAEA"/>
          </w:tcPr>
          <w:p>
            <w:pPr>
              <w:jc w:val="center"/>
              <w:ind w:left="429"/>
              <w:spacing w:after="0"/>
              <w:rPr>
                <w:sz w:val="20"/>
                <w:szCs w:val="20"/>
                <w:color w:val="auto"/>
              </w:rPr>
            </w:pPr>
            <w:r>
              <w:rPr>
                <w:rFonts w:ascii="Arial" w:cs="Arial" w:eastAsia="Arial" w:hAnsi="Arial"/>
                <w:sz w:val="14"/>
                <w:szCs w:val="14"/>
                <w:color w:val="051D49"/>
              </w:rPr>
              <w:t>remaining available for</w:t>
            </w:r>
          </w:p>
        </w:tc>
      </w:tr>
      <w:tr>
        <w:trPr>
          <w:trHeight w:val="160"/>
        </w:trPr>
        <w:tc>
          <w:tcPr>
            <w:tcW w:w="2800" w:type="dxa"/>
            <w:vAlign w:val="bottom"/>
            <w:shd w:val="clear" w:color="auto" w:fill="EAEAEA"/>
          </w:tcPr>
          <w:p>
            <w:pPr>
              <w:spacing w:after="0"/>
              <w:rPr>
                <w:sz w:val="13"/>
                <w:szCs w:val="13"/>
                <w:color w:val="auto"/>
              </w:rPr>
            </w:pPr>
          </w:p>
        </w:tc>
        <w:tc>
          <w:tcPr>
            <w:tcW w:w="3440" w:type="dxa"/>
            <w:vAlign w:val="bottom"/>
            <w:shd w:val="clear" w:color="auto" w:fill="EAEAEA"/>
          </w:tcPr>
          <w:p>
            <w:pPr>
              <w:jc w:val="center"/>
              <w:ind w:left="349"/>
              <w:spacing w:after="0"/>
              <w:rPr>
                <w:sz w:val="20"/>
                <w:szCs w:val="20"/>
                <w:color w:val="auto"/>
              </w:rPr>
            </w:pPr>
            <w:r>
              <w:rPr>
                <w:rFonts w:ascii="Arial" w:cs="Arial" w:eastAsia="Arial" w:hAnsi="Arial"/>
                <w:sz w:val="14"/>
                <w:szCs w:val="14"/>
                <w:color w:val="051D49"/>
              </w:rPr>
              <w:t>Number of securities to be</w:t>
            </w:r>
          </w:p>
        </w:tc>
        <w:tc>
          <w:tcPr>
            <w:tcW w:w="2480" w:type="dxa"/>
            <w:vAlign w:val="bottom"/>
            <w:shd w:val="clear" w:color="auto" w:fill="EAEAEA"/>
          </w:tcPr>
          <w:p>
            <w:pPr>
              <w:jc w:val="center"/>
              <w:ind w:left="89"/>
              <w:spacing w:after="0"/>
              <w:rPr>
                <w:sz w:val="20"/>
                <w:szCs w:val="20"/>
                <w:color w:val="auto"/>
              </w:rPr>
            </w:pPr>
            <w:r>
              <w:rPr>
                <w:rFonts w:ascii="Arial" w:cs="Arial" w:eastAsia="Arial" w:hAnsi="Arial"/>
                <w:sz w:val="14"/>
                <w:szCs w:val="14"/>
                <w:color w:val="051D49"/>
              </w:rPr>
              <w:t>Weighted-average</w:t>
            </w:r>
          </w:p>
        </w:tc>
        <w:tc>
          <w:tcPr>
            <w:tcW w:w="2200" w:type="dxa"/>
            <w:vAlign w:val="bottom"/>
            <w:shd w:val="clear" w:color="auto" w:fill="EAEAEA"/>
          </w:tcPr>
          <w:p>
            <w:pPr>
              <w:jc w:val="center"/>
              <w:ind w:left="429"/>
              <w:spacing w:after="0"/>
              <w:rPr>
                <w:sz w:val="20"/>
                <w:szCs w:val="20"/>
                <w:color w:val="auto"/>
              </w:rPr>
            </w:pPr>
            <w:r>
              <w:rPr>
                <w:rFonts w:ascii="Arial" w:cs="Arial" w:eastAsia="Arial" w:hAnsi="Arial"/>
                <w:sz w:val="14"/>
                <w:szCs w:val="14"/>
                <w:color w:val="051D49"/>
              </w:rPr>
              <w:t>future issuance under</w:t>
            </w:r>
          </w:p>
        </w:tc>
      </w:tr>
      <w:tr>
        <w:trPr>
          <w:trHeight w:val="160"/>
        </w:trPr>
        <w:tc>
          <w:tcPr>
            <w:tcW w:w="2800" w:type="dxa"/>
            <w:vAlign w:val="bottom"/>
            <w:shd w:val="clear" w:color="auto" w:fill="EAEAEA"/>
          </w:tcPr>
          <w:p>
            <w:pPr>
              <w:spacing w:after="0"/>
              <w:rPr>
                <w:sz w:val="13"/>
                <w:szCs w:val="13"/>
                <w:color w:val="auto"/>
              </w:rPr>
            </w:pPr>
          </w:p>
        </w:tc>
        <w:tc>
          <w:tcPr>
            <w:tcW w:w="3440" w:type="dxa"/>
            <w:vAlign w:val="bottom"/>
            <w:shd w:val="clear" w:color="auto" w:fill="EAEAEA"/>
          </w:tcPr>
          <w:p>
            <w:pPr>
              <w:jc w:val="center"/>
              <w:ind w:left="349"/>
              <w:spacing w:after="0"/>
              <w:rPr>
                <w:sz w:val="20"/>
                <w:szCs w:val="20"/>
                <w:color w:val="auto"/>
              </w:rPr>
            </w:pPr>
            <w:r>
              <w:rPr>
                <w:rFonts w:ascii="Arial" w:cs="Arial" w:eastAsia="Arial" w:hAnsi="Arial"/>
                <w:sz w:val="14"/>
                <w:szCs w:val="14"/>
                <w:color w:val="051D49"/>
              </w:rPr>
              <w:t>issued upon exercise of</w:t>
            </w:r>
          </w:p>
        </w:tc>
        <w:tc>
          <w:tcPr>
            <w:tcW w:w="2480" w:type="dxa"/>
            <w:vAlign w:val="bottom"/>
            <w:shd w:val="clear" w:color="auto" w:fill="EAEAEA"/>
          </w:tcPr>
          <w:p>
            <w:pPr>
              <w:jc w:val="center"/>
              <w:ind w:left="89"/>
              <w:spacing w:after="0"/>
              <w:rPr>
                <w:sz w:val="20"/>
                <w:szCs w:val="20"/>
                <w:color w:val="auto"/>
              </w:rPr>
            </w:pPr>
            <w:r>
              <w:rPr>
                <w:rFonts w:ascii="Arial" w:cs="Arial" w:eastAsia="Arial" w:hAnsi="Arial"/>
                <w:sz w:val="14"/>
                <w:szCs w:val="14"/>
                <w:color w:val="051D49"/>
              </w:rPr>
              <w:t>exercise price of</w:t>
            </w:r>
          </w:p>
        </w:tc>
        <w:tc>
          <w:tcPr>
            <w:tcW w:w="2200" w:type="dxa"/>
            <w:vAlign w:val="bottom"/>
            <w:shd w:val="clear" w:color="auto" w:fill="EAEAEA"/>
          </w:tcPr>
          <w:p>
            <w:pPr>
              <w:jc w:val="center"/>
              <w:ind w:left="429"/>
              <w:spacing w:after="0"/>
              <w:rPr>
                <w:sz w:val="20"/>
                <w:szCs w:val="20"/>
                <w:color w:val="auto"/>
              </w:rPr>
            </w:pPr>
            <w:r>
              <w:rPr>
                <w:rFonts w:ascii="Arial" w:cs="Arial" w:eastAsia="Arial" w:hAnsi="Arial"/>
                <w:sz w:val="14"/>
                <w:szCs w:val="14"/>
                <w:color w:val="051D49"/>
              </w:rPr>
              <w:t>equity compensation plans</w:t>
            </w:r>
          </w:p>
        </w:tc>
      </w:tr>
      <w:tr>
        <w:trPr>
          <w:trHeight w:val="160"/>
        </w:trPr>
        <w:tc>
          <w:tcPr>
            <w:tcW w:w="2800" w:type="dxa"/>
            <w:vAlign w:val="bottom"/>
            <w:shd w:val="clear" w:color="auto" w:fill="EAEAEA"/>
          </w:tcPr>
          <w:p>
            <w:pPr>
              <w:spacing w:after="0"/>
              <w:rPr>
                <w:sz w:val="13"/>
                <w:szCs w:val="13"/>
                <w:color w:val="auto"/>
              </w:rPr>
            </w:pPr>
          </w:p>
        </w:tc>
        <w:tc>
          <w:tcPr>
            <w:tcW w:w="3440" w:type="dxa"/>
            <w:vAlign w:val="bottom"/>
            <w:shd w:val="clear" w:color="auto" w:fill="EAEAEA"/>
          </w:tcPr>
          <w:p>
            <w:pPr>
              <w:jc w:val="center"/>
              <w:ind w:left="329"/>
              <w:spacing w:after="0"/>
              <w:rPr>
                <w:sz w:val="20"/>
                <w:szCs w:val="20"/>
                <w:color w:val="auto"/>
              </w:rPr>
            </w:pPr>
            <w:r>
              <w:rPr>
                <w:rFonts w:ascii="Arial" w:cs="Arial" w:eastAsia="Arial" w:hAnsi="Arial"/>
                <w:sz w:val="14"/>
                <w:szCs w:val="14"/>
                <w:color w:val="051D49"/>
              </w:rPr>
              <w:t>outstanding options,</w:t>
            </w:r>
          </w:p>
        </w:tc>
        <w:tc>
          <w:tcPr>
            <w:tcW w:w="2480" w:type="dxa"/>
            <w:vAlign w:val="bottom"/>
            <w:shd w:val="clear" w:color="auto" w:fill="EAEAEA"/>
          </w:tcPr>
          <w:p>
            <w:pPr>
              <w:jc w:val="center"/>
              <w:ind w:left="89"/>
              <w:spacing w:after="0"/>
              <w:rPr>
                <w:sz w:val="20"/>
                <w:szCs w:val="20"/>
                <w:color w:val="auto"/>
              </w:rPr>
            </w:pPr>
            <w:r>
              <w:rPr>
                <w:rFonts w:ascii="Arial" w:cs="Arial" w:eastAsia="Arial" w:hAnsi="Arial"/>
                <w:sz w:val="14"/>
                <w:szCs w:val="14"/>
                <w:color w:val="051D49"/>
              </w:rPr>
              <w:t>outstanding options,</w:t>
            </w:r>
          </w:p>
        </w:tc>
        <w:tc>
          <w:tcPr>
            <w:tcW w:w="2200" w:type="dxa"/>
            <w:vAlign w:val="bottom"/>
            <w:shd w:val="clear" w:color="auto" w:fill="EAEAEA"/>
          </w:tcPr>
          <w:p>
            <w:pPr>
              <w:jc w:val="center"/>
              <w:ind w:left="429"/>
              <w:spacing w:after="0"/>
              <w:rPr>
                <w:sz w:val="20"/>
                <w:szCs w:val="20"/>
                <w:color w:val="auto"/>
              </w:rPr>
            </w:pPr>
            <w:r>
              <w:rPr>
                <w:rFonts w:ascii="Arial" w:cs="Arial" w:eastAsia="Arial" w:hAnsi="Arial"/>
                <w:sz w:val="14"/>
                <w:szCs w:val="14"/>
                <w:color w:val="051D49"/>
              </w:rPr>
              <w:t>(excluding securities</w:t>
            </w:r>
          </w:p>
        </w:tc>
      </w:tr>
      <w:tr>
        <w:trPr>
          <w:trHeight w:val="160"/>
        </w:trPr>
        <w:tc>
          <w:tcPr>
            <w:tcW w:w="2800" w:type="dxa"/>
            <w:vAlign w:val="bottom"/>
            <w:shd w:val="clear" w:color="auto" w:fill="EAEAEA"/>
          </w:tcPr>
          <w:p>
            <w:pPr>
              <w:spacing w:after="0"/>
              <w:rPr>
                <w:sz w:val="13"/>
                <w:szCs w:val="13"/>
                <w:color w:val="auto"/>
              </w:rPr>
            </w:pPr>
          </w:p>
        </w:tc>
        <w:tc>
          <w:tcPr>
            <w:tcW w:w="3440" w:type="dxa"/>
            <w:vAlign w:val="bottom"/>
            <w:shd w:val="clear" w:color="auto" w:fill="EAEAEA"/>
          </w:tcPr>
          <w:p>
            <w:pPr>
              <w:jc w:val="center"/>
              <w:ind w:left="329"/>
              <w:spacing w:after="0"/>
              <w:rPr>
                <w:sz w:val="20"/>
                <w:szCs w:val="20"/>
                <w:color w:val="auto"/>
              </w:rPr>
            </w:pPr>
            <w:r>
              <w:rPr>
                <w:rFonts w:ascii="Arial" w:cs="Arial" w:eastAsia="Arial" w:hAnsi="Arial"/>
                <w:sz w:val="14"/>
                <w:szCs w:val="14"/>
                <w:color w:val="051D49"/>
              </w:rPr>
              <w:t>warrants and rights</w:t>
            </w:r>
          </w:p>
        </w:tc>
        <w:tc>
          <w:tcPr>
            <w:tcW w:w="2480" w:type="dxa"/>
            <w:vAlign w:val="bottom"/>
            <w:shd w:val="clear" w:color="auto" w:fill="EAEAEA"/>
          </w:tcPr>
          <w:p>
            <w:pPr>
              <w:jc w:val="center"/>
              <w:ind w:left="89"/>
              <w:spacing w:after="0"/>
              <w:rPr>
                <w:sz w:val="20"/>
                <w:szCs w:val="20"/>
                <w:color w:val="auto"/>
              </w:rPr>
            </w:pPr>
            <w:r>
              <w:rPr>
                <w:rFonts w:ascii="Arial" w:cs="Arial" w:eastAsia="Arial" w:hAnsi="Arial"/>
                <w:sz w:val="14"/>
                <w:szCs w:val="14"/>
                <w:color w:val="051D49"/>
              </w:rPr>
              <w:t>warrants and rights</w:t>
            </w:r>
          </w:p>
        </w:tc>
        <w:tc>
          <w:tcPr>
            <w:tcW w:w="2200" w:type="dxa"/>
            <w:vAlign w:val="bottom"/>
            <w:shd w:val="clear" w:color="auto" w:fill="EAEAEA"/>
          </w:tcPr>
          <w:p>
            <w:pPr>
              <w:jc w:val="center"/>
              <w:ind w:left="429"/>
              <w:spacing w:after="0"/>
              <w:rPr>
                <w:sz w:val="20"/>
                <w:szCs w:val="20"/>
                <w:color w:val="auto"/>
              </w:rPr>
            </w:pPr>
            <w:r>
              <w:rPr>
                <w:rFonts w:ascii="Arial" w:cs="Arial" w:eastAsia="Arial" w:hAnsi="Arial"/>
                <w:sz w:val="14"/>
                <w:szCs w:val="14"/>
                <w:color w:val="051D49"/>
              </w:rPr>
              <w:t>reflected in column (a))</w:t>
            </w:r>
          </w:p>
        </w:tc>
      </w:tr>
      <w:tr>
        <w:trPr>
          <w:trHeight w:val="210"/>
        </w:trPr>
        <w:tc>
          <w:tcPr>
            <w:tcW w:w="2800" w:type="dxa"/>
            <w:vAlign w:val="bottom"/>
            <w:shd w:val="clear" w:color="auto" w:fill="EAEAEA"/>
          </w:tcPr>
          <w:p>
            <w:pPr>
              <w:ind w:left="80"/>
              <w:spacing w:after="0"/>
              <w:rPr>
                <w:sz w:val="20"/>
                <w:szCs w:val="20"/>
                <w:color w:val="auto"/>
              </w:rPr>
            </w:pPr>
            <w:r>
              <w:rPr>
                <w:rFonts w:ascii="Arial" w:cs="Arial" w:eastAsia="Arial" w:hAnsi="Arial"/>
                <w:sz w:val="14"/>
                <w:szCs w:val="14"/>
                <w:color w:val="051D49"/>
              </w:rPr>
              <w:t>Plan Category</w:t>
            </w:r>
          </w:p>
        </w:tc>
        <w:tc>
          <w:tcPr>
            <w:tcW w:w="3440" w:type="dxa"/>
            <w:vAlign w:val="bottom"/>
            <w:shd w:val="clear" w:color="auto" w:fill="EAEAEA"/>
          </w:tcPr>
          <w:p>
            <w:pPr>
              <w:jc w:val="center"/>
              <w:ind w:left="329"/>
              <w:spacing w:after="0"/>
              <w:rPr>
                <w:sz w:val="20"/>
                <w:szCs w:val="20"/>
                <w:color w:val="auto"/>
              </w:rPr>
            </w:pPr>
            <w:r>
              <w:rPr>
                <w:rFonts w:ascii="Arial" w:cs="Arial" w:eastAsia="Arial" w:hAnsi="Arial"/>
                <w:sz w:val="14"/>
                <w:szCs w:val="14"/>
                <w:color w:val="051D49"/>
                <w:w w:val="93"/>
              </w:rPr>
              <w:t>(a)</w:t>
            </w:r>
          </w:p>
        </w:tc>
        <w:tc>
          <w:tcPr>
            <w:tcW w:w="2480" w:type="dxa"/>
            <w:vAlign w:val="bottom"/>
            <w:shd w:val="clear" w:color="auto" w:fill="EAEAEA"/>
          </w:tcPr>
          <w:p>
            <w:pPr>
              <w:jc w:val="center"/>
              <w:ind w:left="109"/>
              <w:spacing w:after="0"/>
              <w:rPr>
                <w:sz w:val="20"/>
                <w:szCs w:val="20"/>
                <w:color w:val="auto"/>
              </w:rPr>
            </w:pPr>
            <w:r>
              <w:rPr>
                <w:rFonts w:ascii="Arial" w:cs="Arial" w:eastAsia="Arial" w:hAnsi="Arial"/>
                <w:sz w:val="14"/>
                <w:szCs w:val="14"/>
                <w:color w:val="051D49"/>
              </w:rPr>
              <w:t>(b)</w:t>
            </w:r>
          </w:p>
        </w:tc>
        <w:tc>
          <w:tcPr>
            <w:tcW w:w="2200" w:type="dxa"/>
            <w:vAlign w:val="bottom"/>
            <w:shd w:val="clear" w:color="auto" w:fill="EAEAEA"/>
          </w:tcPr>
          <w:p>
            <w:pPr>
              <w:jc w:val="center"/>
              <w:ind w:left="429"/>
              <w:spacing w:after="0"/>
              <w:rPr>
                <w:sz w:val="20"/>
                <w:szCs w:val="20"/>
                <w:color w:val="auto"/>
              </w:rPr>
            </w:pPr>
            <w:r>
              <w:rPr>
                <w:rFonts w:ascii="Arial" w:cs="Arial" w:eastAsia="Arial" w:hAnsi="Arial"/>
                <w:sz w:val="14"/>
                <w:szCs w:val="14"/>
                <w:color w:val="051D49"/>
              </w:rPr>
              <w:t>(c)</w:t>
            </w:r>
          </w:p>
        </w:tc>
      </w:tr>
    </w:tbl>
    <w:p>
      <w:pPr>
        <w:spacing w:after="0" w:line="37"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580" w:type="dxa"/>
            <w:vAlign w:val="bottom"/>
          </w:tcPr>
          <w:p>
            <w:pPr>
              <w:ind w:left="60"/>
              <w:spacing w:after="0"/>
              <w:rPr>
                <w:sz w:val="20"/>
                <w:szCs w:val="20"/>
                <w:color w:val="auto"/>
              </w:rPr>
            </w:pPr>
            <w:r>
              <w:rPr>
                <w:rFonts w:ascii="Arial" w:cs="Arial" w:eastAsia="Arial" w:hAnsi="Arial"/>
                <w:sz w:val="15"/>
                <w:szCs w:val="15"/>
                <w:color w:val="auto"/>
              </w:rPr>
              <w:t>Equity compensation plans approved by</w:t>
            </w: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80" w:type="dxa"/>
            <w:vAlign w:val="bottom"/>
            <w:tcBorders>
              <w:bottom w:val="single" w:sz="8" w:color="051D49"/>
            </w:tcBorders>
          </w:tcPr>
          <w:p>
            <w:pPr>
              <w:ind w:left="220"/>
              <w:spacing w:after="0"/>
              <w:rPr>
                <w:sz w:val="20"/>
                <w:szCs w:val="20"/>
                <w:color w:val="auto"/>
              </w:rPr>
            </w:pPr>
            <w:r>
              <w:rPr>
                <w:rFonts w:ascii="Arial" w:cs="Arial" w:eastAsia="Arial" w:hAnsi="Arial"/>
                <w:sz w:val="15"/>
                <w:szCs w:val="15"/>
                <w:color w:val="auto"/>
              </w:rPr>
              <w:t>security holders</w:t>
            </w:r>
            <w:r>
              <w:rPr>
                <w:rFonts w:ascii="Arial" w:cs="Arial" w:eastAsia="Arial" w:hAnsi="Arial"/>
                <w:sz w:val="12"/>
                <w:szCs w:val="12"/>
                <w:color w:val="auto"/>
              </w:rPr>
              <w:t>(1)</w:t>
            </w:r>
          </w:p>
        </w:tc>
        <w:tc>
          <w:tcPr>
            <w:tcW w:w="2700" w:type="dxa"/>
            <w:vAlign w:val="bottom"/>
            <w:tcBorders>
              <w:bottom w:val="single" w:sz="8" w:color="051D49"/>
            </w:tcBorders>
            <w:gridSpan w:val="2"/>
          </w:tcPr>
          <w:p>
            <w:pPr>
              <w:ind w:left="840"/>
              <w:spacing w:after="0"/>
              <w:rPr>
                <w:sz w:val="20"/>
                <w:szCs w:val="20"/>
                <w:color w:val="auto"/>
              </w:rPr>
            </w:pPr>
            <w:r>
              <w:rPr>
                <w:rFonts w:ascii="Arial" w:cs="Arial" w:eastAsia="Arial" w:hAnsi="Arial"/>
                <w:sz w:val="15"/>
                <w:szCs w:val="15"/>
                <w:color w:val="auto"/>
              </w:rPr>
              <w:t>8,085,261</w:t>
            </w:r>
            <w:r>
              <w:rPr>
                <w:rFonts w:ascii="Arial" w:cs="Arial" w:eastAsia="Arial" w:hAnsi="Arial"/>
                <w:sz w:val="12"/>
                <w:szCs w:val="12"/>
                <w:color w:val="auto"/>
              </w:rPr>
              <w:t>(2)</w:t>
            </w:r>
          </w:p>
        </w:tc>
        <w:tc>
          <w:tcPr>
            <w:tcW w:w="2620" w:type="dxa"/>
            <w:vAlign w:val="bottom"/>
            <w:tcBorders>
              <w:bottom w:val="single" w:sz="8" w:color="051D49"/>
            </w:tcBorders>
            <w:gridSpan w:val="2"/>
          </w:tcPr>
          <w:p>
            <w:pPr>
              <w:jc w:val="right"/>
              <w:ind w:right="876"/>
              <w:spacing w:after="0"/>
              <w:rPr>
                <w:sz w:val="20"/>
                <w:szCs w:val="20"/>
                <w:color w:val="auto"/>
              </w:rPr>
            </w:pPr>
            <w:r>
              <w:rPr>
                <w:rFonts w:ascii="Arial" w:cs="Arial" w:eastAsia="Arial" w:hAnsi="Arial"/>
                <w:sz w:val="15"/>
                <w:szCs w:val="15"/>
                <w:color w:val="auto"/>
              </w:rPr>
              <w:t>$ 59.25</w:t>
            </w:r>
            <w:r>
              <w:rPr>
                <w:rFonts w:ascii="Arial" w:cs="Arial" w:eastAsia="Arial" w:hAnsi="Arial"/>
                <w:sz w:val="12"/>
                <w:szCs w:val="12"/>
                <w:color w:val="auto"/>
              </w:rPr>
              <w:t>(3)</w:t>
            </w:r>
          </w:p>
        </w:tc>
        <w:tc>
          <w:tcPr>
            <w:tcW w:w="2020" w:type="dxa"/>
            <w:vAlign w:val="bottom"/>
            <w:tcBorders>
              <w:bottom w:val="single" w:sz="8" w:color="051D49"/>
            </w:tcBorders>
            <w:gridSpan w:val="2"/>
          </w:tcPr>
          <w:p>
            <w:pPr>
              <w:jc w:val="right"/>
              <w:ind w:right="76"/>
              <w:spacing w:after="0"/>
              <w:rPr>
                <w:sz w:val="20"/>
                <w:szCs w:val="20"/>
                <w:color w:val="auto"/>
              </w:rPr>
            </w:pPr>
            <w:r>
              <w:rPr>
                <w:rFonts w:ascii="Arial" w:cs="Arial" w:eastAsia="Arial" w:hAnsi="Arial"/>
                <w:sz w:val="15"/>
                <w:szCs w:val="15"/>
                <w:color w:val="auto"/>
              </w:rPr>
              <w:t>37,659,241</w:t>
            </w: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93"/>
        </w:trPr>
        <w:tc>
          <w:tcPr>
            <w:tcW w:w="3580" w:type="dxa"/>
            <w:vAlign w:val="bottom"/>
          </w:tcPr>
          <w:p>
            <w:pPr>
              <w:ind w:left="60"/>
              <w:spacing w:after="0"/>
              <w:rPr>
                <w:sz w:val="20"/>
                <w:szCs w:val="20"/>
                <w:color w:val="auto"/>
              </w:rPr>
            </w:pPr>
            <w:r>
              <w:rPr>
                <w:rFonts w:ascii="Arial" w:cs="Arial" w:eastAsia="Arial" w:hAnsi="Arial"/>
                <w:sz w:val="15"/>
                <w:szCs w:val="15"/>
                <w:color w:val="auto"/>
              </w:rPr>
              <w:t>Equity compensation plans not</w:t>
            </w:r>
          </w:p>
        </w:tc>
        <w:tc>
          <w:tcPr>
            <w:tcW w:w="1500" w:type="dxa"/>
            <w:vAlign w:val="bottom"/>
            <w:vMerge w:val="restart"/>
          </w:tcPr>
          <w:p>
            <w:pPr>
              <w:ind w:left="840"/>
              <w:spacing w:after="0"/>
              <w:rPr>
                <w:sz w:val="20"/>
                <w:szCs w:val="20"/>
                <w:color w:val="auto"/>
              </w:rPr>
            </w:pPr>
            <w:r>
              <w:rPr>
                <w:rFonts w:ascii="Arial" w:cs="Arial" w:eastAsia="Arial" w:hAnsi="Arial"/>
                <w:sz w:val="15"/>
                <w:szCs w:val="15"/>
                <w:color w:val="auto"/>
                <w:w w:val="95"/>
              </w:rPr>
              <w:t>6,220,341</w:t>
            </w:r>
          </w:p>
        </w:tc>
        <w:tc>
          <w:tcPr>
            <w:tcW w:w="1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$ 68.41</w:t>
            </w:r>
          </w:p>
        </w:tc>
        <w:tc>
          <w:tcPr>
            <w:tcW w:w="1100" w:type="dxa"/>
            <w:vAlign w:val="bottom"/>
          </w:tcPr>
          <w:p>
            <w:pPr>
              <w:spacing w:after="0"/>
              <w:rPr>
                <w:sz w:val="16"/>
                <w:szCs w:val="16"/>
                <w:color w:val="auto"/>
              </w:rPr>
            </w:pPr>
          </w:p>
        </w:tc>
        <w:tc>
          <w:tcPr>
            <w:tcW w:w="1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580" w:type="dxa"/>
            <w:vAlign w:val="bottom"/>
          </w:tcPr>
          <w:p>
            <w:pPr>
              <w:ind w:left="220"/>
              <w:spacing w:after="0" w:line="22" w:lineRule="exact"/>
              <w:rPr>
                <w:sz w:val="20"/>
                <w:szCs w:val="20"/>
                <w:color w:val="auto"/>
              </w:rPr>
            </w:pPr>
            <w:r>
              <w:rPr>
                <w:rFonts w:ascii="Arial" w:cs="Arial" w:eastAsia="Arial" w:hAnsi="Arial"/>
                <w:sz w:val="2"/>
                <w:szCs w:val="2"/>
                <w:color w:val="auto"/>
              </w:rPr>
              <w:t>approved by security holders</w:t>
            </w:r>
          </w:p>
        </w:tc>
        <w:tc>
          <w:tcPr>
            <w:tcW w:w="1500" w:type="dxa"/>
            <w:vAlign w:val="bottom"/>
            <w:vMerge w:val="continue"/>
          </w:tcPr>
          <w:p>
            <w:pPr>
              <w:spacing w:after="0" w:line="20" w:lineRule="exact"/>
              <w:rPr>
                <w:sz w:val="1"/>
                <w:szCs w:val="1"/>
                <w:color w:val="auto"/>
              </w:rPr>
            </w:pPr>
          </w:p>
        </w:tc>
        <w:tc>
          <w:tcPr>
            <w:tcW w:w="1200" w:type="dxa"/>
            <w:vAlign w:val="bottom"/>
            <w:vMerge w:val="restart"/>
          </w:tcPr>
          <w:p>
            <w:pPr>
              <w:jc w:val="right"/>
              <w:ind w:right="976"/>
              <w:spacing w:after="0"/>
              <w:rPr>
                <w:sz w:val="20"/>
                <w:szCs w:val="20"/>
                <w:color w:val="auto"/>
              </w:rPr>
            </w:pPr>
            <w:r>
              <w:rPr>
                <w:rFonts w:ascii="Arial" w:cs="Arial" w:eastAsia="Arial" w:hAnsi="Arial"/>
                <w:sz w:val="13"/>
                <w:szCs w:val="13"/>
                <w:color w:val="auto"/>
                <w:w w:val="87"/>
              </w:rPr>
              <w:t>(6)</w:t>
            </w:r>
          </w:p>
        </w:tc>
        <w:tc>
          <w:tcPr>
            <w:tcW w:w="1520" w:type="dxa"/>
            <w:vAlign w:val="bottom"/>
            <w:vMerge w:val="continue"/>
          </w:tcPr>
          <w:p>
            <w:pPr>
              <w:spacing w:after="0" w:line="20" w:lineRule="exact"/>
              <w:rPr>
                <w:sz w:val="1"/>
                <w:szCs w:val="1"/>
                <w:color w:val="auto"/>
              </w:rPr>
            </w:pPr>
          </w:p>
        </w:tc>
        <w:tc>
          <w:tcPr>
            <w:tcW w:w="1100" w:type="dxa"/>
            <w:vAlign w:val="bottom"/>
            <w:vMerge w:val="restart"/>
          </w:tcPr>
          <w:p>
            <w:pPr>
              <w:jc w:val="right"/>
              <w:ind w:right="876"/>
              <w:spacing w:after="0"/>
              <w:rPr>
                <w:sz w:val="20"/>
                <w:szCs w:val="20"/>
                <w:color w:val="auto"/>
              </w:rPr>
            </w:pPr>
            <w:r>
              <w:rPr>
                <w:rFonts w:ascii="Arial" w:cs="Arial" w:eastAsia="Arial" w:hAnsi="Arial"/>
                <w:sz w:val="13"/>
                <w:szCs w:val="13"/>
                <w:color w:val="auto"/>
                <w:w w:val="87"/>
              </w:rPr>
              <w:t>(3)</w:t>
            </w:r>
          </w:p>
        </w:tc>
        <w:tc>
          <w:tcPr>
            <w:tcW w:w="1720" w:type="dxa"/>
            <w:vAlign w:val="bottom"/>
            <w:vMerge w:val="continue"/>
          </w:tcPr>
          <w:p>
            <w:pPr>
              <w:spacing w:after="0" w:line="20" w:lineRule="exact"/>
              <w:rPr>
                <w:sz w:val="1"/>
                <w:szCs w:val="1"/>
                <w:color w:val="auto"/>
              </w:rPr>
            </w:pPr>
          </w:p>
        </w:tc>
        <w:tc>
          <w:tcPr>
            <w:tcW w:w="300" w:type="dxa"/>
            <w:vAlign w:val="bottom"/>
            <w:vMerge w:val="restart"/>
          </w:tcPr>
          <w:p>
            <w:pPr>
              <w:jc w:val="right"/>
              <w:ind w:right="76"/>
              <w:spacing w:after="0"/>
              <w:rPr>
                <w:sz w:val="20"/>
                <w:szCs w:val="20"/>
                <w:color w:val="auto"/>
              </w:rPr>
            </w:pPr>
            <w:r>
              <w:rPr>
                <w:rFonts w:ascii="Arial" w:cs="Arial" w:eastAsia="Arial" w:hAnsi="Arial"/>
                <w:sz w:val="13"/>
                <w:szCs w:val="13"/>
                <w:color w:val="auto"/>
                <w:w w:val="87"/>
              </w:rPr>
              <w:t>(7)</w:t>
            </w:r>
          </w:p>
        </w:tc>
        <w:tc>
          <w:tcPr>
            <w:tcW w:w="0" w:type="dxa"/>
            <w:vAlign w:val="bottom"/>
          </w:tcPr>
          <w:p>
            <w:pPr>
              <w:spacing w:after="0" w:line="20" w:lineRule="exact"/>
              <w:rPr>
                <w:sz w:val="1"/>
                <w:szCs w:val="1"/>
                <w:color w:val="auto"/>
              </w:rPr>
            </w:pPr>
          </w:p>
        </w:tc>
      </w:tr>
      <w:tr>
        <w:trPr>
          <w:trHeight w:val="177"/>
        </w:trPr>
        <w:tc>
          <w:tcPr>
            <w:tcW w:w="3580" w:type="dxa"/>
            <w:vAlign w:val="bottom"/>
            <w:tcBorders>
              <w:bottom w:val="single" w:sz="8" w:color="051D49"/>
            </w:tcBorders>
          </w:tcPr>
          <w:p>
            <w:pPr>
              <w:ind w:left="2160"/>
              <w:spacing w:after="0"/>
              <w:rPr>
                <w:sz w:val="20"/>
                <w:szCs w:val="20"/>
                <w:color w:val="auto"/>
              </w:rPr>
            </w:pPr>
            <w:r>
              <w:rPr>
                <w:rFonts w:ascii="Arial" w:cs="Arial" w:eastAsia="Arial" w:hAnsi="Arial"/>
                <w:sz w:val="13"/>
                <w:szCs w:val="13"/>
                <w:color w:val="auto"/>
              </w:rPr>
              <w:t>(5)</w:t>
            </w:r>
          </w:p>
        </w:tc>
        <w:tc>
          <w:tcPr>
            <w:tcW w:w="1500" w:type="dxa"/>
            <w:vAlign w:val="bottom"/>
            <w:tcBorders>
              <w:bottom w:val="single" w:sz="8" w:color="051D49"/>
            </w:tcBorders>
          </w:tcPr>
          <w:p>
            <w:pPr>
              <w:spacing w:after="0"/>
              <w:rPr>
                <w:sz w:val="15"/>
                <w:szCs w:val="15"/>
                <w:color w:val="auto"/>
              </w:rPr>
            </w:pPr>
          </w:p>
        </w:tc>
        <w:tc>
          <w:tcPr>
            <w:tcW w:w="1200" w:type="dxa"/>
            <w:vAlign w:val="bottom"/>
            <w:tcBorders>
              <w:bottom w:val="single" w:sz="8" w:color="051D49"/>
            </w:tcBorders>
            <w:vMerge w:val="continue"/>
          </w:tcPr>
          <w:p>
            <w:pPr>
              <w:spacing w:after="0"/>
              <w:rPr>
                <w:sz w:val="15"/>
                <w:szCs w:val="15"/>
                <w:color w:val="auto"/>
              </w:rPr>
            </w:pPr>
          </w:p>
        </w:tc>
        <w:tc>
          <w:tcPr>
            <w:tcW w:w="1520" w:type="dxa"/>
            <w:vAlign w:val="bottom"/>
            <w:tcBorders>
              <w:bottom w:val="single" w:sz="8" w:color="051D49"/>
            </w:tcBorders>
          </w:tcPr>
          <w:p>
            <w:pPr>
              <w:spacing w:after="0"/>
              <w:rPr>
                <w:sz w:val="15"/>
                <w:szCs w:val="15"/>
                <w:color w:val="auto"/>
              </w:rPr>
            </w:pPr>
          </w:p>
        </w:tc>
        <w:tc>
          <w:tcPr>
            <w:tcW w:w="1100" w:type="dxa"/>
            <w:vAlign w:val="bottom"/>
            <w:tcBorders>
              <w:bottom w:val="single" w:sz="8" w:color="051D49"/>
            </w:tcBorders>
            <w:vMerge w:val="continue"/>
          </w:tcPr>
          <w:p>
            <w:pPr>
              <w:spacing w:after="0"/>
              <w:rPr>
                <w:sz w:val="15"/>
                <w:szCs w:val="15"/>
                <w:color w:val="auto"/>
              </w:rPr>
            </w:pPr>
          </w:p>
        </w:tc>
        <w:tc>
          <w:tcPr>
            <w:tcW w:w="1720" w:type="dxa"/>
            <w:vAlign w:val="bottom"/>
            <w:tcBorders>
              <w:bottom w:val="single" w:sz="8" w:color="051D49"/>
            </w:tcBorders>
          </w:tcPr>
          <w:p>
            <w:pPr>
              <w:spacing w:after="0"/>
              <w:rPr>
                <w:sz w:val="15"/>
                <w:szCs w:val="15"/>
                <w:color w:val="auto"/>
              </w:rPr>
            </w:pPr>
          </w:p>
        </w:tc>
        <w:tc>
          <w:tcPr>
            <w:tcW w:w="300" w:type="dxa"/>
            <w:vAlign w:val="bottom"/>
            <w:tcBorders>
              <w:bottom w:val="single" w:sz="8" w:color="051D49"/>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80" w:type="dxa"/>
            <w:vAlign w:val="bottom"/>
            <w:tcBorders>
              <w:bottom w:val="single" w:sz="8" w:color="051D49"/>
            </w:tcBorders>
          </w:tcPr>
          <w:p>
            <w:pPr>
              <w:ind w:left="60"/>
              <w:spacing w:after="0"/>
              <w:rPr>
                <w:sz w:val="20"/>
                <w:szCs w:val="20"/>
                <w:color w:val="auto"/>
              </w:rPr>
            </w:pPr>
            <w:r>
              <w:rPr>
                <w:rFonts w:ascii="Arial" w:cs="Arial" w:eastAsia="Arial" w:hAnsi="Arial"/>
                <w:sz w:val="15"/>
                <w:szCs w:val="15"/>
                <w:color w:val="auto"/>
              </w:rPr>
              <w:t>Total:</w:t>
            </w:r>
          </w:p>
        </w:tc>
        <w:tc>
          <w:tcPr>
            <w:tcW w:w="1500" w:type="dxa"/>
            <w:vAlign w:val="bottom"/>
            <w:tcBorders>
              <w:bottom w:val="single" w:sz="8" w:color="051D49"/>
            </w:tcBorders>
          </w:tcPr>
          <w:p>
            <w:pPr>
              <w:ind w:left="840"/>
              <w:spacing w:after="0"/>
              <w:rPr>
                <w:sz w:val="20"/>
                <w:szCs w:val="20"/>
                <w:color w:val="auto"/>
              </w:rPr>
            </w:pPr>
            <w:r>
              <w:rPr>
                <w:rFonts w:ascii="Arial" w:cs="Arial" w:eastAsia="Arial" w:hAnsi="Arial"/>
                <w:sz w:val="15"/>
                <w:szCs w:val="15"/>
                <w:color w:val="auto"/>
                <w:w w:val="95"/>
              </w:rPr>
              <w:t>8,085,261</w:t>
            </w:r>
          </w:p>
        </w:tc>
        <w:tc>
          <w:tcPr>
            <w:tcW w:w="1200" w:type="dxa"/>
            <w:vAlign w:val="bottom"/>
            <w:tcBorders>
              <w:bottom w:val="single" w:sz="8" w:color="051D49"/>
            </w:tcBorders>
          </w:tcPr>
          <w:p>
            <w:pPr>
              <w:spacing w:after="0"/>
              <w:rPr>
                <w:sz w:val="20"/>
                <w:szCs w:val="20"/>
                <w:color w:val="auto"/>
              </w:rPr>
            </w:pPr>
          </w:p>
        </w:tc>
        <w:tc>
          <w:tcPr>
            <w:tcW w:w="2620" w:type="dxa"/>
            <w:vAlign w:val="bottom"/>
            <w:tcBorders>
              <w:bottom w:val="single" w:sz="8" w:color="051D49"/>
            </w:tcBorders>
            <w:gridSpan w:val="2"/>
          </w:tcPr>
          <w:p>
            <w:pPr>
              <w:jc w:val="right"/>
              <w:ind w:right="876"/>
              <w:spacing w:after="0"/>
              <w:rPr>
                <w:sz w:val="20"/>
                <w:szCs w:val="20"/>
                <w:color w:val="auto"/>
              </w:rPr>
            </w:pPr>
            <w:r>
              <w:rPr>
                <w:rFonts w:ascii="Arial" w:cs="Arial" w:eastAsia="Arial" w:hAnsi="Arial"/>
                <w:sz w:val="15"/>
                <w:szCs w:val="15"/>
                <w:color w:val="auto"/>
              </w:rPr>
              <w:t>$ 63.85</w:t>
            </w:r>
            <w:r>
              <w:rPr>
                <w:rFonts w:ascii="Arial" w:cs="Arial" w:eastAsia="Arial" w:hAnsi="Arial"/>
                <w:sz w:val="12"/>
                <w:szCs w:val="12"/>
                <w:color w:val="auto"/>
              </w:rPr>
              <w:t>(3)</w:t>
            </w:r>
          </w:p>
        </w:tc>
        <w:tc>
          <w:tcPr>
            <w:tcW w:w="1720" w:type="dxa"/>
            <w:vAlign w:val="bottom"/>
            <w:tcBorders>
              <w:bottom w:val="single" w:sz="8" w:color="051D49"/>
            </w:tcBorders>
          </w:tcPr>
          <w:p>
            <w:pPr>
              <w:jc w:val="right"/>
              <w:spacing w:after="0"/>
              <w:rPr>
                <w:sz w:val="20"/>
                <w:szCs w:val="20"/>
                <w:color w:val="auto"/>
              </w:rPr>
            </w:pPr>
            <w:r>
              <w:rPr>
                <w:rFonts w:ascii="Arial" w:cs="Arial" w:eastAsia="Arial" w:hAnsi="Arial"/>
                <w:sz w:val="15"/>
                <w:szCs w:val="15"/>
                <w:color w:val="auto"/>
              </w:rPr>
              <w:t>37,659,241</w:t>
            </w:r>
          </w:p>
        </w:tc>
        <w:tc>
          <w:tcPr>
            <w:tcW w:w="300" w:type="dxa"/>
            <w:vAlign w:val="bottom"/>
            <w:tcBorders>
              <w:bottom w:val="single" w:sz="8" w:color="051D49"/>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600" w:right="60" w:hanging="433"/>
        <w:spacing w:after="0" w:line="279" w:lineRule="auto"/>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Equity compensation plans approved by our security holders include the following: our 2009 Long-Term Incentive Plan, our 2000 Stock Option Plan for Outside Directors and our 2015 Equity Plan for Outside Directors.</w:t>
      </w:r>
    </w:p>
    <w:p>
      <w:pPr>
        <w:spacing w:after="0" w:line="67" w:lineRule="exact"/>
        <w:rPr>
          <w:rFonts w:ascii="Arial" w:cs="Arial" w:eastAsia="Arial" w:hAnsi="Arial"/>
          <w:sz w:val="16"/>
          <w:szCs w:val="16"/>
          <w:color w:val="auto"/>
        </w:rPr>
      </w:pPr>
    </w:p>
    <w:p>
      <w:pPr>
        <w:ind w:left="600" w:hanging="433"/>
        <w:spacing w:after="0"/>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Consists of outstanding options and restricted stock units, including 216,123 vested restricted stock units for which settlement has been deferred.</w:t>
      </w:r>
    </w:p>
    <w:p>
      <w:pPr>
        <w:spacing w:after="0" w:line="123" w:lineRule="exact"/>
        <w:rPr>
          <w:rFonts w:ascii="Arial" w:cs="Arial" w:eastAsia="Arial" w:hAnsi="Arial"/>
          <w:sz w:val="16"/>
          <w:szCs w:val="16"/>
          <w:color w:val="auto"/>
        </w:rPr>
      </w:pPr>
    </w:p>
    <w:p>
      <w:pPr>
        <w:ind w:left="600" w:right="620" w:hanging="433"/>
        <w:spacing w:after="0" w:line="279" w:lineRule="auto"/>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weighted-average exercise price is calculated based solely on the exercise price of outstanding options and does not take into account outstanding restricted stock units, which have no exercise price.</w:t>
      </w:r>
    </w:p>
    <w:p>
      <w:pPr>
        <w:spacing w:after="0" w:line="67" w:lineRule="exact"/>
        <w:rPr>
          <w:rFonts w:ascii="Arial" w:cs="Arial" w:eastAsia="Arial" w:hAnsi="Arial"/>
          <w:sz w:val="16"/>
          <w:szCs w:val="16"/>
          <w:color w:val="auto"/>
        </w:rPr>
      </w:pPr>
    </w:p>
    <w:p>
      <w:pPr>
        <w:jc w:val="both"/>
        <w:ind w:left="600" w:right="140" w:hanging="433"/>
        <w:spacing w:after="0" w:line="262" w:lineRule="auto"/>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Includes 37,007,559 shares of our Class B Common Stock available for future awards (other than options and stock appreciation rights) under our 2009 Long-Term Incentive Plan and 651,682 shares of Class B Common Stock available for future awards under our 2015 Equity Plan for Outside Directors.</w:t>
      </w:r>
    </w:p>
    <w:p>
      <w:pPr>
        <w:spacing w:after="0" w:line="79" w:lineRule="exact"/>
        <w:rPr>
          <w:rFonts w:ascii="Arial" w:cs="Arial" w:eastAsia="Arial" w:hAnsi="Arial"/>
          <w:sz w:val="16"/>
          <w:szCs w:val="16"/>
          <w:color w:val="auto"/>
        </w:rPr>
      </w:pPr>
    </w:p>
    <w:p>
      <w:pPr>
        <w:ind w:left="600" w:right="200" w:hanging="433"/>
        <w:spacing w:after="0" w:line="256" w:lineRule="auto"/>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connection with the Merger, effective December 4, 2019, we assumed the following equity compensation plans that had been approved by Viacom’s security holders but have not been approved by our security holders: the Viacom Inc. 2016 Long-Term Management Incentive Plan (the “Viacom LTMIP”) and the Viacom Inc. 2011 RSU Plan for Outside Directors, as amended and restated as of January 1, 2016 and as further amended and restated as of October 31, 2016 (the “Viacom Outside Director Plan”).</w:t>
      </w:r>
    </w:p>
    <w:p>
      <w:pPr>
        <w:spacing w:after="0" w:line="84" w:lineRule="exact"/>
        <w:rPr>
          <w:rFonts w:ascii="Arial" w:cs="Arial" w:eastAsia="Arial" w:hAnsi="Arial"/>
          <w:sz w:val="16"/>
          <w:szCs w:val="16"/>
          <w:color w:val="auto"/>
        </w:rPr>
      </w:pPr>
    </w:p>
    <w:p>
      <w:pPr>
        <w:ind w:left="600" w:hanging="433"/>
        <w:spacing w:after="0"/>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Consists of outstanding options and restricted stock units, including 156,240 vested restricted stock units for which settlement has been deferred.</w:t>
      </w:r>
    </w:p>
    <w:p>
      <w:pPr>
        <w:spacing w:after="0" w:line="123" w:lineRule="exact"/>
        <w:rPr>
          <w:rFonts w:ascii="Arial" w:cs="Arial" w:eastAsia="Arial" w:hAnsi="Arial"/>
          <w:sz w:val="16"/>
          <w:szCs w:val="16"/>
          <w:color w:val="auto"/>
        </w:rPr>
      </w:pPr>
    </w:p>
    <w:p>
      <w:pPr>
        <w:ind w:left="600" w:right="60" w:hanging="433"/>
        <w:spacing w:after="0" w:line="256" w:lineRule="auto"/>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connection with assuming these plans, we assumed the pool of authorized but unissued shares available for future issuances under the Viacom LTMIP and the Viacom Outside Director Plan, as adjusted pursuant to the “Exchange Ratio” (as defined in the Merger Agreement). The Viacom LTMIP and the Viacom Outside Director Plan expired on December 31, 2020 and January 1, 2021, respectively, and no shares remain available for future awards thereunder.</w:t>
      </w:r>
    </w:p>
    <w:p>
      <w:pPr>
        <w:spacing w:after="0" w:line="125"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0520" w:type="dxa"/>
            <w:vAlign w:val="bottom"/>
            <w:shd w:val="clear" w:color="auto" w:fill="051D49"/>
          </w:tcPr>
          <w:p>
            <w:pPr>
              <w:ind w:left="862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b w:val="1"/>
                <w:bCs w:val="1"/>
                <w:color w:val="FFFFFF"/>
              </w:rPr>
              <w:t>69</w:t>
            </w:r>
          </w:p>
        </w:tc>
      </w:tr>
      <w:tr>
        <w:trPr>
          <w:trHeight w:val="95"/>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jc w:val="center"/>
        <w:ind w:left="500" w:right="260"/>
        <w:spacing w:after="0" w:line="262" w:lineRule="auto"/>
        <w:rPr>
          <w:sz w:val="20"/>
          <w:szCs w:val="20"/>
          <w:color w:val="auto"/>
        </w:rPr>
      </w:pPr>
      <w:r>
        <w:rPr>
          <w:rFonts w:ascii="Arial" w:cs="Arial" w:eastAsia="Arial" w:hAnsi="Arial"/>
          <w:sz w:val="36"/>
          <w:szCs w:val="36"/>
          <w:b w:val="1"/>
          <w:bCs w:val="1"/>
          <w:color w:val="051D49"/>
        </w:rPr>
        <w:t>Item 3 — Stockholder Proposal Requesting that Our Board of Directors Take Steps to Reduce the Threshold At Which Stockholders May Call a Special Meeting</w:t>
      </w:r>
    </w:p>
    <w:p>
      <w:pPr>
        <w:spacing w:after="0" w:line="335" w:lineRule="exact"/>
        <w:rPr>
          <w:sz w:val="20"/>
          <w:szCs w:val="20"/>
          <w:color w:val="auto"/>
        </w:rPr>
      </w:pPr>
    </w:p>
    <w:p>
      <w:pPr>
        <w:ind w:left="160" w:right="160"/>
        <w:spacing w:after="0" w:line="238" w:lineRule="auto"/>
        <w:rPr>
          <w:sz w:val="20"/>
          <w:szCs w:val="20"/>
          <w:color w:val="auto"/>
        </w:rPr>
      </w:pPr>
      <w:r>
        <w:rPr>
          <w:rFonts w:ascii="Arial" w:cs="Arial" w:eastAsia="Arial" w:hAnsi="Arial"/>
          <w:sz w:val="18"/>
          <w:szCs w:val="18"/>
          <w:color w:val="auto"/>
        </w:rPr>
        <w:t>In accordance with Exchange Act Rule 14a-8, set forth below is a proposal that was submitted to us by a stockholder proponent. Upon receiving an oral or written request, we will promptly provide the name and address of the proponent. A representative of the proponent has represented to us that the proponent has continuously held at least 500 shares of our Class A Common Stock for at least one year and will continue to hold these securities through the date of the Annual Meeting. For the proposal to be voted on at the Annual Meeting, the proponent or a qualified representative of the proponent must attend the meeting and present the proposal. The Company and the Board of Directors disclaim any responsibility for the content of the proposal and the statement in support of the proposal, which are presented in the form received from the proponent.</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STOCKHOLDER PROPOSAL</w:t>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3 – Special Shareholder Meeting Improvement</w:t>
      </w:r>
    </w:p>
    <w:p>
      <w:pPr>
        <w:spacing w:after="0" w:line="101" w:lineRule="exact"/>
        <w:rPr>
          <w:sz w:val="20"/>
          <w:szCs w:val="20"/>
          <w:color w:val="auto"/>
        </w:rPr>
      </w:pPr>
    </w:p>
    <w:p>
      <w:pPr>
        <w:ind w:left="160" w:right="60"/>
        <w:spacing w:after="0" w:line="265" w:lineRule="auto"/>
        <w:rPr>
          <w:sz w:val="20"/>
          <w:szCs w:val="20"/>
          <w:color w:val="auto"/>
        </w:rPr>
      </w:pPr>
      <w:r>
        <w:rPr>
          <w:rFonts w:ascii="Arial" w:cs="Arial" w:eastAsia="Arial" w:hAnsi="Arial"/>
          <w:sz w:val="18"/>
          <w:szCs w:val="18"/>
          <w:color w:val="auto"/>
        </w:rPr>
        <w:t>Shareholders ask our board to take the necessary steps to amend the appropriate company governing documents to give the owners of a combined 25% of our outstanding common stock the power to call a special shareholder meeting.</w:t>
      </w:r>
    </w:p>
    <w:p>
      <w:pPr>
        <w:spacing w:after="0" w:line="51"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color w:val="auto"/>
        </w:rPr>
        <w:t>It now takes a theoretical 50.1% of all shares outstanding to call for a special shareholder meeting, this translates into 55% of the ViacomCBS shares that typically vote at the annual meeting. It would be hopeless to think that the shares that do not have the time to vote at the annual meeting would have the time to take the special procedural steps to call for a special shareholder meeting.</w:t>
      </w:r>
    </w:p>
    <w:p>
      <w:pPr>
        <w:spacing w:after="0" w:line="65"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Plus a group of 55% shareholders who went through the special procedures to call for a special shareholder meeting would likely represent support from more than 67% of shares because many shareholders do not have the time to take the special procedural steps to call for a special shareholder meeting even though they would support calling for a special shareholder meeting.</w:t>
      </w:r>
    </w:p>
    <w:p>
      <w:pPr>
        <w:spacing w:after="0" w:line="65" w:lineRule="exact"/>
        <w:rPr>
          <w:sz w:val="20"/>
          <w:szCs w:val="20"/>
          <w:color w:val="auto"/>
        </w:rPr>
      </w:pPr>
    </w:p>
    <w:p>
      <w:pPr>
        <w:ind w:left="160" w:right="300"/>
        <w:spacing w:after="0" w:line="249" w:lineRule="auto"/>
        <w:rPr>
          <w:sz w:val="20"/>
          <w:szCs w:val="20"/>
          <w:color w:val="auto"/>
        </w:rPr>
      </w:pPr>
      <w:r>
        <w:rPr>
          <w:rFonts w:ascii="Arial" w:cs="Arial" w:eastAsia="Arial" w:hAnsi="Arial"/>
          <w:sz w:val="18"/>
          <w:szCs w:val="18"/>
          <w:color w:val="auto"/>
        </w:rPr>
        <w:t>Plus it is easy to make small disqualifying paperwork errors in calling for a special shareholder meeting although a shareholder may be completely eligible to participate in calling for a special shareholder meeting. Thus the current face value of a 50.1% stock ownership requirement can easily represent support from 67% of shares – a high bar.</w:t>
      </w:r>
    </w:p>
    <w:p>
      <w:pPr>
        <w:spacing w:after="0" w:line="1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Please vote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2101850</wp:posOffset>
            </wp:positionH>
            <wp:positionV relativeFrom="paragraph">
              <wp:posOffset>160655</wp:posOffset>
            </wp:positionV>
            <wp:extent cx="2947035" cy="5772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947035" cy="577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Shareholder Meeting Improvement – Proposal 3</w:t>
      </w:r>
    </w:p>
    <w:p>
      <w:pPr>
        <w:spacing w:after="0" w:line="312" w:lineRule="exact"/>
        <w:rPr>
          <w:sz w:val="20"/>
          <w:szCs w:val="20"/>
          <w:color w:val="auto"/>
        </w:rPr>
      </w:pPr>
    </w:p>
    <w:p>
      <w:pPr>
        <w:ind w:left="160"/>
        <w:spacing w:after="0"/>
        <w:rPr>
          <w:sz w:val="20"/>
          <w:szCs w:val="20"/>
          <w:color w:val="auto"/>
        </w:rPr>
      </w:pPr>
      <w:r>
        <w:rPr>
          <w:rFonts w:ascii="Arial" w:cs="Arial" w:eastAsia="Arial" w:hAnsi="Arial"/>
          <w:sz w:val="20"/>
          <w:szCs w:val="20"/>
          <w:color w:val="051D49"/>
        </w:rPr>
        <w:t>COMPANY RESPONSE TO STOCKHOLDER PROPOSAL</w:t>
      </w:r>
    </w:p>
    <w:p>
      <w:pPr>
        <w:spacing w:after="0" w:line="94"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color w:val="auto"/>
        </w:rPr>
        <w:t>The Board has thoroughly reviewed and considered this proposal and, for the reasons discussed below, the Board recommends that you vote against this proposal.</w:t>
      </w:r>
    </w:p>
    <w:p>
      <w:pPr>
        <w:spacing w:after="0" w:line="265" w:lineRule="exact"/>
        <w:rPr>
          <w:sz w:val="20"/>
          <w:szCs w:val="20"/>
          <w:color w:val="auto"/>
        </w:rPr>
      </w:pPr>
    </w:p>
    <w:p>
      <w:pPr>
        <w:ind w:left="160" w:right="680"/>
        <w:spacing w:after="0" w:line="277" w:lineRule="auto"/>
        <w:rPr>
          <w:sz w:val="20"/>
          <w:szCs w:val="20"/>
          <w:color w:val="auto"/>
        </w:rPr>
      </w:pPr>
      <w:r>
        <w:rPr>
          <w:rFonts w:ascii="Arial" w:cs="Arial" w:eastAsia="Arial" w:hAnsi="Arial"/>
          <w:sz w:val="18"/>
          <w:szCs w:val="18"/>
          <w:b w:val="1"/>
          <w:bCs w:val="1"/>
          <w:color w:val="051D49"/>
        </w:rPr>
        <w:t>Our Corporate Governance and Shareholder Engagement Practices Ensure Board Accountability and Give Shareholders Meaningful Opportunities to be Heard</w:t>
      </w:r>
    </w:p>
    <w:p>
      <w:pPr>
        <w:spacing w:after="0" w:line="30" w:lineRule="exact"/>
        <w:rPr>
          <w:sz w:val="20"/>
          <w:szCs w:val="20"/>
          <w:color w:val="auto"/>
        </w:rPr>
      </w:pPr>
    </w:p>
    <w:p>
      <w:pPr>
        <w:ind w:left="160" w:right="320"/>
        <w:spacing w:after="0" w:line="249" w:lineRule="auto"/>
        <w:rPr>
          <w:sz w:val="20"/>
          <w:szCs w:val="20"/>
          <w:color w:val="auto"/>
        </w:rPr>
      </w:pPr>
      <w:r>
        <w:rPr>
          <w:rFonts w:ascii="Arial" w:cs="Arial" w:eastAsia="Arial" w:hAnsi="Arial"/>
          <w:sz w:val="18"/>
          <w:szCs w:val="18"/>
          <w:color w:val="auto"/>
        </w:rPr>
        <w:t>Our current corporate governance practices and shareholder outreach efforts ensure the Board’s accountability to, and alignment with, stockholders while enabling the Board to provide effective oversight and strategic direction for stockholders’ long-term benefit. For example:</w:t>
      </w:r>
    </w:p>
    <w:p>
      <w:pPr>
        <w:spacing w:after="0" w:line="78" w:lineRule="exact"/>
        <w:rPr>
          <w:sz w:val="20"/>
          <w:szCs w:val="20"/>
          <w:color w:val="auto"/>
        </w:rPr>
      </w:pPr>
    </w:p>
    <w:p>
      <w:pPr>
        <w:ind w:left="380" w:hanging="213"/>
        <w:spacing w:after="0"/>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Stockholders are able to:</w:t>
      </w:r>
    </w:p>
    <w:p>
      <w:pPr>
        <w:spacing w:after="0" w:line="113"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  Communicate directly with non-management directors and the Board using dedicated electronic and physical mailing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6929755" cy="2374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37"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70</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60"/>
          </w:cols>
          <w:pgMar w:left="320" w:top="454" w:right="51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right"/>
        <w:ind w:left="700"/>
        <w:spacing w:after="0" w:line="279" w:lineRule="auto"/>
        <w:rPr>
          <w:sz w:val="20"/>
          <w:szCs w:val="20"/>
          <w:color w:val="auto"/>
        </w:rPr>
      </w:pPr>
      <w:r>
        <w:rPr>
          <w:rFonts w:ascii="Arial" w:cs="Arial" w:eastAsia="Arial" w:hAnsi="Arial"/>
          <w:sz w:val="16"/>
          <w:szCs w:val="16"/>
          <w:color w:val="auto"/>
        </w:rPr>
        <w:t>ITEM 3 — STOCKHOLDER PROPOSAL REQUESTING THAT OUR BOARD OF DIRECTORS TAKE STEPS TO REDUCE THE THRESHOLD AT WHICH STOCKHOLDERS MAY CALL A SPECIAL MEETING</w:t>
      </w:r>
    </w:p>
    <w:p>
      <w:pPr>
        <w:spacing w:after="0" w:line="89" w:lineRule="exact"/>
        <w:rPr>
          <w:sz w:val="20"/>
          <w:szCs w:val="20"/>
          <w:color w:val="auto"/>
        </w:rPr>
      </w:pPr>
    </w:p>
    <w:p>
      <w:pPr>
        <w:ind w:left="600" w:hanging="219"/>
        <w:spacing w:after="0"/>
        <w:tabs>
          <w:tab w:leader="none" w:pos="6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Propose director nominees to the Nominating and Governance Committee; and</w:t>
      </w:r>
    </w:p>
    <w:p>
      <w:pPr>
        <w:spacing w:after="0" w:line="113" w:lineRule="exact"/>
        <w:rPr>
          <w:rFonts w:ascii="Arial" w:cs="Arial" w:eastAsia="Arial" w:hAnsi="Arial"/>
          <w:sz w:val="18"/>
          <w:szCs w:val="18"/>
          <w:color w:val="auto"/>
        </w:rPr>
      </w:pPr>
    </w:p>
    <w:p>
      <w:pPr>
        <w:ind w:left="600" w:right="60" w:hanging="219"/>
        <w:spacing w:after="0" w:line="249" w:lineRule="auto"/>
        <w:tabs>
          <w:tab w:leader="none" w:pos="6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Submit nominations of director candidates and proposals for consideration at our annual meetings, subject to the conditions set forth in our Bylaws. In fact, at our 2021 Annual Meeting of Stockholders, a stockholder was able to discuss a proposal that he had submitted for inclusion in the Company’s proxy statement for that meeting.</w:t>
      </w:r>
    </w:p>
    <w:p>
      <w:pPr>
        <w:spacing w:after="0" w:line="77" w:lineRule="exact"/>
        <w:rPr>
          <w:rFonts w:ascii="Arial" w:cs="Arial" w:eastAsia="Arial" w:hAnsi="Arial"/>
          <w:sz w:val="18"/>
          <w:szCs w:val="18"/>
          <w:color w:val="auto"/>
        </w:rPr>
      </w:pPr>
    </w:p>
    <w:p>
      <w:pPr>
        <w:ind w:left="380" w:right="60" w:hanging="213"/>
        <w:spacing w:after="0" w:line="249" w:lineRule="auto"/>
        <w:tabs>
          <w:tab w:leader="none" w:pos="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Even though we are a “controlled company” and therefore exempt from certain board independence requirements under Nasdaq’s listing rules, we nonetheless have a majority of independent directors on our Board, and each Board committee is comprised entirely of independent directors.</w:t>
      </w:r>
    </w:p>
    <w:p>
      <w:pPr>
        <w:spacing w:after="0" w:line="77" w:lineRule="exact"/>
        <w:rPr>
          <w:rFonts w:ascii="Arial" w:cs="Arial" w:eastAsia="Arial" w:hAnsi="Arial"/>
          <w:sz w:val="18"/>
          <w:szCs w:val="18"/>
          <w:color w:val="auto"/>
        </w:rPr>
      </w:pPr>
    </w:p>
    <w:p>
      <w:pPr>
        <w:ind w:left="380" w:hanging="213"/>
        <w:spacing w:after="0"/>
        <w:tabs>
          <w:tab w:leader="none" w:pos="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Currently, 9 of 12 directors are independent, and only one director is a member of management.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member of our Board is elected annually and serves for a one-year term.</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Board members have full and unrestricted access to management and other employees.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Board and each committee may hire independent legal, financial or other advisors as they deem appropriate.</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Board members are subject to meaningful stock ownership requirements.</w:t>
      </w:r>
    </w:p>
    <w:p>
      <w:pPr>
        <w:spacing w:after="0" w:line="101" w:lineRule="exact"/>
        <w:rPr>
          <w:sz w:val="20"/>
          <w:szCs w:val="20"/>
          <w:color w:val="auto"/>
        </w:rPr>
      </w:pPr>
    </w:p>
    <w:p>
      <w:pPr>
        <w:ind w:left="160" w:right="60"/>
        <w:spacing w:after="0"/>
        <w:rPr>
          <w:sz w:val="20"/>
          <w:szCs w:val="20"/>
          <w:color w:val="auto"/>
        </w:rPr>
      </w:pPr>
      <w:r>
        <w:rPr>
          <w:rFonts w:ascii="Arial" w:cs="Arial" w:eastAsia="Arial" w:hAnsi="Arial"/>
          <w:sz w:val="18"/>
          <w:szCs w:val="18"/>
          <w:color w:val="auto"/>
        </w:rPr>
        <w:t>We conduct stockholder outreach on a regular basis to inform our management and Board about the governance and other issues that matter most to our stockholders. These efforts include meetings with individual and group investors, presentations at investor and industry conferences and responding to investor emails and telephone calls, providing access to our representatives and a forum for providing feedback. We also meet with our largest investors throughout the year. Management reports to the Board regularly on stockholder engagement efforts so that the Board is kept fully informed of stockholder concerns.</w:t>
      </w:r>
    </w:p>
    <w:p>
      <w:pPr>
        <w:spacing w:after="0" w:line="289" w:lineRule="exact"/>
        <w:rPr>
          <w:sz w:val="20"/>
          <w:szCs w:val="20"/>
          <w:color w:val="auto"/>
        </w:rPr>
      </w:pPr>
    </w:p>
    <w:p>
      <w:pPr>
        <w:ind w:left="160" w:right="280"/>
        <w:spacing w:after="0" w:line="254" w:lineRule="auto"/>
        <w:rPr>
          <w:sz w:val="20"/>
          <w:szCs w:val="20"/>
          <w:color w:val="auto"/>
        </w:rPr>
      </w:pPr>
      <w:r>
        <w:rPr>
          <w:rFonts w:ascii="Arial" w:cs="Arial" w:eastAsia="Arial" w:hAnsi="Arial"/>
          <w:sz w:val="18"/>
          <w:szCs w:val="18"/>
          <w:b w:val="1"/>
          <w:bCs w:val="1"/>
          <w:color w:val="051D49"/>
        </w:rPr>
        <w:t>Our Existing Threshold Mitigates the Risk of Misuse of the Special Meeting Right for Special Interests Not Supported by a Majority of Our Stockholders or Special Meetings that Would not Provide Sufficient Benefit to Justify the Significant Time and Expense Involved with Special Meetings</w:t>
      </w:r>
    </w:p>
    <w:p>
      <w:pPr>
        <w:spacing w:after="0" w:line="52" w:lineRule="exact"/>
        <w:rPr>
          <w:sz w:val="20"/>
          <w:szCs w:val="20"/>
          <w:color w:val="auto"/>
        </w:rPr>
      </w:pPr>
    </w:p>
    <w:p>
      <w:pPr>
        <w:ind w:left="160" w:right="280"/>
        <w:spacing w:after="0" w:line="265" w:lineRule="auto"/>
        <w:rPr>
          <w:sz w:val="20"/>
          <w:szCs w:val="20"/>
          <w:color w:val="auto"/>
        </w:rPr>
      </w:pPr>
      <w:r>
        <w:rPr>
          <w:rFonts w:ascii="Arial" w:cs="Arial" w:eastAsia="Arial" w:hAnsi="Arial"/>
          <w:sz w:val="18"/>
          <w:szCs w:val="18"/>
          <w:color w:val="auto"/>
        </w:rPr>
        <w:t>Organization of, and preparation for, a special stockholder meeting imposes considerable legal and administrative costs and diverts our directors’ and management’s time and attention from our business operations and the creation of stockholder value.</w:t>
      </w:r>
    </w:p>
    <w:p>
      <w:pPr>
        <w:spacing w:after="0" w:line="51" w:lineRule="exact"/>
        <w:rPr>
          <w:sz w:val="20"/>
          <w:szCs w:val="20"/>
          <w:color w:val="auto"/>
        </w:rPr>
      </w:pPr>
    </w:p>
    <w:p>
      <w:pPr>
        <w:ind w:left="160" w:right="100"/>
        <w:spacing w:after="0" w:line="237" w:lineRule="auto"/>
        <w:rPr>
          <w:sz w:val="20"/>
          <w:szCs w:val="20"/>
          <w:color w:val="auto"/>
        </w:rPr>
      </w:pPr>
      <w:r>
        <w:rPr>
          <w:rFonts w:ascii="Arial" w:cs="Arial" w:eastAsia="Arial" w:hAnsi="Arial"/>
          <w:sz w:val="18"/>
          <w:szCs w:val="18"/>
          <w:color w:val="auto"/>
        </w:rPr>
        <w:t>Our bylaws provide that holders of record of at least 50.1% of the aggregate voting power of all outstanding shares of our capital stock entitled to vote generally in the election of directors, acting together as a single class, may call a special meeting. This threshold aligns with the fact that National Amusements, Inc. owns a sufficient number of shares of our Class A Voting Stock to control the outcome of corporate actions that require, or may be accomplished by, stockholder approval, including amending our bylaws, the election or removal of directors and transactions involving a change of control. The existing threshold avoids wasteful expenditure of time and resources on special meetings that may promote agenda items unlikely to receive sufficient stockholder support to pass. Our stockholders who may have different interests are unable to affect the outcome of any such corporate actions for so long as National Amusements retains voting control. A lower threshold may result in frequent special meetings that are unlikely to effect any change, and it is in our stockholders’ best interests to avoid such undue expense and disruption to the Company.</w:t>
      </w:r>
    </w:p>
    <w:p>
      <w:pPr>
        <w:spacing w:after="0" w:line="73"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color w:val="auto"/>
        </w:rPr>
        <w:t>In addition, the threshold requirement to call a special meeting recommended by this proposal is not in the best interests of our stockholders because a lower threshold would increase the potential for misuse of the right. In light of the substantial administrative and financial burdens that they impose, special stockholder meetings are intended to be extraordinary events that occur to address urgent and imperative strategic matters or serious fiduciary concerns on an expedited basis. Our current threshold is aligned with limiting the use of our stockholder special meeting right to address such matters, by ensuring that special meetings are called only for matters of importance to stockholders representing a substantial percentage of the voting power of our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143510</wp:posOffset>
            </wp:positionV>
            <wp:extent cx="6929755" cy="2717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29755" cy="271780"/>
                    </a:xfrm>
                    <a:prstGeom prst="rect">
                      <a:avLst/>
                    </a:prstGeom>
                    <a:noFill/>
                  </pic:spPr>
                </pic:pic>
              </a:graphicData>
            </a:graphic>
          </wp:anchor>
        </w:drawing>
      </w:r>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FFFFFF"/>
        </w:rPr>
        <w:t>THE BOARD OF DIRECTORS RECOMMENDS A VOTE “AGAINST” THIS ITEM 3</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287"/>
        </w:trPr>
        <w:tc>
          <w:tcPr>
            <w:tcW w:w="10520" w:type="dxa"/>
            <w:vAlign w:val="bottom"/>
            <w:shd w:val="clear" w:color="auto" w:fill="051D49"/>
          </w:tcPr>
          <w:p>
            <w:pPr>
              <w:ind w:left="8640"/>
              <w:spacing w:after="0"/>
              <w:rPr>
                <w:sz w:val="20"/>
                <w:szCs w:val="20"/>
                <w:color w:val="auto"/>
              </w:rPr>
            </w:pPr>
            <w:r>
              <w:rPr>
                <w:rFonts w:ascii="Arial" w:cs="Arial" w:eastAsia="Arial" w:hAnsi="Arial"/>
                <w:sz w:val="14"/>
                <w:szCs w:val="14"/>
                <w:color w:val="FFFFFF"/>
              </w:rPr>
              <w:t>2022 PROXY STATEMENT</w:t>
            </w:r>
          </w:p>
        </w:tc>
        <w:tc>
          <w:tcPr>
            <w:tcW w:w="400" w:type="dxa"/>
            <w:vAlign w:val="bottom"/>
            <w:shd w:val="clear" w:color="auto" w:fill="051D49"/>
          </w:tcPr>
          <w:p>
            <w:pPr>
              <w:jc w:val="right"/>
              <w:ind w:right="9"/>
              <w:spacing w:after="0"/>
              <w:rPr>
                <w:sz w:val="20"/>
                <w:szCs w:val="20"/>
                <w:color w:val="auto"/>
              </w:rPr>
            </w:pPr>
            <w:r>
              <w:rPr>
                <w:rFonts w:ascii="Arial" w:cs="Arial" w:eastAsia="Arial" w:hAnsi="Arial"/>
                <w:sz w:val="14"/>
                <w:szCs w:val="14"/>
                <w:color w:val="FFFFFF"/>
              </w:rPr>
              <w:t>71</w:t>
            </w:r>
          </w:p>
        </w:tc>
      </w:tr>
      <w:tr>
        <w:trPr>
          <w:trHeight w:val="101"/>
        </w:trPr>
        <w:tc>
          <w:tcPr>
            <w:tcW w:w="10520" w:type="dxa"/>
            <w:vAlign w:val="bottom"/>
            <w:shd w:val="clear" w:color="auto" w:fill="051D49"/>
          </w:tcPr>
          <w:p>
            <w:pPr>
              <w:spacing w:after="0"/>
              <w:rPr>
                <w:sz w:val="8"/>
                <w:szCs w:val="8"/>
                <w:color w:val="auto"/>
              </w:rPr>
            </w:pPr>
          </w:p>
        </w:tc>
        <w:tc>
          <w:tcPr>
            <w:tcW w:w="400" w:type="dxa"/>
            <w:vAlign w:val="bottom"/>
            <w:shd w:val="clear" w:color="auto" w:fill="051D49"/>
          </w:tcPr>
          <w:p>
            <w:pPr>
              <w:spacing w:after="0"/>
              <w:rPr>
                <w:sz w:val="8"/>
                <w:szCs w:val="8"/>
                <w:color w:val="auto"/>
              </w:rPr>
            </w:pPr>
          </w:p>
        </w:tc>
      </w:tr>
    </w:tbl>
    <w:p>
      <w:pPr>
        <w:sectPr>
          <w:pgSz w:w="11900" w:h="16838" w:orient="portrait"/>
          <w:cols w:equalWidth="0" w:num="1">
            <w:col w:w="11080"/>
          </w:cols>
          <w:pgMar w:left="320" w:top="454" w:right="49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36"/>
          <w:szCs w:val="36"/>
          <w:b w:val="1"/>
          <w:bCs w:val="1"/>
          <w:color w:val="051D49"/>
        </w:rPr>
        <w:t>Other Matters</w:t>
      </w:r>
    </w:p>
    <w:p>
      <w:pPr>
        <w:spacing w:after="0" w:line="200" w:lineRule="exact"/>
        <w:rPr>
          <w:sz w:val="20"/>
          <w:szCs w:val="20"/>
          <w:color w:val="auto"/>
        </w:rPr>
      </w:pPr>
    </w:p>
    <w:p>
      <w:pPr>
        <w:spacing w:after="0" w:line="247" w:lineRule="exact"/>
        <w:rPr>
          <w:sz w:val="20"/>
          <w:szCs w:val="20"/>
          <w:color w:val="auto"/>
        </w:rPr>
      </w:pPr>
    </w:p>
    <w:p>
      <w:pPr>
        <w:ind w:left="160" w:right="200"/>
        <w:spacing w:after="0"/>
        <w:rPr>
          <w:sz w:val="20"/>
          <w:szCs w:val="20"/>
          <w:color w:val="auto"/>
        </w:rPr>
      </w:pPr>
      <w:r>
        <w:rPr>
          <w:rFonts w:ascii="Arial" w:cs="Arial" w:eastAsia="Arial" w:hAnsi="Arial"/>
          <w:sz w:val="18"/>
          <w:szCs w:val="18"/>
          <w:color w:val="auto"/>
        </w:rPr>
        <w:t>In an effort to reduce the amount of paper mailed to stockholders’ homes and to help lower our printing and postage costs, stockholders who receive printed copies of our proxy materials can elect to receive future copies of these documents electronically instead of by mail. We highly recommend that you consider electronic delivery of these documents, and you can enroll at http://enroll.icsdelivery.com/para. You can always change your mind and resume receiving copies of these documents by mail by revisiting this website and selecting “change/cancel existing enrollment form.”</w:t>
      </w:r>
    </w:p>
    <w:p>
      <w:pPr>
        <w:spacing w:after="0" w:line="75"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We also use a procedure approved by the SEC called “householding,” under which we are permitted to deliver a single copy of a Notice of Internet Availability (or a single set of proxy materials, if you requested a printed copy) to stockholders sharing the same address, under certain conditions, unless we receive contrary instructions from any stockholder at that address. If you wish to receive an additional copy of our proxy materials this year, you may submit a written request to 1515 Broadway, New York, NY 10036, Attention: Christa A. D’Alimonte, Executive Vice President, General Counsel and Secretary, or call Investor Relations at 1-877-227-0787. You may also request copies of our proxy materials for this year and future years by submitting a request on the “Investors—Shareholder Services, Alerts, &amp; FAQs” page of our website at ir.paramount.com. If you received more than one copy of the Notice of Internet Availability (or the proxy materials, if you requested a printed copy), you may request delivery of a single copy of these materials in the future through the same methods of contact noted above.</w:t>
      </w:r>
    </w:p>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36"/>
          <w:szCs w:val="36"/>
          <w:b w:val="1"/>
          <w:bCs w:val="1"/>
          <w:color w:val="051D49"/>
        </w:rPr>
        <w:t>2023 Annual Meeting of Stockholders</w:t>
      </w:r>
    </w:p>
    <w:p>
      <w:pPr>
        <w:spacing w:after="0" w:line="200" w:lineRule="exact"/>
        <w:rPr>
          <w:sz w:val="20"/>
          <w:szCs w:val="20"/>
          <w:color w:val="auto"/>
        </w:rPr>
      </w:pPr>
    </w:p>
    <w:p>
      <w:pPr>
        <w:spacing w:after="0" w:line="247"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Stockholder proposals may be submitted for inclusion in our proxy statement relating to the 2023 Annual Meeting of Stockholders, as long as they are received no later than December 16, 2022 at our principal executive offices at 1515 Broadway, New York, NY 10036-5794, Attention: Christa A. D’Alimonte, Executive Vice President, General Counsel and Secretary.</w:t>
      </w:r>
    </w:p>
    <w:p>
      <w:pPr>
        <w:spacing w:after="0" w:line="65"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Our Amended and Restated Bylaws generally require advance written notice from a stockholder seeking to present any business or proposal, not for inclusion in next year’s proxy statement but directly at the 2023 Annual Meeting of Stockholders, including nominations of persons for election to our Board of Directors. Pursuant to the Amended and Restated Bylaws, notice must be received at our principal executive offices at 1515 Broadway, New York, NY 10036-5794, Attention: Christa A. D’Alimonte, Executive Vice President, General Counsel and Secretary, no earlier than the close of business on February 8, 2023, and no later than the close of business on March 10, 2023.</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1562735" cy="2374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62735" cy="23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Christa A. D’Alimonte</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217170</wp:posOffset>
            </wp:positionV>
            <wp:extent cx="14605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We have sent or are sending the Notice of Internet Availability of Proxy Materials, which indicates that this Notice of 2022 Annual Meeting of Stockholders and Proxy Statement, our Stockholder Letter and our Annual Report on Form 10-K for the fiscal year ended December 31, 2021, with financial statements and schedules thereto, are available at www.proxyvote.com. If you wish to receive paper or e-mail copies of any of these materials, please follow the instructions on your Notice of Internet Availability of Proxy Materials. We will also provide a printed copy of these materials without charge (a reasonable fee will be charged for exhibits) upon receipt of a written request sent to Christa A. D’Alimonte, Executive Vice President, General Counsel and Secretary, Paramount Global, 1515 Broadway, New York, NY 10036-5794.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6929755" cy="2374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199"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4"/>
          <w:szCs w:val="14"/>
          <w:b w:val="1"/>
          <w:bCs w:val="1"/>
          <w:color w:val="FFFFFF"/>
        </w:rPr>
        <w:t>72</w:t>
      </w:r>
      <w:r>
        <w:rPr>
          <w:sz w:val="20"/>
          <w:szCs w:val="20"/>
          <w:color w:val="auto"/>
        </w:rPr>
        <w:tab/>
      </w:r>
      <w:r>
        <w:rPr>
          <w:rFonts w:ascii="Arial" w:cs="Arial" w:eastAsia="Arial" w:hAnsi="Arial"/>
          <w:sz w:val="14"/>
          <w:szCs w:val="14"/>
          <w:color w:val="FFFFFF"/>
        </w:rPr>
        <w:t>PARAMOUNT GLOBAL</w:t>
      </w:r>
    </w:p>
    <w:p>
      <w:pPr>
        <w:sectPr>
          <w:pgSz w:w="11900" w:h="16838" w:orient="portrait"/>
          <w:cols w:equalWidth="0" w:num="1">
            <w:col w:w="11060"/>
          </w:cols>
          <w:pgMar w:left="320" w:top="454" w:right="519" w:bottom="1440" w:gutter="0" w:footer="0" w:header="0"/>
        </w:sectPr>
      </w:pPr>
    </w:p>
    <w:bookmarkStart w:id="77" w:name="page78"/>
    <w:bookmarkEnd w:id="7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7094855" cy="9171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78" w:name="page79"/>
    <w:bookmarkEnd w:id="7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211455</wp:posOffset>
            </wp:positionV>
            <wp:extent cx="5774690" cy="74733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74690" cy="747331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79" w:name="page80"/>
    <w:bookmarkEnd w:id="7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211455</wp:posOffset>
            </wp:positionV>
            <wp:extent cx="5774690" cy="74733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74690" cy="7473315"/>
                    </a:xfrm>
                    <a:prstGeom prst="rect">
                      <a:avLst/>
                    </a:prstGeom>
                    <a:noFill/>
                  </pic:spPr>
                </pic:pic>
              </a:graphicData>
            </a:graphic>
          </wp:anchor>
        </w:drawing>
      </w:r>
    </w:p>
    <w:sectPr>
      <w:pgSz w:w="11900" w:h="16838" w:orient="portrait"/>
      <w:cols w:equalWidth="0" w:num="1">
        <w:col w:w="10139"/>
      </w:cols>
      <w:pgMar w:left="320" w:top="4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1"/>
      <w:numFmt w:val="bullet"/>
      <w:start w:val="1"/>
    </w:lvl>
  </w:abstractNum>
  <w:abstractNum w:abstractNumId="7">
    <w:nsid w:val="70A64E2A"/>
    <w:multiLevelType w:val="hybridMultilevel"/>
    <w:lvl w:ilvl="0">
      <w:lvlJc w:val="left"/>
      <w:lvlText w:val="2"/>
      <w:numFmt w:val="bullet"/>
      <w:start w:val="1"/>
    </w:lvl>
  </w:abstractNum>
  <w:abstractNum w:abstractNumId="8">
    <w:nsid w:val="6A2342EC"/>
    <w:multiLevelType w:val="hybridMultilevel"/>
    <w:lvl w:ilvl="0">
      <w:lvlJc w:val="left"/>
      <w:lvlText w:val="3"/>
      <w:numFmt w:val="bullet"/>
      <w:start w:val="1"/>
    </w:lvl>
  </w:abstractNum>
  <w:abstractNum w:abstractNumId="9">
    <w:nsid w:val="2A487CB0"/>
    <w:multiLevelType w:val="hybridMultilevel"/>
    <w:lvl w:ilvl="0">
      <w:lvlJc w:val="left"/>
      <w:lvlText w:val="4"/>
      <w:numFmt w:val="bullet"/>
      <w:start w:val="1"/>
    </w:lvl>
  </w:abstractNum>
  <w:abstractNum w:abstractNumId="10">
    <w:nsid w:val="1D4ED43B"/>
    <w:multiLevelType w:val="hybridMultilevel"/>
    <w:lvl w:ilvl="0">
      <w:lvlJc w:val="left"/>
      <w:lvlText w:val="%1"/>
      <w:numFmt w:val="decimal"/>
      <w:start w:val="23"/>
    </w:lvl>
  </w:abstractNum>
  <w:abstractNum w:abstractNumId="11">
    <w:nsid w:val="725A06FB"/>
    <w:multiLevelType w:val="hybridMultilevel"/>
    <w:lvl w:ilvl="0">
      <w:lvlJc w:val="left"/>
      <w:lvlText w:val="%1"/>
      <w:numFmt w:val="decimal"/>
      <w:start w:val="31"/>
    </w:lvl>
  </w:abstractNum>
  <w:abstractNum w:abstractNumId="12">
    <w:nsid w:val="2CD89A32"/>
    <w:multiLevelType w:val="hybridMultilevel"/>
    <w:lvl w:ilvl="0">
      <w:lvlJc w:val="left"/>
      <w:lvlText w:val="%1"/>
      <w:numFmt w:val="decimal"/>
      <w:start w:val="3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1."/>
      <w:numFmt w:val="decimal"/>
      <w:start w:val="1"/>
    </w:lvl>
  </w:abstractNum>
  <w:abstractNum w:abstractNumId="15">
    <w:nsid w:val="4B588F54"/>
    <w:multiLevelType w:val="hybridMultilevel"/>
    <w:lvl w:ilvl="0">
      <w:lvlJc w:val="left"/>
      <w:lvlText w:val="•"/>
      <w:numFmt w:val="bullet"/>
      <w:start w:val="1"/>
    </w:lvl>
    <w:lvl w:ilvl="1">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lvl w:ilvl="1">
      <w:lvlJc w:val="left"/>
      <w:lvlText w:val="(%2)"/>
      <w:numFmt w:val="lowerRoman"/>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1"/>
      <w:numFmt w:val="decimal"/>
      <w:start w:val="24"/>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1"/>
      <w:numFmt w:val="decimal"/>
      <w:start w:val="26"/>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1"/>
      <w:numFmt w:val="decimal"/>
      <w:start w:val="28"/>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1"/>
      <w:numFmt w:val="decimal"/>
      <w:start w:val="30"/>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1."/>
      <w:numFmt w:val="decimal"/>
      <w:start w:val="1"/>
    </w:lvl>
    <w:lvl w:ilvl="1">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1."/>
      <w:numFmt w:val="decimal"/>
      <w:start w:val="2"/>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lvl w:ilvl="1">
      <w:lvlJc w:val="left"/>
      <w:lvlText w:val="o"/>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1)"/>
      <w:numFmt w:val="decimal"/>
      <w:start w:val="1"/>
    </w:lvl>
  </w:abstractNum>
  <w:abstractNum w:abstractNumId="59">
    <w:nsid w:val="5DB70AE5"/>
    <w:multiLevelType w:val="hybridMultilevel"/>
    <w:lvl w:ilvl="0">
      <w:lvlJc w:val="left"/>
      <w:lvlText w:val="%1"/>
      <w:numFmt w:val="decimal"/>
      <w:start w:val="1"/>
    </w:lvl>
    <w:lvl w:ilvl="1">
      <w:lvlJc w:val="left"/>
      <w:lvlText w:val="(%2)"/>
      <w:numFmt w:val="lowerLetter"/>
      <w:start w:val="1"/>
    </w:lvl>
  </w:abstractNum>
  <w:abstractNum w:abstractNumId="60">
    <w:nsid w:val="100F8FCA"/>
    <w:multiLevelType w:val="hybridMultilevel"/>
    <w:lvl w:ilvl="0">
      <w:lvlJc w:val="left"/>
      <w:lvlText w:val="(%1)"/>
      <w:numFmt w:val="decimal"/>
      <w:start w:val="7"/>
    </w:lvl>
    <w:lvl w:ilvl="1">
      <w:lvlJc w:val="left"/>
      <w:lvlText w:val="%2"/>
      <w:numFmt w:val="lowerLetter"/>
      <w:start w:val="1"/>
    </w:lvl>
  </w:abstractNum>
  <w:abstractNum w:abstractNumId="61">
    <w:nsid w:val="6590700B"/>
    <w:multiLevelType w:val="hybridMultilevel"/>
    <w:lvl w:ilvl="0">
      <w:lvlJc w:val="left"/>
      <w:lvlText w:val="(%1)"/>
      <w:numFmt w:val="decimal"/>
      <w:start w:val="1"/>
    </w:lvl>
  </w:abstractNum>
  <w:abstractNum w:abstractNumId="62">
    <w:nsid w:val="15014ACB"/>
    <w:multiLevelType w:val="hybridMultilevel"/>
    <w:lvl w:ilvl="0">
      <w:lvlJc w:val="left"/>
      <w:lvlText w:val="(%1)"/>
      <w:numFmt w:val="decimal"/>
      <w:start w:val="1"/>
    </w:lvl>
  </w:abstractNum>
  <w:abstractNum w:abstractNumId="63">
    <w:nsid w:val="5F5E7FD0"/>
    <w:multiLevelType w:val="hybridMultilevel"/>
    <w:lvl w:ilvl="0">
      <w:lvlJc w:val="left"/>
      <w:lvlText w:val="(%1)"/>
      <w:numFmt w:val="decimal"/>
      <w:start w:val="1"/>
    </w:lvl>
  </w:abstractNum>
  <w:abstractNum w:abstractNumId="64">
    <w:nsid w:val="98A3148"/>
    <w:multiLevelType w:val="hybridMultilevel"/>
    <w:lvl w:ilvl="0">
      <w:lvlJc w:val="left"/>
      <w:lvlText w:val="(%1)"/>
      <w:numFmt w:val="decimal"/>
      <w:start w:val="1"/>
    </w:lvl>
  </w:abstractNum>
  <w:abstractNum w:abstractNumId="65">
    <w:nsid w:val="799D0247"/>
    <w:multiLevelType w:val="hybridMultilevel"/>
    <w:lvl w:ilvl="0">
      <w:lvlJc w:val="left"/>
      <w:lvlText w:val="(%1)"/>
      <w:numFmt w:val="decimal"/>
      <w:start w:val="1"/>
    </w:lvl>
  </w:abstractNum>
  <w:abstractNum w:abstractNumId="66">
    <w:nsid w:val="6B94764"/>
    <w:multiLevelType w:val="hybridMultilevel"/>
    <w:lvl w:ilvl="0">
      <w:lvlJc w:val="left"/>
      <w:lvlText w:val="(%1)"/>
      <w:numFmt w:val="decimal"/>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1)"/>
      <w:numFmt w:val="decimal"/>
      <w:start w:val="1"/>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2022-04-15T16:04:48Z</dcterms:created>
  <dcterms:modified xsi:type="dcterms:W3CDTF">2022-04-15T16:04:48Z</dcterms:modified>
</cp:coreProperties>
</file>