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1"/>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92"/>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32"/>
          <w:szCs w:val="32"/>
          <w:b w:val="1"/>
          <w:bCs w:val="1"/>
          <w:color w:val="auto"/>
        </w:rPr>
        <w:t>SCHEDULE TO/A</w:t>
      </w:r>
    </w:p>
    <w:p>
      <w:pPr>
        <w:spacing w:after="0" w:line="45"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Tender Offer Statement Pursuant to Section 14(d)(1) or 13(e)(1)</w:t>
      </w:r>
    </w:p>
    <w:p>
      <w:pPr>
        <w:spacing w:after="0" w:line="7"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(Amendment No. 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32"/>
          <w:szCs w:val="32"/>
          <w:b w:val="1"/>
          <w:bCs w:val="1"/>
          <w:color w:val="auto"/>
        </w:rPr>
        <w:t>Warner Bros. Discovery, Inc.</w:t>
      </w:r>
    </w:p>
    <w:p>
      <w:pPr>
        <w:spacing w:after="0" w:line="45"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194"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t>Prince Sub Inc.</w:t>
      </w:r>
    </w:p>
    <w:p>
      <w:pPr>
        <w:spacing w:after="0" w:line="40"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(Offeror)</w:t>
      </w:r>
    </w:p>
    <w:p>
      <w:pPr>
        <w:spacing w:after="0" w:line="7"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a direct wholly owned subsidiary of</w:t>
      </w:r>
    </w:p>
    <w:p>
      <w:pPr>
        <w:spacing w:after="0" w:line="178"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32"/>
          <w:szCs w:val="32"/>
          <w:b w:val="1"/>
          <w:bCs w:val="1"/>
          <w:color w:val="auto"/>
        </w:rPr>
        <w:t>Paramount Skydance Corporation</w:t>
      </w:r>
    </w:p>
    <w:p>
      <w:pPr>
        <w:spacing w:after="0" w:line="45"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(Parent of Offeror)</w:t>
      </w:r>
    </w:p>
    <w:p>
      <w:pPr>
        <w:spacing w:after="0" w:line="7"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(Names of Filing Persons (identifying status as offeror, issuer or other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2537460</wp:posOffset>
            </wp:positionH>
            <wp:positionV relativeFrom="paragraph">
              <wp:posOffset>142875</wp:posOffset>
            </wp:positionV>
            <wp:extent cx="2057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Series A Common Stock, par value $0.01 per share</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2537460</wp:posOffset>
            </wp:positionH>
            <wp:positionV relativeFrom="paragraph">
              <wp:posOffset>142875</wp:posOffset>
            </wp:positionV>
            <wp:extent cx="205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934423104</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2537460</wp:posOffset>
            </wp:positionH>
            <wp:positionV relativeFrom="paragraph">
              <wp:posOffset>142875</wp:posOffset>
            </wp:positionV>
            <wp:extent cx="2057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Makan Delrahim</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Chief Legal Officer</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1515 Broadway</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(212) 258-6000</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 on Behalf of Filing Persons)</w:t>
      </w:r>
    </w:p>
    <w:p>
      <w:pPr>
        <w:spacing w:after="0" w:line="214" w:lineRule="exact"/>
        <w:rPr>
          <w:sz w:val="24"/>
          <w:szCs w:val="24"/>
          <w:color w:val="auto"/>
        </w:rPr>
      </w:pPr>
    </w:p>
    <w:tbl>
      <w:tblPr>
        <w:tblLayout w:type="fixed"/>
        <w:tblInd w:w="1592" w:type="dxa"/>
        <w:tblCellMar>
          <w:top w:w="0" w:type="dxa"/>
          <w:left w:w="0" w:type="dxa"/>
          <w:bottom w:w="0" w:type="dxa"/>
          <w:right w:w="0" w:type="dxa"/>
        </w:tblCellMar>
      </w:tblPr>
      <w:tr>
        <w:trPr>
          <w:trHeight w:val="220"/>
        </w:trPr>
        <w:tc>
          <w:tcPr>
            <w:tcW w:w="2940" w:type="dxa"/>
            <w:vAlign w:val="bottom"/>
          </w:tcPr>
          <w:p>
            <w:pPr>
              <w:spacing w:after="0"/>
              <w:rPr>
                <w:sz w:val="19"/>
                <w:szCs w:val="19"/>
                <w:color w:val="auto"/>
              </w:rPr>
            </w:pPr>
          </w:p>
        </w:tc>
        <w:tc>
          <w:tcPr>
            <w:tcW w:w="5000" w:type="dxa"/>
            <w:vAlign w:val="bottom"/>
          </w:tcPr>
          <w:p>
            <w:pPr>
              <w:jc w:val="center"/>
              <w:ind w:right="2750"/>
              <w:spacing w:after="0"/>
              <w:rPr>
                <w:sz w:val="20"/>
                <w:szCs w:val="20"/>
                <w:color w:val="auto"/>
              </w:rPr>
            </w:pPr>
            <w:r>
              <w:rPr>
                <w:rFonts w:ascii="Times New Roman" w:cs="Times New Roman" w:eastAsia="Times New Roman" w:hAnsi="Times New Roman"/>
                <w:sz w:val="18"/>
                <w:szCs w:val="18"/>
                <w:b w:val="1"/>
                <w:bCs w:val="1"/>
                <w:i w:val="1"/>
                <w:iCs w:val="1"/>
                <w:color w:val="auto"/>
                <w:w w:val="99"/>
              </w:rPr>
              <w:t>With a copy to:</w:t>
            </w:r>
          </w:p>
        </w:tc>
      </w:tr>
      <w:tr>
        <w:trPr>
          <w:trHeight w:val="212"/>
        </w:trPr>
        <w:tc>
          <w:tcPr>
            <w:tcW w:w="2940" w:type="dxa"/>
            <w:vAlign w:val="bottom"/>
          </w:tcPr>
          <w:p>
            <w:pPr>
              <w:spacing w:after="0"/>
              <w:rPr>
                <w:sz w:val="18"/>
                <w:szCs w:val="18"/>
                <w:color w:val="auto"/>
              </w:rPr>
            </w:pPr>
          </w:p>
        </w:tc>
        <w:tc>
          <w:tcPr>
            <w:tcW w:w="5000" w:type="dxa"/>
            <w:vAlign w:val="bottom"/>
          </w:tcPr>
          <w:p>
            <w:pPr>
              <w:jc w:val="center"/>
              <w:ind w:right="2730"/>
              <w:spacing w:after="0"/>
              <w:rPr>
                <w:sz w:val="20"/>
                <w:szCs w:val="20"/>
                <w:color w:val="auto"/>
              </w:rPr>
            </w:pPr>
            <w:r>
              <w:rPr>
                <w:rFonts w:ascii="Times New Roman" w:cs="Times New Roman" w:eastAsia="Times New Roman" w:hAnsi="Times New Roman"/>
                <w:sz w:val="18"/>
                <w:szCs w:val="18"/>
                <w:color w:val="auto"/>
              </w:rPr>
              <w:t>Copies to:</w:t>
            </w:r>
          </w:p>
        </w:tc>
      </w:tr>
      <w:tr>
        <w:trPr>
          <w:trHeight w:val="216"/>
        </w:trPr>
        <w:tc>
          <w:tcPr>
            <w:tcW w:w="29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Faiza J. Saeed</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8"/>
              </w:rPr>
              <w:t>Ian Nussbaum</w:t>
            </w:r>
          </w:p>
        </w:tc>
      </w:tr>
      <w:tr>
        <w:trPr>
          <w:trHeight w:val="216"/>
        </w:trPr>
        <w:tc>
          <w:tcPr>
            <w:tcW w:w="29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Andrew J. Pitts</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8"/>
              </w:rPr>
              <w:t>Max Schleusener</w:t>
            </w:r>
          </w:p>
        </w:tc>
      </w:tr>
      <w:tr>
        <w:trPr>
          <w:trHeight w:val="216"/>
        </w:trPr>
        <w:tc>
          <w:tcPr>
            <w:tcW w:w="29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C. Daniel Haaren</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rPr>
              <w:t>Latham &amp; Watkins LLP</w:t>
            </w:r>
          </w:p>
        </w:tc>
      </w:tr>
      <w:tr>
        <w:trPr>
          <w:trHeight w:val="216"/>
        </w:trPr>
        <w:tc>
          <w:tcPr>
            <w:tcW w:w="29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Daniel J. Cerqueira</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1271 Avenue of the Americas</w:t>
            </w:r>
          </w:p>
        </w:tc>
      </w:tr>
      <w:tr>
        <w:trPr>
          <w:trHeight w:val="216"/>
        </w:trPr>
        <w:tc>
          <w:tcPr>
            <w:tcW w:w="29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Claudia J. Ricciardi</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7"/>
              </w:rPr>
              <w:t>New York, New York 10020</w:t>
            </w:r>
          </w:p>
        </w:tc>
      </w:tr>
      <w:tr>
        <w:trPr>
          <w:trHeight w:val="216"/>
        </w:trPr>
        <w:tc>
          <w:tcPr>
            <w:tcW w:w="29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Cravath, Swaine &amp; Moore LLP</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rPr>
              <w:t>(212) 906-1200</w:t>
            </w:r>
          </w:p>
        </w:tc>
      </w:tr>
      <w:tr>
        <w:trPr>
          <w:trHeight w:val="216"/>
        </w:trPr>
        <w:tc>
          <w:tcPr>
            <w:tcW w:w="29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Two Manhattan West</w:t>
            </w:r>
          </w:p>
        </w:tc>
        <w:tc>
          <w:tcPr>
            <w:tcW w:w="5000" w:type="dxa"/>
            <w:vAlign w:val="bottom"/>
          </w:tcPr>
          <w:p>
            <w:pPr>
              <w:spacing w:after="0"/>
              <w:rPr>
                <w:sz w:val="18"/>
                <w:szCs w:val="18"/>
                <w:color w:val="auto"/>
              </w:rPr>
            </w:pPr>
          </w:p>
        </w:tc>
      </w:tr>
      <w:tr>
        <w:trPr>
          <w:trHeight w:val="216"/>
        </w:trPr>
        <w:tc>
          <w:tcPr>
            <w:tcW w:w="29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375 Ninth Avenue</w:t>
            </w:r>
          </w:p>
        </w:tc>
        <w:tc>
          <w:tcPr>
            <w:tcW w:w="5000" w:type="dxa"/>
            <w:vAlign w:val="bottom"/>
          </w:tcPr>
          <w:p>
            <w:pPr>
              <w:spacing w:after="0"/>
              <w:rPr>
                <w:sz w:val="18"/>
                <w:szCs w:val="18"/>
                <w:color w:val="auto"/>
              </w:rPr>
            </w:pPr>
          </w:p>
        </w:tc>
      </w:tr>
      <w:tr>
        <w:trPr>
          <w:trHeight w:val="238"/>
        </w:trPr>
        <w:tc>
          <w:tcPr>
            <w:tcW w:w="29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New York, New York 10001</w:t>
            </w:r>
          </w:p>
        </w:tc>
        <w:tc>
          <w:tcPr>
            <w:tcW w:w="5000" w:type="dxa"/>
            <w:vAlign w:val="bottom"/>
          </w:tcPr>
          <w:p>
            <w:pPr>
              <w:spacing w:after="0"/>
              <w:rPr>
                <w:sz w:val="20"/>
                <w:szCs w:val="20"/>
                <w:color w:val="auto"/>
              </w:rPr>
            </w:pPr>
          </w:p>
        </w:tc>
      </w:tr>
    </w:tbl>
    <w:p>
      <w:pPr>
        <w:ind w:left="2672" w:hanging="426"/>
        <w:spacing w:after="0"/>
        <w:tabs>
          <w:tab w:leader="none" w:pos="2672"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474-1000</w:t>
      </w:r>
    </w:p>
    <w:p>
      <w:pPr>
        <w:spacing w:after="0" w:line="206" w:lineRule="exact"/>
        <w:rPr>
          <w:rFonts w:ascii="Times New Roman" w:cs="Times New Roman" w:eastAsia="Times New Roman" w:hAnsi="Times New Roman"/>
          <w:sz w:val="18"/>
          <w:szCs w:val="18"/>
          <w:b w:val="1"/>
          <w:bCs w:val="1"/>
          <w:color w:val="auto"/>
        </w:rPr>
      </w:pPr>
    </w:p>
    <w:p>
      <w:pPr>
        <w:ind w:left="992" w:right="1500" w:hanging="992"/>
        <w:spacing w:after="0" w:line="477"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1" w:lineRule="exact"/>
        <w:rPr>
          <w:sz w:val="24"/>
          <w:szCs w:val="24"/>
          <w:color w:val="auto"/>
        </w:rPr>
      </w:pPr>
    </w:p>
    <w:p>
      <w:pPr>
        <w:ind w:left="332" w:hanging="332"/>
        <w:spacing w:after="0"/>
        <w:tabs>
          <w:tab w:leader="none" w:pos="33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225" w:lineRule="exact"/>
        <w:rPr>
          <w:sz w:val="24"/>
          <w:szCs w:val="24"/>
          <w:color w:val="auto"/>
        </w:rPr>
      </w:pPr>
    </w:p>
    <w:p>
      <w:pPr>
        <w:ind w:left="332" w:hanging="332"/>
        <w:spacing w:after="0"/>
        <w:tabs>
          <w:tab w:leader="none" w:pos="33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225" w:lineRule="exact"/>
        <w:rPr>
          <w:rFonts w:ascii="MS PGothic" w:cs="MS PGothic" w:eastAsia="MS PGothic" w:hAnsi="MS PGothic"/>
          <w:sz w:val="18"/>
          <w:szCs w:val="18"/>
          <w:color w:val="auto"/>
        </w:rPr>
      </w:pPr>
    </w:p>
    <w:p>
      <w:pPr>
        <w:ind w:left="332" w:hanging="332"/>
        <w:spacing w:after="0"/>
        <w:tabs>
          <w:tab w:leader="none" w:pos="33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225" w:lineRule="exact"/>
        <w:rPr>
          <w:rFonts w:ascii="MS PGothic" w:cs="MS PGothic" w:eastAsia="MS PGothic" w:hAnsi="MS PGothic"/>
          <w:sz w:val="18"/>
          <w:szCs w:val="18"/>
          <w:color w:val="auto"/>
        </w:rPr>
      </w:pPr>
    </w:p>
    <w:p>
      <w:pPr>
        <w:ind w:left="332" w:hanging="332"/>
        <w:spacing w:after="0"/>
        <w:tabs>
          <w:tab w:leader="none" w:pos="33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84" w:lineRule="exact"/>
        <w:rPr>
          <w:sz w:val="24"/>
          <w:szCs w:val="24"/>
          <w:color w:val="auto"/>
        </w:rPr>
      </w:pPr>
    </w:p>
    <w:p>
      <w:pPr>
        <w:ind w:left="992"/>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ind w:left="992"/>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25" w:lineRule="exact"/>
        <w:rPr>
          <w:sz w:val="24"/>
          <w:szCs w:val="24"/>
          <w:color w:val="auto"/>
        </w:rPr>
      </w:pPr>
    </w:p>
    <w:p>
      <w:pPr>
        <w:ind w:left="332" w:hanging="332"/>
        <w:spacing w:after="0"/>
        <w:tabs>
          <w:tab w:leader="none" w:pos="332"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ectPr>
          <w:pgSz w:w="11900" w:h="16838" w:orient="portrait"/>
          <w:cols w:equalWidth="0" w:num="1">
            <w:col w:w="10632"/>
          </w:cols>
          <w:pgMar w:left="328" w:top="700" w:right="939" w:bottom="0" w:gutter="0" w:footer="0" w:header="0"/>
        </w:sectPr>
      </w:pPr>
    </w:p>
    <w:bookmarkStart w:id="1" w:name="page2"/>
    <w:bookmarkEnd w:id="1"/>
    <w:p>
      <w:pPr>
        <w:ind w:left="332" w:hanging="332"/>
        <w:spacing w:after="0"/>
        <w:tabs>
          <w:tab w:leader="none" w:pos="332"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221615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530225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337" w:right="1440" w:bottom="1440" w:gutter="0" w:footer="0" w:header="0"/>
        </w:sectPr>
      </w:pPr>
    </w:p>
    <w:bookmarkStart w:id="2" w:name="page3"/>
    <w:bookmarkEnd w:id="2"/>
    <w:p>
      <w:pPr>
        <w:ind w:left="340"/>
        <w:spacing w:after="0"/>
        <w:rPr>
          <w:sz w:val="20"/>
          <w:szCs w:val="20"/>
          <w:color w:val="auto"/>
        </w:rPr>
      </w:pPr>
      <w:r>
        <w:rPr>
          <w:rFonts w:ascii="Times New Roman" w:cs="Times New Roman" w:eastAsia="Times New Roman" w:hAnsi="Times New Roman"/>
          <w:sz w:val="18"/>
          <w:szCs w:val="18"/>
          <w:color w:val="auto"/>
        </w:rPr>
        <w:t>This Amendment No. 17 to Schedule TO (together with any exhibits and annexes attached hereto, and as it may be amended or supplemented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filed by (i) Prince Sub Inc., a Delaware corporation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a direct wholly owned subsidiary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Paramount Skydance Corporation, a Delaware corporation (“</w:t>
      </w:r>
      <w:r>
        <w:rPr>
          <w:rFonts w:ascii="Times New Roman" w:cs="Times New Roman" w:eastAsia="Times New Roman" w:hAnsi="Times New Roman"/>
          <w:sz w:val="18"/>
          <w:szCs w:val="18"/>
          <w:b w:val="1"/>
          <w:bCs w:val="1"/>
          <w:color w:val="auto"/>
        </w:rPr>
        <w:t>Paramount</w:t>
      </w:r>
      <w:r>
        <w:rPr>
          <w:rFonts w:ascii="Times New Roman" w:cs="Times New Roman" w:eastAsia="Times New Roman" w:hAnsi="Times New Roman"/>
          <w:sz w:val="18"/>
          <w:szCs w:val="18"/>
          <w:color w:val="auto"/>
        </w:rPr>
        <w:t>”), and (ii) Paramount, and amends and supplements the Tender Offer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Schedule TO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December 8, 2025 (together with any amendments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supplements thereto, the “</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by the Purchaser and Paramount. This Schedule TO relates to the offer by the Purchaser to purchase all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of Series A Common Stock, par value $0.01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Warner Bros. Discovery,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Warner Bros.</w:t>
      </w:r>
      <w:r>
        <w:rPr>
          <w:rFonts w:ascii="Times New Roman" w:cs="Times New Roman" w:eastAsia="Times New Roman" w:hAnsi="Times New Roman"/>
          <w:sz w:val="18"/>
          <w:szCs w:val="18"/>
          <w:color w:val="auto"/>
        </w:rPr>
        <w:t>”), at $30.00 per share, net to the seller in cash, without interest and less any required withholding taxes, upon the terms and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conditions set forth in the Offer to Purchase, dated December 8, 2025 (as it may be amended or supplemented from time to time, the “</w:t>
      </w:r>
      <w:r>
        <w:rPr>
          <w:rFonts w:ascii="Times New Roman" w:cs="Times New Roman" w:eastAsia="Times New Roman" w:hAnsi="Times New Roman"/>
          <w:sz w:val="17"/>
          <w:szCs w:val="17"/>
          <w:b w:val="1"/>
          <w:bCs w:val="1"/>
          <w:color w:val="auto"/>
        </w:rPr>
        <w:t>Offer to Purchase</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which is attached as Exhibit (a)(1)(A) to the Schedule TO filed with the SEC on December 8, 2025, and in the related Letter of Transmittal (as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amended or supplemented from time to time,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and together with the Offer to Purchase,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a copy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attached as Exhibit (a)(1)(B) to the Schedule TO filed with the SEC on December 8, 2025.</w:t>
      </w:r>
    </w:p>
    <w:p>
      <w:pPr>
        <w:spacing w:after="0" w:line="20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this Amendment, the information in Schedule TO remains unchanged and is incorporated herein by reference to the extent relevant to the items in this Amendment. Capitalized terms used but not defined herein have the meanings ascribed to them in the Schedule 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Items 1 through 9 and 11</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Offer to Purchase, Letter of Transmittal and Items 1 through 9 and 11 of the Schedule TO, to the extent such Items incorporate by reference the information contained in the Offer to Purchase, are hereby amended and supplemented as follows:</w:t>
      </w:r>
    </w:p>
    <w:p>
      <w:pPr>
        <w:spacing w:after="0" w:line="162" w:lineRule="exact"/>
        <w:rPr>
          <w:sz w:val="20"/>
          <w:szCs w:val="20"/>
          <w:color w:val="auto"/>
        </w:rPr>
      </w:pPr>
    </w:p>
    <w:p>
      <w:pPr>
        <w:ind w:left="660" w:right="2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was scheduled to expire at 5:00 p.m., New York City time, on January 21, 2026. The Expiration Date of the Offer is extended until 5:00 p.m., New York City time, on February 20, 2026, unless further extended. As of January 21, 2026, 168,511,695 Shares had validly tendered in, and not withdrawn from, the Offer.</w:t>
      </w:r>
    </w:p>
    <w:p>
      <w:pPr>
        <w:spacing w:after="0" w:line="175" w:lineRule="exact"/>
        <w:rPr>
          <w:rFonts w:ascii="Times New Roman" w:cs="Times New Roman" w:eastAsia="Times New Roman" w:hAnsi="Times New Roman"/>
          <w:sz w:val="18"/>
          <w:szCs w:val="18"/>
          <w:color w:val="auto"/>
        </w:rPr>
      </w:pPr>
    </w:p>
    <w:p>
      <w:pPr>
        <w:ind w:left="660" w:righ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the scheduled expiration of the Offer being “5:00 p.m., New York City time, on January 21, 2026” set forth in the Offer to Purchase or the Letter of Transmittal are hereby amended and replaced with “5:00 p.m., New York City time, on February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ind w:left="328" w:right="880" w:hanging="328"/>
        <w:spacing w:after="0" w:line="282"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of the Offer to Purchase entitled “Background of the Offer; Other Transactions with Warner Bros.” is hereby amended and supplemented by adding the following paragraphs at the end of the section:</w:t>
      </w:r>
    </w:p>
    <w:p>
      <w:pPr>
        <w:spacing w:after="0" w:line="161" w:lineRule="exact"/>
        <w:rPr>
          <w:rFonts w:ascii="Times New Roman" w:cs="Times New Roman" w:eastAsia="Times New Roman" w:hAnsi="Times New Roman"/>
          <w:sz w:val="18"/>
          <w:szCs w:val="18"/>
          <w:color w:val="auto"/>
        </w:rPr>
      </w:pPr>
    </w:p>
    <w:p>
      <w:pPr>
        <w:ind w:left="328" w:righ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23, 2025, Paramount received a request for additional information and documentary material from the Antitrust Division of the Department of Justice in connection with the Offer.</w:t>
      </w:r>
    </w:p>
    <w:p>
      <w:pPr>
        <w:spacing w:after="0" w:line="157" w:lineRule="exact"/>
        <w:rPr>
          <w:rFonts w:ascii="Times New Roman" w:cs="Times New Roman" w:eastAsia="Times New Roman" w:hAnsi="Times New Roman"/>
          <w:sz w:val="18"/>
          <w:szCs w:val="18"/>
          <w:color w:val="auto"/>
        </w:rPr>
      </w:pPr>
    </w:p>
    <w:p>
      <w:pPr>
        <w:ind w:left="32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7, 2026, Warner Bros. filed an amendment to the Warner Bros. 14D-9 (the “</w:t>
      </w:r>
      <w:r>
        <w:rPr>
          <w:rFonts w:ascii="Times New Roman" w:cs="Times New Roman" w:eastAsia="Times New Roman" w:hAnsi="Times New Roman"/>
          <w:sz w:val="18"/>
          <w:szCs w:val="18"/>
          <w:b w:val="1"/>
          <w:bCs w:val="1"/>
          <w:color w:val="auto"/>
        </w:rPr>
        <w:t>Amended Warner Bros. 14D-9</w:t>
      </w:r>
      <w:r>
        <w:rPr>
          <w:rFonts w:ascii="Times New Roman" w:cs="Times New Roman" w:eastAsia="Times New Roman" w:hAnsi="Times New Roman"/>
          <w:sz w:val="18"/>
          <w:szCs w:val="18"/>
          <w:color w:val="auto"/>
        </w:rPr>
        <w:t>”), rejecting the December 22 Offer, which repeated many of the same critiques about the Offer that were in the Warner Bros. 14D-9 without engaging in any dialogue with Paramount or providing any added disclosures supporting such critiques, including that “the risk-adjusted value offered by PSKY is inadequate and not superior when compared to the Netflix Merger,” and that “WBD would be required to abandon the Separation and Distribution of [Global Linear Networks]” at “significant costs.” The Amended Warner Bros. 14D-9 also relied on new justifications to favor the Proposed Netflix Transaction at all costs. Such retrofitted justifications included that Paramount’s debt financing poses a risk that the Debt Commitment Parties might breach their market-standard contractual commitments. In making this assertion, the Warner Bros. Board has not provided any actual evidence that Bank of America, Citi and Apollo are more likely to breach their fully enforceable contractual obligations—which the Debt Commitment Parties have reaffirmed remain in full force and effect—than Netflix’s debt financing sources—Wells Fargo, HSBC and BNP Paribas.</w:t>
      </w:r>
    </w:p>
    <w:p>
      <w:pPr>
        <w:spacing w:after="0" w:line="189" w:lineRule="exact"/>
        <w:rPr>
          <w:rFonts w:ascii="Times New Roman" w:cs="Times New Roman" w:eastAsia="Times New Roman" w:hAnsi="Times New Roman"/>
          <w:sz w:val="18"/>
          <w:szCs w:val="18"/>
          <w:color w:val="auto"/>
        </w:rPr>
      </w:pPr>
    </w:p>
    <w:p>
      <w:pPr>
        <w:ind w:left="32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same day, Pentwater wrote to the Warner Bros. Board faulting Warner Bros. for failing to disclose to stockholders “financial information” that would “help [stockholders] evaluate the very real risk that there will be a ‘dollar-for-dollar’ reduction to the price per share of cash consideration paid by Netflix because of the excessive debt load at” Global Linear Networks. Pentwater also noted that “The debt in Paramount’s offer is guaranteed by Bank of America, Citigroup, and Apollo and the equity is guaranteed by the Ellison family. If the Ellison family had a credit rating, it would be AAA.”</w:t>
      </w:r>
    </w:p>
    <w:p>
      <w:pPr>
        <w:spacing w:after="0" w:line="183" w:lineRule="exact"/>
        <w:rPr>
          <w:rFonts w:ascii="Times New Roman" w:cs="Times New Roman" w:eastAsia="Times New Roman" w:hAnsi="Times New Roman"/>
          <w:sz w:val="18"/>
          <w:szCs w:val="18"/>
          <w:color w:val="auto"/>
        </w:rPr>
      </w:pPr>
    </w:p>
    <w:p>
      <w:pPr>
        <w:jc w:val="both"/>
        <w:ind w:left="328"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12, 2026, Paramount filed a complaint in Delaware Chancery Court seeking Warner Bros. and the Warner Bros. Board to supplement and correct all misleading and incomplete disclosures in the Warner Bros. 14D-9 and the Amended Warner Bros. 14D-9, including with respect to how the Net Debt Adjustment is intended to work and the quantitative and qualitative analysis of its “risk adjustment” of the Offer.</w:t>
      </w:r>
    </w:p>
    <w:p>
      <w:pPr>
        <w:spacing w:after="0" w:line="175" w:lineRule="exact"/>
        <w:rPr>
          <w:rFonts w:ascii="Times New Roman" w:cs="Times New Roman" w:eastAsia="Times New Roman" w:hAnsi="Times New Roman"/>
          <w:sz w:val="18"/>
          <w:szCs w:val="18"/>
          <w:color w:val="auto"/>
        </w:rPr>
      </w:pPr>
    </w:p>
    <w:p>
      <w:pPr>
        <w:ind w:left="328"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12, 2026, Paramount sent a letter to Warner Bros. stockholders stating, among other things, that it intends to nominate directors for election at Warner Bros.’ 2026 Annual Meeting of Stockholders and solicit against the approval of the Proposed Netflix Transaction.</w:t>
      </w:r>
    </w:p>
    <w:p>
      <w:pPr>
        <w:spacing w:after="0" w:line="161" w:lineRule="exact"/>
        <w:rPr>
          <w:rFonts w:ascii="Times New Roman" w:cs="Times New Roman" w:eastAsia="Times New Roman" w:hAnsi="Times New Roman"/>
          <w:sz w:val="18"/>
          <w:szCs w:val="18"/>
          <w:color w:val="auto"/>
        </w:rPr>
      </w:pPr>
    </w:p>
    <w:p>
      <w:pPr>
        <w:ind w:left="328"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14, 2026, Warner Bros. and the Warner Bros. Board filed a response to Paramount’s complaint, noting that they would file a proxy statement that contains significant additional disclosure about the Proposed Netflix Merger, the fairness opinions and work of financial advisors, and more.</w:t>
      </w:r>
    </w:p>
    <w:p>
      <w:pPr>
        <w:spacing w:after="0" w:line="175" w:lineRule="exact"/>
        <w:rPr>
          <w:rFonts w:ascii="Times New Roman" w:cs="Times New Roman" w:eastAsia="Times New Roman" w:hAnsi="Times New Roman"/>
          <w:sz w:val="18"/>
          <w:szCs w:val="18"/>
          <w:color w:val="auto"/>
        </w:rPr>
      </w:pPr>
    </w:p>
    <w:p>
      <w:pPr>
        <w:jc w:val="both"/>
        <w:ind w:left="328"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15, 2026, a hearing was held on Paramount’s motion to expedite its complaint seeking supplemental and corrective disclosures from Warner Bros. and the Warner Bros. Board. The Court declined to expedite the proceedings and instructed the parties to meet and confer on next steps. In so doing, the Court did not address the merits of Paramount’s arguments.</w:t>
      </w:r>
    </w:p>
    <w:p>
      <w:pPr>
        <w:spacing w:after="0" w:line="175" w:lineRule="exact"/>
        <w:rPr>
          <w:rFonts w:ascii="Times New Roman" w:cs="Times New Roman" w:eastAsia="Times New Roman" w:hAnsi="Times New Roman"/>
          <w:sz w:val="18"/>
          <w:szCs w:val="18"/>
          <w:color w:val="auto"/>
        </w:rPr>
      </w:pPr>
    </w:p>
    <w:p>
      <w:pPr>
        <w:ind w:left="328"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19, 2026, Warner Bros. and Netflix amended the Netflix Merger Agreement to, among other things, reflect an all-cash offer by Netflix (the Netflix Merger Agreement, prior to such amendment, the “</w:t>
      </w:r>
      <w:r>
        <w:rPr>
          <w:rFonts w:ascii="Times New Roman" w:cs="Times New Roman" w:eastAsia="Times New Roman" w:hAnsi="Times New Roman"/>
          <w:sz w:val="18"/>
          <w:szCs w:val="18"/>
          <w:b w:val="1"/>
          <w:bCs w:val="1"/>
          <w:color w:val="auto"/>
        </w:rPr>
        <w:t>Original Netflix Merger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251460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904" w:right="359" w:bottom="1440" w:gutter="0" w:footer="0" w:header="0"/>
        </w:sectPr>
      </w:pPr>
    </w:p>
    <w:bookmarkStart w:id="4" w:name="page5"/>
    <w:bookmarkEnd w:id="4"/>
    <w:p>
      <w:pPr>
        <w:ind w:left="660" w:right="300"/>
        <w:spacing w:after="0" w:line="282" w:lineRule="auto"/>
        <w:rPr>
          <w:sz w:val="20"/>
          <w:szCs w:val="20"/>
          <w:color w:val="auto"/>
        </w:rPr>
      </w:pPr>
      <w:r>
        <w:rPr>
          <w:rFonts w:ascii="Times New Roman" w:cs="Times New Roman" w:eastAsia="Times New Roman" w:hAnsi="Times New Roman"/>
          <w:sz w:val="18"/>
          <w:szCs w:val="18"/>
          <w:color w:val="auto"/>
        </w:rPr>
        <w:t>A tabular comparison of key terms of the December 22 Offer against the Proposed Netflix Transaction is provided below, which comparison is qualified in its entirety by reference to the full text of the corresponding agreements: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Term</w:t>
            </w:r>
          </w:p>
        </w:tc>
        <w:tc>
          <w:tcPr>
            <w:tcW w:w="52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Netflix Merger Agreement</w:t>
            </w:r>
          </w:p>
        </w:tc>
        <w:tc>
          <w:tcPr>
            <w:tcW w:w="3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December 22 Paramount/Warner Bros. Merger</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Agreement</w:t>
            </w: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Structure</w:t>
            </w:r>
          </w:p>
        </w:tc>
        <w:tc>
          <w:tcPr>
            <w:tcW w:w="526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 ·     Acquisition of the Streaming &amp; Studios businesses following an</w:t>
            </w:r>
          </w:p>
        </w:tc>
        <w:tc>
          <w:tcPr>
            <w:tcW w:w="3700" w:type="dxa"/>
            <w:vAlign w:val="bottom"/>
            <w:tcBorders>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  ·    Acquisition of all of Warner Bros.</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internal reorganization and a spin-off of the Global Linear</w:t>
            </w: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526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Networks businesses and other assets into SpinCo</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280" w:type="dxa"/>
            <w:vAlign w:val="bottom"/>
            <w:tcBorders>
              <w:left w:val="single" w:sz="8" w:color="auto"/>
              <w:bottom w:val="single" w:sz="8" w:color="auto"/>
              <w:right w:val="single" w:sz="8" w:color="auto"/>
            </w:tcBorders>
          </w:tcPr>
          <w:p>
            <w:pPr>
              <w:spacing w:after="0"/>
              <w:rPr>
                <w:sz w:val="7"/>
                <w:szCs w:val="7"/>
                <w:color w:val="auto"/>
              </w:rPr>
            </w:pPr>
          </w:p>
        </w:tc>
        <w:tc>
          <w:tcPr>
            <w:tcW w:w="5260" w:type="dxa"/>
            <w:vAlign w:val="bottom"/>
            <w:tcBorders>
              <w:bottom w:val="single" w:sz="8" w:color="auto"/>
              <w:right w:val="single" w:sz="8" w:color="auto"/>
            </w:tcBorders>
          </w:tcPr>
          <w:p>
            <w:pPr>
              <w:spacing w:after="0"/>
              <w:rPr>
                <w:sz w:val="7"/>
                <w:szCs w:val="7"/>
                <w:color w:val="auto"/>
              </w:rPr>
            </w:pPr>
          </w:p>
        </w:tc>
        <w:tc>
          <w:tcPr>
            <w:tcW w:w="37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5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$27.75 per Warner Bros. share in cash</w:t>
            </w:r>
          </w:p>
        </w:tc>
        <w:tc>
          <w:tcPr>
            <w:tcW w:w="37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$30 per Warner Bros. share in cash</w:t>
            </w:r>
          </w:p>
        </w:tc>
        <w:tc>
          <w:tcPr>
            <w:tcW w:w="0" w:type="dxa"/>
            <w:vAlign w:val="bottom"/>
          </w:tcPr>
          <w:p>
            <w:pPr>
              <w:spacing w:after="0"/>
              <w:rPr>
                <w:sz w:val="1"/>
                <w:szCs w:val="1"/>
                <w:color w:val="auto"/>
              </w:rPr>
            </w:pPr>
          </w:p>
        </w:tc>
      </w:tr>
      <w:tr>
        <w:trPr>
          <w:trHeight w:val="391"/>
        </w:trPr>
        <w:tc>
          <w:tcPr>
            <w:tcW w:w="2280" w:type="dxa"/>
            <w:vAlign w:val="bottom"/>
            <w:tcBorders>
              <w:left w:val="single" w:sz="8" w:color="auto"/>
              <w:right w:val="single" w:sz="8" w:color="auto"/>
            </w:tcBorders>
          </w:tcPr>
          <w:p>
            <w:pPr>
              <w:spacing w:after="0"/>
              <w:rPr>
                <w:sz w:val="24"/>
                <w:szCs w:val="24"/>
                <w:color w:val="auto"/>
              </w:rPr>
            </w:pPr>
          </w:p>
        </w:tc>
        <w:tc>
          <w:tcPr>
            <w:tcW w:w="52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Consideration payable to Warner Bros. stockholders is subject to</w:t>
            </w:r>
          </w:p>
        </w:tc>
        <w:tc>
          <w:tcPr>
            <w:tcW w:w="37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No reduction to consideration</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reduction based on the net debt of Global Linear Networks</w:t>
            </w: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(which reduction in consideration is left to Warner Bros., in its</w:t>
            </w: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52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sole discretion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5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o      Net debt to be $17.0 billion as of June 30, 2026,</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decreasing over time to $16.1 billion as of</w:t>
            </w: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526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December 31, 2026</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280" w:type="dxa"/>
            <w:vAlign w:val="bottom"/>
            <w:tcBorders>
              <w:left w:val="single" w:sz="8" w:color="auto"/>
              <w:bottom w:val="single" w:sz="8" w:color="auto"/>
              <w:right w:val="single" w:sz="8" w:color="auto"/>
            </w:tcBorders>
          </w:tcPr>
          <w:p>
            <w:pPr>
              <w:spacing w:after="0"/>
              <w:rPr>
                <w:sz w:val="7"/>
                <w:szCs w:val="7"/>
                <w:color w:val="auto"/>
              </w:rPr>
            </w:pPr>
          </w:p>
        </w:tc>
        <w:tc>
          <w:tcPr>
            <w:tcW w:w="5260" w:type="dxa"/>
            <w:vAlign w:val="bottom"/>
            <w:tcBorders>
              <w:bottom w:val="single" w:sz="8" w:color="auto"/>
              <w:right w:val="single" w:sz="8" w:color="auto"/>
            </w:tcBorders>
          </w:tcPr>
          <w:p>
            <w:pPr>
              <w:spacing w:after="0"/>
              <w:rPr>
                <w:sz w:val="7"/>
                <w:szCs w:val="7"/>
                <w:color w:val="auto"/>
              </w:rPr>
            </w:pPr>
          </w:p>
        </w:tc>
        <w:tc>
          <w:tcPr>
            <w:tcW w:w="37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Financing</w:t>
            </w:r>
          </w:p>
        </w:tc>
        <w:tc>
          <w:tcPr>
            <w:tcW w:w="526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 ·     $67.2 billion of debt financing provided by Wells Fargo, BNP and</w:t>
            </w:r>
          </w:p>
        </w:tc>
        <w:tc>
          <w:tcPr>
            <w:tcW w:w="3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     $40.7 billion of equity capital provided by</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526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HSBC</w:t>
            </w:r>
          </w:p>
        </w:tc>
        <w:tc>
          <w:tcPr>
            <w:tcW w:w="37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Ellison Trust and RedBird</w:t>
            </w:r>
          </w:p>
        </w:tc>
        <w:tc>
          <w:tcPr>
            <w:tcW w:w="0" w:type="dxa"/>
            <w:vAlign w:val="bottom"/>
          </w:tcPr>
          <w:p>
            <w:pPr>
              <w:spacing w:after="0"/>
              <w:rPr>
                <w:sz w:val="1"/>
                <w:szCs w:val="1"/>
                <w:color w:val="auto"/>
              </w:rPr>
            </w:pP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5260" w:type="dxa"/>
            <w:vAlign w:val="bottom"/>
            <w:tcBorders>
              <w:right w:val="single" w:sz="8" w:color="auto"/>
            </w:tcBorders>
          </w:tcPr>
          <w:p>
            <w:pPr>
              <w:spacing w:after="0"/>
              <w:rPr>
                <w:sz w:val="24"/>
                <w:szCs w:val="24"/>
                <w:color w:val="auto"/>
              </w:rPr>
            </w:pPr>
          </w:p>
        </w:tc>
        <w:tc>
          <w:tcPr>
            <w:tcW w:w="37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w w:val="98"/>
              </w:rPr>
              <w:t>o      Mr. Larry Ellison is providing a</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personal guarantee of the</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Ellison Trust’s $40.4 billion</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526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equity commitment</w:t>
            </w:r>
          </w:p>
        </w:tc>
        <w:tc>
          <w:tcPr>
            <w:tcW w:w="0" w:type="dxa"/>
            <w:vAlign w:val="bottom"/>
          </w:tcPr>
          <w:p>
            <w:pPr>
              <w:spacing w:after="0"/>
              <w:rPr>
                <w:sz w:val="1"/>
                <w:szCs w:val="1"/>
                <w:color w:val="auto"/>
              </w:rPr>
            </w:pP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5260" w:type="dxa"/>
            <w:vAlign w:val="bottom"/>
            <w:tcBorders>
              <w:right w:val="single" w:sz="8" w:color="auto"/>
            </w:tcBorders>
          </w:tcPr>
          <w:p>
            <w:pPr>
              <w:spacing w:after="0"/>
              <w:rPr>
                <w:sz w:val="24"/>
                <w:szCs w:val="24"/>
                <w:color w:val="auto"/>
              </w:rPr>
            </w:pPr>
          </w:p>
        </w:tc>
        <w:tc>
          <w:tcPr>
            <w:tcW w:w="37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$54.0 billion of debt financing provided by</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526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BofA, Citi and Apollo</w:t>
            </w:r>
          </w:p>
        </w:tc>
        <w:tc>
          <w:tcPr>
            <w:tcW w:w="0" w:type="dxa"/>
            <w:vAlign w:val="bottom"/>
          </w:tcPr>
          <w:p>
            <w:pPr>
              <w:spacing w:after="0"/>
              <w:rPr>
                <w:sz w:val="1"/>
                <w:szCs w:val="1"/>
                <w:color w:val="auto"/>
              </w:rPr>
            </w:pPr>
          </w:p>
        </w:tc>
      </w:tr>
      <w:tr>
        <w:trPr>
          <w:trHeight w:val="81"/>
        </w:trPr>
        <w:tc>
          <w:tcPr>
            <w:tcW w:w="2280" w:type="dxa"/>
            <w:vAlign w:val="bottom"/>
            <w:tcBorders>
              <w:left w:val="single" w:sz="8" w:color="auto"/>
              <w:bottom w:val="single" w:sz="8" w:color="auto"/>
              <w:right w:val="single" w:sz="8" w:color="auto"/>
            </w:tcBorders>
          </w:tcPr>
          <w:p>
            <w:pPr>
              <w:spacing w:after="0"/>
              <w:rPr>
                <w:sz w:val="7"/>
                <w:szCs w:val="7"/>
                <w:color w:val="auto"/>
              </w:rPr>
            </w:pPr>
          </w:p>
        </w:tc>
        <w:tc>
          <w:tcPr>
            <w:tcW w:w="5260" w:type="dxa"/>
            <w:vAlign w:val="bottom"/>
            <w:tcBorders>
              <w:bottom w:val="single" w:sz="8" w:color="auto"/>
              <w:right w:val="single" w:sz="8" w:color="auto"/>
            </w:tcBorders>
          </w:tcPr>
          <w:p>
            <w:pPr>
              <w:spacing w:after="0"/>
              <w:rPr>
                <w:sz w:val="7"/>
                <w:szCs w:val="7"/>
                <w:color w:val="auto"/>
              </w:rPr>
            </w:pPr>
          </w:p>
        </w:tc>
        <w:tc>
          <w:tcPr>
            <w:tcW w:w="37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28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Regulatory Efforts</w:t>
            </w:r>
          </w:p>
        </w:tc>
        <w:tc>
          <w:tcPr>
            <w:tcW w:w="5260" w:type="dxa"/>
            <w:vAlign w:val="bottom"/>
            <w:tcBorders>
              <w:right w:val="single" w:sz="8" w:color="auto"/>
            </w:tcBorders>
          </w:tcPr>
          <w:p>
            <w:pPr>
              <w:ind w:left="160"/>
              <w:spacing w:after="0" w:line="188" w:lineRule="exact"/>
              <w:rPr>
                <w:sz w:val="20"/>
                <w:szCs w:val="20"/>
                <w:color w:val="auto"/>
              </w:rPr>
            </w:pPr>
            <w:r>
              <w:rPr>
                <w:rFonts w:ascii="Times New Roman" w:cs="Times New Roman" w:eastAsia="Times New Roman" w:hAnsi="Times New Roman"/>
                <w:sz w:val="18"/>
                <w:szCs w:val="18"/>
                <w:color w:val="auto"/>
              </w:rPr>
              <w:t>·    No requirement to agree to any remedy that:</w:t>
            </w:r>
          </w:p>
        </w:tc>
        <w:tc>
          <w:tcPr>
            <w:tcW w:w="3700" w:type="dxa"/>
            <w:vAlign w:val="bottom"/>
            <w:tcBorders>
              <w:right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color w:val="auto"/>
              </w:rPr>
              <w:t>·     No requirement to agree to any remedy that,</w:t>
            </w:r>
          </w:p>
        </w:tc>
        <w:tc>
          <w:tcPr>
            <w:tcW w:w="0" w:type="dxa"/>
            <w:vAlign w:val="bottom"/>
          </w:tcPr>
          <w:p>
            <w:pPr>
              <w:spacing w:after="0"/>
              <w:rPr>
                <w:sz w:val="1"/>
                <w:szCs w:val="1"/>
                <w:color w:val="auto"/>
              </w:rPr>
            </w:pPr>
          </w:p>
        </w:tc>
      </w:tr>
      <w:tr>
        <w:trPr>
          <w:trHeight w:val="220"/>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526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individually or in the aggregate with all</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      would, individually or in the aggregate, reasonably be</w:t>
            </w:r>
          </w:p>
        </w:tc>
        <w:tc>
          <w:tcPr>
            <w:tcW w:w="37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other remedies, would reasonably be</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expected to have a material adverse effect on the business</w:t>
            </w:r>
          </w:p>
        </w:tc>
        <w:tc>
          <w:tcPr>
            <w:tcW w:w="37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expected to have a material adverse effect</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or financial condition of Streaming &amp; Studios; or</w:t>
            </w:r>
          </w:p>
        </w:tc>
        <w:tc>
          <w:tcPr>
            <w:tcW w:w="37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on Paramount and its subsidiaries,</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526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involves, applies to, restricts, or affects the operation,</w:t>
            </w:r>
          </w:p>
        </w:tc>
        <w:tc>
          <w:tcPr>
            <w:tcW w:w="37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including Warner Bros. and its subsidiaries</w:t>
            </w:r>
          </w:p>
        </w:tc>
        <w:tc>
          <w:tcPr>
            <w:tcW w:w="0" w:type="dxa"/>
            <w:vAlign w:val="bottom"/>
          </w:tcPr>
          <w:p>
            <w:pPr>
              <w:spacing w:after="0"/>
              <w:rPr>
                <w:sz w:val="1"/>
                <w:szCs w:val="1"/>
                <w:color w:val="auto"/>
              </w:rPr>
            </w:pPr>
          </w:p>
        </w:tc>
      </w:tr>
      <w:tr>
        <w:trPr>
          <w:trHeight w:val="194"/>
        </w:trPr>
        <w:tc>
          <w:tcPr>
            <w:tcW w:w="2280" w:type="dxa"/>
            <w:vAlign w:val="bottom"/>
            <w:tcBorders>
              <w:left w:val="single" w:sz="8" w:color="auto"/>
              <w:right w:val="single" w:sz="8" w:color="auto"/>
            </w:tcBorders>
          </w:tcPr>
          <w:p>
            <w:pPr>
              <w:spacing w:after="0"/>
              <w:rPr>
                <w:sz w:val="16"/>
                <w:szCs w:val="16"/>
                <w:color w:val="auto"/>
              </w:rPr>
            </w:pPr>
          </w:p>
        </w:tc>
        <w:tc>
          <w:tcPr>
            <w:tcW w:w="5260" w:type="dxa"/>
            <w:vAlign w:val="bottom"/>
            <w:tcBorders>
              <w:right w:val="single" w:sz="8" w:color="auto"/>
            </w:tcBorders>
            <w:vMerge w:val="continue"/>
          </w:tcPr>
          <w:p>
            <w:pPr>
              <w:spacing w:after="0"/>
              <w:rPr>
                <w:sz w:val="16"/>
                <w:szCs w:val="16"/>
                <w:color w:val="auto"/>
              </w:rPr>
            </w:pPr>
          </w:p>
        </w:tc>
        <w:tc>
          <w:tcPr>
            <w:tcW w:w="3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80" w:type="dxa"/>
            <w:vAlign w:val="bottom"/>
            <w:tcBorders>
              <w:left w:val="single" w:sz="8" w:color="auto"/>
              <w:right w:val="single" w:sz="8" w:color="auto"/>
            </w:tcBorders>
          </w:tcPr>
          <w:p>
            <w:pPr>
              <w:spacing w:after="0"/>
              <w:rPr>
                <w:sz w:val="20"/>
                <w:szCs w:val="20"/>
                <w:color w:val="auto"/>
              </w:rPr>
            </w:pPr>
          </w:p>
        </w:tc>
        <w:tc>
          <w:tcPr>
            <w:tcW w:w="526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contracts, business or assets of Netflix</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Borders>
              <w:left w:val="single" w:sz="8" w:color="auto"/>
              <w:right w:val="single" w:sz="8" w:color="auto"/>
            </w:tcBorders>
          </w:tcPr>
          <w:p>
            <w:pPr>
              <w:spacing w:after="0"/>
              <w:rPr>
                <w:sz w:val="24"/>
                <w:szCs w:val="24"/>
                <w:color w:val="auto"/>
              </w:rPr>
            </w:pPr>
          </w:p>
        </w:tc>
        <w:tc>
          <w:tcPr>
            <w:tcW w:w="5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Commitment to litigate</w:t>
            </w:r>
          </w:p>
        </w:tc>
        <w:tc>
          <w:tcPr>
            <w:tcW w:w="37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Commitment to litigate</w:t>
            </w:r>
          </w:p>
        </w:tc>
        <w:tc>
          <w:tcPr>
            <w:tcW w:w="0" w:type="dxa"/>
            <w:vAlign w:val="bottom"/>
          </w:tcPr>
          <w:p>
            <w:pPr>
              <w:spacing w:after="0"/>
              <w:rPr>
                <w:sz w:val="1"/>
                <w:szCs w:val="1"/>
                <w:color w:val="auto"/>
              </w:rPr>
            </w:pPr>
          </w:p>
        </w:tc>
      </w:tr>
      <w:tr>
        <w:trPr>
          <w:trHeight w:val="81"/>
        </w:trPr>
        <w:tc>
          <w:tcPr>
            <w:tcW w:w="2280" w:type="dxa"/>
            <w:vAlign w:val="bottom"/>
            <w:tcBorders>
              <w:left w:val="single" w:sz="8" w:color="auto"/>
              <w:bottom w:val="single" w:sz="8" w:color="auto"/>
              <w:right w:val="single" w:sz="8" w:color="auto"/>
            </w:tcBorders>
          </w:tcPr>
          <w:p>
            <w:pPr>
              <w:spacing w:after="0"/>
              <w:rPr>
                <w:sz w:val="7"/>
                <w:szCs w:val="7"/>
                <w:color w:val="auto"/>
              </w:rPr>
            </w:pPr>
          </w:p>
        </w:tc>
        <w:tc>
          <w:tcPr>
            <w:tcW w:w="5260" w:type="dxa"/>
            <w:vAlign w:val="bottom"/>
            <w:tcBorders>
              <w:bottom w:val="single" w:sz="8" w:color="auto"/>
              <w:right w:val="single" w:sz="8" w:color="auto"/>
            </w:tcBorders>
          </w:tcPr>
          <w:p>
            <w:pPr>
              <w:spacing w:after="0"/>
              <w:rPr>
                <w:sz w:val="7"/>
                <w:szCs w:val="7"/>
                <w:color w:val="auto"/>
              </w:rPr>
            </w:pPr>
          </w:p>
        </w:tc>
        <w:tc>
          <w:tcPr>
            <w:tcW w:w="37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28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Regulatory Reverse</w:t>
            </w:r>
          </w:p>
        </w:tc>
        <w:tc>
          <w:tcPr>
            <w:tcW w:w="5260" w:type="dxa"/>
            <w:vAlign w:val="bottom"/>
            <w:tcBorders>
              <w:right w:val="single" w:sz="8" w:color="auto"/>
            </w:tcBorders>
          </w:tcPr>
          <w:p>
            <w:pPr>
              <w:ind w:left="60"/>
              <w:spacing w:after="0" w:line="188" w:lineRule="exact"/>
              <w:rPr>
                <w:sz w:val="20"/>
                <w:szCs w:val="20"/>
                <w:color w:val="auto"/>
              </w:rPr>
            </w:pPr>
            <w:r>
              <w:rPr>
                <w:rFonts w:ascii="Times New Roman" w:cs="Times New Roman" w:eastAsia="Times New Roman" w:hAnsi="Times New Roman"/>
                <w:sz w:val="18"/>
                <w:szCs w:val="18"/>
                <w:color w:val="auto"/>
              </w:rPr>
              <w:t> ·     $5.8 billion, payable by Netflix upon, among other things,</w:t>
            </w:r>
          </w:p>
        </w:tc>
        <w:tc>
          <w:tcPr>
            <w:tcW w:w="3700" w:type="dxa"/>
            <w:vAlign w:val="bottom"/>
            <w:tcBorders>
              <w:right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color w:val="auto"/>
              </w:rPr>
              <w:t>·    Same</w:t>
            </w:r>
          </w:p>
        </w:tc>
        <w:tc>
          <w:tcPr>
            <w:tcW w:w="0" w:type="dxa"/>
            <w:vAlign w:val="bottom"/>
          </w:tcPr>
          <w:p>
            <w:pPr>
              <w:spacing w:after="0"/>
              <w:rPr>
                <w:sz w:val="1"/>
                <w:szCs w:val="1"/>
                <w:color w:val="auto"/>
              </w:rPr>
            </w:pPr>
          </w:p>
        </w:tc>
      </w:tr>
      <w:tr>
        <w:trPr>
          <w:trHeight w:val="238"/>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Termination Fee</w:t>
            </w:r>
          </w:p>
        </w:tc>
        <w:tc>
          <w:tcPr>
            <w:tcW w:w="526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termination for failure to obtain required regulatory approvals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280" w:type="dxa"/>
            <w:vAlign w:val="bottom"/>
            <w:tcBorders>
              <w:left w:val="single" w:sz="8" w:color="auto"/>
              <w:bottom w:val="single" w:sz="8" w:color="auto"/>
              <w:right w:val="single" w:sz="8" w:color="auto"/>
            </w:tcBorders>
          </w:tcPr>
          <w:p>
            <w:pPr>
              <w:spacing w:after="0"/>
              <w:rPr>
                <w:sz w:val="7"/>
                <w:szCs w:val="7"/>
                <w:color w:val="auto"/>
              </w:rPr>
            </w:pPr>
          </w:p>
        </w:tc>
        <w:tc>
          <w:tcPr>
            <w:tcW w:w="5260" w:type="dxa"/>
            <w:vAlign w:val="bottom"/>
            <w:tcBorders>
              <w:bottom w:val="single" w:sz="8" w:color="auto"/>
              <w:right w:val="single" w:sz="8" w:color="auto"/>
            </w:tcBorders>
          </w:tcPr>
          <w:p>
            <w:pPr>
              <w:spacing w:after="0"/>
              <w:rPr>
                <w:sz w:val="7"/>
                <w:szCs w:val="7"/>
                <w:color w:val="auto"/>
              </w:rPr>
            </w:pPr>
          </w:p>
        </w:tc>
        <w:tc>
          <w:tcPr>
            <w:tcW w:w="37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Outside Date</w:t>
            </w:r>
          </w:p>
        </w:tc>
        <w:tc>
          <w:tcPr>
            <w:tcW w:w="526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 ·     21 months (15 months plus two 3-month extensions if required</w:t>
            </w:r>
          </w:p>
        </w:tc>
        <w:tc>
          <w:tcPr>
            <w:tcW w:w="370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  18 months (12 months plus two 3-month</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regulatory approvals have not been obtained)</w:t>
            </w:r>
          </w:p>
        </w:tc>
        <w:tc>
          <w:tcPr>
            <w:tcW w:w="37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extensions if required regulatory approvals</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526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have not been obtained)</w:t>
            </w:r>
          </w:p>
        </w:tc>
        <w:tc>
          <w:tcPr>
            <w:tcW w:w="0" w:type="dxa"/>
            <w:vAlign w:val="bottom"/>
          </w:tcPr>
          <w:p>
            <w:pPr>
              <w:spacing w:after="0"/>
              <w:rPr>
                <w:sz w:val="1"/>
                <w:szCs w:val="1"/>
                <w:color w:val="auto"/>
              </w:rPr>
            </w:pPr>
          </w:p>
        </w:tc>
      </w:tr>
      <w:tr>
        <w:trPr>
          <w:trHeight w:val="81"/>
        </w:trPr>
        <w:tc>
          <w:tcPr>
            <w:tcW w:w="2280" w:type="dxa"/>
            <w:vAlign w:val="bottom"/>
            <w:tcBorders>
              <w:left w:val="single" w:sz="8" w:color="auto"/>
              <w:bottom w:val="single" w:sz="8" w:color="auto"/>
              <w:right w:val="single" w:sz="8" w:color="auto"/>
            </w:tcBorders>
          </w:tcPr>
          <w:p>
            <w:pPr>
              <w:spacing w:after="0"/>
              <w:rPr>
                <w:sz w:val="7"/>
                <w:szCs w:val="7"/>
                <w:color w:val="auto"/>
              </w:rPr>
            </w:pPr>
          </w:p>
        </w:tc>
        <w:tc>
          <w:tcPr>
            <w:tcW w:w="5260" w:type="dxa"/>
            <w:vAlign w:val="bottom"/>
            <w:tcBorders>
              <w:bottom w:val="single" w:sz="8" w:color="auto"/>
              <w:right w:val="single" w:sz="8" w:color="auto"/>
            </w:tcBorders>
          </w:tcPr>
          <w:p>
            <w:pPr>
              <w:spacing w:after="0"/>
              <w:rPr>
                <w:sz w:val="7"/>
                <w:szCs w:val="7"/>
                <w:color w:val="auto"/>
              </w:rPr>
            </w:pPr>
          </w:p>
        </w:tc>
        <w:tc>
          <w:tcPr>
            <w:tcW w:w="37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28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Warner Bros. Termination</w:t>
            </w:r>
          </w:p>
        </w:tc>
        <w:tc>
          <w:tcPr>
            <w:tcW w:w="5260" w:type="dxa"/>
            <w:vAlign w:val="bottom"/>
            <w:tcBorders>
              <w:right w:val="single" w:sz="8" w:color="auto"/>
            </w:tcBorders>
          </w:tcPr>
          <w:p>
            <w:pPr>
              <w:ind w:left="60"/>
              <w:spacing w:after="0" w:line="188" w:lineRule="exact"/>
              <w:rPr>
                <w:sz w:val="20"/>
                <w:szCs w:val="20"/>
                <w:color w:val="auto"/>
              </w:rPr>
            </w:pPr>
            <w:r>
              <w:rPr>
                <w:rFonts w:ascii="Times New Roman" w:cs="Times New Roman" w:eastAsia="Times New Roman" w:hAnsi="Times New Roman"/>
                <w:sz w:val="18"/>
                <w:szCs w:val="18"/>
                <w:color w:val="auto"/>
              </w:rPr>
              <w:t> ·     $2.8 billion (~3.89% of equity value), payable by Warner Bros.</w:t>
            </w:r>
          </w:p>
        </w:tc>
        <w:tc>
          <w:tcPr>
            <w:tcW w:w="370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w w:val="99"/>
              </w:rPr>
              <w:t> ·    3.75% of equity value (~$2.9 billion), payable</w:t>
            </w:r>
          </w:p>
        </w:tc>
        <w:tc>
          <w:tcPr>
            <w:tcW w:w="0" w:type="dxa"/>
            <w:vAlign w:val="bottom"/>
          </w:tcPr>
          <w:p>
            <w:pPr>
              <w:spacing w:after="0"/>
              <w:rPr>
                <w:sz w:val="1"/>
                <w:szCs w:val="1"/>
                <w:color w:val="auto"/>
              </w:rPr>
            </w:pPr>
          </w:p>
        </w:tc>
      </w:tr>
      <w:tr>
        <w:trPr>
          <w:trHeight w:val="220"/>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Fee</w:t>
            </w:r>
          </w:p>
        </w:tc>
        <w:tc>
          <w:tcPr>
            <w:tcW w:w="526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upon, among other things, termination for Superior Proposal</w:t>
            </w:r>
          </w:p>
        </w:tc>
        <w:tc>
          <w:tcPr>
            <w:tcW w:w="37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by Warner Bros. upon, among other things,</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526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termination for Superior Proposal</w:t>
            </w:r>
          </w:p>
        </w:tc>
        <w:tc>
          <w:tcPr>
            <w:tcW w:w="0" w:type="dxa"/>
            <w:vAlign w:val="bottom"/>
          </w:tcPr>
          <w:p>
            <w:pPr>
              <w:spacing w:after="0"/>
              <w:rPr>
                <w:sz w:val="1"/>
                <w:szCs w:val="1"/>
                <w:color w:val="auto"/>
              </w:rPr>
            </w:pPr>
          </w:p>
        </w:tc>
      </w:tr>
      <w:tr>
        <w:trPr>
          <w:trHeight w:val="81"/>
        </w:trPr>
        <w:tc>
          <w:tcPr>
            <w:tcW w:w="2280" w:type="dxa"/>
            <w:vAlign w:val="bottom"/>
            <w:tcBorders>
              <w:left w:val="single" w:sz="8" w:color="auto"/>
              <w:bottom w:val="single" w:sz="8" w:color="auto"/>
              <w:right w:val="single" w:sz="8" w:color="auto"/>
            </w:tcBorders>
          </w:tcPr>
          <w:p>
            <w:pPr>
              <w:spacing w:after="0"/>
              <w:rPr>
                <w:sz w:val="7"/>
                <w:szCs w:val="7"/>
                <w:color w:val="auto"/>
              </w:rPr>
            </w:pPr>
          </w:p>
        </w:tc>
        <w:tc>
          <w:tcPr>
            <w:tcW w:w="5260" w:type="dxa"/>
            <w:vAlign w:val="bottom"/>
            <w:tcBorders>
              <w:bottom w:val="single" w:sz="8" w:color="auto"/>
              <w:right w:val="single" w:sz="8" w:color="auto"/>
            </w:tcBorders>
          </w:tcPr>
          <w:p>
            <w:pPr>
              <w:spacing w:after="0"/>
              <w:rPr>
                <w:sz w:val="7"/>
                <w:szCs w:val="7"/>
                <w:color w:val="auto"/>
              </w:rPr>
            </w:pPr>
          </w:p>
        </w:tc>
        <w:tc>
          <w:tcPr>
            <w:tcW w:w="37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22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spacing w:after="0" w:line="256" w:lineRule="auto"/>
        <w:rPr>
          <w:sz w:val="20"/>
          <w:szCs w:val="20"/>
          <w:color w:val="auto"/>
        </w:rPr>
      </w:pPr>
      <w:r>
        <w:rPr>
          <w:rFonts w:ascii="Times New Roman" w:cs="Times New Roman" w:eastAsia="Times New Roman" w:hAnsi="Times New Roman"/>
          <w:sz w:val="18"/>
          <w:szCs w:val="18"/>
          <w:color w:val="auto"/>
        </w:rPr>
        <w:t>On January 20, 2026, Warner Bros. filed a preliminary proxy statement with the SEC soliciting votes in favor of the Proposed Netflix Merger (the “</w:t>
      </w:r>
      <w:r>
        <w:rPr>
          <w:rFonts w:ascii="Times New Roman" w:cs="Times New Roman" w:eastAsia="Times New Roman" w:hAnsi="Times New Roman"/>
          <w:sz w:val="18"/>
          <w:szCs w:val="18"/>
          <w:b w:val="1"/>
          <w:bCs w:val="1"/>
          <w:color w:val="auto"/>
        </w:rPr>
        <w:t>Warner Bros. Preliminary Proxy Statement</w:t>
      </w:r>
      <w:r>
        <w:rPr>
          <w:rFonts w:ascii="Times New Roman" w:cs="Times New Roman" w:eastAsia="Times New Roman" w:hAnsi="Times New Roman"/>
          <w:sz w:val="18"/>
          <w:szCs w:val="18"/>
          <w:color w:val="auto"/>
        </w:rPr>
        <w:t>”). The Warner Bros. Preliminary Proxy Statement included the financial analyses of Global Linear Networks that the Warner Bros. Board considered, which included the selected public companies analysis on a whole company basis, the selected public companies sum-of-the-parts analysis and the selected transaction analysis. A discounted cash flow analysis—typically considered the gold standard in valuation—was also conducted by Warner Bros.’ financial advisors, but the Warner Bros. Board chose to disregard it without providing any explanation.</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Also, according to the Warner Bros. Preliminary Proxy Statement, the Warner Bros. Board had previously received, on December 4, 2025 and in advance of executing the Original Netflix Merger Agreement, materials that referenced an illustrative approximate implied equity value reference range for Global Linear Networks of $0.42 to $2.09 per share. This means that when Warner Bros. rushed to sign its agreement with Netflix on December 4, 2025, it valued Global Linear Networks at no more than $2.09 per share, implying a total value to Warner Bros. stockholders from a transaction with Netflix at such time of $28.17 to $29.84 per Share, less than Paramount’s $30.00 per Share all-cash offer and December 4 Improved Proposal.</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Versant Media Group, Inc. (“</w:t>
      </w:r>
      <w:r>
        <w:rPr>
          <w:rFonts w:ascii="Times New Roman" w:cs="Times New Roman" w:eastAsia="Times New Roman" w:hAnsi="Times New Roman"/>
          <w:sz w:val="18"/>
          <w:szCs w:val="18"/>
          <w:b w:val="1"/>
          <w:bCs w:val="1"/>
          <w:color w:val="auto"/>
        </w:rPr>
        <w:t>Versant</w:t>
      </w:r>
      <w:r>
        <w:rPr>
          <w:rFonts w:ascii="Times New Roman" w:cs="Times New Roman" w:eastAsia="Times New Roman" w:hAnsi="Times New Roman"/>
          <w:sz w:val="18"/>
          <w:szCs w:val="18"/>
          <w:color w:val="auto"/>
        </w:rPr>
        <w:t>”), a portfolio of cable channels that Comcast has spun off to its stockholders, is a relevant public comparable company for Global Linear Networks. Shares of Versant closed at $32.44 per share on January 21, 2026 implying an enterprise value to one-year forward EBITDA multiple of 3.6x to 3.9x, based on Versant management’s guidance of $1,850 million - $2,000 million of 2026E EBITDA. In contrast, Warner Bros.’ advisors selected a valuation range of 4.5x to 5.5x 2026E EBITDA for Global Linear Networks in their public comparables valuation analysis, over a 1.0x premium to Versant at the midpoint.</w:t>
      </w:r>
    </w:p>
    <w:p>
      <w:pPr>
        <w:spacing w:after="0" w:line="183"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For several reasons, Paramount believes Global Linear Networks will ultimately trade at a discount to Versant. These include (but are not limited to): (i) materially higher leverage at Global Linear Networks (in excess of 4.0x net leverage) compared to Versant (approximately 1.25x net leverage); (ii) Versant’s significantly greater exposure to live news and sports programming—which Paramount believes represents the highest-value category within pay television—accounting for approximately 62% of Versant’s audience vs. approximately 20% for Warner Bros., underpinned by Versant’s robust portfolio of sports rights, whereas Warner Bros. lost its anchor NBA rights in 2025 and likely faces limited capacity to reinvest in marquee sports given its higher leverage; and (iii) Versant’s ownership of a meaningful portfolio of higher-growth digital assets, including GolfNow, Rotten Tomatoes and Fandango, whereas Global Linear Networks’ only major digital asset is Bleacher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257810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6" w:name="page7"/>
    <w:bookmarkEnd w:id="6"/>
    <w:p>
      <w:pPr>
        <w:ind w:left="660" w:right="20"/>
        <w:spacing w:after="0" w:line="256" w:lineRule="auto"/>
        <w:rPr>
          <w:sz w:val="20"/>
          <w:szCs w:val="20"/>
          <w:color w:val="auto"/>
        </w:rPr>
      </w:pPr>
      <w:r>
        <w:rPr>
          <w:rFonts w:ascii="Times New Roman" w:cs="Times New Roman" w:eastAsia="Times New Roman" w:hAnsi="Times New Roman"/>
          <w:sz w:val="18"/>
          <w:szCs w:val="18"/>
          <w:color w:val="auto"/>
        </w:rPr>
        <w:t>Applying Versant’s trading multiple on January 21, 2026, based on the midpoint of Versant’s management guidance for 2026E EBITDA ($1.85 - $2.00 billion), and $3.9 billion of next twelve months EBITDA (consistent with the Warner Bros. Board estimate of $4.6 billion of EBITDA in 2026E and $3.6 billion in 2027E) for Global Linear Networks as of the estimated Warner Bros. Separation completion date (Q3 2026) based on Wall Street consensus estimates, Paramount estimates an implied equity value of $0.00 per share for Global Linear Networks, after giving effect to approximately $15 billion of net debt (which has been disclosed at the higher amount of $17.0 billion as of June 30, 2026, decreasing over time to $16.1 billion as of December 31, 2026) to be allocated to the Global Linear Networks business.</w:t>
      </w:r>
    </w:p>
    <w:p>
      <w:pPr>
        <w:spacing w:after="0" w:line="187" w:lineRule="exact"/>
        <w:rPr>
          <w:sz w:val="20"/>
          <w:szCs w:val="20"/>
          <w:color w:val="auto"/>
        </w:rPr>
      </w:pPr>
    </w:p>
    <w:p>
      <w:pPr>
        <w:ind w:left="660" w:right="380"/>
        <w:spacing w:after="0" w:line="312" w:lineRule="auto"/>
        <w:rPr>
          <w:sz w:val="20"/>
          <w:szCs w:val="20"/>
          <w:color w:val="auto"/>
        </w:rPr>
      </w:pPr>
      <w:r>
        <w:rPr>
          <w:rFonts w:ascii="Times New Roman" w:cs="Times New Roman" w:eastAsia="Times New Roman" w:hAnsi="Times New Roman"/>
          <w:sz w:val="17"/>
          <w:szCs w:val="17"/>
          <w:color w:val="auto"/>
        </w:rPr>
        <w:t>On January 22, 2026, Paramount filed a preliminary proxy statement soliciting proxies against the Proposed Netflix Transaction and the other proposals to be considered at a special meeting of Warner Bros. stockholders to be held in connection with the Proposed Netflix Transaction.</w:t>
      </w:r>
    </w:p>
    <w:p>
      <w:pPr>
        <w:spacing w:after="0" w:line="140"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On January 22, 2026, Paramount announced an extension of the Expiration Date of the Offer to 5:00 p.m., New York City time, on February 20, 2026.</w:t>
      </w:r>
    </w:p>
    <w:p>
      <w:pPr>
        <w:spacing w:after="0" w:line="162" w:lineRule="exact"/>
        <w:rPr>
          <w:sz w:val="20"/>
          <w:szCs w:val="20"/>
          <w:color w:val="auto"/>
        </w:rPr>
      </w:pPr>
    </w:p>
    <w:p>
      <w:pPr>
        <w:jc w:val="both"/>
        <w:ind w:left="660" w:right="18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middle column of the tabular charts in the section of the Offer to Purchase entitled “Background of the Offer; Other Transactions with Warner Bros.” and in the section of the Offer to Purchase entitled “Summary Term Sheet” is hereby amended and restated to read “Original Netflix Merger Agreement”.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I and II of the Offer to Purchase are hereby amended and restated in their entirety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PARAMOUNT</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name, current principal occupation or employment and material occupations, positions, offices or employment for the past five years, of each director and executive officer of Paramount are set forth below. References in this Schedule I to “Paramount” mean Paramount Skydance Corporation. Unless otherwise indicated below, the current business address of each director and officer is c/o Paramount, 1515 Broadway, New York, New York 10036. Unless otherwise indicated below, the current business telephone of each director and officer is (212) 258-6000. Where no date is shown, the individual has occupied the position indicated for the past five years. Unless otherwise indicated, each occupation set forth opposite an individual’s name refers to employment with Paramount. Each director and officer is a United States citizen. Except as described in this Schedule I, none of the directors and officers of Paramount listed below has, during the past five years, (1) been convicted in a criminal proceeding (excluding traffic violations or similar misdemeanors) or (2) been a party to any judicial or administrative proceeding that resulted in a judgment, decree or final order enjoining the person from future violations of, or prohibiting activities subject to, federal or state securities laws, or a finding of any violation of federal or state securities laws.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DIRECTORS</w:t>
            </w:r>
          </w:p>
        </w:tc>
      </w:tr>
      <w:tr>
        <w:trPr>
          <w:trHeight w:val="445"/>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4"/>
                <w:szCs w:val="24"/>
                <w:color w:val="auto"/>
              </w:rPr>
            </w:pPr>
          </w:p>
        </w:tc>
        <w:tc>
          <w:tcPr>
            <w:tcW w:w="820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Present Principal Occupation and Five-Year Employment History</w:t>
            </w:r>
          </w:p>
        </w:tc>
      </w:tr>
      <w:tr>
        <w:trPr>
          <w:trHeight w:val="36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Ellison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David Ellison is the Chief Executive Officer of Paramount.  Prior to becoming Chief Executive Officer of</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Paramount, Mr. Ellison served as founder and Chief Executive Officer of Skydance since 2010.  Mr. Ellison is</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also on the board of advisors of the Ellison Institute, LLC.  Paramount believes Mr. Ellison is qualified to serve as</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 member of its board of directors because of his significant experience in the entertainment and media industry</w:t>
            </w: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deep knowledge of Skydance’s business as founder and Chief Executive Officer of Skydance.</w:t>
            </w:r>
          </w:p>
        </w:tc>
      </w:tr>
      <w:tr>
        <w:trPr>
          <w:trHeight w:val="37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Shell</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Jeffrey Shell is the President of Paramount.  Prior to becoming President of Paramount, Mr. Shell served as</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Chairman of RedBird Sports &amp; Media since February 2024.  Mr. Shell served as Chief Executive Officer of</w:t>
            </w: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NBCUniversal from 2020 to 2023 and as Chairman of NBCUniversal Film and Entertainment from 2019 to</w:t>
            </w:r>
          </w:p>
        </w:tc>
      </w:tr>
    </w:tbl>
    <w:p>
      <w:pPr>
        <w:ind w:left="3040"/>
        <w:spacing w:after="0" w:line="252" w:lineRule="auto"/>
        <w:rPr>
          <w:sz w:val="20"/>
          <w:szCs w:val="20"/>
          <w:color w:val="auto"/>
        </w:rPr>
      </w:pPr>
      <w:r>
        <w:rPr>
          <w:rFonts w:ascii="Times New Roman" w:cs="Times New Roman" w:eastAsia="Times New Roman" w:hAnsi="Times New Roman"/>
          <w:sz w:val="18"/>
          <w:szCs w:val="18"/>
          <w:color w:val="auto"/>
        </w:rPr>
        <w:t>2020.  Prior to that, Mr. Shell served as Chairman of Universal Filmed Entertainment Group (“</w:t>
      </w:r>
      <w:r>
        <w:rPr>
          <w:rFonts w:ascii="Times New Roman" w:cs="Times New Roman" w:eastAsia="Times New Roman" w:hAnsi="Times New Roman"/>
          <w:sz w:val="18"/>
          <w:szCs w:val="18"/>
          <w:u w:val="single" w:color="auto"/>
          <w:color w:val="auto"/>
        </w:rPr>
        <w:t>UFEG</w:t>
      </w:r>
      <w:r>
        <w:rPr>
          <w:rFonts w:ascii="Times New Roman" w:cs="Times New Roman" w:eastAsia="Times New Roman" w:hAnsi="Times New Roman"/>
          <w:sz w:val="18"/>
          <w:szCs w:val="18"/>
          <w:color w:val="auto"/>
        </w:rPr>
        <w:t>”) beginning in 2013 and, prior to joining UFEG, as Chairman of NBCUniversal International.  Prior to joining NBCUniversal, Mr. Shell served as President of Comcast Programming Group for six years and, previously, as Chief Executive Officer of Gemstar TV Guide International and President of FOX Cable Networks Group.  Paramount believes Mr. Shell is qualified to serve as a member of its board of directors because of his extensive experience serving in executive leadership roles at entertainment and media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tabs>
          <w:tab w:leader="none" w:pos="2500" w:val="left"/>
          <w:tab w:leader="none" w:pos="46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b w:val="1"/>
          <w:bCs w:val="1"/>
          <w:color w:val="auto"/>
        </w:rPr>
        <w:t>Age</w:t>
      </w:r>
      <w:r>
        <w:rPr>
          <w:sz w:val="20"/>
          <w:szCs w:val="20"/>
          <w:color w:val="auto"/>
        </w:rPr>
        <w:tab/>
      </w:r>
      <w:r>
        <w:rPr>
          <w:rFonts w:ascii="Times New Roman" w:cs="Times New Roman" w:eastAsia="Times New Roman" w:hAnsi="Times New Roman"/>
          <w:sz w:val="17"/>
          <w:szCs w:val="17"/>
          <w:b w:val="1"/>
          <w:bCs w:val="1"/>
          <w:color w:val="auto"/>
        </w:rPr>
        <w:t>Present Principal Occupation and Five-Year Employment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Gerald Cardinale</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Gerald Cardinale is the founder of RedBird Capital Partners LLC (“RedBird Capital”) and has served as its</w:t>
            </w:r>
          </w:p>
        </w:tc>
      </w:tr>
      <w:tr>
        <w:trPr>
          <w:trHeight w:val="20"/>
        </w:trPr>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8"/>
        </w:trPr>
        <w:tc>
          <w:tcPr>
            <w:tcW w:w="2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Managing Partner and Chief Investment Officer since 2014.  Prior to founding RedBird Capital, Mr. Cardinale</w:t>
            </w:r>
          </w:p>
        </w:tc>
      </w:tr>
      <w:tr>
        <w:trPr>
          <w:trHeight w:val="216"/>
        </w:trPr>
        <w:tc>
          <w:tcPr>
            <w:tcW w:w="2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spent over 20 years at Goldman Sachs where he was a Partner from 2004 to 2012.  Paramount believes</w:t>
            </w:r>
          </w:p>
        </w:tc>
      </w:tr>
      <w:tr>
        <w:trPr>
          <w:trHeight w:val="216"/>
        </w:trPr>
        <w:tc>
          <w:tcPr>
            <w:tcW w:w="2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Mr. Cardinale is qualified to serve as a member of its board of directors because of his extensive investment and</w:t>
            </w:r>
          </w:p>
        </w:tc>
      </w:tr>
      <w:tr>
        <w:trPr>
          <w:trHeight w:val="216"/>
        </w:trPr>
        <w:tc>
          <w:tcPr>
            <w:tcW w:w="2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management experience specifically in the sports, media and entertainment industries and his extensive</w:t>
            </w:r>
          </w:p>
        </w:tc>
      </w:tr>
      <w:tr>
        <w:trPr>
          <w:trHeight w:val="234"/>
        </w:trPr>
        <w:tc>
          <w:tcPr>
            <w:tcW w:w="2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experience serving in a role as director.</w:t>
            </w:r>
          </w:p>
        </w:tc>
      </w:tr>
      <w:tr>
        <w:trPr>
          <w:trHeight w:val="37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Andrew Brandon-Gordon</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Andrew Brandon-Gordon is the Chief Strategy Officer and Chief Operating Officer of Paramount.  Prior to</w:t>
            </w:r>
          </w:p>
        </w:tc>
      </w:tr>
      <w:tr>
        <w:trPr>
          <w:trHeight w:val="216"/>
        </w:trPr>
        <w:tc>
          <w:tcPr>
            <w:tcW w:w="2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becoming Chief Strategy Officer and Chief Operating Officer of Paramount, Mr. Gordon served as a Partner of</w:t>
            </w:r>
          </w:p>
        </w:tc>
      </w:tr>
      <w:tr>
        <w:trPr>
          <w:trHeight w:val="216"/>
        </w:trPr>
        <w:tc>
          <w:tcPr>
            <w:tcW w:w="2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RedBird Capital since 2020, where he led the firm’s Technology, Media &amp; Telecom investment vertical and its</w:t>
            </w:r>
          </w:p>
        </w:tc>
      </w:tr>
      <w:tr>
        <w:trPr>
          <w:trHeight w:val="216"/>
        </w:trPr>
        <w:tc>
          <w:tcPr>
            <w:tcW w:w="2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capital markets activities.  Mr. Gordon previously served as the Global Chairman of Investment Banking Services,</w:t>
            </w:r>
          </w:p>
        </w:tc>
      </w:tr>
      <w:tr>
        <w:trPr>
          <w:trHeight w:val="216"/>
        </w:trPr>
        <w:tc>
          <w:tcPr>
            <w:tcW w:w="2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Head of the West Region, Global Head of Media and Telecommunications for the Technology, Media and</w:t>
            </w:r>
          </w:p>
        </w:tc>
      </w:tr>
      <w:tr>
        <w:trPr>
          <w:trHeight w:val="216"/>
        </w:trPr>
        <w:tc>
          <w:tcPr>
            <w:tcW w:w="2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Telecom Group and Co-Head of the One Goldman Sachs Family Office of Goldman Sachs where he was</w:t>
            </w:r>
          </w:p>
        </w:tc>
      </w:tr>
      <w:tr>
        <w:trPr>
          <w:trHeight w:val="216"/>
        </w:trPr>
        <w:tc>
          <w:tcPr>
            <w:tcW w:w="2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employed from 1986 to 2020, and as a Partner of Goldman Sachs from 1998 until his retirement in</w:t>
            </w:r>
          </w:p>
        </w:tc>
      </w:tr>
      <w:tr>
        <w:trPr>
          <w:trHeight w:val="216"/>
        </w:trPr>
        <w:tc>
          <w:tcPr>
            <w:tcW w:w="2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2020.  Paramount believes Mr. Gordon is qualified to serve as a member of its board of directors because of his</w:t>
            </w:r>
          </w:p>
        </w:tc>
      </w:tr>
      <w:tr>
        <w:trPr>
          <w:trHeight w:val="216"/>
        </w:trPr>
        <w:tc>
          <w:tcPr>
            <w:tcW w:w="2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extensive management experience specifically in the sports, media, entertainment and financial services</w:t>
            </w:r>
          </w:p>
        </w:tc>
      </w:tr>
      <w:tr>
        <w:trPr>
          <w:trHeight w:val="216"/>
        </w:trPr>
        <w:tc>
          <w:tcPr>
            <w:tcW w:w="2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industries, his 35 years of investment banking experience and his extensive experience serving in a role as</w:t>
            </w:r>
          </w:p>
        </w:tc>
      </w:tr>
      <w:tr>
        <w:trPr>
          <w:trHeight w:val="234"/>
        </w:trPr>
        <w:tc>
          <w:tcPr>
            <w:tcW w:w="2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37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Paul Marinelli</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Paul Marinelli has served as President of Lawrence Investments, LLC, an investment firm owned by Lawrence J.</w:t>
            </w:r>
          </w:p>
        </w:tc>
      </w:tr>
      <w:tr>
        <w:trPr>
          <w:trHeight w:val="234"/>
        </w:trPr>
        <w:tc>
          <w:tcPr>
            <w:tcW w:w="2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Ellison, since 2015, and as Vice President from 2004 to 2015.  From 1994 to 2004, he held various corporate</w:t>
            </w:r>
          </w:p>
        </w:tc>
      </w:tr>
    </w:tbl>
    <w:p>
      <w:pPr>
        <w:ind w:left="3040" w:right="20"/>
        <w:spacing w:after="0" w:line="251" w:lineRule="auto"/>
        <w:rPr>
          <w:sz w:val="20"/>
          <w:szCs w:val="20"/>
          <w:color w:val="auto"/>
        </w:rPr>
      </w:pPr>
      <w:r>
        <w:rPr>
          <w:rFonts w:ascii="Times New Roman" w:cs="Times New Roman" w:eastAsia="Times New Roman" w:hAnsi="Times New Roman"/>
          <w:sz w:val="18"/>
          <w:szCs w:val="18"/>
          <w:color w:val="auto"/>
        </w:rPr>
        <w:t>development and finance positions at Cadence Design Systems, Inc. (NASDAQ: CDNS), an electronic design automation software and services company, PricewaterhouseCoopers, a global professional services firm, and Emcon Services, Inc., an environmental engineering firm.  Mr. Marinelli serves or has served as a director of several companies, including Skydance, a media and entertainment company, Imagene AI Ltd., a precision oncology company using artificial intelligence to support personalized cancer treatment, Sensei Farms, a sustainable agriculture and innovative farming company, Autonomous Medical Devices Inc., a medical diagnostics company, and LeapFrog Enterprises (NASDAQ: LF), a developer of educational entertainment for children.  Paramount believes that Mr. Marinelli is qualified to serve as a member of its board of directors because of his extensive experience in finance and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8" w:name="page9"/>
    <w:bookmarkEnd w:id="8"/>
    <w:p>
      <w:pPr>
        <w:spacing w:after="0"/>
        <w:tabs>
          <w:tab w:leader="none" w:pos="2500" w:val="left"/>
          <w:tab w:leader="none" w:pos="46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b w:val="1"/>
          <w:bCs w:val="1"/>
          <w:color w:val="auto"/>
        </w:rPr>
        <w:t>Age</w:t>
      </w:r>
      <w:r>
        <w:rPr>
          <w:sz w:val="20"/>
          <w:szCs w:val="20"/>
          <w:color w:val="auto"/>
        </w:rPr>
        <w:tab/>
      </w:r>
      <w:r>
        <w:rPr>
          <w:rFonts w:ascii="Times New Roman" w:cs="Times New Roman" w:eastAsia="Times New Roman" w:hAnsi="Times New Roman"/>
          <w:sz w:val="17"/>
          <w:szCs w:val="17"/>
          <w:b w:val="1"/>
          <w:bCs w:val="1"/>
          <w:color w:val="auto"/>
        </w:rPr>
        <w:t>Present Principal Occupation and Five-Year Employment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Safra Catz</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Safra Catz has been the Executive Chairman of Oracle Corporation (NASDAQ: ORCL) since September 22,</w:t>
            </w:r>
          </w:p>
        </w:tc>
      </w:tr>
      <w:tr>
        <w:trPr>
          <w:trHeight w:val="216"/>
        </w:trPr>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2025, and has been a member of Oracle’s board of directors since 2001.  At Oracle, Ms. Catz previously served as</w:t>
            </w:r>
          </w:p>
        </w:tc>
      </w:tr>
      <w:tr>
        <w:trPr>
          <w:trHeight w:val="216"/>
        </w:trPr>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President, Chief Financial Officer, Executive Vice President, Senior Vice</w:t>
            </w:r>
          </w:p>
        </w:tc>
      </w:tr>
      <w:tr>
        <w:trPr>
          <w:trHeight w:val="216"/>
        </w:trPr>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Ms. Catz also previously served on the board of directors of The Walt Disney Company (NASDAQ:</w:t>
            </w:r>
          </w:p>
        </w:tc>
      </w:tr>
      <w:tr>
        <w:trPr>
          <w:trHeight w:val="216"/>
        </w:trPr>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 from 2018 to 2024.  Prior to joining Oracle, Ms. Catz developed deep technology industry experience as a</w:t>
            </w:r>
          </w:p>
        </w:tc>
      </w:tr>
      <w:tr>
        <w:trPr>
          <w:trHeight w:val="216"/>
        </w:trPr>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managing director with the investment banking firm Donaldson, Lufkin &amp; Jenrette covering the technology</w:t>
            </w:r>
          </w:p>
        </w:tc>
      </w:tr>
      <w:tr>
        <w:trPr>
          <w:trHeight w:val="216"/>
        </w:trPr>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industry.  Paramount believes Ms. Catz is qualified to serve as a member of its board of directors because of her</w:t>
            </w:r>
          </w:p>
        </w:tc>
      </w:tr>
      <w:tr>
        <w:trPr>
          <w:trHeight w:val="216"/>
        </w:trPr>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extensive experience serving as an executive and director of large, complex global organizations and her valuable</w:t>
            </w:r>
          </w:p>
        </w:tc>
      </w:tr>
      <w:tr>
        <w:trPr>
          <w:trHeight w:val="234"/>
        </w:trPr>
        <w:tc>
          <w:tcPr>
            <w:tcW w:w="1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insight regarding the technology industry generally.</w:t>
            </w:r>
          </w:p>
        </w:tc>
      </w:tr>
      <w:tr>
        <w:trPr>
          <w:trHeight w:val="37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John L. Thornton</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John L. Thornton has served as Chairman of RedBird Capital Partners L.P. since August 2023. Mr. Thornton is</w:t>
            </w:r>
          </w:p>
        </w:tc>
      </w:tr>
      <w:tr>
        <w:trPr>
          <w:trHeight w:val="216"/>
        </w:trPr>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also Chairman of Barrick Mining Corporation and non-executive Chairman of Heron View Investments, L.P., a</w:t>
            </w:r>
          </w:p>
        </w:tc>
      </w:tr>
      <w:tr>
        <w:trPr>
          <w:trHeight w:val="216"/>
        </w:trPr>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 investment firm. Mr. Thornton also serves as lead independent director on the boards of Ford Motor</w:t>
            </w:r>
          </w:p>
        </w:tc>
      </w:tr>
      <w:tr>
        <w:trPr>
          <w:trHeight w:val="234"/>
        </w:trPr>
        <w:tc>
          <w:tcPr>
            <w:tcW w:w="1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and Lenovo Group Limited.</w:t>
            </w:r>
          </w:p>
        </w:tc>
      </w:tr>
      <w:tr>
        <w:trPr>
          <w:trHeight w:val="414"/>
        </w:trPr>
        <w:tc>
          <w:tcPr>
            <w:tcW w:w="1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Mr. Thornton is a professor and director of Tsinghua University’s Global Leadership Program, and an advisory</w:t>
            </w:r>
          </w:p>
        </w:tc>
      </w:tr>
      <w:tr>
        <w:trPr>
          <w:trHeight w:val="216"/>
        </w:trPr>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board member of Tsinghua’s School of Economics and Management and its School of Public Policy and</w:t>
            </w:r>
          </w:p>
        </w:tc>
      </w:tr>
      <w:tr>
        <w:trPr>
          <w:trHeight w:val="216"/>
        </w:trPr>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 Mr. Thornton is co-chair of the Asia Society, chairman emeritus of the Brookings Institution in</w:t>
            </w:r>
          </w:p>
        </w:tc>
      </w:tr>
      <w:tr>
        <w:trPr>
          <w:trHeight w:val="216"/>
        </w:trPr>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Washington, D.C., and is also on the advisory boards or board of trustees of African Leadership Academy, China</w:t>
            </w:r>
          </w:p>
        </w:tc>
      </w:tr>
      <w:tr>
        <w:trPr>
          <w:trHeight w:val="216"/>
        </w:trPr>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Corporation (CIC), China Securities Regulatory Commission, King Abdullah University of Science</w:t>
            </w:r>
          </w:p>
        </w:tc>
      </w:tr>
      <w:tr>
        <w:trPr>
          <w:trHeight w:val="216"/>
        </w:trPr>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and Technology, McKinsey Advisory Council and Schwarzman Scholars. Mr. Thornton joined Goldman Sachs in</w:t>
            </w:r>
          </w:p>
        </w:tc>
      </w:tr>
      <w:tr>
        <w:trPr>
          <w:trHeight w:val="216"/>
        </w:trPr>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1980 and retired as president and director of The Goldman Sachs Group, Inc. in 2003. He also previously served</w:t>
            </w:r>
          </w:p>
        </w:tc>
      </w:tr>
      <w:tr>
        <w:trPr>
          <w:trHeight w:val="216"/>
        </w:trPr>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chairman of Goldman Sachs Asia and as co-chief executive of Goldman Sachs International, overseeing the</w:t>
            </w:r>
          </w:p>
        </w:tc>
      </w:tr>
      <w:tr>
        <w:trPr>
          <w:trHeight w:val="234"/>
        </w:trPr>
        <w:tc>
          <w:tcPr>
            <w:tcW w:w="1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firm’s business in Europe, the Middle East, and Africa.</w:t>
            </w:r>
          </w:p>
        </w:tc>
      </w:tr>
      <w:tr>
        <w:trPr>
          <w:trHeight w:val="414"/>
        </w:trPr>
        <w:tc>
          <w:tcPr>
            <w:tcW w:w="1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Mr. Thornton has also served as a director on the boards of BSkyB, China Unicom, DirecTV,</w:t>
            </w:r>
          </w:p>
        </w:tc>
      </w:tr>
      <w:tr>
        <w:trPr>
          <w:trHeight w:val="216"/>
        </w:trPr>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HSBC, ICBC, IMG, Intel and News Corp. Paramount believes Mr. Thornton is qualified to serve as a member of</w:t>
            </w:r>
          </w:p>
        </w:tc>
      </w:tr>
      <w:tr>
        <w:trPr>
          <w:trHeight w:val="216"/>
        </w:trPr>
        <w:tc>
          <w:tcPr>
            <w:tcW w:w="1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its board of directors because of his extensive investment and management experience and his extensive</w:t>
            </w:r>
          </w:p>
        </w:tc>
      </w:tr>
      <w:tr>
        <w:trPr>
          <w:trHeight w:val="234"/>
        </w:trPr>
        <w:tc>
          <w:tcPr>
            <w:tcW w:w="1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experience serving in a role as director.</w:t>
            </w:r>
          </w:p>
        </w:tc>
      </w:tr>
      <w:tr>
        <w:trPr>
          <w:trHeight w:val="37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Barbara Byrne</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Barbara Byrne is a former Vice Chairman of Investment Banking at Barclays PLC and a former Vice Chairman</w:t>
            </w:r>
          </w:p>
        </w:tc>
      </w:tr>
      <w:tr>
        <w:trPr>
          <w:trHeight w:val="234"/>
        </w:trPr>
        <w:tc>
          <w:tcPr>
            <w:tcW w:w="1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Lehman Brothers.  Ms. Byrne has served as a member of the Paramount board (and its predecessor boards</w:t>
            </w:r>
          </w:p>
        </w:tc>
      </w:tr>
    </w:tbl>
    <w:p>
      <w:pPr>
        <w:ind w:left="3040" w:right="60"/>
        <w:spacing w:after="0" w:line="251" w:lineRule="auto"/>
        <w:rPr>
          <w:sz w:val="20"/>
          <w:szCs w:val="20"/>
          <w:color w:val="auto"/>
        </w:rPr>
      </w:pPr>
      <w:r>
        <w:rPr>
          <w:rFonts w:ascii="Times New Roman" w:cs="Times New Roman" w:eastAsia="Times New Roman" w:hAnsi="Times New Roman"/>
          <w:sz w:val="18"/>
          <w:szCs w:val="18"/>
          <w:color w:val="auto"/>
        </w:rPr>
        <w:t>Paramount Global and CBS Corporation) since 2018 when she retired from investment banking.  Ms. Byrne has served as a director of LanzaTech NZ Inc since 2023 and of Carta, Inc. since 2021.  She previously served on the board of Power School Holdings , Inc., Hennessy Capital Investment Corp. V and Slam Corp.  She is also a Lifetime Member of the Council on Foreign Relations and the Audit Committee Leadership Network.  She previously served as an Executive in Residence at Columbia Business School, a Trustee of the Institute of International Education, a Trustee of Mount Holyoke College and a member of the Investment Committee of Catalyst. Paramount believes Ms. Byrne is qualified to serve as a member of its board of directors because of her more than 40 years of financial services experience and extensive business and financial expertise in complex transactions, risk management, strategy and other financial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type w:val="continuous"/>
        </w:sectPr>
      </w:pPr>
    </w:p>
    <w:bookmarkStart w:id="9" w:name="page10"/>
    <w:bookmarkEnd w:id="9"/>
    <w:p>
      <w:pPr>
        <w:spacing w:after="0"/>
        <w:tabs>
          <w:tab w:leader="none" w:pos="2500" w:val="left"/>
          <w:tab w:leader="none" w:pos="46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b w:val="1"/>
          <w:bCs w:val="1"/>
          <w:color w:val="auto"/>
        </w:rPr>
        <w:t>Age</w:t>
      </w:r>
      <w:r>
        <w:rPr>
          <w:sz w:val="20"/>
          <w:szCs w:val="20"/>
          <w:color w:val="auto"/>
        </w:rPr>
        <w:tab/>
      </w:r>
      <w:r>
        <w:rPr>
          <w:rFonts w:ascii="Times New Roman" w:cs="Times New Roman" w:eastAsia="Times New Roman" w:hAnsi="Times New Roman"/>
          <w:sz w:val="17"/>
          <w:szCs w:val="17"/>
          <w:b w:val="1"/>
          <w:bCs w:val="1"/>
          <w:color w:val="auto"/>
        </w:rPr>
        <w:t>Present Principal Occupation and Five-Year Employment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Justin Hamill</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Justin Hamill is a Managing Director and the Chief Legal Officer at Silver Lake, a leading global technology</w:t>
            </w:r>
          </w:p>
        </w:tc>
      </w:tr>
      <w:tr>
        <w:trPr>
          <w:trHeight w:val="216"/>
        </w:trPr>
        <w:tc>
          <w:tcPr>
            <w:tcW w:w="1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investment firm.  Prior to joining Silver Lake, Mr. Hamill served as Global Chair of M&amp;A at Latham &amp; Watkins</w:t>
            </w:r>
          </w:p>
        </w:tc>
      </w:tr>
      <w:tr>
        <w:trPr>
          <w:trHeight w:val="216"/>
        </w:trPr>
        <w:tc>
          <w:tcPr>
            <w:tcW w:w="1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LLP, a leading global law firm, where he advised public and private companies, investment funds, and financial</w:t>
            </w:r>
          </w:p>
        </w:tc>
      </w:tr>
      <w:tr>
        <w:trPr>
          <w:trHeight w:val="216"/>
        </w:trPr>
        <w:tc>
          <w:tcPr>
            <w:tcW w:w="1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institutions in negotiated and contested M&amp;A transactions, leveraged buyouts, joint ventures, public and private</w:t>
            </w:r>
          </w:p>
        </w:tc>
      </w:tr>
      <w:tr>
        <w:trPr>
          <w:trHeight w:val="216"/>
        </w:trPr>
        <w:tc>
          <w:tcPr>
            <w:tcW w:w="1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investments, and restructurings.  Paramount believes Mr. Hamill is qualified to serve as a member of its board of</w:t>
            </w:r>
          </w:p>
        </w:tc>
      </w:tr>
      <w:tr>
        <w:trPr>
          <w:trHeight w:val="216"/>
        </w:trPr>
        <w:tc>
          <w:tcPr>
            <w:tcW w:w="1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directors because of his significant knowledge and expertise in advising public companies and their board rooms</w:t>
            </w:r>
          </w:p>
        </w:tc>
      </w:tr>
      <w:tr>
        <w:trPr>
          <w:trHeight w:val="234"/>
        </w:trPr>
        <w:tc>
          <w:tcPr>
            <w:tcW w:w="1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gained over years of representing clients in high-stakes transactions.</w:t>
            </w:r>
          </w:p>
        </w:tc>
      </w:tr>
      <w:tr>
        <w:trPr>
          <w:trHeight w:val="37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Sherry Lansing</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Sherry Lansing currently serves as Chairman of the board of directors of Universal Music Group.  Ms. Lansing</w:t>
            </w:r>
          </w:p>
        </w:tc>
      </w:tr>
      <w:tr>
        <w:trPr>
          <w:trHeight w:val="214"/>
        </w:trPr>
        <w:tc>
          <w:tcPr>
            <w:tcW w:w="1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spent almost 30 years in the motion picture business, playing a key role in the production, marketing, and</w:t>
            </w:r>
          </w:p>
        </w:tc>
      </w:tr>
      <w:tr>
        <w:trPr>
          <w:trHeight w:val="216"/>
        </w:trPr>
        <w:tc>
          <w:tcPr>
            <w:tcW w:w="1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distribution of more than 200 films, including Academy Award winners </w:t>
            </w:r>
            <w:r>
              <w:rPr>
                <w:rFonts w:ascii="Times New Roman" w:cs="Times New Roman" w:eastAsia="Times New Roman" w:hAnsi="Times New Roman"/>
                <w:sz w:val="18"/>
                <w:szCs w:val="18"/>
                <w:i w:val="1"/>
                <w:iCs w:val="1"/>
                <w:color w:val="auto"/>
              </w:rPr>
              <w:t>Forrest Gump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Braveheart</w:t>
            </w:r>
            <w:r>
              <w:rPr>
                <w:rFonts w:ascii="Times New Roman" w:cs="Times New Roman" w:eastAsia="Times New Roman" w:hAnsi="Times New Roman"/>
                <w:sz w:val="18"/>
                <w:szCs w:val="18"/>
                <w:color w:val="auto"/>
              </w:rPr>
              <w:t>, and</w:t>
            </w:r>
          </w:p>
        </w:tc>
      </w:tr>
      <w:tr>
        <w:trPr>
          <w:trHeight w:val="218"/>
        </w:trPr>
        <w:tc>
          <w:tcPr>
            <w:tcW w:w="1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Titanic</w:t>
            </w:r>
            <w:r>
              <w:rPr>
                <w:rFonts w:ascii="Times New Roman" w:cs="Times New Roman" w:eastAsia="Times New Roman" w:hAnsi="Times New Roman"/>
                <w:sz w:val="18"/>
                <w:szCs w:val="18"/>
                <w:color w:val="auto"/>
              </w:rPr>
              <w:t>.  In 1980, Ms. Lansing became the first woman to head a major film studio when she was appointed</w:t>
            </w:r>
          </w:p>
        </w:tc>
      </w:tr>
      <w:tr>
        <w:trPr>
          <w:trHeight w:val="214"/>
        </w:trPr>
        <w:tc>
          <w:tcPr>
            <w:tcW w:w="1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of 20th Century Fox.  Later, as an independent producer, Ms. Lansing was responsible for successful</w:t>
            </w:r>
          </w:p>
        </w:tc>
      </w:tr>
      <w:tr>
        <w:trPr>
          <w:trHeight w:val="218"/>
        </w:trPr>
        <w:tc>
          <w:tcPr>
            <w:tcW w:w="1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films such as </w:t>
            </w:r>
            <w:r>
              <w:rPr>
                <w:rFonts w:ascii="Times New Roman" w:cs="Times New Roman" w:eastAsia="Times New Roman" w:hAnsi="Times New Roman"/>
                <w:sz w:val="18"/>
                <w:szCs w:val="18"/>
                <w:i w:val="1"/>
                <w:iCs w:val="1"/>
                <w:color w:val="auto"/>
              </w:rPr>
              <w:t>Fatal Attraction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Accused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School 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Indecent Proposal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Black Rain</w:t>
            </w:r>
            <w:r>
              <w:rPr>
                <w:rFonts w:ascii="Times New Roman" w:cs="Times New Roman" w:eastAsia="Times New Roman" w:hAnsi="Times New Roman"/>
                <w:sz w:val="18"/>
                <w:szCs w:val="18"/>
                <w:color w:val="auto"/>
              </w:rPr>
              <w:t>.  Returning to the</w:t>
            </w:r>
          </w:p>
        </w:tc>
      </w:tr>
      <w:tr>
        <w:trPr>
          <w:trHeight w:val="216"/>
        </w:trPr>
        <w:tc>
          <w:tcPr>
            <w:tcW w:w="1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ranks in 1992, she was named Chairman and CEO of Paramount Pictures and began an unprecedented</w:t>
            </w:r>
          </w:p>
        </w:tc>
      </w:tr>
      <w:tr>
        <w:trPr>
          <w:trHeight w:val="216"/>
        </w:trPr>
        <w:tc>
          <w:tcPr>
            <w:tcW w:w="1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tenure in that role that lasted more than 12 years (1992-2005).  As a dedicated philanthropist, Ms. Lansing</w:t>
            </w:r>
          </w:p>
        </w:tc>
      </w:tr>
      <w:tr>
        <w:trPr>
          <w:trHeight w:val="216"/>
        </w:trPr>
        <w:tc>
          <w:tcPr>
            <w:tcW w:w="1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founded the Sherry Lansing Foundation, where she acts as Chief Executive Officer, in 2005, supporting vital</w:t>
            </w:r>
          </w:p>
        </w:tc>
      </w:tr>
      <w:tr>
        <w:trPr>
          <w:trHeight w:val="216"/>
        </w:trPr>
        <w:tc>
          <w:tcPr>
            <w:tcW w:w="1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initiatives that support cancer research, health, public education, and encore career opportunities.  Paramount</w:t>
            </w:r>
          </w:p>
        </w:tc>
      </w:tr>
      <w:tr>
        <w:trPr>
          <w:trHeight w:val="216"/>
        </w:trPr>
        <w:tc>
          <w:tcPr>
            <w:tcW w:w="1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believes Ms. Lansing is qualified to serve as a member of its board of directors because of her knowledge of</w:t>
            </w:r>
          </w:p>
        </w:tc>
      </w:tr>
      <w:tr>
        <w:trPr>
          <w:trHeight w:val="216"/>
        </w:trPr>
        <w:tc>
          <w:tcPr>
            <w:tcW w:w="1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Paramount’s studio and extensive experience in creative, executive and leadership roles, including as a director,</w:t>
            </w:r>
          </w:p>
        </w:tc>
      </w:tr>
      <w:tr>
        <w:trPr>
          <w:trHeight w:val="234"/>
        </w:trPr>
        <w:tc>
          <w:tcPr>
            <w:tcW w:w="1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 entertainment, media and content production companies.</w:t>
            </w:r>
          </w:p>
        </w:tc>
      </w:tr>
      <w:tr>
        <w:trPr>
          <w:trHeight w:val="37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Andrew Campion</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Andrew Campion currently serves as Chairman and Chief Executive Officer of Unrivaled Sports. Previously,</w:t>
            </w:r>
          </w:p>
        </w:tc>
      </w:tr>
      <w:tr>
        <w:trPr>
          <w:trHeight w:val="234"/>
        </w:trPr>
        <w:tc>
          <w:tcPr>
            <w:tcW w:w="1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Mr. Campion held executive leadership roles at Nike, including Chief Operating Officer, Chief Financial Officer</w:t>
            </w:r>
          </w:p>
        </w:tc>
      </w:tr>
    </w:tbl>
    <w:p>
      <w:pPr>
        <w:ind w:left="3040"/>
        <w:spacing w:after="0" w:line="251" w:lineRule="auto"/>
        <w:rPr>
          <w:sz w:val="20"/>
          <w:szCs w:val="20"/>
          <w:color w:val="auto"/>
        </w:rPr>
      </w:pPr>
      <w:r>
        <w:rPr>
          <w:rFonts w:ascii="Times New Roman" w:cs="Times New Roman" w:eastAsia="Times New Roman" w:hAnsi="Times New Roman"/>
          <w:sz w:val="18"/>
          <w:szCs w:val="18"/>
          <w:color w:val="auto"/>
        </w:rPr>
        <w:t>and head of global strategy. Prior to Nike, Mr. Campion spent over 11 years with The Walt Disney Company, most recently serving as Senior Vice President of Corporate Development after prior leadership and management roles across global strategic planning, mergers and acquisitions, financial planning and analysis, operations planning, investor relations, and tax. Mr. Campion also currently serves on the Boards of Directors of Starbucks, Williams-Sonoma, Inc., Vuori, the Los Angeles 2028 Olympic and Paralympic Games, and the UCLA Anderson School of Management. He also founded, serves as a professor, and is the Director of UCLA’s Sports Leadership and Management Program. Mr. Campion and his wife are minority owners of the Real Salt Lake and Utah Royals professional soccer teams. Paramount believes Mr. Campion is qualified to serve as a member of its board of directors because of his extensive experience in the public company sector, including expertise in business growth strategies and enterprise financial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4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432"/>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2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4"/>
                <w:szCs w:val="24"/>
                <w:color w:val="auto"/>
              </w:rPr>
            </w:pPr>
          </w:p>
        </w:tc>
        <w:tc>
          <w:tcPr>
            <w:tcW w:w="62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Present Principal Occupation and Five-Year Employment History</w:t>
            </w:r>
          </w:p>
        </w:tc>
      </w:tr>
      <w:tr>
        <w:trPr>
          <w:trHeight w:val="367"/>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David Ellison</w:t>
            </w: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43</w:t>
            </w: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David Ellison is the Chief Executive Officer of Paramount.  For biographical</w:t>
            </w:r>
          </w:p>
        </w:tc>
      </w:tr>
      <w:tr>
        <w:trPr>
          <w:trHeight w:val="234"/>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information see under “Directors” above.</w:t>
            </w:r>
          </w:p>
        </w:tc>
      </w:tr>
      <w:tr>
        <w:trPr>
          <w:trHeight w:val="37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Jeffrey Shell</w:t>
            </w: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President</w:t>
            </w:r>
          </w:p>
        </w:tc>
        <w:tc>
          <w:tcPr>
            <w:tcW w:w="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59</w:t>
            </w: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Jeffrey Shell is the President of Paramount.  For biographical information see under</w:t>
            </w:r>
          </w:p>
        </w:tc>
      </w:tr>
      <w:tr>
        <w:trPr>
          <w:trHeight w:val="234"/>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“Directors” above.</w:t>
            </w:r>
          </w:p>
        </w:tc>
      </w:tr>
      <w:tr>
        <w:trPr>
          <w:trHeight w:val="391"/>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Dennis K. Cinelli</w:t>
            </w: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42</w:t>
            </w: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Dennis K. Cinelli is the Chief Financial Officer of Paramount.</w:t>
            </w:r>
          </w:p>
        </w:tc>
      </w:tr>
      <w:tr>
        <w:trPr>
          <w:trHeight w:val="414"/>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Dennis K. Cinelli was previously a director of Paramount and the Chief Financial</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Officer of Scale AI, where he guided the company through a period of sevenfold</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revenue growth, including a $1 billion Series F financing and $14 billion strategic</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investment from Meta. In this role, he developed business functions across Finance,</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Data Science, Sales, Strategy, and Partnerships, while forming partnerships with</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leading AI model builders and cloud hyperscalers. Prior to joining Scale AI, Dennis</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held senior leadership roles at Uber, most recently as VP &amp; Head of Mobility for the</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 &amp; Canada. He previously served as VP of Global Strategic Finance, leading the</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company’s 2019 IPO, and led Jump, Uber’s micro-mobility business, through its</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strategic merger with Lime. Prior to that, Dennis served as Chief Financial Officer for</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 Ventures, General Electric’s $1 billion corporate venture capital arm, and held</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various finance leadership roles across GE’s portfolio. He holds a Bachelor of Science</w:t>
            </w:r>
          </w:p>
        </w:tc>
      </w:tr>
      <w:tr>
        <w:trPr>
          <w:trHeight w:val="234"/>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 Finance from the University of Maryland’s Robert H. Smith School of Business.</w:t>
            </w:r>
          </w:p>
        </w:tc>
      </w:tr>
      <w:tr>
        <w:trPr>
          <w:trHeight w:val="37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Andrew Brandon-Gordon</w:t>
            </w: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Strategy Officer and</w:t>
            </w:r>
          </w:p>
        </w:tc>
        <w:tc>
          <w:tcPr>
            <w:tcW w:w="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61</w:t>
            </w: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Andrew Brandon-Gordon is the Chief Strategy Officer and Chief Operating Officer of</w:t>
            </w:r>
          </w:p>
        </w:tc>
      </w:tr>
      <w:tr>
        <w:trPr>
          <w:trHeight w:val="234"/>
        </w:trPr>
        <w:tc>
          <w:tcPr>
            <w:tcW w:w="2040" w:type="dxa"/>
            <w:vAlign w:val="bottom"/>
          </w:tcPr>
          <w:p>
            <w:pPr>
              <w:spacing w:after="0"/>
              <w:rPr>
                <w:sz w:val="20"/>
                <w:szCs w:val="20"/>
                <w:color w:val="auto"/>
              </w:rPr>
            </w:pP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Operating Officer</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Paramount.  For biographical information see under “Directors” above.</w:t>
            </w:r>
          </w:p>
        </w:tc>
      </w:tr>
      <w:tr>
        <w:trPr>
          <w:trHeight w:val="459"/>
        </w:trPr>
        <w:tc>
          <w:tcPr>
            <w:tcW w:w="2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spacing w:after="0"/>
        <w:tabs>
          <w:tab w:leader="none" w:pos="2960" w:val="left"/>
          <w:tab w:leader="none" w:pos="4400" w:val="left"/>
          <w:tab w:leader="none" w:pos="556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Age</w:t>
      </w:r>
      <w:r>
        <w:rPr>
          <w:sz w:val="20"/>
          <w:szCs w:val="20"/>
          <w:color w:val="auto"/>
        </w:rPr>
        <w:tab/>
      </w:r>
      <w:r>
        <w:rPr>
          <w:rFonts w:ascii="Times New Roman" w:cs="Times New Roman" w:eastAsia="Times New Roman" w:hAnsi="Times New Roman"/>
          <w:sz w:val="17"/>
          <w:szCs w:val="17"/>
          <w:b w:val="1"/>
          <w:bCs w:val="1"/>
          <w:color w:val="auto"/>
        </w:rPr>
        <w:t>Present Principal Occupation and Five-Year Employment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Makan Delrahim</w:t>
            </w:r>
          </w:p>
        </w:tc>
        <w:tc>
          <w:tcPr>
            <w:tcW w:w="2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Chief Legal Officer</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w:t>
            </w:r>
          </w:p>
        </w:tc>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Makan Delrahim is the Chief Legal Officer of Paramount. He oversees all legal,</w:t>
            </w:r>
          </w:p>
        </w:tc>
      </w:tr>
      <w:tr>
        <w:trPr>
          <w:trHeight w:val="216"/>
        </w:trPr>
        <w:tc>
          <w:tcPr>
            <w:tcW w:w="17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regulatory, compliance and public policy matters for the Company, including oversight</w:t>
            </w:r>
          </w:p>
        </w:tc>
      </w:tr>
      <w:tr>
        <w:trPr>
          <w:trHeight w:val="234"/>
        </w:trPr>
        <w:tc>
          <w:tcPr>
            <w:tcW w:w="17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Paramount’s Government Relations team.</w:t>
            </w:r>
          </w:p>
        </w:tc>
      </w:tr>
    </w:tbl>
    <w:p>
      <w:pPr>
        <w:spacing w:after="0" w:line="198" w:lineRule="exact"/>
        <w:rPr>
          <w:sz w:val="20"/>
          <w:szCs w:val="20"/>
          <w:color w:val="auto"/>
        </w:rPr>
      </w:pPr>
    </w:p>
    <w:p>
      <w:pPr>
        <w:ind w:left="4960" w:right="60"/>
        <w:spacing w:after="0" w:line="266" w:lineRule="auto"/>
        <w:rPr>
          <w:sz w:val="20"/>
          <w:szCs w:val="20"/>
          <w:color w:val="auto"/>
        </w:rPr>
      </w:pPr>
      <w:r>
        <w:rPr>
          <w:rFonts w:ascii="Times New Roman" w:cs="Times New Roman" w:eastAsia="Times New Roman" w:hAnsi="Times New Roman"/>
          <w:sz w:val="18"/>
          <w:szCs w:val="18"/>
          <w:color w:val="auto"/>
        </w:rPr>
        <w:t>Prior to joining Paramount, Makan was a Partner at Latham &amp; Watkins LLP, where he advised clients navigating complex mergers and transactions, government investigations, and high-stakes crisis situations.</w:t>
      </w:r>
    </w:p>
    <w:p>
      <w:pPr>
        <w:spacing w:after="0" w:line="176" w:lineRule="exact"/>
        <w:rPr>
          <w:sz w:val="20"/>
          <w:szCs w:val="20"/>
          <w:color w:val="auto"/>
        </w:rPr>
      </w:pPr>
    </w:p>
    <w:p>
      <w:pPr>
        <w:ind w:left="4960" w:right="40"/>
        <w:spacing w:after="0" w:line="255" w:lineRule="auto"/>
        <w:rPr>
          <w:sz w:val="20"/>
          <w:szCs w:val="20"/>
          <w:color w:val="auto"/>
        </w:rPr>
      </w:pPr>
      <w:r>
        <w:rPr>
          <w:rFonts w:ascii="Times New Roman" w:cs="Times New Roman" w:eastAsia="Times New Roman" w:hAnsi="Times New Roman"/>
          <w:sz w:val="18"/>
          <w:szCs w:val="18"/>
          <w:color w:val="auto"/>
        </w:rPr>
        <w:t>Before Latham &amp; Watkins, Makan served as the 35th United States Assistant Attorney General for the Antitrust Division, U.S. Department of Justice, where he oversaw the review and resolution of hundreds of mergers and acquisitions, as well as criminal investigations and indictments spanning all industries. During his tenure, he expanded the Antitrust Division’s engagement with its international counterparts and initiated and negotiated the groundbreaking multilateral agreement among over 70 countries on fair procedures for antitrust reviews.</w:t>
      </w:r>
    </w:p>
    <w:p>
      <w:pPr>
        <w:spacing w:after="0" w:line="189" w:lineRule="exact"/>
        <w:rPr>
          <w:sz w:val="20"/>
          <w:szCs w:val="20"/>
          <w:color w:val="auto"/>
        </w:rPr>
      </w:pPr>
    </w:p>
    <w:p>
      <w:pPr>
        <w:ind w:left="4960"/>
        <w:spacing w:after="0" w:line="258" w:lineRule="auto"/>
        <w:rPr>
          <w:sz w:val="20"/>
          <w:szCs w:val="20"/>
          <w:color w:val="auto"/>
        </w:rPr>
      </w:pPr>
      <w:r>
        <w:rPr>
          <w:rFonts w:ascii="Times New Roman" w:cs="Times New Roman" w:eastAsia="Times New Roman" w:hAnsi="Times New Roman"/>
          <w:sz w:val="18"/>
          <w:szCs w:val="18"/>
          <w:color w:val="auto"/>
        </w:rPr>
        <w:t>Prior to his appointment as Assistant Attorney General, he held senior posts at the U.S. Department of Justice, Capitol Hill, the White House and the Office of the United States Trade Representative, including as Deputy Assistant Attorney General for the Antitrust Division, Commissioner on the Antitrust Modernization Commission, and Chief Counsel and Chief of Staff of the U.S. Senate Judiciary Committee.</w:t>
      </w:r>
    </w:p>
    <w:p>
      <w:pPr>
        <w:spacing w:after="0" w:line="183" w:lineRule="exact"/>
        <w:rPr>
          <w:sz w:val="20"/>
          <w:szCs w:val="20"/>
          <w:color w:val="auto"/>
        </w:rPr>
      </w:pPr>
    </w:p>
    <w:p>
      <w:pPr>
        <w:ind w:left="4960" w:right="60"/>
        <w:spacing w:after="0" w:line="261" w:lineRule="auto"/>
        <w:rPr>
          <w:sz w:val="20"/>
          <w:szCs w:val="20"/>
          <w:color w:val="auto"/>
        </w:rPr>
      </w:pPr>
      <w:r>
        <w:rPr>
          <w:rFonts w:ascii="Times New Roman" w:cs="Times New Roman" w:eastAsia="Times New Roman" w:hAnsi="Times New Roman"/>
          <w:sz w:val="18"/>
          <w:szCs w:val="18"/>
          <w:color w:val="auto"/>
        </w:rPr>
        <w:t>Makan is an Adjunct Lecturer in Law at the University of Pennsylvania, where he teaches law and graduate business school students about the role of governments in M&amp;A transactions. He has been active in criminal justice issues as a board member of the Aleph Institute and in homelessness as a prior board member of Chrysalis.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PRINCE SUB INC.</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name, current principal occupation or employment and material occupations, positions, offices or employment for the past five years, of each director and executive officer of Prince Sub Inc. are set forth below. References in this Schedule II to “Prince Sub Inc.” mean Prince Sub Inc. Unless otherwise indicated below, the current business address of each director and officer is c/o Prince Sub Inc., 1515 Broadway, New York, NY 10036. Unless otherwise indicated below, the current business telephone of each director and officer is (212) 258-6000. Where no date is shown, the individual has occupied the position indicated for the past five years. Unless otherwise indicated, each occupation set forth opposite an individual’s name refers to employment with Prince Sub Inc. Each director and officer is a United States citizen. Except as described in this Schedule II none of the directors and officers of Prince Sub Inc. listed below has, during the past five years, (1) been convicted in a criminal proceeding (excluding traffic violations or similar misdemeanors) or (2) been a party to any judicial or administrative proceeding that resulted in a judgment, decree or final order enjoining the person from future violations of, or prohibiting activities subject to, federal or state securities laws, or a finding of any violation of federal or state securities laws.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80" w:type="dxa"/>
            <w:vAlign w:val="bottom"/>
            <w:gridSpan w:val="5"/>
          </w:tcPr>
          <w:p>
            <w:pPr>
              <w:ind w:left="168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r>
      <w:tr>
        <w:trPr>
          <w:trHeight w:val="432"/>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2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4"/>
                <w:szCs w:val="24"/>
                <w:color w:val="auto"/>
              </w:rPr>
            </w:pPr>
          </w:p>
        </w:tc>
        <w:tc>
          <w:tcPr>
            <w:tcW w:w="62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Present Principal Occupation and Five-Year Employment History</w:t>
            </w:r>
          </w:p>
        </w:tc>
      </w:tr>
      <w:tr>
        <w:trPr>
          <w:trHeight w:val="367"/>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Jeffrey Shell</w:t>
            </w:r>
          </w:p>
        </w:tc>
        <w:tc>
          <w:tcPr>
            <w:tcW w:w="2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President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Jeffrey Shell is the President of Paramount.  For biographical information see under</w:t>
            </w:r>
          </w:p>
        </w:tc>
      </w:tr>
      <w:tr>
        <w:trPr>
          <w:trHeight w:val="234"/>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“Directors” in Schedule I above.</w:t>
            </w:r>
          </w:p>
        </w:tc>
      </w:tr>
      <w:tr>
        <w:trPr>
          <w:trHeight w:val="37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Dennis K. Cinelli</w:t>
            </w:r>
          </w:p>
        </w:tc>
        <w:tc>
          <w:tcPr>
            <w:tcW w:w="2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Executive Vice President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Dennis K. Cinelli is the Chief Financial Officer of Paramount. For biographical</w:t>
            </w:r>
          </w:p>
        </w:tc>
      </w:tr>
      <w:tr>
        <w:trPr>
          <w:trHeight w:val="234"/>
        </w:trPr>
        <w:tc>
          <w:tcPr>
            <w:tcW w:w="2040" w:type="dxa"/>
            <w:vAlign w:val="bottom"/>
          </w:tcPr>
          <w:p>
            <w:pPr>
              <w:spacing w:after="0"/>
              <w:rPr>
                <w:sz w:val="20"/>
                <w:szCs w:val="20"/>
                <w:color w:val="auto"/>
              </w:rPr>
            </w:pPr>
          </w:p>
        </w:tc>
        <w:tc>
          <w:tcPr>
            <w:tcW w:w="2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and Chief Financial Officer</w:t>
            </w:r>
          </w:p>
        </w:tc>
        <w:tc>
          <w:tcPr>
            <w:tcW w:w="560" w:type="dxa"/>
            <w:vAlign w:val="bottom"/>
          </w:tcPr>
          <w:p>
            <w:pPr>
              <w:spacing w:after="0"/>
              <w:rPr>
                <w:sz w:val="20"/>
                <w:szCs w:val="20"/>
                <w:color w:val="auto"/>
              </w:rPr>
            </w:pP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information see under “Executive Officers” in Schedule I above.</w:t>
            </w:r>
          </w:p>
        </w:tc>
      </w:tr>
      <w:tr>
        <w:trPr>
          <w:trHeight w:val="37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Andrew Brandon-Gordon</w:t>
            </w:r>
          </w:p>
        </w:tc>
        <w:tc>
          <w:tcPr>
            <w:tcW w:w="2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Executive Vice President,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Andrew Brandon-Gordon is the Chief Strategy Officer and Chief Operating Officer of</w:t>
            </w:r>
          </w:p>
        </w:tc>
      </w:tr>
      <w:tr>
        <w:trPr>
          <w:trHeight w:val="216"/>
        </w:trPr>
        <w:tc>
          <w:tcPr>
            <w:tcW w:w="2040" w:type="dxa"/>
            <w:vAlign w:val="bottom"/>
          </w:tcPr>
          <w:p>
            <w:pPr>
              <w:spacing w:after="0"/>
              <w:rPr>
                <w:sz w:val="18"/>
                <w:szCs w:val="18"/>
                <w:color w:val="auto"/>
              </w:rPr>
            </w:pPr>
          </w:p>
        </w:tc>
        <w:tc>
          <w:tcPr>
            <w:tcW w:w="2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Strategy Officer and</w:t>
            </w:r>
          </w:p>
        </w:tc>
        <w:tc>
          <w:tcPr>
            <w:tcW w:w="560" w:type="dxa"/>
            <w:vAlign w:val="bottom"/>
          </w:tcPr>
          <w:p>
            <w:pPr>
              <w:spacing w:after="0"/>
              <w:rPr>
                <w:sz w:val="18"/>
                <w:szCs w:val="18"/>
                <w:color w:val="auto"/>
              </w:rPr>
            </w:pP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Paramount.  For biographical information see under “Directors” in Schedule I above.</w:t>
            </w:r>
          </w:p>
        </w:tc>
      </w:tr>
      <w:tr>
        <w:trPr>
          <w:trHeight w:val="234"/>
        </w:trPr>
        <w:tc>
          <w:tcPr>
            <w:tcW w:w="2040" w:type="dxa"/>
            <w:vAlign w:val="bottom"/>
          </w:tcPr>
          <w:p>
            <w:pPr>
              <w:spacing w:after="0"/>
              <w:rPr>
                <w:sz w:val="20"/>
                <w:szCs w:val="20"/>
                <w:color w:val="auto"/>
              </w:rPr>
            </w:pPr>
          </w:p>
        </w:tc>
        <w:tc>
          <w:tcPr>
            <w:tcW w:w="2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Operating Officer</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80" w:type="dxa"/>
            <w:vAlign w:val="bottom"/>
          </w:tcPr>
          <w:p>
            <w:pPr>
              <w:spacing w:after="0"/>
              <w:rPr>
                <w:sz w:val="20"/>
                <w:szCs w:val="20"/>
                <w:color w:val="auto"/>
              </w:rPr>
            </w:pPr>
          </w:p>
        </w:tc>
      </w:tr>
      <w:tr>
        <w:trPr>
          <w:trHeight w:val="37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Makan Delrahim</w:t>
            </w:r>
          </w:p>
        </w:tc>
        <w:tc>
          <w:tcPr>
            <w:tcW w:w="2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Legal Officer</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Makan Delrahim is the Chief Legal Officer of Paramount.  For biographical</w:t>
            </w:r>
          </w:p>
        </w:tc>
      </w:tr>
      <w:tr>
        <w:trPr>
          <w:trHeight w:val="234"/>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information see under “Executive Officers” in Schedule I above.</w:t>
            </w:r>
          </w:p>
        </w:tc>
      </w:tr>
      <w:tr>
        <w:trPr>
          <w:trHeight w:val="459"/>
        </w:trPr>
        <w:tc>
          <w:tcPr>
            <w:tcW w:w="2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spacing w:after="0"/>
        <w:tabs>
          <w:tab w:leader="none" w:pos="2960" w:val="left"/>
          <w:tab w:leader="none" w:pos="4400" w:val="left"/>
          <w:tab w:leader="none" w:pos="556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Age</w:t>
      </w:r>
      <w:r>
        <w:rPr>
          <w:sz w:val="20"/>
          <w:szCs w:val="20"/>
          <w:color w:val="auto"/>
        </w:rPr>
        <w:tab/>
      </w:r>
      <w:r>
        <w:rPr>
          <w:rFonts w:ascii="Times New Roman" w:cs="Times New Roman" w:eastAsia="Times New Roman" w:hAnsi="Times New Roman"/>
          <w:sz w:val="17"/>
          <w:szCs w:val="17"/>
          <w:b w:val="1"/>
          <w:bCs w:val="1"/>
          <w:color w:val="auto"/>
        </w:rPr>
        <w:t>Present Principal Occupation and Five-Year Employment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Katherine M. Gill-Charest   Executive Vice President,</w:t>
            </w: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w:t>
            </w: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Katherine Gill-Charest is Executive Vice President, Controller and Chief Accounting</w:t>
            </w:r>
          </w:p>
        </w:tc>
      </w:tr>
      <w:tr>
        <w:trPr>
          <w:trHeight w:val="216"/>
        </w:trPr>
        <w:tc>
          <w:tcPr>
            <w:tcW w:w="42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Controller and Chief</w:t>
            </w:r>
          </w:p>
        </w:tc>
        <w:tc>
          <w:tcPr>
            <w:tcW w:w="580" w:type="dxa"/>
            <w:vAlign w:val="bottom"/>
          </w:tcPr>
          <w:p>
            <w:pPr>
              <w:spacing w:after="0"/>
              <w:rPr>
                <w:sz w:val="18"/>
                <w:szCs w:val="18"/>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Officer of Paramount Skydance Corporation. In this role, which she assumed in</w:t>
            </w:r>
          </w:p>
        </w:tc>
      </w:tr>
      <w:tr>
        <w:trPr>
          <w:trHeight w:val="216"/>
        </w:trPr>
        <w:tc>
          <w:tcPr>
            <w:tcW w:w="42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Accounting Officer</w:t>
            </w:r>
          </w:p>
        </w:tc>
        <w:tc>
          <w:tcPr>
            <w:tcW w:w="580" w:type="dxa"/>
            <w:vAlign w:val="bottom"/>
          </w:tcPr>
          <w:p>
            <w:pPr>
              <w:spacing w:after="0"/>
              <w:rPr>
                <w:sz w:val="18"/>
                <w:szCs w:val="18"/>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December 2019, Gill-Charest oversees the global accounting, financial reporting and</w:t>
            </w:r>
          </w:p>
        </w:tc>
      </w:tr>
      <w:tr>
        <w:trPr>
          <w:trHeight w:val="234"/>
        </w:trPr>
        <w:tc>
          <w:tcPr>
            <w:tcW w:w="4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compliance of the company and its divisions. She reports to Dennis K.</w:t>
            </w:r>
          </w:p>
        </w:tc>
      </w:tr>
    </w:tbl>
    <w:p>
      <w:pPr>
        <w:ind w:left="4960"/>
        <w:spacing w:after="0"/>
        <w:rPr>
          <w:sz w:val="20"/>
          <w:szCs w:val="20"/>
          <w:color w:val="auto"/>
        </w:rPr>
      </w:pPr>
      <w:r>
        <w:rPr>
          <w:rFonts w:ascii="Times New Roman" w:cs="Times New Roman" w:eastAsia="Times New Roman" w:hAnsi="Times New Roman"/>
          <w:sz w:val="18"/>
          <w:szCs w:val="18"/>
          <w:color w:val="auto"/>
        </w:rPr>
        <w:t>Cinelli, Chief Financial Officer. Before this position, Gill-Charest served as Senior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Vice President, Controller and Chief Accounting Officer of Viacom since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October 2010. In recognition of her leadership, Cablefax named Gill-Charest one of</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media industry’s Most Powerful Women in 2017, and Treasury &amp; Risk magazine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honored her in their Outstanding Women in Finance in 2012. She was also appointed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to the Financial Accounting Standards Advisory Council in 2020, completing her term</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 2023, and FEI’s Committee on Corporate Reporting in 2021.</w:t>
      </w:r>
    </w:p>
    <w:p>
      <w:pPr>
        <w:spacing w:after="0" w:line="207" w:lineRule="exact"/>
        <w:rPr>
          <w:sz w:val="20"/>
          <w:szCs w:val="20"/>
          <w:color w:val="auto"/>
        </w:rPr>
      </w:pPr>
    </w:p>
    <w:p>
      <w:pPr>
        <w:ind w:left="4960" w:right="60"/>
        <w:spacing w:after="0" w:line="256" w:lineRule="auto"/>
        <w:rPr>
          <w:sz w:val="20"/>
          <w:szCs w:val="20"/>
          <w:color w:val="auto"/>
        </w:rPr>
      </w:pPr>
      <w:r>
        <w:rPr>
          <w:rFonts w:ascii="Times New Roman" w:cs="Times New Roman" w:eastAsia="Times New Roman" w:hAnsi="Times New Roman"/>
          <w:sz w:val="18"/>
          <w:szCs w:val="18"/>
          <w:color w:val="auto"/>
        </w:rPr>
        <w:t>Gill-Charest joined Viacom in 2007 as Vice President, Deputy Controller. Prior to her career at Viacom, she served as the Chief Accounting Officer of WPP Group and was the Vice President and Worldwide Controller of Young &amp; Rubicam Inc. before its acquisition by WPP. She also held roles in financial reporting and accounting policy at Time Warner Inc. and NYNEX Corporation, and worked in the audit practice of Price Waterhouse.</w:t>
      </w:r>
    </w:p>
    <w:p>
      <w:pPr>
        <w:spacing w:after="0" w:line="187" w:lineRule="exact"/>
        <w:rPr>
          <w:sz w:val="20"/>
          <w:szCs w:val="20"/>
          <w:color w:val="auto"/>
        </w:rPr>
      </w:pPr>
    </w:p>
    <w:p>
      <w:pPr>
        <w:jc w:val="both"/>
        <w:ind w:left="4960"/>
        <w:spacing w:after="0" w:line="266" w:lineRule="auto"/>
        <w:rPr>
          <w:sz w:val="20"/>
          <w:szCs w:val="20"/>
          <w:color w:val="auto"/>
        </w:rPr>
      </w:pPr>
      <w:r>
        <w:rPr>
          <w:rFonts w:ascii="Times New Roman" w:cs="Times New Roman" w:eastAsia="Times New Roman" w:hAnsi="Times New Roman"/>
          <w:sz w:val="18"/>
          <w:szCs w:val="18"/>
          <w:color w:val="auto"/>
        </w:rPr>
        <w:t>Gill-Charest holds a B.S. in Accounting from Manhattan College, where she graduated summa cum laude. She is a New York State Certified Public Accountant and a member of the American Institute of CPAs.</w:t>
      </w:r>
    </w:p>
    <w:p>
      <w:pPr>
        <w:spacing w:after="0" w:line="176" w:lineRule="exact"/>
        <w:rPr>
          <w:sz w:val="20"/>
          <w:szCs w:val="20"/>
          <w:color w:val="auto"/>
        </w:rPr>
      </w:pPr>
    </w:p>
    <w:p>
      <w:pPr>
        <w:ind w:left="4960"/>
        <w:spacing w:after="0" w:line="261" w:lineRule="auto"/>
        <w:rPr>
          <w:sz w:val="20"/>
          <w:szCs w:val="20"/>
          <w:color w:val="auto"/>
        </w:rPr>
      </w:pPr>
      <w:r>
        <w:rPr>
          <w:rFonts w:ascii="Times New Roman" w:cs="Times New Roman" w:eastAsia="Times New Roman" w:hAnsi="Times New Roman"/>
          <w:sz w:val="18"/>
          <w:szCs w:val="18"/>
          <w:color w:val="auto"/>
        </w:rPr>
        <w:t>Gill-Charest served on the Audit Committee of the Mt. Pleasant Central School District from 2009 - 2013 and was appointed to the Audit Committee of the Academy of Television Arts &amp; Sciences in 2022. She was also appointed Executive Champion of the Adapt Employee Resource Group for disability at Paramount Global in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12.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12 of the Schedule TO is hereby amended and supplemented by adding the following exhibit.</w:t>
      </w:r>
    </w:p>
    <w:p>
      <w:pPr>
        <w:spacing w:after="0" w:line="22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0000EE"/>
        </w:rPr>
        <w:t>(a)(5)(Z)</w:t>
        <w:tab/>
        <w:t>Press Release issued by Paramount Skydance Corporation, dated January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14" w:name="page15"/>
    <w:bookmarkEnd w:id="14"/>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22,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Stephanie Kyoko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Stephanie Kyoko McKinnon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PRINCE SUB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Stephanie Kyoko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Stephanie Kyoko McKinnon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0" w:right="599" w:bottom="1440" w:gutter="0" w:footer="0" w:header="0"/>
        </w:sectPr>
      </w:pPr>
    </w:p>
    <w:bookmarkStart w:id="15" w:name="page16"/>
    <w:bookmarkEnd w:id="15"/>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Index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u w:val="single" w:color="auto"/>
          <w:color w:val="0000EE"/>
        </w:rPr>
        <w:t>(a)(5)(Z)</w:t>
      </w:r>
      <w:r>
        <w:rPr>
          <w:sz w:val="20"/>
          <w:szCs w:val="20"/>
          <w:color w:val="auto"/>
        </w:rPr>
        <w:tab/>
      </w:r>
      <w:r>
        <w:rPr>
          <w:rFonts w:ascii="Times New Roman" w:cs="Times New Roman" w:eastAsia="Times New Roman" w:hAnsi="Times New Roman"/>
          <w:sz w:val="18"/>
          <w:szCs w:val="18"/>
          <w:u w:val="single" w:color="auto"/>
          <w:color w:val="0000EE"/>
        </w:rPr>
        <w:t>Press Release issued by Paramount Skydance Corporation, dated January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2"/>
          <w:szCs w:val="22"/>
          <w:b w:val="1"/>
          <w:bCs w:val="1"/>
          <w:color w:val="auto"/>
        </w:rPr>
        <w:t>Exhibit (a)(5)(Z)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168275</wp:posOffset>
            </wp:positionV>
            <wp:extent cx="5983605" cy="1174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83605"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PARAMOUNT FILES PROXY MATERIALS AND EXTENDS TENDER OFFER</w:t>
      </w:r>
    </w:p>
    <w:p>
      <w:pPr>
        <w:spacing w:after="0" w:line="229" w:lineRule="exact"/>
        <w:rPr>
          <w:sz w:val="20"/>
          <w:szCs w:val="20"/>
          <w:color w:val="auto"/>
        </w:rPr>
      </w:pPr>
    </w:p>
    <w:p>
      <w:pPr>
        <w:ind w:left="340" w:right="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Netflix merger agreement represents acknowledgment by WBD that its original agreement was inferior, but new transaction remains inferior to Paramount’s $30 per share all cash offer</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will solicit WBD shareholders to vote against the Netflix transaction and other proposals at WBD special meeting</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extends its tender offer as it continues to work toward regulatory clearance</w:t>
      </w:r>
    </w:p>
    <w:p>
      <w:pPr>
        <w:spacing w:after="0" w:line="221"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Los Angeles and New York, January 22, 2026 </w:t>
      </w:r>
      <w:r>
        <w:rPr>
          <w:rFonts w:ascii="Times New Roman" w:cs="Times New Roman" w:eastAsia="Times New Roman" w:hAnsi="Times New Roman"/>
          <w:sz w:val="18"/>
          <w:szCs w:val="18"/>
          <w:color w:val="auto"/>
        </w:rPr>
        <w:t>– Paramount Skydance Corporation (NASDAQ: PSKY) (“Paramount”) today announced it has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preliminary proxy materials with the U.S. Securities and Exchange Commission (“SEC”) to solicit shareholders of Warner Bros. Discovery, Inc. (NASDAQ: WBD) (“WBD”) to vote against the amended transaction with Netflix, Inc (NASDAQ: NFLX) and related proposals at the special meeting of WBD stockholders. Paramount has also extended its $30 per share all-cash tender offer to February 20, 2026, reaffirming its commitment to a transaction with WBD at a $108.4 billion enterprise value that is significantly greater and far more certain than the purported $82.7 billion enterprise value of the Netflix transaction.</w:t>
      </w:r>
    </w:p>
    <w:p>
      <w:pPr>
        <w:spacing w:after="0" w:line="1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the materials filed by WBD in connection with its amended Netflix merger agreement, WBD revealed for the first time some of the critical information that had been withheld from its shareholders, but it still has omitted highly material information its shareholders need about Discovery Global: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consideration payable to WBD shareholders in the Netflix transaction falls well short of Paramount’s $30 per share all-cash offer.</w:t>
      </w:r>
    </w:p>
    <w:p>
      <w:pPr>
        <w:spacing w:after="0" w:line="227" w:lineRule="exact"/>
        <w:rPr>
          <w:sz w:val="20"/>
          <w:szCs w:val="20"/>
          <w:color w:val="auto"/>
        </w:rPr>
      </w:pPr>
    </w:p>
    <w:p>
      <w:pPr>
        <w:ind w:left="660" w:hanging="328"/>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Netflix transaction, WBD shareholders will receive $27.75 per share in cash, or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if WBD is unsuccessful in putting $17 billion in debt on Discovery Global (assuming the separation occurs as of June 30, 2026). If WBD has to allocate some or all of that debt back to its Streaming and Studios business, that will reduce the per share consideration dollar-for-dollar that WBD shareholders will receive.</w:t>
      </w:r>
    </w:p>
    <w:p>
      <w:pPr>
        <w:ind w:left="660" w:right="1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declining Discovery Global business is leveraged in line with its closest comparable company, Versant Media, at 1.25x NTM EBITDA, it could only support ~$5.1 billion of net debt as of June 30, 2026. At that debt level, ~$11.9 billion would be transferred to Warner Bros. Studio &amp; Streaming business, reducing the cash per share from Netflix to WBD shareholders to ~$23.20.</w:t>
      </w:r>
    </w:p>
    <w:p>
      <w:pPr>
        <w:spacing w:after="0" w:line="1" w:lineRule="exact"/>
        <w:rPr>
          <w:rFonts w:ascii="Times New Roman" w:cs="Times New Roman" w:eastAsia="Times New Roman" w:hAnsi="Times New Roman"/>
          <w:sz w:val="18"/>
          <w:szCs w:val="18"/>
          <w:color w:val="auto"/>
        </w:rPr>
      </w:pPr>
    </w:p>
    <w:p>
      <w:pPr>
        <w:ind w:left="660" w:right="160" w:hanging="328"/>
        <w:spacing w:after="0" w:line="21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worth noting that $17 billion is an even higher level of debt than Paramount assumed for Discovery Global when it released its own analysis of the equity value of between $0.00 and $0.50 per share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WBD’s own financial advisors provided discounted cash flow valuation analyses of the Discovery Global equity value as low as $0.72 per share.</w:t>
      </w:r>
    </w:p>
    <w:p>
      <w:pPr>
        <w:spacing w:after="0" w:line="7"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the fact that the capital structure of Discovery Global will directly determine the actual amount WBD shareholders receive in the Netflix transaction, and WBD will be required to disclose such information as well as full financial information about Discovery Global at the time of the separation, WBD plans to solicit shareholder approval for the Netflix transaction without this information. This is even more extraordinary given that the WBD Board uses claims about the value of the Discovery Global equity as a basis for asserting the transaction delivers more than Paramount’s $30 per share all-cash offer.</w:t>
      </w:r>
    </w:p>
    <w:p>
      <w:pPr>
        <w:spacing w:after="0" w:line="1" w:lineRule="exact"/>
        <w:rPr>
          <w:rFonts w:ascii="Times New Roman" w:cs="Times New Roman" w:eastAsia="Times New Roman" w:hAnsi="Times New Roman"/>
          <w:sz w:val="18"/>
          <w:szCs w:val="18"/>
          <w:color w:val="auto"/>
        </w:rPr>
      </w:pPr>
    </w:p>
    <w:p>
      <w:pPr>
        <w:ind w:left="660" w:right="60" w:hanging="328"/>
        <w:spacing w:after="0" w:line="26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WBD is rushing to solicit shareholder approval for the Netflix transaction even though, in its own words, “WBD stockholders will not know or be able to determine the specific Merger Consideration that will be paid to WBD stockholders upon consummation of the [Netflix]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7830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7" w:lineRule="exact"/>
        <w:rPr>
          <w:sz w:val="20"/>
          <w:szCs w:val="20"/>
          <w:color w:val="auto"/>
        </w:rPr>
      </w:pPr>
    </w:p>
    <w:p>
      <w:pPr>
        <w:ind w:right="1320" w:firstLine="8"/>
        <w:spacing w:after="0" w:line="195" w:lineRule="auto"/>
        <w:tabs>
          <w:tab w:leader="none" w:pos="12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Paramount reaffirms commitment to delivering superior $30 per share all-cash offer to Warner Bros. Discovery shareholders, January 8, 2026 </w:t>
      </w:r>
      <w:r>
        <w:rPr>
          <w:rFonts w:ascii="Times New Roman" w:cs="Times New Roman" w:eastAsia="Times New Roman" w:hAnsi="Times New Roman"/>
          <w:sz w:val="18"/>
          <w:szCs w:val="18"/>
          <w:u w:val="single" w:color="auto"/>
          <w:color w:val="auto"/>
        </w:rPr>
        <w:t>https://ir.paramount.com/news-releases/news-release-details/paramount-reaffirms-commitment-delivering-superior-30-share-all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ind w:right="3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The Netflix transaction faces severe regulatory risk because it would further entrench market concentration, in contrast to a combination with Paramount that enhances competition and strengthens the long-term prospects of the entertainment industry.</w:t>
      </w:r>
    </w:p>
    <w:p>
      <w:pPr>
        <w:spacing w:after="0" w:line="159" w:lineRule="exact"/>
        <w:rPr>
          <w:sz w:val="20"/>
          <w:szCs w:val="20"/>
          <w:color w:val="auto"/>
        </w:rPr>
      </w:pPr>
    </w:p>
    <w:p>
      <w:pPr>
        <w:ind w:left="660" w:right="120" w:hanging="328"/>
        <w:spacing w:after="0" w:line="257"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Netflix transaction would materially entrench Netflix’s market dominance, giving it an estimated 43% share of global Subscription Video on Demand subscribers and leading to higher prices for consumers, reduced compensation for content creators and talent, and significant harm to American and international theatrical exhibitors.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Netflix's regulatory path is particularly challenged in Europe, where Netflix is by far the dominant streaming service and where WBD’s HBO Max is its only viable international competitor.</w:t>
      </w:r>
    </w:p>
    <w:p>
      <w:pPr>
        <w:ind w:left="660" w:right="44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Netflix has unsuccessfully sought to address these concerns by putting forward a non-credible market definition of the streaming market that includes services like YouTube, TikTok, Instagram, and Facebook and that no regulator has ever accepted.</w:t>
      </w:r>
    </w:p>
    <w:p>
      <w:pPr>
        <w:ind w:left="660" w:right="400" w:hanging="328"/>
        <w:spacing w:after="0" w:line="26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contrast, the combination of Paramount and WBD is pro-competitive, with moviegoers, studio workers and creative talent all set to thrive thanks to the combined company’s expanded theatrical film production and content.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offer remains superior on both value and certainty.</w:t>
      </w:r>
    </w:p>
    <w:p>
      <w:pPr>
        <w:spacing w:after="0" w:line="229" w:lineRule="exact"/>
        <w:rPr>
          <w:sz w:val="20"/>
          <w:szCs w:val="20"/>
          <w:color w:val="auto"/>
        </w:rPr>
      </w:pPr>
    </w:p>
    <w:p>
      <w:pPr>
        <w:ind w:left="660" w:right="10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WBD Board was publicly defending the prior Netflix transaction even as it was negotiating a new merger agreement, an admission about the inferior aspects of the deal.</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WBD Board refused to engage with Paramount’s representatives even after it decided to reopen negotiations with Netflix on its transaction.</w:t>
      </w:r>
    </w:p>
    <w:p>
      <w:pPr>
        <w:spacing w:after="0" w:line="9" w:lineRule="exact"/>
        <w:rPr>
          <w:rFonts w:ascii="Times New Roman" w:cs="Times New Roman" w:eastAsia="Times New Roman" w:hAnsi="Times New Roman"/>
          <w:sz w:val="18"/>
          <w:szCs w:val="18"/>
          <w:color w:val="auto"/>
        </w:rPr>
      </w:pPr>
    </w:p>
    <w:p>
      <w:pPr>
        <w:ind w:left="660" w:right="180" w:hanging="328"/>
        <w:spacing w:after="0" w:line="26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WBD Board continues to withhold highly material information about Discovery Global while moving forward to seek shareholder approval that will cut off any ability for WBD shareholders to receive the benefits of Paramount’s value-maximizing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136130" cy="3384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338455"/>
                    </a:xfrm>
                    <a:prstGeom prst="rect">
                      <a:avLst/>
                    </a:prstGeom>
                    <a:noFill/>
                  </pic:spPr>
                </pic:pic>
              </a:graphicData>
            </a:graphic>
          </wp:anchor>
        </w:drawing>
      </w:r>
    </w:p>
    <w:p>
      <w:pPr>
        <w:spacing w:after="0" w:line="198"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Shareholders with questions about how to vote their WBD shares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xml:space="preserve"> the inferior Netflix transaction may contact Paramount’s proxy solicitor Okapi Partners at (212) 297-0720, Toll-Free: (844) 343-2621, or by email at info@okapipartners.com.</w:t>
      </w:r>
    </w:p>
    <w:p>
      <w:pPr>
        <w:spacing w:after="0" w:line="21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Paramount has extended the expiration date of its tender offer to February 20, 2026. Equiniti Trust Company, LLC, as the depositary for the tender offer, has advised Prince Sub that, as of 11:00 p.m., New York City time, on January 21, 2026, </w:t>
      </w:r>
      <w:r>
        <w:rPr>
          <w:rFonts w:ascii="Times New Roman" w:cs="Times New Roman" w:eastAsia="Times New Roman" w:hAnsi="Times New Roman"/>
          <w:sz w:val="18"/>
          <w:szCs w:val="18"/>
          <w:color w:val="212121"/>
        </w:rPr>
        <w:t>168,511,695</w:t>
      </w:r>
      <w:r>
        <w:rPr>
          <w:rFonts w:ascii="Times New Roman" w:cs="Times New Roman" w:eastAsia="Times New Roman" w:hAnsi="Times New Roman"/>
          <w:sz w:val="18"/>
          <w:szCs w:val="18"/>
          <w:color w:val="auto"/>
        </w:rPr>
        <w:t xml:space="preserve"> shares had been validly tendered and not withdrawn from the tender offer.</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tender offer statement and related materials have been filed with the SEC. WBD shareholders who need additional copies of the tender offer statement and related materials or who have questions regarding the offer should contact Okapi Partners LLC, the information agent for the tender offer, toll-free at (844) 343-2621.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details of Paramount’s amended offer can be found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Paramount urges WBD shareholders to register their preference for Paramount’s superior offer with the WBD Board of Directors by tendering their shares today.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WBD shareholders and other interested parties can find additional information about Paramount's superior offer at </w:t>
      </w:r>
      <w:r>
        <w:rPr>
          <w:rFonts w:ascii="Times New Roman" w:cs="Times New Roman" w:eastAsia="Times New Roman" w:hAnsi="Times New Roman"/>
          <w:sz w:val="18"/>
          <w:szCs w:val="18"/>
          <w:u w:val="single" w:color="auto"/>
          <w:color w:val="auto"/>
        </w:rPr>
        <w:t>www.StrongerHollywood.com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About Paramount, a Skydance Corporation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Paramount, a Skydance Corporation is a leading, next-generation global media and entertainment company, comprised of three business segments: Studios, Direct-to-Consumer, and TV Media. Paramount’s portfolio unites legendary brands, including Paramount Pictures, Paramount Television, CBS – America’s most-watched broadcast network, CBS News, CBS Sports, Nickelodeon, MTV, BET, Comedy Central, Showtime, Paramount+, Paramount TV, and Skydance’s Animation, Film, Television, Interactive/Games, and Sports divisions. For more information, visit </w:t>
      </w:r>
      <w:r>
        <w:rPr>
          <w:rFonts w:ascii="Times New Roman" w:cs="Times New Roman" w:eastAsia="Times New Roman" w:hAnsi="Times New Roman"/>
          <w:sz w:val="18"/>
          <w:szCs w:val="18"/>
          <w:u w:val="single" w:color="auto"/>
          <w:color w:val="auto"/>
        </w:rPr>
        <w:t>paramount.com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both historical and forward-looking statements, including statements related to Paramount Skydance Corporation’s (“Paramount”) future financial results and performance, potential achievements, anticipated reporting segments and industry changes and developments. All statements that are not statements of historical fact are, or may be deemed to be, “forward-looking statements”. Similarly, statements that describe Paramount’s objectives, plans or goals are or may be forward-looking statements. These forward-looking statements reflect Paramount’s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Paramount’s actual results, performance or achievements to be different from any future results, performance or achievements expressed or implied by these statements. These risks, uncertainties and other factors include, among others: the outcome of the tender offer by Paramount and Prince Sub Inc. (the “Tender Offer”) to purchase for cash all of the outstanding Series A common stock of Warner Bros. Discovery, Inc. (“WBD”) or any discussions between Paramount and WBD with respect to a possible transaction (including, without limitation, by means of the Tender Offer, the “Potential Transaction”), including the possibility that the Tender Offer will not be successful, that the parties will not agree to pursue a business combination transaction or that the terms of any such transaction will be materially different from those described herein; the conditions to the completion of the Potential Transaction or the previously announced transaction between WBD and Netflix, Inc. (“Netflix”) pursuant to the Agreement and Plan of Merger, dated December 4, 2025 (as it may be amended or supplemented), among Netflix, Nightingale Sub, Inc., WBD and New Topco 25, Inc. (the “Proposed Netflix Transaction”), including the receipt of any required stockholder and regulatory approvals for either transaction, the proposed financing for the Potential Transaction, the indebtedness Paramount expects to incur in connection with the Potential Transaction and the total indebtedness of the combined company; the possibility that Paramount may be unable to achieve expected synergies and operating efficiencies within the expected timeframes or at all and to successfully integrate the operations of WBD with those of Paramount, and the possibility that such integration may be more difficult, time-consuming or costly than expected or that operating costs and business disruption (including, without limitation, disruptions in relationships with employees, customers or suppliers) may be greater than expected in connection with the Potential Transaction;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Paramount’s decisions to make investments in new businesses, products, services and technologies, and the evolution of Paramount’s business strategy; the potential for loss of carriage or other reduction in or the impact of negotiations for the distribution of Paramount’s content; damage to Paramount’s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Paramount’s businesses generally, including tariffs and other changes in trade policies; the inability to hire or retain key employees or secure creative talent; disruptions to Paramount’s operations as a result of labor disputes; the risks and costs associated with the integration of, and Paramount’s ability to integrate, the businesses of Paramount Global and Skydance Media, LLC successfully and to achieve anticipated synergies; volatility in the prices of Paramount’s Class B Common Stock; potential conflicts of interest arising from Paramount’s ownership structure with a controlling stockholder; and other factors described in Paramount’s news releases and filings with the Securities and Exchange Commission (the “SEC”), including but not limited to Paramount’s most recent Annual Report on Form 10-K and Paramount’s reports on Form 10-Q and Form 8-K. There may be additional risks, uncertainties and factors that Paramount does not currently view as material or that are not necessarily known. The forward-looking statements included in this communication are made only as of the date of this report, and Paramount does not undertake any obligation to publicly update any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does not constitute an offer to buy or a solicitation of an offer to sell securities. This communication relates to a proposal that Paramount has made for an acquisition of WBD, the Tender Offer that Paramount, through Prince Sub Inc., its wholly owned subsidiary, has made to WBD stockholders, and Paramount’s intention to solicit proxies against the Proposed Netflix Transaction and other proposals to be voted on by WBD stockholders at the special meeting of WBD stockholders to be held to approve the Proposed Netflix Transaction (the “Netflix Merger Solicitation”) and/or for use at the WBD annual meeting of stockholders. The Tender Offer is being made pursuant to a tender offer statement on Schedule TO (including the offer to purchase, the letter of transmittal and other related offer documents), filed with the SEC on December 8, 2025. These materials, as may be amended from time to time, contain important information, including the terms and conditions of the offer. Subject to future developments, Paramount (and, if a negotiated transaction is agreed, WBD) may file additional documents with the SEC. This communication is not a substitute for any proxy statement, tender offer statement, or other document Paramount and/or WBD may file with the SEC in connection with the Potential Transaction.</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Paramount, Prince Sub Inc. and the other participants in the Netflix Merger Solicitation have filed a preliminary proxy statement and the accompanying BLUE proxy card with the SEC on January 22, 2026 in connection with the Netflix Merger Solicitation (the “Special Meeting Preliminary Proxy Statement”). Paramount expects to file a definitive proxy statement and the accompanying proxy card with the SEC in connection with the Netflix Merger Solicitation and may file other proxy solicitation materials in connection therewith or the annual meeting of WBD stockholders, or other documents with the SEC.</w:t>
      </w:r>
    </w:p>
    <w:p>
      <w:pPr>
        <w:spacing w:after="0" w:line="18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PARAMOUNT STRONGLY ADVISES ALL STOCKHOLDERS OF WBD TO READ THE SPECIAL MEETING PRELIMINARY PROXY STATEMENT AND OTHER PROXY MATERIALS AS THEY BECOME AVAILABLE BECAUSE THEY WILL CONTAIN IMPORTANT INFORMATION, INCLUDING INFORMATION RELATED TO THE PARTICIPANTS. SUCH PROXY MATERIALS WILL BE AVAILABLE AT NO CHARGE ON THE SEC’S WEB SITE AT HTTP://WWW.SEC.GOV. IN ADDITION, PARAMOUNT AND THE OTHER PARTICIPANTS IN SUCH PROXY SOLICITATIONS WILL PROVIDE COPIES OF THE APPLICABLE PROXY STATEMENTS WITHOUT CHARGE, WHEN AVAILABLE, UPON REQUEST. REQUESTS FOR SUCH COPIES SHOULD BE DIRECTED TO THE APPLICABLE PROXY SOLICITOR.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participants in the Netflix Merger Solicitation are expected to be Paramount, Prince Sub Inc., certain directors and executive officers of Paramount and Prince Sub Inc., Lawrence Ellison, RedBird Capital Management and The Lawrence J. Ellison Revocable Trust, u/a/d 1/22/88, as amended. Additional information about the participants in the Netflix Merger Solicitation is available in the Special Meeting Preliminary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 Zukerman / Laura Watson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msz@paramount.com / laura.watson@paramount.com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Brunswick Group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ParamountSkydance@brunswickgroup.com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Gagnier Communications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Gagnier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dg@gagnierfc.com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Creighton / Logan Thomas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kevin.creighton@paramount.com / logan.thomas@paramount.com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Okapi Partners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297-0720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(844) 343-2621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info@okapipartners.com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2)"/>
      <w:numFmt w:val="decimal"/>
      <w:start w:val="212"/>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2"/>
    </w:lvl>
  </w:abstractNum>
  <w:abstractNum w:abstractNumId="7">
    <w:nsid w:val="216231B"/>
    <w:multiLevelType w:val="hybridMultilevel"/>
    <w:lvl w:ilvl="0">
      <w:lvlJc w:val="left"/>
      <w:lvlText w:val="%1."/>
      <w:numFmt w:val="decimal"/>
      <w:start w:val="3"/>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2026-01-22T07:13:44Z</dcterms:created>
  <dcterms:modified xsi:type="dcterms:W3CDTF">2026-01-22T07:13:44Z</dcterms:modified>
</cp:coreProperties>
</file>