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PRELIMINARY COPIES</w:t>
      </w:r>
    </w:p>
    <w:p>
      <w:pPr>
        <w:spacing w:after="0" w:line="324"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SCHEDULE 14A INFORMATION</w:t>
      </w:r>
    </w:p>
    <w:p>
      <w:pPr>
        <w:spacing w:after="0" w:line="2"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Proxy Statement Pursuant to</w:t>
      </w:r>
    </w:p>
    <w:p>
      <w:pPr>
        <w:spacing w:after="0" w:line="2" w:lineRule="exact"/>
        <w:rPr>
          <w:sz w:val="24"/>
          <w:szCs w:val="24"/>
          <w:color w:val="auto"/>
        </w:rPr>
      </w:pPr>
    </w:p>
    <w:p>
      <w:pPr>
        <w:ind w:left="1180"/>
        <w:spacing w:after="0"/>
        <w:rPr>
          <w:sz w:val="20"/>
          <w:szCs w:val="20"/>
          <w:color w:val="auto"/>
        </w:rPr>
      </w:pPr>
      <w:r>
        <w:rPr>
          <w:rFonts w:ascii="Courier New" w:cs="Courier New" w:eastAsia="Courier New" w:hAnsi="Courier New"/>
          <w:sz w:val="14"/>
          <w:szCs w:val="14"/>
          <w:color w:val="auto"/>
        </w:rPr>
        <w:t>Section 14(a) of the Securities Exchange Act of 1934</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Registrants [X]</w:t>
      </w:r>
    </w:p>
    <w:p>
      <w:pPr>
        <w:spacing w:after="0" w:line="2" w:lineRule="exact"/>
        <w:rPr>
          <w:sz w:val="24"/>
          <w:szCs w:val="24"/>
          <w:color w:val="auto"/>
        </w:rPr>
      </w:pPr>
    </w:p>
    <w:p>
      <w:pPr>
        <w:spacing w:after="0"/>
        <w:tabs>
          <w:tab w:leader="none" w:pos="3840" w:val="left"/>
        </w:tabs>
        <w:rPr>
          <w:sz w:val="20"/>
          <w:szCs w:val="20"/>
          <w:color w:val="auto"/>
        </w:rPr>
      </w:pPr>
      <w:r>
        <w:rPr>
          <w:rFonts w:ascii="Courier New" w:cs="Courier New" w:eastAsia="Courier New" w:hAnsi="Courier New"/>
          <w:sz w:val="14"/>
          <w:szCs w:val="14"/>
          <w:color w:val="auto"/>
        </w:rPr>
        <w:t>Filed by a Party other than the Registrant [</w:t>
      </w:r>
      <w:r>
        <w:rPr>
          <w:sz w:val="20"/>
          <w:szCs w:val="20"/>
          <w:color w:val="auto"/>
        </w:rPr>
        <w:tab/>
      </w:r>
      <w:r>
        <w:rPr>
          <w:rFonts w:ascii="Courier New" w:cs="Courier New" w:eastAsia="Courier New" w:hAnsi="Courier New"/>
          <w:sz w:val="13"/>
          <w:szCs w:val="13"/>
          <w:color w:val="auto"/>
        </w:rPr>
        <w:t>]</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Preliminary Proxy Statement</w:t>
      </w:r>
    </w:p>
    <w:p>
      <w:pPr>
        <w:spacing w:after="0" w:line="2" w:lineRule="exact"/>
        <w:rPr>
          <w:sz w:val="24"/>
          <w:szCs w:val="24"/>
          <w:color w:val="auto"/>
        </w:rPr>
      </w:pPr>
    </w:p>
    <w:p>
      <w:pPr>
        <w:ind w:left="180" w:hanging="174"/>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Proxy Statement</w:t>
      </w:r>
    </w:p>
    <w:p>
      <w:pPr>
        <w:spacing w:after="0" w:line="2" w:lineRule="exact"/>
        <w:rPr>
          <w:rFonts w:ascii="Courier New" w:cs="Courier New" w:eastAsia="Courier New" w:hAnsi="Courier New"/>
          <w:sz w:val="14"/>
          <w:szCs w:val="14"/>
          <w:color w:val="auto"/>
        </w:rPr>
      </w:pPr>
    </w:p>
    <w:p>
      <w:pPr>
        <w:ind w:left="180" w:hanging="174"/>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2" w:lineRule="exact"/>
        <w:rPr>
          <w:rFonts w:ascii="Courier New" w:cs="Courier New" w:eastAsia="Courier New" w:hAnsi="Courier New"/>
          <w:sz w:val="14"/>
          <w:szCs w:val="14"/>
          <w:color w:val="auto"/>
        </w:rPr>
      </w:pPr>
    </w:p>
    <w:p>
      <w:pPr>
        <w:ind w:left="180" w:hanging="174"/>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Sec.240.14a-11(c) or Sec.240.14a-12</w:t>
      </w:r>
    </w:p>
    <w:p>
      <w:pPr>
        <w:spacing w:after="0" w:line="16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4"/>
          <w:szCs w:val="24"/>
          <w:color w:val="auto"/>
        </w:rPr>
      </w:pPr>
    </w:p>
    <w:p>
      <w:pPr>
        <w:ind w:left="3180"/>
        <w:spacing w:after="0"/>
        <w:rPr>
          <w:sz w:val="20"/>
          <w:szCs w:val="20"/>
          <w:color w:val="auto"/>
        </w:rPr>
      </w:pPr>
      <w:r>
        <w:rPr>
          <w:rFonts w:ascii="Courier New" w:cs="Courier New" w:eastAsia="Courier New" w:hAnsi="Courier New"/>
          <w:sz w:val="14"/>
          <w:szCs w:val="14"/>
          <w:color w:val="auto"/>
        </w:rPr>
        <w:t>AND</w:t>
      </w:r>
    </w:p>
    <w:p>
      <w:pPr>
        <w:spacing w:after="0" w:line="2"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4"/>
          <w:szCs w:val="24"/>
          <w:color w:val="auto"/>
        </w:rPr>
      </w:pPr>
    </w:p>
    <w:p>
      <w:pPr>
        <w:ind w:left="1180"/>
        <w:spacing w:after="0"/>
        <w:rPr>
          <w:sz w:val="20"/>
          <w:szCs w:val="20"/>
          <w:color w:val="auto"/>
        </w:rPr>
      </w:pPr>
      <w:r>
        <w:rPr>
          <w:rFonts w:ascii="Courier New" w:cs="Courier New" w:eastAsia="Courier New" w:hAnsi="Courier New"/>
          <w:sz w:val="14"/>
          <w:szCs w:val="14"/>
          <w:color w:val="auto"/>
        </w:rPr>
        <w:t>(Name of Registrants as Specified in their Charters)</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4"/>
          <w:szCs w:val="24"/>
          <w:color w:val="auto"/>
        </w:rPr>
      </w:pPr>
    </w:p>
    <w:p>
      <w:pPr>
        <w:ind w:left="3180"/>
        <w:spacing w:after="0"/>
        <w:rPr>
          <w:sz w:val="20"/>
          <w:szCs w:val="20"/>
          <w:color w:val="auto"/>
        </w:rPr>
      </w:pPr>
      <w:r>
        <w:rPr>
          <w:rFonts w:ascii="Courier New" w:cs="Courier New" w:eastAsia="Courier New" w:hAnsi="Courier New"/>
          <w:sz w:val="14"/>
          <w:szCs w:val="14"/>
          <w:color w:val="auto"/>
        </w:rPr>
        <w:t>AND</w:t>
      </w:r>
    </w:p>
    <w:p>
      <w:pPr>
        <w:spacing w:after="0" w:line="2"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4"/>
          <w:szCs w:val="24"/>
          <w:color w:val="auto"/>
        </w:rPr>
      </w:pPr>
    </w:p>
    <w:p>
      <w:pPr>
        <w:ind w:left="1680"/>
        <w:spacing w:after="0"/>
        <w:rPr>
          <w:sz w:val="20"/>
          <w:szCs w:val="20"/>
          <w:color w:val="auto"/>
        </w:rPr>
      </w:pPr>
      <w:r>
        <w:rPr>
          <w:rFonts w:ascii="Courier New" w:cs="Courier New" w:eastAsia="Courier New" w:hAnsi="Courier New"/>
          <w:sz w:val="14"/>
          <w:szCs w:val="14"/>
          <w:color w:val="auto"/>
        </w:rPr>
        <w:t>(Name of Persons Filing Proxy Statement)</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63" w:lineRule="exact"/>
        <w:rPr>
          <w:sz w:val="24"/>
          <w:szCs w:val="24"/>
          <w:color w:val="auto"/>
        </w:rPr>
      </w:pPr>
    </w:p>
    <w:p>
      <w:pPr>
        <w:ind w:left="180" w:hanging="174"/>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$125 per Exchange Act Rules 0-11(c)(1)(ii), 14a-6(i)(1), or 14a-6(j)(2).</w:t>
      </w:r>
    </w:p>
    <w:p>
      <w:pPr>
        <w:spacing w:after="0" w:line="2" w:lineRule="exact"/>
        <w:rPr>
          <w:rFonts w:ascii="Courier New" w:cs="Courier New" w:eastAsia="Courier New" w:hAnsi="Courier New"/>
          <w:sz w:val="14"/>
          <w:szCs w:val="14"/>
          <w:color w:val="auto"/>
        </w:rPr>
      </w:pPr>
    </w:p>
    <w:p>
      <w:pPr>
        <w:ind w:left="180" w:hanging="174"/>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of the controversy pursuant to Exchange Act Rule</w:t>
      </w:r>
    </w:p>
    <w:p>
      <w:pPr>
        <w:spacing w:after="0" w:line="2"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14a-6(i)(3).</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Fee computed on table below per Exchange Act Rules 14a-6(i)(4) and 0-11.</w:t>
      </w:r>
    </w:p>
    <w:p>
      <w:pPr>
        <w:spacing w:after="0" w:line="327" w:lineRule="exact"/>
        <w:rPr>
          <w:sz w:val="24"/>
          <w:szCs w:val="24"/>
          <w:color w:val="auto"/>
        </w:rPr>
      </w:pPr>
    </w:p>
    <w:p>
      <w:pPr>
        <w:ind w:left="340" w:right="4119" w:hanging="251"/>
        <w:spacing w:after="0" w:line="524" w:lineRule="auto"/>
        <w:tabs>
          <w:tab w:leader="none" w:pos="3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Title of each class of securities to which transaction applies: Paramount Communications Inc. Common Stock, par value $1.00 per share</w:t>
      </w:r>
    </w:p>
    <w:p>
      <w:pPr>
        <w:ind w:left="340" w:hanging="251"/>
        <w:spacing w:after="0"/>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65" w:lineRule="exact"/>
        <w:rPr>
          <w:rFonts w:ascii="Courier New" w:cs="Courier New" w:eastAsia="Courier New" w:hAnsi="Courier New"/>
          <w:sz w:val="14"/>
          <w:szCs w:val="14"/>
          <w:color w:val="auto"/>
        </w:rPr>
      </w:pPr>
    </w:p>
    <w:p>
      <w:pPr>
        <w:ind w:left="340" w:right="369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61,135,478 (outstanding shares of Paramount Common Stock on March 31, 1994 not owned by Viacom Inc.)</w:t>
      </w:r>
    </w:p>
    <w:p>
      <w:pPr>
        <w:spacing w:after="0" w:line="166" w:lineRule="exact"/>
        <w:rPr>
          <w:rFonts w:ascii="Courier New" w:cs="Courier New" w:eastAsia="Courier New" w:hAnsi="Courier New"/>
          <w:sz w:val="14"/>
          <w:szCs w:val="14"/>
          <w:color w:val="auto"/>
        </w:rPr>
      </w:pPr>
    </w:p>
    <w:p>
      <w:pPr>
        <w:ind w:left="340" w:right="3539" w:hanging="251"/>
        <w:spacing w:after="0" w:line="239" w:lineRule="auto"/>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w:t>
      </w:r>
    </w:p>
    <w:p>
      <w:pPr>
        <w:spacing w:after="0" w:line="166" w:lineRule="exact"/>
        <w:rPr>
          <w:rFonts w:ascii="Courier New" w:cs="Courier New" w:eastAsia="Courier New" w:hAnsi="Courier New"/>
          <w:sz w:val="14"/>
          <w:szCs w:val="14"/>
          <w:color w:val="auto"/>
        </w:rPr>
      </w:pPr>
    </w:p>
    <w:p>
      <w:pPr>
        <w:ind w:left="340" w:right="379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$37.75, which is the average of the high and low prices per share of Paramount Common Stock on April 13, 1994, as quoted on the New York Stock Exchange composite tape</w:t>
      </w:r>
    </w:p>
    <w:p>
      <w:pPr>
        <w:spacing w:after="0" w:line="163" w:lineRule="exact"/>
        <w:rPr>
          <w:rFonts w:ascii="Courier New" w:cs="Courier New" w:eastAsia="Courier New" w:hAnsi="Courier New"/>
          <w:sz w:val="14"/>
          <w:szCs w:val="14"/>
          <w:color w:val="auto"/>
        </w:rPr>
      </w:pPr>
    </w:p>
    <w:p>
      <w:pPr>
        <w:ind w:left="340" w:hanging="251"/>
        <w:spacing w:after="0"/>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6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$2,307,864,294</w:t>
      </w:r>
    </w:p>
    <w:p>
      <w:pPr>
        <w:spacing w:after="0" w:line="166" w:lineRule="exact"/>
        <w:rPr>
          <w:sz w:val="24"/>
          <w:szCs w:val="24"/>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/X/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5" w:lineRule="exact"/>
        <w:rPr>
          <w:sz w:val="24"/>
          <w:szCs w:val="24"/>
          <w:color w:val="auto"/>
        </w:rPr>
      </w:pPr>
    </w:p>
    <w:p>
      <w:pPr>
        <w:ind w:left="500" w:right="7799" w:hanging="243"/>
        <w:spacing w:after="0" w:line="239" w:lineRule="auto"/>
        <w:tabs>
          <w:tab w:leader="none" w:pos="5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 $461,573</w:t>
      </w:r>
    </w:p>
    <w:p>
      <w:pPr>
        <w:spacing w:after="0" w:line="166" w:lineRule="exact"/>
        <w:rPr>
          <w:rFonts w:ascii="Courier New" w:cs="Courier New" w:eastAsia="Courier New" w:hAnsi="Courier New"/>
          <w:sz w:val="14"/>
          <w:szCs w:val="14"/>
          <w:color w:val="auto"/>
        </w:rPr>
      </w:pPr>
    </w:p>
    <w:p>
      <w:pPr>
        <w:ind w:left="500" w:right="5959" w:hanging="243"/>
        <w:spacing w:after="0" w:line="239" w:lineRule="auto"/>
        <w:tabs>
          <w:tab w:leader="none" w:pos="5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 Schedule 13E-3</w:t>
      </w:r>
    </w:p>
    <w:p>
      <w:pPr>
        <w:spacing w:after="0" w:line="164" w:lineRule="exact"/>
        <w:rPr>
          <w:rFonts w:ascii="Courier New" w:cs="Courier New" w:eastAsia="Courier New" w:hAnsi="Courier New"/>
          <w:sz w:val="14"/>
          <w:szCs w:val="14"/>
          <w:color w:val="auto"/>
        </w:rPr>
      </w:pPr>
    </w:p>
    <w:p>
      <w:pPr>
        <w:ind w:left="500" w:hanging="243"/>
        <w:spacing w:after="0"/>
        <w:tabs>
          <w:tab w:leader="none" w:pos="5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Parties:</w:t>
      </w:r>
    </w:p>
    <w:p>
      <w:pPr>
        <w:spacing w:after="0" w:line="4" w:lineRule="exact"/>
        <w:rPr>
          <w:rFonts w:ascii="Courier New" w:cs="Courier New" w:eastAsia="Courier New" w:hAnsi="Courier New"/>
          <w:sz w:val="14"/>
          <w:szCs w:val="14"/>
          <w:color w:val="auto"/>
        </w:rPr>
      </w:pPr>
    </w:p>
    <w:p>
      <w:pPr>
        <w:ind w:left="500" w:right="5879"/>
        <w:spacing w:after="0" w:line="276"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National Amusements, Inc., Sumner M. Redstone, Viacom Inc. and Paramount Communications Inc.</w:t>
      </w:r>
    </w:p>
    <w:p>
      <w:pPr>
        <w:spacing w:after="0" w:line="143" w:lineRule="exact"/>
        <w:rPr>
          <w:rFonts w:ascii="Courier New" w:cs="Courier New" w:eastAsia="Courier New" w:hAnsi="Courier New"/>
          <w:sz w:val="14"/>
          <w:szCs w:val="14"/>
          <w:color w:val="auto"/>
        </w:rPr>
      </w:pPr>
    </w:p>
    <w:p>
      <w:pPr>
        <w:ind w:left="500" w:right="8559" w:hanging="243"/>
        <w:spacing w:after="0" w:line="239" w:lineRule="auto"/>
        <w:tabs>
          <w:tab w:leader="none" w:pos="5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April 15, 1994</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[LETTERHEAD OF PARAMOUNT]</w:t>
      </w:r>
    </w:p>
    <w:p>
      <w:pPr>
        <w:spacing w:after="0" w:line="163" w:lineRule="exact"/>
        <w:rPr>
          <w:sz w:val="24"/>
          <w:szCs w:val="24"/>
          <w:color w:val="auto"/>
        </w:rPr>
      </w:pPr>
    </w:p>
    <w:p>
      <w:pPr>
        <w:jc w:val="right"/>
        <w:ind w:right="3539"/>
        <w:spacing w:after="0"/>
        <w:rPr>
          <w:sz w:val="20"/>
          <w:szCs w:val="20"/>
          <w:color w:val="auto"/>
        </w:rPr>
      </w:pPr>
      <w:r>
        <w:rPr>
          <w:rFonts w:ascii="Courier New" w:cs="Courier New" w:eastAsia="Courier New" w:hAnsi="Courier New"/>
          <w:sz w:val="14"/>
          <w:szCs w:val="14"/>
          <w:color w:val="auto"/>
        </w:rPr>
        <w:t>xx. 1994</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Dear Stockholder:</w:t>
      </w:r>
    </w:p>
    <w:p>
      <w:pPr>
        <w:spacing w:after="0" w:line="166" w:lineRule="exact"/>
        <w:rPr>
          <w:sz w:val="24"/>
          <w:szCs w:val="24"/>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On behalf of our Board of Directors, I am pleased to invite you to attend a Special Meeting of Stockholders of Paramount Communications Inc., which will be held at at a.m. (local time) on , 1994.</w:t>
      </w:r>
    </w:p>
    <w:p>
      <w:pPr>
        <w:spacing w:after="0" w:line="166" w:lineRule="exact"/>
        <w:rPr>
          <w:sz w:val="24"/>
          <w:szCs w:val="24"/>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At this meeting, stockholders will be asked to approve the merger of a wholly owned subsidiary of Viacom Inc. with and into Paramount. Paramount and Viacom have complementary businesses and a commitment to innovation and creativity. The combination of these businesses will create a global entertainment and communications company with extraordinary resources.</w:t>
      </w:r>
    </w:p>
    <w:p>
      <w:pPr>
        <w:spacing w:after="0" w:line="166" w:lineRule="exact"/>
        <w:rPr>
          <w:sz w:val="24"/>
          <w:szCs w:val="24"/>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On February 4, 1994 the Board of Directors of Paramount, after careful consideration, determined that the combination with Viacom is in the best interests of Paramount and its stockholders. Accordingly, it unanimously approved the merger and related transactions and recommended that you vote in favor of the merger at the meeting.</w:t>
      </w:r>
    </w:p>
    <w:p>
      <w:pPr>
        <w:spacing w:after="0" w:line="163"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Pursuant to its successful tender offer, on March 11, 1994, Viacom</w:t>
      </w:r>
    </w:p>
    <w:p>
      <w:pPr>
        <w:sectPr>
          <w:pgSz w:w="11900" w:h="16838" w:orient="portrait"/>
          <w:cols w:equalWidth="0" w:num="1">
            <w:col w:w="10239"/>
          </w:cols>
          <w:pgMar w:left="220" w:top="386" w:right="1440" w:bottom="0" w:gutter="0" w:footer="0" w:header="0"/>
        </w:sectPr>
      </w:pPr>
    </w:p>
    <w:bookmarkStart w:id="1" w:name="page2"/>
    <w:bookmarkEnd w:id="1"/>
    <w:p>
      <w:pPr>
        <w:ind w:right="3699"/>
        <w:spacing w:after="0" w:line="243" w:lineRule="auto"/>
        <w:rPr>
          <w:sz w:val="20"/>
          <w:szCs w:val="20"/>
          <w:color w:val="auto"/>
        </w:rPr>
      </w:pPr>
      <w:r>
        <w:rPr>
          <w:rFonts w:ascii="Courier New" w:cs="Courier New" w:eastAsia="Courier New" w:hAnsi="Courier New"/>
          <w:sz w:val="14"/>
          <w:szCs w:val="14"/>
          <w:color w:val="auto"/>
        </w:rPr>
        <w:t>completed its purchase of a majority of the outstanding shares of Paramount Common Stock. In the merger, each share of Paramount Common Stock not owned by Viacom will be converted into the right to receive (i) 0.93065 of a share of non-voting Viacom Class B Common Stock, (ii) $17.50 principal amount of 8% exchangeable subordinated debentures of Viacom, (iii) 0.93065 of a contingent value right, representing the right to receive (under certain circumstances) cash or securities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w:t>
      </w:r>
    </w:p>
    <w:p>
      <w:pPr>
        <w:spacing w:after="0" w:line="164"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A Notice of the Special Meeting and a Joint Proxy Statement/Prospectus containing detailed information concerning the merger with the subsidiary of Viacom and related transactions is attached. The Joint Proxy Statement/Prospectus also contains detailed information regarding Viacom's proposed merger with Blockbuster Entertainment Corporation. I urge you to read this material carefully.</w:t>
      </w:r>
    </w:p>
    <w:p>
      <w:pPr>
        <w:spacing w:after="0" w:line="167" w:lineRule="exact"/>
        <w:rPr>
          <w:sz w:val="20"/>
          <w:szCs w:val="20"/>
          <w:color w:val="auto"/>
        </w:rPr>
      </w:pPr>
    </w:p>
    <w:p>
      <w:pPr>
        <w:jc w:val="both"/>
        <w:ind w:right="3699" w:firstLine="418"/>
        <w:spacing w:after="0" w:line="242" w:lineRule="auto"/>
        <w:rPr>
          <w:sz w:val="20"/>
          <w:szCs w:val="20"/>
          <w:color w:val="auto"/>
        </w:rPr>
      </w:pPr>
      <w:r>
        <w:rPr>
          <w:rFonts w:ascii="Courier New" w:cs="Courier New" w:eastAsia="Courier New" w:hAnsi="Courier New"/>
          <w:sz w:val="14"/>
          <w:szCs w:val="14"/>
          <w:color w:val="auto"/>
        </w:rPr>
        <w:t>As Viacom has acquired a majority of the outstanding shares of Paramount Common Stock, Viacom has sufficient voting power to approve the merger and the related transactions, even if no other stockholder of Paramount votes in favor of the merger.</w:t>
      </w:r>
    </w:p>
    <w:p>
      <w:pPr>
        <w:spacing w:after="0" w:line="165" w:lineRule="exact"/>
        <w:rPr>
          <w:sz w:val="20"/>
          <w:szCs w:val="20"/>
          <w:color w:val="auto"/>
        </w:rPr>
      </w:pPr>
    </w:p>
    <w:p>
      <w:pPr>
        <w:ind w:right="3799" w:firstLine="418"/>
        <w:spacing w:after="0" w:line="241" w:lineRule="auto"/>
        <w:rPr>
          <w:sz w:val="20"/>
          <w:szCs w:val="20"/>
          <w:color w:val="auto"/>
        </w:rPr>
      </w:pPr>
      <w:r>
        <w:rPr>
          <w:rFonts w:ascii="Courier New" w:cs="Courier New" w:eastAsia="Courier New" w:hAnsi="Courier New"/>
          <w:sz w:val="14"/>
          <w:szCs w:val="14"/>
          <w:color w:val="auto"/>
        </w:rPr>
        <w:t>Your participation in this meeting, in person or by proxy, is important. Please mark, date, sign and return the enclosed proxy as soon as possible, whether or not you plan to attend the meeting.</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Sincerely,</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SUMNER M. REDSTONE</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Chairman of the Board</w:t>
      </w:r>
    </w:p>
    <w:p>
      <w:pPr>
        <w:sectPr>
          <w:pgSz w:w="11900" w:h="16838" w:orient="portrait"/>
          <w:cols w:equalWidth="0" w:num="1">
            <w:col w:w="10239"/>
          </w:cols>
          <w:pgMar w:left="220"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[PARAMOUNT LETTERHEAD]</w:t>
      </w:r>
    </w:p>
    <w:p>
      <w:pPr>
        <w:spacing w:after="0" w:line="16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16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A Special Meeting of Stockholders of Paramount Communications Inc. ("Paramount") will be held on , 1994, at a.m. (local time), at , for the purposes of:</w:t>
      </w:r>
    </w:p>
    <w:p>
      <w:pPr>
        <w:spacing w:after="0" w:line="166" w:lineRule="exact"/>
        <w:rPr>
          <w:sz w:val="20"/>
          <w:szCs w:val="20"/>
          <w:color w:val="auto"/>
        </w:rPr>
      </w:pPr>
    </w:p>
    <w:p>
      <w:pPr>
        <w:ind w:left="420" w:right="3879" w:firstLine="423"/>
        <w:spacing w:after="0" w:line="262" w:lineRule="auto"/>
        <w:tabs>
          <w:tab w:leader="none" w:pos="1089"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Considering and voting upon a proposal to approve and adopt the Second Amended and Restated Agreement and Plan of Merger dated as of</w:t>
      </w:r>
    </w:p>
    <w:p>
      <w:pPr>
        <w:ind w:left="420" w:right="3539" w:firstLine="4"/>
        <w:spacing w:after="0" w:line="243" w:lineRule="auto"/>
        <w:tabs>
          <w:tab w:leader="none" w:pos="159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1994 among Paramount, Viacom Inc. ("Viacom") and Viacom Sub Inc. (the "Merger Subsidiary"), a wholly owned subsidiary of Viacom, a copy of which is attached as Annex I to the accompanying Joint Proxy Statement/Prospectus, providing for the merger of the Merger Subsidiary with and into Paramount (the "Merger"), pursuant to which each share of Common Stock, par value $1.00 ("Paramount Common Stock"), of Paramount (other than shares held by Paramount, Viacom and their subsidiaries and by holders who demand and perfect appraisal rights) will be converted into the right to receive (i) 0.93065 of a share of Class B Common Stock, par value $.01 per share, of Viacom ("Viacom Class B Common Stock"), (ii) $17.50 principal amount of 8% exchangeable subordinated debentures of Viacom, (iii) 0.93065 of a contingent value right of Viacom, representing the right to receive (under certain circumstances) cash or securities of Viacom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 all as more fully described in the accompanying Joint Proxy Statement/Prospectus; and</w:t>
      </w:r>
    </w:p>
    <w:p>
      <w:pPr>
        <w:spacing w:after="0" w:line="167" w:lineRule="exact"/>
        <w:rPr>
          <w:rFonts w:ascii="Courier New" w:cs="Courier New" w:eastAsia="Courier New" w:hAnsi="Courier New"/>
          <w:sz w:val="14"/>
          <w:szCs w:val="14"/>
          <w:color w:val="auto"/>
        </w:rPr>
      </w:pPr>
    </w:p>
    <w:p>
      <w:pPr>
        <w:ind w:left="420" w:right="3799" w:firstLine="423"/>
        <w:spacing w:after="0" w:line="239" w:lineRule="auto"/>
        <w:tabs>
          <w:tab w:leader="none" w:pos="1089"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Transacting any other business that may properly come before the meeting or any adjournments or postponements thereof.</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20" w:type="dxa"/>
            <w:vAlign w:val="bottom"/>
          </w:tcPr>
          <w:p>
            <w:pPr>
              <w:ind w:left="420"/>
              <w:spacing w:after="0"/>
              <w:rPr>
                <w:sz w:val="20"/>
                <w:szCs w:val="20"/>
                <w:color w:val="auto"/>
              </w:rPr>
            </w:pPr>
            <w:r>
              <w:rPr>
                <w:rFonts w:ascii="Courier New" w:cs="Courier New" w:eastAsia="Courier New" w:hAnsi="Courier New"/>
                <w:sz w:val="14"/>
                <w:szCs w:val="14"/>
                <w:color w:val="auto"/>
              </w:rPr>
              <w:t>Only stockholders of record</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at the close of business on</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r>
      <w:tr>
        <w:trPr>
          <w:trHeight w:val="161"/>
        </w:trPr>
        <w:tc>
          <w:tcPr>
            <w:tcW w:w="6360" w:type="dxa"/>
            <w:vAlign w:val="bottom"/>
            <w:gridSpan w:val="3"/>
          </w:tcPr>
          <w:p>
            <w:pPr>
              <w:spacing w:after="0"/>
              <w:rPr>
                <w:sz w:val="20"/>
                <w:szCs w:val="20"/>
                <w:color w:val="auto"/>
              </w:rPr>
            </w:pPr>
            <w:r>
              <w:rPr>
                <w:rFonts w:ascii="Courier New" w:cs="Courier New" w:eastAsia="Courier New" w:hAnsi="Courier New"/>
                <w:sz w:val="14"/>
                <w:szCs w:val="14"/>
                <w:color w:val="auto"/>
              </w:rPr>
              <w:t>are entitled to notice of the meeting, and only holders of Paramount Common</w:t>
            </w:r>
          </w:p>
        </w:tc>
        <w:tc>
          <w:tcPr>
            <w:tcW w:w="340" w:type="dxa"/>
            <w:vAlign w:val="bottom"/>
          </w:tcPr>
          <w:p>
            <w:pPr>
              <w:spacing w:after="0"/>
              <w:rPr>
                <w:sz w:val="13"/>
                <w:szCs w:val="13"/>
                <w:color w:val="auto"/>
              </w:rPr>
            </w:pPr>
          </w:p>
        </w:tc>
      </w:tr>
      <w:tr>
        <w:trPr>
          <w:trHeight w:val="161"/>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Stock of record at that time are</w:t>
            </w:r>
          </w:p>
        </w:tc>
        <w:tc>
          <w:tcPr>
            <w:tcW w:w="39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entitled to vote at the meeting. Every holder</w:t>
            </w:r>
          </w:p>
        </w:tc>
      </w:tr>
      <w:tr>
        <w:trPr>
          <w:trHeight w:val="161"/>
        </w:trPr>
        <w:tc>
          <w:tcPr>
            <w:tcW w:w="6360" w:type="dxa"/>
            <w:vAlign w:val="bottom"/>
            <w:gridSpan w:val="3"/>
          </w:tcPr>
          <w:p>
            <w:pPr>
              <w:spacing w:after="0"/>
              <w:rPr>
                <w:sz w:val="20"/>
                <w:szCs w:val="20"/>
                <w:color w:val="auto"/>
              </w:rPr>
            </w:pPr>
            <w:r>
              <w:rPr>
                <w:rFonts w:ascii="Courier New" w:cs="Courier New" w:eastAsia="Courier New" w:hAnsi="Courier New"/>
                <w:sz w:val="14"/>
                <w:szCs w:val="14"/>
                <w:color w:val="auto"/>
              </w:rPr>
              <w:t>of outstanding shares of Paramount Common Stock entitled to be voted at the</w:t>
            </w:r>
          </w:p>
        </w:tc>
        <w:tc>
          <w:tcPr>
            <w:tcW w:w="340" w:type="dxa"/>
            <w:vAlign w:val="bottom"/>
          </w:tcPr>
          <w:p>
            <w:pPr>
              <w:spacing w:after="0"/>
              <w:rPr>
                <w:sz w:val="13"/>
                <w:szCs w:val="13"/>
                <w:color w:val="auto"/>
              </w:rPr>
            </w:pPr>
          </w:p>
        </w:tc>
      </w:tr>
      <w:tr>
        <w:trPr>
          <w:trHeight w:val="161"/>
        </w:trPr>
        <w:tc>
          <w:tcPr>
            <w:tcW w:w="6360" w:type="dxa"/>
            <w:vAlign w:val="bottom"/>
            <w:gridSpan w:val="3"/>
          </w:tcPr>
          <w:p>
            <w:pPr>
              <w:spacing w:after="0"/>
              <w:rPr>
                <w:sz w:val="20"/>
                <w:szCs w:val="20"/>
                <w:color w:val="auto"/>
              </w:rPr>
            </w:pPr>
            <w:r>
              <w:rPr>
                <w:rFonts w:ascii="Courier New" w:cs="Courier New" w:eastAsia="Courier New" w:hAnsi="Courier New"/>
                <w:sz w:val="14"/>
                <w:szCs w:val="14"/>
                <w:color w:val="auto"/>
                <w:w w:val="99"/>
              </w:rPr>
              <w:t>meeting is entitled to one vote for each such share held. The Merger will be</w:t>
            </w:r>
          </w:p>
        </w:tc>
        <w:tc>
          <w:tcPr>
            <w:tcW w:w="340" w:type="dxa"/>
            <w:vAlign w:val="bottom"/>
          </w:tcPr>
          <w:p>
            <w:pPr>
              <w:spacing w:after="0"/>
              <w:rPr>
                <w:sz w:val="13"/>
                <w:szCs w:val="13"/>
                <w:color w:val="auto"/>
              </w:rPr>
            </w:pPr>
          </w:p>
        </w:tc>
      </w:tr>
      <w:tr>
        <w:trPr>
          <w:trHeight w:val="161"/>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consummated on the date that the</w:t>
            </w:r>
          </w:p>
        </w:tc>
        <w:tc>
          <w:tcPr>
            <w:tcW w:w="3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approvals of the stockholders of Paramount</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1"/>
        </w:trPr>
        <w:tc>
          <w:tcPr>
            <w:tcW w:w="2720" w:type="dxa"/>
            <w:vAlign w:val="bottom"/>
          </w:tcPr>
          <w:p>
            <w:pPr>
              <w:spacing w:after="0"/>
              <w:rPr>
                <w:sz w:val="20"/>
                <w:szCs w:val="20"/>
                <w:color w:val="auto"/>
              </w:rPr>
            </w:pPr>
            <w:r>
              <w:rPr>
                <w:rFonts w:ascii="Courier New" w:cs="Courier New" w:eastAsia="Courier New" w:hAnsi="Courier New"/>
                <w:sz w:val="14"/>
                <w:szCs w:val="14"/>
                <w:color w:val="auto"/>
              </w:rPr>
              <w:t>Viacom are obtained.</w:t>
            </w:r>
          </w:p>
        </w:tc>
        <w:tc>
          <w:tcPr>
            <w:tcW w:w="2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connection with the Merger, appraisal rights will be available to those stockholders of Paramount who meet and comply with the requirements of Section 262 of the Delaware General Corporation Law ("DGCL"). Any holder of Paramount Common Stock who wishes to seek appraisal rights must meet and comply with the requirements of Section 262 of the DGCL, a copy of which Section 262 is attached as Annex V to the accompanying Joint Proxy Statement/Prospectus. See the section entitled "Dissenting Stockholders' Rights of Appraisal" in the accompanying Joint Proxy Statement/Prospectus for a discussion of procedures to be followed in asserting appraisal rights.</w:t>
      </w:r>
    </w:p>
    <w:p>
      <w:pPr>
        <w:spacing w:after="0" w:line="164" w:lineRule="exact"/>
        <w:rPr>
          <w:sz w:val="20"/>
          <w:szCs w:val="20"/>
          <w:color w:val="auto"/>
        </w:rPr>
      </w:pPr>
    </w:p>
    <w:p>
      <w:pPr>
        <w:ind w:right="3619" w:firstLine="418"/>
        <w:spacing w:after="0" w:line="267" w:lineRule="auto"/>
        <w:rPr>
          <w:sz w:val="20"/>
          <w:szCs w:val="20"/>
          <w:color w:val="auto"/>
        </w:rPr>
      </w:pPr>
      <w:r>
        <w:rPr>
          <w:rFonts w:ascii="Courier New" w:cs="Courier New" w:eastAsia="Courier New" w:hAnsi="Courier New"/>
          <w:sz w:val="13"/>
          <w:szCs w:val="13"/>
          <w:color w:val="auto"/>
        </w:rPr>
        <w:t>WHETHER OR NOT YOU PLAN TO BE PRESENT AT THE SPECIAL MEETING IN PERSON, PLEASE MARK, DATE AND SIGN THE ENCLOSED PROXY AND RETURN IT IN THE ACCOMPANYING ENVELOPE. IF YOU PLAN TO ATTEND THE SPECIAL MEETING, PLEASE USE THE TICKET REQUEST FORM PRINTED ON THE LAST PAGE OF THE JOINT PROXY STATEMENT/PROSPECTUS.</w:t>
      </w:r>
    </w:p>
    <w:p>
      <w:pPr>
        <w:spacing w:after="0" w:line="14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PHILIPPE P. DAUMAN</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Secretary</w:t>
      </w:r>
    </w:p>
    <w:p>
      <w:pPr>
        <w:spacing w:after="0" w:line="16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 1994</w:t>
      </w:r>
    </w:p>
    <w:p>
      <w:pPr>
        <w:sectPr>
          <w:pgSz w:w="11900" w:h="16838" w:orient="portrait"/>
          <w:cols w:equalWidth="0" w:num="1">
            <w:col w:w="10239"/>
          </w:cols>
          <w:pgMar w:left="220" w:top="60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[LETTERHEAD OF VIACOM]</w:t>
      </w:r>
    </w:p>
    <w:p>
      <w:pPr>
        <w:spacing w:after="0" w:line="166" w:lineRule="exact"/>
        <w:rPr>
          <w:sz w:val="20"/>
          <w:szCs w:val="20"/>
          <w:color w:val="auto"/>
        </w:rPr>
      </w:pPr>
    </w:p>
    <w:p>
      <w:pPr>
        <w:ind w:left="6200"/>
        <w:spacing w:after="0"/>
        <w:rPr>
          <w:sz w:val="20"/>
          <w:szCs w:val="20"/>
          <w:color w:val="auto"/>
        </w:rPr>
      </w:pPr>
      <w:r>
        <w:rPr>
          <w:rFonts w:ascii="Courier New" w:cs="Courier New" w:eastAsia="Courier New" w:hAnsi="Courier New"/>
          <w:sz w:val="13"/>
          <w:szCs w:val="13"/>
          <w:color w:val="auto"/>
        </w:rPr>
        <w:t>, 1994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w:t>
      </w:r>
    </w:p>
    <w:p>
      <w:pPr>
        <w:spacing w:after="0" w:line="166" w:lineRule="exact"/>
        <w:rPr>
          <w:sz w:val="20"/>
          <w:szCs w:val="20"/>
          <w:color w:val="auto"/>
        </w:rPr>
      </w:pPr>
    </w:p>
    <w:p>
      <w:pPr>
        <w:ind w:right="3799" w:firstLine="418"/>
        <w:spacing w:after="0" w:line="239" w:lineRule="auto"/>
        <w:rPr>
          <w:sz w:val="20"/>
          <w:szCs w:val="20"/>
          <w:color w:val="auto"/>
        </w:rPr>
      </w:pPr>
      <w:r>
        <w:rPr>
          <w:rFonts w:ascii="Courier New" w:cs="Courier New" w:eastAsia="Courier New" w:hAnsi="Courier New"/>
          <w:sz w:val="14"/>
          <w:szCs w:val="14"/>
          <w:color w:val="auto"/>
        </w:rPr>
        <w:t>You are cordially invited to attend a Special Meeting of Stockholders of Viacom Inc., which will be held at [ ], New York, New York at</w:t>
      </w:r>
    </w:p>
    <w:p>
      <w:pPr>
        <w:spacing w:after="0" w:line="6" w:lineRule="exact"/>
        <w:rPr>
          <w:sz w:val="20"/>
          <w:szCs w:val="20"/>
          <w:color w:val="auto"/>
        </w:rPr>
      </w:pPr>
    </w:p>
    <w:p>
      <w:pPr>
        <w:ind w:right="3799" w:firstLine="6"/>
        <w:spacing w:after="0" w:line="242" w:lineRule="auto"/>
        <w:tabs>
          <w:tab w:leader="none" w:pos="50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 (local time) on [ ] [ ], 1994. At the Special Meeting, holders of Viacom Class A Common Stock will be asked to approve proposals providing for the merger of a wholly owned subsidiary of Viacom with and into Paramount Communications Inc.</w:t>
      </w:r>
    </w:p>
    <w:p>
      <w:pPr>
        <w:spacing w:after="0" w:line="165"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The merger with Paramount reflects our vision of building an integrated global entertainment company. The combination of Viacom and Paramount will form an entertainment and communications powerhouse uniquely positioned to exploit new opportunities in the entertainment business, domestically and around the world. Viacom is also a party to a merger agreement with Blockbuster Entertainment Corporation. IT IS ANTICIPATED THAT CONSIDERATION OF THE BLOCKBUSTER MERGER WILL TAKE PLACE AT A SEPARATE SPECIAL MEETING OF VIACOM STOCKHOLDERS FOR WHICH YOU WILL RECEIVE A SEPARATE JOINT PROXY STATEMENT/PROSPECTUS OF VIACOM AND BLOCKBUSTER.</w:t>
      </w:r>
    </w:p>
    <w:p>
      <w:pPr>
        <w:spacing w:after="0" w:line="164"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Pursuant to a successful tender offer, on March 11, 1994, Viacom completed its purchase of a majority of the outstanding shares of Paramount Common Stock. In the merger, each share of Paramount Common Stock not owned by Viacom will be converted into the right to receive (i) 0.93065 of a share of non-voting Viacom Class B Common Stock, (ii) $17.50 principal amount of 8% exchangeable subordinated debentures of Viacom, (iii) 0.93065 of a contingent value right, representing the right to receive (under certain circumstances) cash or securities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 The proposed merger with Paramount is described in the accompanying Joint Proxy Statement/Prospectus.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Viacom Board of Directors has determined that the merger with Paramount is fair to, and in the best interests of, Viacom and its stockholders. Accordingly, the Board approved the Paramount merger agreement and certain other transactions with Paramount and recommends that holders of Viacom Class A Common Stock vote to approve the merger with Paramount and the issuance of shares of Viacom Class B Common Stock and other Viacom securities in connection with the merger. To the extent such matters have not been previously approved by the stockholders of Viacom, the Board also recommends that such holders approve proposals to amend the Restated Certificate of Incorporation of Viacom to increase the number of shares of Viacom Class A Common Stock authorized to be issued from 100 million to 200 million, to increase the number of shares of Viacom Class B Common Stock authorized to be issued from 150 million to one billion, to increase the number of shares of preferred stock of Viacom authorized to be issued from 100 million to 200 million and to increase the maximum number of directors constituting the entire Board of Directors of Viacom from 12 to 20.</w:t>
      </w:r>
    </w:p>
    <w:p>
      <w:pPr>
        <w:spacing w:after="0" w:line="166"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National Amusements, Inc., which owns approximately 85% of Viacom's voting stock, has agreed to vote such shares in favor of the transactions contemplated by the Paramount merger agreement in accordance with National Amusement's obligations under a Voting Agreement executed with Paramount. Therefore, approval of such transactions by the stockholders of Viacom is assured.</w:t>
      </w:r>
    </w:p>
    <w:p>
      <w:pPr>
        <w:spacing w:after="0" w:line="152"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Immediately following the Special Meeting, the 1994 Annual Meeting of Viacom Stockholders will be convened for the purposes listed in the accompanying Notice of Special and Annual Meetings of Stockholders. The proposals to be considered at the Annual Meeting are described in the accompanying Joint Proxy Statement/Prospectus.</w:t>
      </w:r>
    </w:p>
    <w:p>
      <w:pPr>
        <w:sectPr>
          <w:pgSz w:w="11900" w:h="16838" w:orient="portrait"/>
          <w:cols w:equalWidth="0" w:num="1">
            <w:col w:w="10239"/>
          </w:cols>
          <w:pgMar w:left="220" w:top="600" w:right="1440" w:bottom="1440" w:gutter="0" w:footer="0" w:header="0"/>
        </w:sectPr>
      </w:pPr>
    </w:p>
    <w:bookmarkStart w:id="4" w:name="page5"/>
    <w:bookmarkEnd w:id="4"/>
    <w:p>
      <w:pPr>
        <w:ind w:right="3619" w:firstLine="418"/>
        <w:spacing w:after="0" w:line="241" w:lineRule="auto"/>
        <w:rPr>
          <w:sz w:val="20"/>
          <w:szCs w:val="20"/>
          <w:color w:val="auto"/>
        </w:rPr>
      </w:pPr>
      <w:r>
        <w:rPr>
          <w:rFonts w:ascii="Courier New" w:cs="Courier New" w:eastAsia="Courier New" w:hAnsi="Courier New"/>
          <w:sz w:val="14"/>
          <w:szCs w:val="14"/>
          <w:color w:val="auto"/>
        </w:rPr>
        <w:t>Because of the significance to Viacom of the transactions described above, your participation in these meetings, in person or by proxy, is especially important.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 hope you will be able to attend the meetings. However, even if you anticipate attending in person, we urge you to mark, sign and return the enclosed proxy card promptly to ensure that your shares of Viacom Class A Common Stock will be represented at the meetings. If you do attend, you will, of course, be entitled to vote such shares in person.</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Thank you, and I look forward to seeing you at the meetings.</w:t>
      </w:r>
    </w:p>
    <w:p>
      <w:pPr>
        <w:spacing w:after="0" w:line="163"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Sincerely,</w:t>
      </w:r>
    </w:p>
    <w:p>
      <w:pPr>
        <w:spacing w:after="0" w:line="163"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SUMNER M. REDSTONE</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Chairman of the Board</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6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[VIACOM LETTERHEAD]</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NOTICE OF SPECIAL AND ANNUAL MEETINGS OF STOCKHOLDERS</w:t>
      </w:r>
    </w:p>
    <w:p>
      <w:pPr>
        <w:spacing w:after="0" w:line="2" w:lineRule="exact"/>
        <w:rPr>
          <w:sz w:val="20"/>
          <w:szCs w:val="20"/>
          <w:color w:val="auto"/>
        </w:rPr>
      </w:pPr>
    </w:p>
    <w:p>
      <w:pPr>
        <w:ind w:left="1840"/>
        <w:spacing w:after="0"/>
        <w:tabs>
          <w:tab w:leader="none" w:pos="4260" w:val="left"/>
        </w:tabs>
        <w:rPr>
          <w:sz w:val="20"/>
          <w:szCs w:val="20"/>
          <w:color w:val="auto"/>
        </w:rPr>
      </w:pPr>
      <w:r>
        <w:rPr>
          <w:rFonts w:ascii="Courier New" w:cs="Courier New" w:eastAsia="Courier New" w:hAnsi="Courier New"/>
          <w:sz w:val="14"/>
          <w:szCs w:val="14"/>
          <w:color w:val="auto"/>
        </w:rPr>
        <w:t>TO BE HELD ON [</w:t>
      </w:r>
      <w:r>
        <w:rPr>
          <w:sz w:val="20"/>
          <w:szCs w:val="20"/>
          <w:color w:val="auto"/>
        </w:rPr>
        <w:tab/>
      </w:r>
      <w:r>
        <w:rPr>
          <w:rFonts w:ascii="Courier New" w:cs="Courier New" w:eastAsia="Courier New" w:hAnsi="Courier New"/>
          <w:sz w:val="13"/>
          <w:szCs w:val="13"/>
          <w:color w:val="auto"/>
        </w:rPr>
        <w:t>], 1994</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Viacom Inc. Stockholders: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 Special Meeting (the "Special Meeting") of Stockholders of Viacom Inc. ("Viacom") will be held at [ ] New York, New York at [ ] a.m. (local time) on [ ], 1994 to consider the following proposals:</w:t>
      </w:r>
    </w:p>
    <w:p>
      <w:pPr>
        <w:spacing w:after="0" w:line="325" w:lineRule="exact"/>
        <w:rPr>
          <w:sz w:val="20"/>
          <w:szCs w:val="20"/>
          <w:color w:val="auto"/>
        </w:rPr>
      </w:pPr>
    </w:p>
    <w:p>
      <w:pPr>
        <w:ind w:left="420" w:right="3799" w:firstLine="418"/>
        <w:spacing w:after="0" w:line="239" w:lineRule="auto"/>
        <w:rPr>
          <w:sz w:val="20"/>
          <w:szCs w:val="20"/>
          <w:color w:val="auto"/>
        </w:rPr>
      </w:pPr>
      <w:r>
        <w:rPr>
          <w:rFonts w:ascii="Courier New" w:cs="Courier New" w:eastAsia="Courier New" w:hAnsi="Courier New"/>
          <w:sz w:val="14"/>
          <w:szCs w:val="14"/>
          <w:color w:val="auto"/>
        </w:rPr>
        <w:t>(1) the approval and adoption of the Second Amended and Restated Agreement and Plan of Merger dated as of [ ], 1994 (the "Paramount</w:t>
      </w:r>
    </w:p>
    <w:p>
      <w:pPr>
        <w:spacing w:after="0" w:line="6" w:lineRule="exact"/>
        <w:rPr>
          <w:sz w:val="20"/>
          <w:szCs w:val="20"/>
          <w:color w:val="auto"/>
        </w:rPr>
      </w:pPr>
    </w:p>
    <w:p>
      <w:pPr>
        <w:ind w:left="420" w:right="3539"/>
        <w:spacing w:after="0" w:line="262" w:lineRule="auto"/>
        <w:rPr>
          <w:sz w:val="20"/>
          <w:szCs w:val="20"/>
          <w:color w:val="auto"/>
        </w:rPr>
      </w:pPr>
      <w:r>
        <w:rPr>
          <w:rFonts w:ascii="Courier New" w:cs="Courier New" w:eastAsia="Courier New" w:hAnsi="Courier New"/>
          <w:sz w:val="13"/>
          <w:szCs w:val="13"/>
          <w:color w:val="auto"/>
        </w:rPr>
        <w:t>Merger Agreement") among Viacom, Viacom Sub Inc., a wholly owned subsidiary of Viacom (the "Merger Subsidiary"), and Paramount Communications Inc. ("Paramount"), a copy of which is attached as Annex I to the accompanying Joint Proxy Statement/Prospectus, providing for the merger of the Merger Subsidiary with and into Paramount, pursuant to which each share of Common Stock, par value $1.00 per share, of Paramount (other than shares held by Viacom, Paramount and their subsidiaries and by holders who demand and perfect appraisal rights) will be converted into the right to receive (i)</w:t>
      </w:r>
    </w:p>
    <w:p>
      <w:pPr>
        <w:spacing w:after="0" w:line="1" w:lineRule="exact"/>
        <w:rPr>
          <w:sz w:val="20"/>
          <w:szCs w:val="20"/>
          <w:color w:val="auto"/>
        </w:rPr>
      </w:pPr>
    </w:p>
    <w:p>
      <w:pPr>
        <w:ind w:left="420" w:right="3539"/>
        <w:spacing w:after="0" w:line="243" w:lineRule="auto"/>
        <w:rPr>
          <w:sz w:val="20"/>
          <w:szCs w:val="20"/>
          <w:color w:val="auto"/>
        </w:rPr>
      </w:pPr>
      <w:r>
        <w:rPr>
          <w:rFonts w:ascii="Courier New" w:cs="Courier New" w:eastAsia="Courier New" w:hAnsi="Courier New"/>
          <w:sz w:val="14"/>
          <w:szCs w:val="14"/>
          <w:color w:val="auto"/>
        </w:rPr>
        <w:t>0.93065 of a share of Class B Common Stock, par value $.01 per share, of Viacom ("Viacom Class B Common Stock"), (ii) $17.50 principal amount of 8% exchangeable subordinated debentures of Viacom, (iii) 0.93065 of a contingent value right of Viacom, representing the right to receive (under certain circumstances) cash or securities of Viacom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 all as more fully described in the accompanying Joint Proxy Statement/Prospectus (collectively, the "Paramount Merger Consideration"); such approval and adoption includes, without limitation, the approval of the issuance of the Paramount Merger Consideration;</w:t>
      </w:r>
    </w:p>
    <w:p>
      <w:pPr>
        <w:spacing w:after="0" w:line="326" w:lineRule="exact"/>
        <w:rPr>
          <w:sz w:val="20"/>
          <w:szCs w:val="20"/>
          <w:color w:val="auto"/>
        </w:rPr>
      </w:pPr>
    </w:p>
    <w:p>
      <w:pPr>
        <w:jc w:val="both"/>
        <w:ind w:left="420" w:right="3799" w:firstLine="423"/>
        <w:spacing w:after="0" w:line="242" w:lineRule="auto"/>
        <w:tabs>
          <w:tab w:leader="none" w:pos="117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the approval of an amendment to the Restated Certificate of Incorporation of Viacom increasing the number of shares of Viacom Class A Common Stock authorized to be issued from 100 million to 200 million;</w:t>
      </w:r>
    </w:p>
    <w:p>
      <w:pPr>
        <w:spacing w:after="0" w:line="200" w:lineRule="exact"/>
        <w:rPr>
          <w:rFonts w:ascii="Courier New" w:cs="Courier New" w:eastAsia="Courier New" w:hAnsi="Courier New"/>
          <w:sz w:val="14"/>
          <w:szCs w:val="14"/>
          <w:color w:val="auto"/>
        </w:rPr>
      </w:pPr>
    </w:p>
    <w:p>
      <w:pPr>
        <w:spacing w:after="0" w:line="286" w:lineRule="exact"/>
        <w:rPr>
          <w:rFonts w:ascii="Courier New" w:cs="Courier New" w:eastAsia="Courier New" w:hAnsi="Courier New"/>
          <w:sz w:val="14"/>
          <w:szCs w:val="14"/>
          <w:color w:val="auto"/>
        </w:rPr>
      </w:pPr>
    </w:p>
    <w:p>
      <w:pPr>
        <w:jc w:val="both"/>
        <w:ind w:left="420" w:right="3799" w:firstLine="423"/>
        <w:spacing w:after="0" w:line="242" w:lineRule="auto"/>
        <w:tabs>
          <w:tab w:leader="none" w:pos="117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the approval of an amendment to the Restated Certificate of Incorporation of Viacom increasing the number of shares of Viacom Class B Common Stock authorized to be issued from 150 million to one billion;</w:t>
      </w:r>
    </w:p>
    <w:p>
      <w:pPr>
        <w:spacing w:after="0" w:line="200" w:lineRule="exact"/>
        <w:rPr>
          <w:rFonts w:ascii="Courier New" w:cs="Courier New" w:eastAsia="Courier New" w:hAnsi="Courier New"/>
          <w:sz w:val="14"/>
          <w:szCs w:val="14"/>
          <w:color w:val="auto"/>
        </w:rPr>
      </w:pPr>
    </w:p>
    <w:p>
      <w:pPr>
        <w:spacing w:after="0" w:line="286" w:lineRule="exact"/>
        <w:rPr>
          <w:rFonts w:ascii="Courier New" w:cs="Courier New" w:eastAsia="Courier New" w:hAnsi="Courier New"/>
          <w:sz w:val="14"/>
          <w:szCs w:val="14"/>
          <w:color w:val="auto"/>
        </w:rPr>
      </w:pPr>
    </w:p>
    <w:p>
      <w:pPr>
        <w:jc w:val="both"/>
        <w:ind w:left="420" w:right="3799" w:firstLine="423"/>
        <w:spacing w:after="0" w:line="242" w:lineRule="auto"/>
        <w:tabs>
          <w:tab w:leader="none" w:pos="117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the approval of an amendment to the Restated Certificate of Incorporation of Viacom increasing the number of shares of preferred stock of Viacom authorized to be issued from 100 million to 200 million;</w:t>
      </w:r>
    </w:p>
    <w:p>
      <w:pPr>
        <w:spacing w:after="0" w:line="200" w:lineRule="exact"/>
        <w:rPr>
          <w:rFonts w:ascii="Courier New" w:cs="Courier New" w:eastAsia="Courier New" w:hAnsi="Courier New"/>
          <w:sz w:val="14"/>
          <w:szCs w:val="14"/>
          <w:color w:val="auto"/>
        </w:rPr>
      </w:pPr>
    </w:p>
    <w:p>
      <w:pPr>
        <w:spacing w:after="0" w:line="286" w:lineRule="exact"/>
        <w:rPr>
          <w:rFonts w:ascii="Courier New" w:cs="Courier New" w:eastAsia="Courier New" w:hAnsi="Courier New"/>
          <w:sz w:val="14"/>
          <w:szCs w:val="14"/>
          <w:color w:val="auto"/>
        </w:rPr>
      </w:pPr>
    </w:p>
    <w:p>
      <w:pPr>
        <w:ind w:left="420" w:right="3699" w:firstLine="423"/>
        <w:spacing w:after="0" w:line="242" w:lineRule="auto"/>
        <w:tabs>
          <w:tab w:leader="none" w:pos="117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the approval of an amendment to the Restated Certificate of Incorporation of Viacom increasing the maximum number of directors constituting the Board of Directors of Viacom from 12 to 20; and</w:t>
      </w:r>
    </w:p>
    <w:p>
      <w:pPr>
        <w:spacing w:after="0" w:line="323" w:lineRule="exact"/>
        <w:rPr>
          <w:rFonts w:ascii="Courier New" w:cs="Courier New" w:eastAsia="Courier New" w:hAnsi="Courier New"/>
          <w:sz w:val="14"/>
          <w:szCs w:val="14"/>
          <w:color w:val="auto"/>
        </w:rPr>
      </w:pPr>
    </w:p>
    <w:p>
      <w:pPr>
        <w:ind w:left="1180" w:hanging="337"/>
        <w:spacing w:after="0"/>
        <w:tabs>
          <w:tab w:leader="none" w:pos="1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as may properly be brought before the Special</w:t>
      </w:r>
    </w:p>
    <w:p>
      <w:pPr>
        <w:spacing w:after="0" w:line="2"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Meeting.</w:t>
      </w:r>
    </w:p>
    <w:p>
      <w:pPr>
        <w:sectPr>
          <w:pgSz w:w="11900" w:h="16838" w:orient="portrait"/>
          <w:cols w:equalWidth="0" w:num="1">
            <w:col w:w="10239"/>
          </w:cols>
          <w:pgMar w:left="220" w:top="600" w:right="1440" w:bottom="1440" w:gutter="0" w:footer="0" w:header="0"/>
        </w:sectPr>
      </w:pPr>
    </w:p>
    <w:bookmarkStart w:id="6" w:name="page7"/>
    <w:bookmarkEnd w:id="6"/>
    <w:p>
      <w:pPr>
        <w:ind w:right="3879" w:firstLine="418"/>
        <w:spacing w:after="0" w:line="242" w:lineRule="auto"/>
        <w:rPr>
          <w:sz w:val="20"/>
          <w:szCs w:val="20"/>
          <w:color w:val="auto"/>
        </w:rPr>
      </w:pPr>
      <w:r>
        <w:rPr>
          <w:rFonts w:ascii="Courier New" w:cs="Courier New" w:eastAsia="Courier New" w:hAnsi="Courier New"/>
          <w:sz w:val="14"/>
          <w:szCs w:val="14"/>
          <w:color w:val="auto"/>
        </w:rPr>
        <w:t>Under applicable law, holders of Viacom Class A Common Stock or Viacom Class B Common Stock will not have appraisal rights in connection with the approval and adoption of the Paramount Merger Agreement because, among other reasons, Viacom is not a constituent corporation in the merger.</w:t>
      </w:r>
    </w:p>
    <w:p>
      <w:pPr>
        <w:spacing w:after="0" w:line="165"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The 1994 Annual Meeting of Stockholders of Viacom will be held immediately following the Special Meeting, at the same location as the Special Meeting, to consider the following proposals:</w:t>
      </w:r>
    </w:p>
    <w:p>
      <w:pPr>
        <w:spacing w:after="0" w:line="163" w:lineRule="exact"/>
        <w:rPr>
          <w:sz w:val="20"/>
          <w:szCs w:val="20"/>
          <w:color w:val="auto"/>
        </w:rPr>
      </w:pPr>
    </w:p>
    <w:p>
      <w:pPr>
        <w:ind w:left="1180" w:hanging="337"/>
        <w:spacing w:after="0"/>
        <w:tabs>
          <w:tab w:leader="none" w:pos="1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10 directors;</w:t>
      </w:r>
    </w:p>
    <w:p>
      <w:pPr>
        <w:spacing w:after="0" w:line="163" w:lineRule="exact"/>
        <w:rPr>
          <w:rFonts w:ascii="Courier New" w:cs="Courier New" w:eastAsia="Courier New" w:hAnsi="Courier New"/>
          <w:sz w:val="14"/>
          <w:szCs w:val="14"/>
          <w:color w:val="auto"/>
        </w:rPr>
      </w:pPr>
    </w:p>
    <w:p>
      <w:pPr>
        <w:ind w:left="1180" w:hanging="337"/>
        <w:spacing w:after="0"/>
        <w:tabs>
          <w:tab w:leader="none" w:pos="1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Viacom Senior Executive Short-Term Incentive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Plan;</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(3) the approval of the Viacom 1994 Long-Term Management Incentive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Plan;</w:t>
      </w:r>
    </w:p>
    <w:p>
      <w:pPr>
        <w:spacing w:after="0" w:line="166" w:lineRule="exact"/>
        <w:rPr>
          <w:sz w:val="20"/>
          <w:szCs w:val="20"/>
          <w:color w:val="auto"/>
        </w:rPr>
      </w:pPr>
    </w:p>
    <w:p>
      <w:pPr>
        <w:ind w:left="420" w:right="4379" w:firstLine="423"/>
        <w:spacing w:after="0" w:line="239" w:lineRule="auto"/>
        <w:tabs>
          <w:tab w:leader="none" w:pos="117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Viacom Stock Option Plan for Outside Directors;</w:t>
      </w:r>
    </w:p>
    <w:p>
      <w:pPr>
        <w:spacing w:after="0" w:line="164" w:lineRule="exact"/>
        <w:rPr>
          <w:rFonts w:ascii="Courier New" w:cs="Courier New" w:eastAsia="Courier New" w:hAnsi="Courier New"/>
          <w:sz w:val="14"/>
          <w:szCs w:val="14"/>
          <w:color w:val="auto"/>
        </w:rPr>
      </w:pPr>
    </w:p>
    <w:p>
      <w:pPr>
        <w:ind w:left="1180" w:hanging="337"/>
        <w:spacing w:after="0"/>
        <w:tabs>
          <w:tab w:leader="none" w:pos="1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appointment of independent auditors for 1994;</w:t>
      </w:r>
    </w:p>
    <w:p>
      <w:pPr>
        <w:spacing w:after="0" w:line="2"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65" w:lineRule="exact"/>
        <w:rPr>
          <w:rFonts w:ascii="Courier New" w:cs="Courier New" w:eastAsia="Courier New" w:hAnsi="Courier New"/>
          <w:sz w:val="14"/>
          <w:szCs w:val="14"/>
          <w:color w:val="auto"/>
        </w:rPr>
      </w:pPr>
    </w:p>
    <w:p>
      <w:pPr>
        <w:ind w:left="420" w:right="3539" w:firstLine="423"/>
        <w:spacing w:after="0" w:line="239" w:lineRule="auto"/>
        <w:tabs>
          <w:tab w:leader="none" w:pos="117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as may properly come before the Annual Meeting or any adjournment thereof.</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Pursuant to the By-laws of Viacom, the Board of Directors has fixed the</w:t>
      </w:r>
    </w:p>
    <w:p>
      <w:pPr>
        <w:spacing w:after="0" w:line="5" w:lineRule="exact"/>
        <w:rPr>
          <w:sz w:val="20"/>
          <w:szCs w:val="20"/>
          <w:color w:val="auto"/>
        </w:rPr>
      </w:pPr>
    </w:p>
    <w:p>
      <w:pPr>
        <w:jc w:val="both"/>
        <w:ind w:right="3539"/>
        <w:spacing w:after="0" w:line="241" w:lineRule="auto"/>
        <w:rPr>
          <w:sz w:val="20"/>
          <w:szCs w:val="20"/>
          <w:color w:val="auto"/>
        </w:rPr>
      </w:pPr>
      <w:r>
        <w:rPr>
          <w:rFonts w:ascii="Courier New" w:cs="Courier New" w:eastAsia="Courier New" w:hAnsi="Courier New"/>
          <w:sz w:val="14"/>
          <w:szCs w:val="14"/>
          <w:color w:val="auto"/>
        </w:rPr>
        <w:t>close of business on [ ], 1994 as the time for determining stockholders of record entitled to notice of, and to vote at, the Special Meeting and the Annual Meeting.</w:t>
      </w:r>
    </w:p>
    <w:p>
      <w:pPr>
        <w:spacing w:after="0" w:line="166" w:lineRule="exact"/>
        <w:rPr>
          <w:sz w:val="20"/>
          <w:szCs w:val="20"/>
          <w:color w:val="auto"/>
        </w:rPr>
      </w:pPr>
    </w:p>
    <w:p>
      <w:pPr>
        <w:ind w:right="3699" w:firstLine="418"/>
        <w:spacing w:after="0" w:line="276" w:lineRule="auto"/>
        <w:rPr>
          <w:sz w:val="20"/>
          <w:szCs w:val="20"/>
          <w:color w:val="auto"/>
        </w:rPr>
      </w:pPr>
      <w:r>
        <w:rPr>
          <w:rFonts w:ascii="Courier New" w:cs="Courier New" w:eastAsia="Courier New" w:hAnsi="Courier New"/>
          <w:sz w:val="13"/>
          <w:szCs w:val="13"/>
          <w:color w:val="auto"/>
        </w:rPr>
        <w:t>Each share of Viacom Class A Common Stock will entitle the holder thereof to one vote on all matters which may properly come before the meetings.</w:t>
      </w:r>
    </w:p>
    <w:p>
      <w:pPr>
        <w:spacing w:after="0" w:line="144" w:lineRule="exact"/>
        <w:rPr>
          <w:sz w:val="20"/>
          <w:szCs w:val="20"/>
          <w:color w:val="auto"/>
        </w:rPr>
      </w:pPr>
    </w:p>
    <w:p>
      <w:pPr>
        <w:ind w:right="3539" w:firstLine="418"/>
        <w:spacing w:after="0" w:line="267" w:lineRule="auto"/>
        <w:rPr>
          <w:sz w:val="20"/>
          <w:szCs w:val="20"/>
          <w:color w:val="auto"/>
        </w:rPr>
      </w:pPr>
      <w:r>
        <w:rPr>
          <w:rFonts w:ascii="Courier New" w:cs="Courier New" w:eastAsia="Courier New" w:hAnsi="Courier New"/>
          <w:sz w:val="13"/>
          <w:szCs w:val="13"/>
          <w:color w:val="auto"/>
        </w:rPr>
        <w:t>WHETHER OR NOT YOU PLAN TO BE PRESENT AT THE MEETINGS IN PERSON, PLEASE MARK, DATE AND SIGN THE ENCLOSED PROXY AND RETURN IT IN THE ACCOMPANYING ENVELOPE. IF YOU PLAN TO ATTEND THE MEETINGS, PLEASE USE THE TICKET REQUEST FORM PRINTED ON THE LAST PAGE OF THE ACCOMPANYING JOINT PROXY STATEMENT/PROSPECTUS.</w:t>
      </w:r>
    </w:p>
    <w:p>
      <w:pPr>
        <w:spacing w:after="0" w:line="14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PHILIPPE P. DAUMAN</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Secretary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 w:type="dxa"/>
            <w:vAlign w:val="bottom"/>
          </w:tcPr>
          <w:p>
            <w:pPr>
              <w:jc w:val="right"/>
              <w:ind w:right="57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1994</w:t>
            </w:r>
          </w:p>
        </w:tc>
      </w:tr>
    </w:tbl>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6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AND</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JOINT PROXY STATEMENT</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jc w:val="right"/>
        <w:ind w:right="6459"/>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jc w:val="right"/>
        <w:ind w:right="6459"/>
        <w:spacing w:after="0"/>
        <w:rPr>
          <w:sz w:val="20"/>
          <w:szCs w:val="20"/>
          <w:color w:val="auto"/>
        </w:rPr>
      </w:pPr>
      <w:r>
        <w:rPr>
          <w:rFonts w:ascii="Courier New" w:cs="Courier New" w:eastAsia="Courier New" w:hAnsi="Courier New"/>
          <w:sz w:val="14"/>
          <w:szCs w:val="14"/>
          <w:color w:val="auto"/>
        </w:rPr>
        <w:t>PROSPECTUS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This Joint Proxy Statement/Prospectus (this "Proxy Statement/Prospectus") is being furnished to stockholders of Viacom Inc. (together with its consolidated subsidiaries, "Viacom") and Paramount Communications Inc. (together with its consolidated subsidiaries, "Paramount") in connection with the solicitation of proxies by the respective Boards of Directors of such corporations for use at their respective Special Meetings of Stockholders (including any adjournments or postponements thereof) to be held on</w:t>
      </w:r>
    </w:p>
    <w:p>
      <w:pPr>
        <w:spacing w:after="0" w:line="7" w:lineRule="exact"/>
        <w:rPr>
          <w:sz w:val="20"/>
          <w:szCs w:val="20"/>
          <w:color w:val="auto"/>
        </w:rPr>
      </w:pPr>
    </w:p>
    <w:p>
      <w:pPr>
        <w:ind w:right="3539" w:firstLine="6"/>
        <w:spacing w:after="0" w:line="262" w:lineRule="auto"/>
        <w:tabs>
          <w:tab w:leader="none" w:pos="1255"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1994. This Proxy Statement/Prospectus relates to a business combination transaction pursuant to which Viacom Sub Inc., a wholly owned subsidiary of Viacom (the "Merger Subsidiary"), will merge with and into Paramount (the "Paramount Merger"), pursuant to the Amended and Restated Agreement and Plan of Merger dated February 4, 1994 between Viacom and Paramount</w:t>
      </w: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(the "February 4 Merger Agreement") as amended and restated by the Second</w:t>
      </w:r>
    </w:p>
    <w:p>
      <w:pPr>
        <w:spacing w:after="0" w:line="162"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Amended and Restated Agreement and Plan of Merger dated as of [ ], 1994 (the "Paramount Merger Agreement") among Viacom, the Merger Subsidiary and Paramount, a copy of which is attached hereto as Annex I.</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This Proxy Statement/Prospectus is also being furnished to stockholders of Viacom in connection with the solicitation of proxies by the Viacom Board of Directors for use at the 1994 Annual Meeting of Stockholders of Viacom (the "Viacom Annual Meeting"), which is to be held immediately following the Special Meeting of Stockholders of Viacom referred to above. At the Viacom Annual Meeting, holders of Class A Common Stock, par value $.01 per share, of Viacom ("Viacom Class A Common Stock") will be asked to consider and vote upon (i) the election of 10 directors, (ii) the approval of the Viacom Senior Executive Short-Term Incentive Plan, (iii) the approval of the Viacom 1994 Long-Term Management Incentive Plan, (iv) the approval of the Viacom Stock Option Plan for Outside Directors, (v) the approval of the appointment of independent auditors for 1994 and (vi) such other business as may properly come before the Viacom Annual Meeting or any adjournment thereof.</w:t>
      </w:r>
    </w:p>
    <w:p>
      <w:pPr>
        <w:spacing w:after="0" w:line="165"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This Proxy Statement/Prospectus also constitutes a prospectus of Viacom with respect to (i) [56,895,733] shares of the Class B Common Stock, par value $.01 per share, of Viacom ("Viacom Class B Common Stock" and, together with the Viacom Class A Common Stock, the "Viacom Common Stock"), (ii) [$1,069,870,865] principal amount of 8% exchangeable subordinated debentures of Viacom (the "Viacom Merger Debentures"), (iii) [56,895,733] contingent value rights of Viacom ("CVRs"), representing the right to receive (under certain circumstances) cash or securities of Viacom depending on market prices of Viacom Class B Common Stock during a one-, two-or three-year period following the Paramount Merger,</w:t>
      </w:r>
    </w:p>
    <w:p>
      <w:pPr>
        <w:spacing w:after="0" w:line="1" w:lineRule="exact"/>
        <w:rPr>
          <w:sz w:val="20"/>
          <w:szCs w:val="20"/>
          <w:color w:val="auto"/>
        </w:rPr>
      </w:pPr>
    </w:p>
    <w:p>
      <w:pPr>
        <w:ind w:right="3539" w:firstLine="6"/>
        <w:spacing w:after="0" w:line="242" w:lineRule="auto"/>
        <w:tabs>
          <w:tab w:leader="none" w:pos="41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[30,567,739] three-year warrants ("Viacom Three-Year Warrants") to purchase one share of Viacom Class B Common Stock at $60 per share, and (v) [18,340,643] five-year warrants ("Viacom Five-Year Warrants" and, together with Viacom Three-Year Warrants, the "Viacom Warrants") to purchase one share of Viacom Class B Common Stock at $70 per share, all issuable to the holders of the Common Stock, par value $1.00 per share, of Paramount ("Paramount Common Stock") in the Paramount Merger.</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THIS PROXY STATEMENT/PROSPECTUS DOES NOT RELATE TO THE PROPOSED MERGER (THE "BLOCKBUSTER MERGER" AND, TOGETHER WITH THE PARAMOUNT MERGER, THE "MERGERS") BETWEEN VIACOM AND BLOCKBUSTER ENTERTAINMENT CORPORATION (TOGETHER WITH ITS CONSOLIDATED SUBSIDIARIES, "BLOCKBUSTER"). IT IS EXPECTED THAT A SEPARATE JOINT PROXY STATEMENT/PROSPECTUS OF VIACOM AND BLOCKBUSTER RELATING TO THE BLOCKBUSTER MERGER WILL BE SENT TO STOCKHOLDERS OF VIACOM AND BLOCKBUSTER.</w:t>
      </w:r>
    </w:p>
    <w:p>
      <w:pPr>
        <w:spacing w:after="0" w:line="167"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This Proxy Statement/Prospectus and the accompanying forms of proxy are first being mailed to stockholders of Viacom and Paramount on or about</w:t>
      </w:r>
    </w:p>
    <w:p>
      <w:pPr>
        <w:spacing w:after="0" w:line="3" w:lineRule="exact"/>
        <w:rPr>
          <w:sz w:val="20"/>
          <w:szCs w:val="20"/>
          <w:color w:val="auto"/>
        </w:rPr>
      </w:pPr>
    </w:p>
    <w:p>
      <w:pPr>
        <w:ind w:left="1260" w:hanging="1254"/>
        <w:spacing w:after="0"/>
        <w:tabs>
          <w:tab w:leader="none" w:pos="1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1994.</w:t>
      </w:r>
    </w:p>
    <w:p>
      <w:pPr>
        <w:spacing w:after="0" w:line="166" w:lineRule="exact"/>
        <w:rPr>
          <w:sz w:val="20"/>
          <w:szCs w:val="20"/>
          <w:color w:val="auto"/>
        </w:rPr>
      </w:pPr>
    </w:p>
    <w:p>
      <w:pPr>
        <w:jc w:val="right"/>
        <w:ind w:right="4719"/>
        <w:spacing w:after="0" w:line="241" w:lineRule="auto"/>
        <w:rPr>
          <w:sz w:val="20"/>
          <w:szCs w:val="20"/>
          <w:color w:val="auto"/>
        </w:rPr>
      </w:pPr>
      <w:r>
        <w:rPr>
          <w:rFonts w:ascii="Courier New" w:cs="Courier New" w:eastAsia="Courier New" w:hAnsi="Courier New"/>
          <w:sz w:val="14"/>
          <w:szCs w:val="14"/>
          <w:color w:val="auto"/>
        </w:rPr>
        <w:t>NEITHER THIS TRANSACTION NOR THE SECURITIES COVERED BY THIS PROXY STATEMENT/PROSPECTUS HAVE BEEN APPROVED OR DISAPPROVED BY THE SECURITIES AND EXCHANGE COMMISSION OR ANY STATE SECURITIES</w:t>
      </w:r>
    </w:p>
    <w:p>
      <w:pPr>
        <w:spacing w:after="0" w:line="5" w:lineRule="exact"/>
        <w:rPr>
          <w:sz w:val="20"/>
          <w:szCs w:val="20"/>
          <w:color w:val="auto"/>
        </w:rPr>
      </w:pPr>
    </w:p>
    <w:p>
      <w:pPr>
        <w:ind w:left="920" w:right="4379" w:hanging="250"/>
        <w:spacing w:after="0" w:line="239" w:lineRule="auto"/>
        <w:rPr>
          <w:sz w:val="20"/>
          <w:szCs w:val="20"/>
          <w:color w:val="auto"/>
        </w:rPr>
      </w:pPr>
      <w:r>
        <w:rPr>
          <w:rFonts w:ascii="Courier New" w:cs="Courier New" w:eastAsia="Courier New" w:hAnsi="Courier New"/>
          <w:sz w:val="14"/>
          <w:szCs w:val="14"/>
          <w:color w:val="auto"/>
        </w:rPr>
        <w:t>COMMISSION. NEITHER THE SECURITIES AND EXCHANGE COMMISSION NOR ANY STATE SECURITIES COMMISSION HAS PASSED UPON THE</w:t>
      </w:r>
    </w:p>
    <w:p>
      <w:pPr>
        <w:spacing w:after="0" w:line="3"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50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FAIRNESS OR MERITS OF THIS TRANSACTION NOR UPON THE</w:t>
            </w:r>
          </w:p>
        </w:tc>
        <w:tc>
          <w:tcPr>
            <w:tcW w:w="800" w:type="dxa"/>
            <w:vAlign w:val="bottom"/>
          </w:tcPr>
          <w:p>
            <w:pPr>
              <w:spacing w:after="0"/>
              <w:rPr>
                <w:sz w:val="13"/>
                <w:szCs w:val="13"/>
                <w:color w:val="auto"/>
              </w:rPr>
            </w:pPr>
          </w:p>
        </w:tc>
      </w:tr>
      <w:tr>
        <w:trPr>
          <w:trHeight w:val="161"/>
        </w:trPr>
        <w:tc>
          <w:tcPr>
            <w:tcW w:w="50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ACCURACY OR ADEQUACY OF THE INFORMATION CONTAINED</w:t>
            </w:r>
          </w:p>
        </w:tc>
        <w:tc>
          <w:tcPr>
            <w:tcW w:w="800" w:type="dxa"/>
            <w:vAlign w:val="bottom"/>
          </w:tcPr>
          <w:p>
            <w:pPr>
              <w:spacing w:after="0"/>
              <w:rPr>
                <w:sz w:val="13"/>
                <w:szCs w:val="13"/>
                <w:color w:val="auto"/>
              </w:rPr>
            </w:pPr>
          </w:p>
        </w:tc>
      </w:tr>
      <w:tr>
        <w:trPr>
          <w:trHeight w:val="161"/>
        </w:trPr>
        <w:tc>
          <w:tcPr>
            <w:tcW w:w="5060" w:type="dxa"/>
            <w:vAlign w:val="bottom"/>
          </w:tcPr>
          <w:p>
            <w:pPr>
              <w:jc w:val="right"/>
              <w:ind w:right="710"/>
              <w:spacing w:after="0"/>
              <w:rPr>
                <w:sz w:val="20"/>
                <w:szCs w:val="20"/>
                <w:color w:val="auto"/>
              </w:rPr>
            </w:pPr>
            <w:r>
              <w:rPr>
                <w:rFonts w:ascii="Courier New" w:cs="Courier New" w:eastAsia="Courier New" w:hAnsi="Courier New"/>
                <w:sz w:val="14"/>
                <w:szCs w:val="14"/>
                <w:color w:val="auto"/>
              </w:rPr>
              <w:t>IN THIS PROXY STATEMENT/PROSPECTUS. ANY</w:t>
            </w:r>
          </w:p>
        </w:tc>
        <w:tc>
          <w:tcPr>
            <w:tcW w:w="800" w:type="dxa"/>
            <w:vAlign w:val="bottom"/>
          </w:tcPr>
          <w:p>
            <w:pPr>
              <w:spacing w:after="0"/>
              <w:rPr>
                <w:sz w:val="13"/>
                <w:szCs w:val="13"/>
                <w:color w:val="auto"/>
              </w:rPr>
            </w:pPr>
          </w:p>
        </w:tc>
      </w:tr>
      <w:tr>
        <w:trPr>
          <w:trHeight w:val="161"/>
        </w:trPr>
        <w:tc>
          <w:tcPr>
            <w:tcW w:w="506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REPRESENTATION TO THE CONTRARY IS UNLAWFUL.</w:t>
            </w:r>
          </w:p>
        </w:tc>
        <w:tc>
          <w:tcPr>
            <w:tcW w:w="800" w:type="dxa"/>
            <w:vAlign w:val="bottom"/>
          </w:tcPr>
          <w:p>
            <w:pPr>
              <w:spacing w:after="0"/>
              <w:rPr>
                <w:sz w:val="13"/>
                <w:szCs w:val="13"/>
                <w:color w:val="auto"/>
              </w:rPr>
            </w:pPr>
          </w:p>
        </w:tc>
      </w:tr>
      <w:tr>
        <w:trPr>
          <w:trHeight w:val="161"/>
        </w:trPr>
        <w:tc>
          <w:tcPr>
            <w:tcW w:w="5060" w:type="dxa"/>
            <w:vAlign w:val="bottom"/>
          </w:tcPr>
          <w:p>
            <w:pPr>
              <w:jc w:val="right"/>
              <w:ind w:right="105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3"/>
                <w:szCs w:val="13"/>
                <w:color w:val="auto"/>
              </w:rPr>
            </w:pPr>
          </w:p>
        </w:tc>
      </w:tr>
      <w:tr>
        <w:trPr>
          <w:trHeight w:val="322"/>
        </w:trPr>
        <w:tc>
          <w:tcPr>
            <w:tcW w:w="5060" w:type="dxa"/>
            <w:vAlign w:val="bottom"/>
          </w:tcPr>
          <w:p>
            <w:pPr>
              <w:jc w:val="right"/>
              <w:ind w:right="970"/>
              <w:spacing w:after="0"/>
              <w:rPr>
                <w:sz w:val="20"/>
                <w:szCs w:val="20"/>
                <w:color w:val="auto"/>
              </w:rPr>
            </w:pPr>
            <w:r>
              <w:rPr>
                <w:rFonts w:ascii="Courier New" w:cs="Courier New" w:eastAsia="Courier New" w:hAnsi="Courier New"/>
                <w:sz w:val="14"/>
                <w:szCs w:val="14"/>
                <w:color w:val="auto"/>
                <w:w w:val="99"/>
              </w:rPr>
              <w:t>The date of this Proxy Statement/Prospectus is [</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1994.</w:t>
            </w:r>
          </w:p>
        </w:tc>
      </w:tr>
    </w:tbl>
    <w:p>
      <w:pPr>
        <w:sectPr>
          <w:pgSz w:w="11900" w:h="16838" w:orient="portrait"/>
          <w:cols w:equalWidth="0" w:num="1">
            <w:col w:w="10239"/>
          </w:cols>
          <w:pgMar w:left="220" w:top="600" w:right="1440" w:bottom="1440" w:gutter="0" w:footer="0" w:header="0"/>
        </w:sectPr>
      </w:pPr>
    </w:p>
    <w:bookmarkStart w:id="8" w:name="page9"/>
    <w:bookmarkEnd w:id="8"/>
    <w:p>
      <w:pPr>
        <w:ind w:right="3539" w:firstLine="418"/>
        <w:spacing w:after="0" w:line="243" w:lineRule="auto"/>
        <w:rPr>
          <w:sz w:val="20"/>
          <w:szCs w:val="20"/>
          <w:color w:val="auto"/>
        </w:rPr>
      </w:pPr>
      <w:r>
        <w:rPr>
          <w:rFonts w:ascii="Courier New" w:cs="Courier New" w:eastAsia="Courier New" w:hAnsi="Courier New"/>
          <w:sz w:val="14"/>
          <w:szCs w:val="14"/>
          <w:color w:val="auto"/>
        </w:rPr>
        <w:t>NO PERSONS HAVE BEEN AUTHORIZED TO GIVE ANY INFORMATION OR TO MAKE ANY REPRESENTATIONS OTHER THAN THOSE CONTAINED IN THIS PROXY STATEMENT/PROSPECTUS IN CONNECTION WITH THE SOLICITATIONS OF PROXIES OR THE OFFERING OF SECURITIES MADE HEREBY AND, IF GIVEN OR MADE, SUCH INFORMATION OR REPRESENTATION MUST NOT BE RELIED UPON AS HAVING BEEN AUTHORIZED BY VIACOM OR PARAMOUNT. THIS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PROXY STATEMENT/PROSPECTUS NOR ANY DISTRIBUTION OF SECURITIES MADE HEREUNDER SHALL, UNDER ANY CIRCUMSTANCES, CREATE AN IMPLICATION THAT THERE HAS BEEN NO CHANGE IN THE AFFAIRS OF VIACOM, PARAMOUNT OR BLOCKBUSTER SINCE THE DATE HEREOF OR THAT THE INFORMATION HEREIN IS CORRECT AS OF ANY TIME SUBSEQUENT TO ITS DATE.</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AVAILABLE INFORMATION</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Viacom anticipates that it will file with the Securities and Exchange Commission (the "Commission") a Registration Statement on Form S-4 (together with any amendments thereto, the "Registration Statement") under the Securities Act of 1933, as amended (the "Securities Act"), with respect to the shares of Viacom Class B Common Stock, the Viacom Merger Debentures, the CVRs, and the Viacom Warrants to be issued pursuant to the Paramount Merger Agreement. Sumner M. Redstone, National Amusements, Inc., Viacom and Paramount have filed with the Commission a Rule 13e-3 Transaction Statement (including any amendments thereto, the "Schedule 13E-3") under the Securities Exchange Act of 1934, as amended (the "Exchange Act"), with respect to the Paramount Merger. This Proxy Statement/Prospectus does not contain all the information set forth in the Registration Statement and the exhibits thereto and the Schedule 13E-3 and the exhibits thereto. Statements contained in this Proxy Statement/Prospectus or in any document incorporated in this Proxy Statement/Prospectus by reference as to the contents of any contract or other document referred to herein or therein are not necessarily complete, and in each instance reference is made to the copy of such contract or other document filed as an exhibit to the Registration Statement or such other document, each such statement being qualified in all respects by such reference. Viacom anticipates that it will also file with the Commission a separate Registration Statement on Form S-4 (together with any amendments thereto, the "Blockbuster Registration Statement") under the Securities Act with respect to the securities that will be issued to holders of Blockbuster Common Stock in connection with the Blockbuster Merger.</w:t>
      </w:r>
    </w:p>
    <w:p>
      <w:pPr>
        <w:spacing w:after="0" w:line="168"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Viacom, Paramount and Blockbuster are subject to the informational requirements of the Exchange Act and in accordance therewith file reports, proxy statements and other information with the Commission. The Schedule 13E-3 and the reports, proxy statements and other information filed by Viacom and Paramount and the reports, proxy statements and other information filed by Blockbuster with the Commission can be inspected and copied at the public reference facilities maintained by the Commission at Room 1024, 450 Fifth Street, N.W., Washington, D.C. 20549, and should be available at the Commission's Regional Offices at Seven World Trade Center, 13th Floor, New York, New York 10007, and Northwestern Atrium Center, 500 West Madison Street, Suite 1400, Chicago, Illinois 60661. Copies of such material also can be obtained from the Public Reference Section of the Commission at 450 Fifth Street, N.W., Washington, D.C. 20549, at prescribed rates. In addition, material filed by Viacom and Paramount can be inspected at the offices of the American Stock Exchange, Inc. (the "AMEX"), 86 Trinity Place, New York, New York 10006 and the New York Stock Exchange, Inc. (the "NYSE"), 20 Broad Street, New York, New York 10005, respectively. The Common Stock, par value $.10 per share, of Blockbuster ("Blockbuster Common Stock") is listed and traded on the NYSE and the London Stock Exchange (the "LSE"), and certain of Blockbuster's reports, proxy materials and other information may be available for inspection at the offices of the NYSE, 20 Broad Street, New York, New York 10005 or the offices of the LSE, Old Broad Street, London, England EC2N 1HP. After consummation of the Mergers, Paramount and Blockbuster may no longer file reports, proxy statements or other information with the Commission. Instead, such information would be provided, to the extent required, in filings made by Viacom.</w:t>
      </w:r>
    </w:p>
    <w:p>
      <w:pPr>
        <w:spacing w:after="0" w:line="200" w:lineRule="exact"/>
        <w:rPr>
          <w:sz w:val="20"/>
          <w:szCs w:val="20"/>
          <w:color w:val="auto"/>
        </w:rPr>
      </w:pPr>
    </w:p>
    <w:p>
      <w:pPr>
        <w:spacing w:after="0" w:line="28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763" w:right="1440" w:bottom="1440" w:gutter="0" w:footer="0" w:header="0"/>
        </w:sectPr>
      </w:pPr>
    </w:p>
    <w:bookmarkStart w:id="9" w:name="page10"/>
    <w:bookmarkEnd w:id="9"/>
    <w:p>
      <w:pPr>
        <w:jc w:val="center"/>
        <w:ind w:right="3619"/>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following documents filed with the Commission by Viacom (File No. 1-9553), Paramount (File No. 1-5404) and Blockbuster (File No. 1-12700) pursuant to the Exchange Act are incorporated by reference in this Proxy Statement/Prospectus:</w:t>
      </w:r>
    </w:p>
    <w:p>
      <w:pPr>
        <w:spacing w:after="0" w:line="162"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1. Viacom's Annual Report on Form 10-K for the year ended December 31,</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1993;</w:t>
      </w:r>
    </w:p>
    <w:p>
      <w:pPr>
        <w:spacing w:after="0" w:line="166" w:lineRule="exact"/>
        <w:rPr>
          <w:sz w:val="20"/>
          <w:szCs w:val="20"/>
          <w:color w:val="auto"/>
        </w:rPr>
      </w:pPr>
    </w:p>
    <w:p>
      <w:pPr>
        <w:ind w:left="420" w:right="3619" w:firstLine="423"/>
        <w:spacing w:after="0" w:line="239" w:lineRule="auto"/>
        <w:tabs>
          <w:tab w:leader="none" w:pos="10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Viacom's Current Reports on Form 8-K dated January 12, 1994, March 18, 1994 and March 28, 1994;</w:t>
      </w:r>
    </w:p>
    <w:p>
      <w:pPr>
        <w:spacing w:after="0" w:line="166" w:lineRule="exact"/>
        <w:rPr>
          <w:rFonts w:ascii="Courier New" w:cs="Courier New" w:eastAsia="Courier New" w:hAnsi="Courier New"/>
          <w:sz w:val="14"/>
          <w:szCs w:val="14"/>
          <w:color w:val="auto"/>
        </w:rPr>
      </w:pPr>
    </w:p>
    <w:p>
      <w:pPr>
        <w:ind w:left="420" w:right="3539" w:firstLine="423"/>
        <w:spacing w:after="0" w:line="242" w:lineRule="auto"/>
        <w:tabs>
          <w:tab w:leader="none" w:pos="10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Transition Report on Form 10-K for the six-month period ended April 30, 1993, as amended by Form 10-K/A Amendment No. 1 dated September 28, 1993, as further amended by Form 10-K/A Amendment No. 2 dated September 30, 1993 and as further amended by Form 10-K/A Amendment No. 3 dated March 21, 1994;</w:t>
      </w:r>
    </w:p>
    <w:p>
      <w:pPr>
        <w:spacing w:after="0" w:line="165" w:lineRule="exact"/>
        <w:rPr>
          <w:rFonts w:ascii="Courier New" w:cs="Courier New" w:eastAsia="Courier New" w:hAnsi="Courier New"/>
          <w:sz w:val="14"/>
          <w:szCs w:val="14"/>
          <w:color w:val="auto"/>
        </w:rPr>
      </w:pPr>
    </w:p>
    <w:p>
      <w:pPr>
        <w:jc w:val="both"/>
        <w:ind w:left="420" w:right="3699" w:firstLine="423"/>
        <w:spacing w:after="0" w:line="241" w:lineRule="auto"/>
        <w:tabs>
          <w:tab w:leader="none" w:pos="10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Current Reports on Form 8-K dated June 22, 1993, June 30, 1993, July 15, 1993, September 15, 1993, January 4, 1994, January 28, 1994, March 17, 1994 and March 18, 1994;</w:t>
      </w:r>
    </w:p>
    <w:p>
      <w:pPr>
        <w:spacing w:after="0" w:line="165" w:lineRule="exact"/>
        <w:rPr>
          <w:rFonts w:ascii="Courier New" w:cs="Courier New" w:eastAsia="Courier New" w:hAnsi="Courier New"/>
          <w:sz w:val="14"/>
          <w:szCs w:val="14"/>
          <w:color w:val="auto"/>
        </w:rPr>
      </w:pPr>
    </w:p>
    <w:p>
      <w:pPr>
        <w:jc w:val="both"/>
        <w:ind w:left="420" w:right="3879" w:firstLine="423"/>
        <w:spacing w:after="0" w:line="241" w:lineRule="auto"/>
        <w:tabs>
          <w:tab w:leader="none" w:pos="10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Quarterly Reports on Form 10-Q for the three months ended July 31, 1993, the six months ended October 31, 1993 and the nine months ended January 31, 1994;</w:t>
      </w:r>
    </w:p>
    <w:p>
      <w:pPr>
        <w:spacing w:after="0" w:line="165" w:lineRule="exact"/>
        <w:rPr>
          <w:rFonts w:ascii="Courier New" w:cs="Courier New" w:eastAsia="Courier New" w:hAnsi="Courier New"/>
          <w:sz w:val="14"/>
          <w:szCs w:val="14"/>
          <w:color w:val="auto"/>
        </w:rPr>
      </w:pPr>
    </w:p>
    <w:p>
      <w:pPr>
        <w:ind w:left="420" w:right="4199" w:firstLine="423"/>
        <w:spacing w:after="0" w:line="239" w:lineRule="auto"/>
        <w:tabs>
          <w:tab w:leader="none" w:pos="10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Blockbuster's Annual Report on Form 10-K for the year ended December 31, 1993; and</w:t>
      </w:r>
    </w:p>
    <w:p>
      <w:pPr>
        <w:spacing w:after="0" w:line="166" w:lineRule="exact"/>
        <w:rPr>
          <w:rFonts w:ascii="Courier New" w:cs="Courier New" w:eastAsia="Courier New" w:hAnsi="Courier New"/>
          <w:sz w:val="14"/>
          <w:szCs w:val="14"/>
          <w:color w:val="auto"/>
        </w:rPr>
      </w:pPr>
    </w:p>
    <w:p>
      <w:pPr>
        <w:ind w:left="420" w:right="3699" w:firstLine="423"/>
        <w:spacing w:after="0" w:line="241" w:lineRule="auto"/>
        <w:tabs>
          <w:tab w:leader="none" w:pos="10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Blockbuster's Current Reports on Form 8-K dated January 7, 1994 (filed January 12, 1994), February 15, 1994 (filed February 22, 1994) and March 10, 1994 (filed March 11, 1994).</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All documents and reports filed by Viacom, Paramount and Blockbuster pursuant to Section 13(a), 13(c), 14 or 15(d) of the Exchange Act after the date of this Proxy Statement/Prospectus and prior to the date of the special meetings of stockholders of Paramount and Viacom and the Viacom Annual Meeting shall be deemed to be incorporated by reference in this Proxy Statement/Prospectus and to be a part hereof from the dates of filing of such documents or reports. Any statement contained in a document incorporated or deemed to be incorporated by reference herein shall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15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This Proxy Statement/Prospectus incorporates documents by reference which are not presented herein or delivered herewith. Such documents (other than exhibits to such documents unless such exhibits are specifically incorporated by reference) are available, without charge, to any person, including any beneficial owner, to whom this Proxy Statement/Prospectus is delivered, on written or oral request, to Viacom International Inc., 1515 Broadway, New York, New York 10036 (telephone number (212) 258-6000), Attention: John H. Burke. In</w:t>
      </w:r>
    </w:p>
    <w:p>
      <w:pPr>
        <w:spacing w:after="0" w:line="7"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order to ensure delivery of the documents prior to the applicable stockholder meeting, requests should be received by , 1994.</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00" w:right="1440" w:bottom="1440" w:gutter="0" w:footer="0" w:header="0"/>
        </w:sectPr>
      </w:pPr>
    </w:p>
    <w:bookmarkStart w:id="10" w:name="page11"/>
    <w:bookmarkEnd w:id="10"/>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324" w:lineRule="exact"/>
        <w:rPr>
          <w:sz w:val="20"/>
          <w:szCs w:val="20"/>
          <w:color w:val="auto"/>
        </w:rPr>
      </w:pPr>
    </w:p>
    <w:p>
      <w:pPr>
        <w:spacing w:after="0"/>
        <w:tabs>
          <w:tab w:leader="none" w:pos="9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2"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163" w:lineRule="exact"/>
        <w:rPr>
          <w:sz w:val="20"/>
          <w:szCs w:val="20"/>
          <w:color w:val="auto"/>
        </w:rPr>
      </w:pPr>
    </w:p>
    <w:p>
      <w:pPr>
        <w:spacing w:after="0"/>
        <w:tabs>
          <w:tab w:leader="dot" w:pos="9860" w:val="left"/>
        </w:tabs>
        <w:rPr>
          <w:sz w:val="20"/>
          <w:szCs w:val="20"/>
          <w:color w:val="auto"/>
        </w:rPr>
      </w:pPr>
      <w:r>
        <w:rPr>
          <w:rFonts w:ascii="Courier New" w:cs="Courier New" w:eastAsia="Courier New" w:hAnsi="Courier New"/>
          <w:sz w:val="14"/>
          <w:szCs w:val="14"/>
          <w:color w:val="auto"/>
        </w:rPr>
        <w:t>AVAILABLE INFORMATION</w:t>
      </w:r>
      <w:r>
        <w:rPr>
          <w:sz w:val="20"/>
          <w:szCs w:val="20"/>
          <w:color w:val="auto"/>
        </w:rPr>
        <w:tab/>
      </w:r>
      <w:r>
        <w:rPr>
          <w:rFonts w:ascii="Courier New" w:cs="Courier New" w:eastAsia="Courier New" w:hAnsi="Courier New"/>
          <w:sz w:val="13"/>
          <w:szCs w:val="13"/>
          <w:color w:val="auto"/>
        </w:rPr>
        <w:t>i</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INCORPORATION OF CERTAIN DOCUMENTS BY REFERENCE</w:t>
      </w:r>
      <w:r>
        <w:rPr>
          <w:sz w:val="20"/>
          <w:szCs w:val="20"/>
          <w:color w:val="auto"/>
        </w:rPr>
        <w:tab/>
      </w:r>
      <w:r>
        <w:rPr>
          <w:rFonts w:ascii="Courier New" w:cs="Courier New" w:eastAsia="Courier New" w:hAnsi="Courier New"/>
          <w:sz w:val="13"/>
          <w:szCs w:val="13"/>
          <w:color w:val="auto"/>
        </w:rPr>
        <w:t>ii</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DEFINITION CROSS-REFERENCE SHEET</w:t>
      </w:r>
      <w:r>
        <w:rPr>
          <w:sz w:val="20"/>
          <w:szCs w:val="20"/>
          <w:color w:val="auto"/>
        </w:rPr>
        <w:tab/>
      </w:r>
      <w:r>
        <w:rPr>
          <w:rFonts w:ascii="Courier New" w:cs="Courier New" w:eastAsia="Courier New" w:hAnsi="Courier New"/>
          <w:sz w:val="13"/>
          <w:szCs w:val="13"/>
          <w:color w:val="auto"/>
        </w:rPr>
        <w:t>vi</w:t>
      </w:r>
    </w:p>
    <w:p>
      <w:pPr>
        <w:spacing w:after="0" w:line="2" w:lineRule="exact"/>
        <w:rPr>
          <w:sz w:val="20"/>
          <w:szCs w:val="20"/>
          <w:color w:val="auto"/>
        </w:rPr>
      </w:pPr>
    </w:p>
    <w:p>
      <w:pPr>
        <w:spacing w:after="0"/>
        <w:tabs>
          <w:tab w:leader="dot" w:pos="9860" w:val="left"/>
        </w:tabs>
        <w:rPr>
          <w:sz w:val="20"/>
          <w:szCs w:val="20"/>
          <w:color w:val="auto"/>
        </w:rPr>
      </w:pPr>
      <w:r>
        <w:rPr>
          <w:rFonts w:ascii="Courier New" w:cs="Courier New" w:eastAsia="Courier New" w:hAnsi="Courier New"/>
          <w:sz w:val="14"/>
          <w:szCs w:val="14"/>
          <w:color w:val="auto"/>
        </w:rPr>
        <w:t>SUMMARY</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ind w:left="180"/>
        <w:spacing w:after="0"/>
        <w:tabs>
          <w:tab w:leader="dot" w:pos="986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ind w:left="180"/>
        <w:spacing w:after="0"/>
        <w:tabs>
          <w:tab w:leader="dot" w:pos="9860" w:val="left"/>
        </w:tabs>
        <w:rPr>
          <w:sz w:val="20"/>
          <w:szCs w:val="20"/>
          <w:color w:val="auto"/>
        </w:rPr>
      </w:pPr>
      <w:r>
        <w:rPr>
          <w:rFonts w:ascii="Courier New" w:cs="Courier New" w:eastAsia="Courier New" w:hAnsi="Courier New"/>
          <w:sz w:val="14"/>
          <w:szCs w:val="14"/>
          <w:color w:val="auto"/>
        </w:rPr>
        <w:t>The Meetings</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80"/>
        <w:spacing w:after="0"/>
        <w:tabs>
          <w:tab w:leader="dot" w:pos="9860" w:val="left"/>
        </w:tabs>
        <w:rPr>
          <w:sz w:val="20"/>
          <w:szCs w:val="20"/>
          <w:color w:val="auto"/>
        </w:rPr>
      </w:pPr>
      <w:r>
        <w:rPr>
          <w:rFonts w:ascii="Courier New" w:cs="Courier New" w:eastAsia="Courier New" w:hAnsi="Courier New"/>
          <w:sz w:val="14"/>
          <w:szCs w:val="14"/>
          <w:color w:val="auto"/>
        </w:rPr>
        <w:t>The Paramount Merger</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The Blockbuster Merger</w:t>
      </w:r>
      <w:r>
        <w:rPr>
          <w:sz w:val="20"/>
          <w:szCs w:val="20"/>
          <w:color w:val="auto"/>
        </w:rPr>
        <w:tab/>
      </w:r>
      <w:r>
        <w:rPr>
          <w:rFonts w:ascii="Courier New" w:cs="Courier New" w:eastAsia="Courier New" w:hAnsi="Courier New"/>
          <w:sz w:val="13"/>
          <w:szCs w:val="13"/>
          <w:color w:val="auto"/>
        </w:rPr>
        <w:t>11</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Certain Considerations</w:t>
      </w:r>
      <w:r>
        <w:rPr>
          <w:sz w:val="20"/>
          <w:szCs w:val="20"/>
          <w:color w:val="auto"/>
        </w:rPr>
        <w:tab/>
      </w:r>
      <w:r>
        <w:rPr>
          <w:rFonts w:ascii="Courier New" w:cs="Courier New" w:eastAsia="Courier New" w:hAnsi="Courier New"/>
          <w:sz w:val="13"/>
          <w:szCs w:val="13"/>
          <w:color w:val="auto"/>
        </w:rPr>
        <w:t>14</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Management After the Mergers</w:t>
      </w:r>
      <w:r>
        <w:rPr>
          <w:sz w:val="20"/>
          <w:szCs w:val="20"/>
          <w:color w:val="auto"/>
        </w:rPr>
        <w:tab/>
      </w:r>
      <w:r>
        <w:rPr>
          <w:rFonts w:ascii="Courier New" w:cs="Courier New" w:eastAsia="Courier New" w:hAnsi="Courier New"/>
          <w:sz w:val="13"/>
          <w:szCs w:val="13"/>
          <w:color w:val="auto"/>
        </w:rPr>
        <w:t>14</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Financial Matters After the Mergers</w:t>
      </w:r>
      <w:r>
        <w:rPr>
          <w:sz w:val="20"/>
          <w:szCs w:val="20"/>
          <w:color w:val="auto"/>
        </w:rPr>
        <w:tab/>
      </w:r>
      <w:r>
        <w:rPr>
          <w:rFonts w:ascii="Courier New" w:cs="Courier New" w:eastAsia="Courier New" w:hAnsi="Courier New"/>
          <w:sz w:val="13"/>
          <w:szCs w:val="13"/>
          <w:color w:val="auto"/>
        </w:rPr>
        <w:t>14</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Trademarks and Trade Names</w:t>
      </w:r>
      <w:r>
        <w:rPr>
          <w:sz w:val="20"/>
          <w:szCs w:val="20"/>
          <w:color w:val="auto"/>
        </w:rPr>
        <w:tab/>
      </w:r>
      <w:r>
        <w:rPr>
          <w:rFonts w:ascii="Courier New" w:cs="Courier New" w:eastAsia="Courier New" w:hAnsi="Courier New"/>
          <w:sz w:val="13"/>
          <w:szCs w:val="13"/>
          <w:color w:val="auto"/>
        </w:rPr>
        <w:t>15</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Selected Historical Consolidated Financial Data and Unaudited Pro Forma Financial Data, Unaudited Pro</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Forma Combined Financial Data and Other Data</w:t>
      </w:r>
      <w:r>
        <w:rPr>
          <w:sz w:val="20"/>
          <w:szCs w:val="20"/>
          <w:color w:val="auto"/>
        </w:rPr>
        <w:tab/>
      </w:r>
      <w:r>
        <w:rPr>
          <w:rFonts w:ascii="Courier New" w:cs="Courier New" w:eastAsia="Courier New" w:hAnsi="Courier New"/>
          <w:sz w:val="13"/>
          <w:szCs w:val="13"/>
          <w:color w:val="auto"/>
        </w:rPr>
        <w:t>16</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3"/>
          <w:szCs w:val="13"/>
          <w:color w:val="auto"/>
        </w:rPr>
        <w:t>29</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29</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THE MEETINGS</w:t>
      </w:r>
      <w:r>
        <w:rPr>
          <w:sz w:val="20"/>
          <w:szCs w:val="20"/>
          <w:color w:val="auto"/>
        </w:rPr>
        <w:tab/>
      </w:r>
      <w:r>
        <w:rPr>
          <w:rFonts w:ascii="Courier New" w:cs="Courier New" w:eastAsia="Courier New" w:hAnsi="Courier New"/>
          <w:sz w:val="13"/>
          <w:szCs w:val="13"/>
          <w:color w:val="auto"/>
        </w:rPr>
        <w:t>38</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Matters To Be Considered at the Meetings</w:t>
      </w:r>
      <w:r>
        <w:rPr>
          <w:sz w:val="20"/>
          <w:szCs w:val="20"/>
          <w:color w:val="auto"/>
        </w:rPr>
        <w:tab/>
      </w:r>
      <w:r>
        <w:rPr>
          <w:rFonts w:ascii="Courier New" w:cs="Courier New" w:eastAsia="Courier New" w:hAnsi="Courier New"/>
          <w:sz w:val="13"/>
          <w:szCs w:val="13"/>
          <w:color w:val="auto"/>
        </w:rPr>
        <w:t>38</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Votes Required</w:t>
      </w:r>
      <w:r>
        <w:rPr>
          <w:sz w:val="20"/>
          <w:szCs w:val="20"/>
          <w:color w:val="auto"/>
        </w:rPr>
        <w:tab/>
      </w:r>
      <w:r>
        <w:rPr>
          <w:rFonts w:ascii="Courier New" w:cs="Courier New" w:eastAsia="Courier New" w:hAnsi="Courier New"/>
          <w:sz w:val="13"/>
          <w:szCs w:val="13"/>
          <w:color w:val="auto"/>
        </w:rPr>
        <w:t>38</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Voting of Proxies</w:t>
      </w:r>
      <w:r>
        <w:rPr>
          <w:sz w:val="20"/>
          <w:szCs w:val="20"/>
          <w:color w:val="auto"/>
        </w:rPr>
        <w:tab/>
      </w:r>
      <w:r>
        <w:rPr>
          <w:rFonts w:ascii="Courier New" w:cs="Courier New" w:eastAsia="Courier New" w:hAnsi="Courier New"/>
          <w:sz w:val="13"/>
          <w:szCs w:val="13"/>
          <w:color w:val="auto"/>
        </w:rPr>
        <w:t>39</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Revocability of Proxies</w:t>
      </w:r>
      <w:r>
        <w:rPr>
          <w:sz w:val="20"/>
          <w:szCs w:val="20"/>
          <w:color w:val="auto"/>
        </w:rPr>
        <w:tab/>
      </w:r>
      <w:r>
        <w:rPr>
          <w:rFonts w:ascii="Courier New" w:cs="Courier New" w:eastAsia="Courier New" w:hAnsi="Courier New"/>
          <w:sz w:val="13"/>
          <w:szCs w:val="13"/>
          <w:color w:val="auto"/>
        </w:rPr>
        <w:t>39</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Record Date; Stock Entitled To Vote; Quorum</w:t>
      </w:r>
      <w:r>
        <w:rPr>
          <w:sz w:val="20"/>
          <w:szCs w:val="20"/>
          <w:color w:val="auto"/>
        </w:rPr>
        <w:tab/>
      </w:r>
      <w:r>
        <w:rPr>
          <w:rFonts w:ascii="Courier New" w:cs="Courier New" w:eastAsia="Courier New" w:hAnsi="Courier New"/>
          <w:sz w:val="13"/>
          <w:szCs w:val="13"/>
          <w:color w:val="auto"/>
        </w:rPr>
        <w:t>39</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Appraisal Rights</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Solicitation of Proxies</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SPECIAL FACTORS</w:t>
      </w:r>
      <w:r>
        <w:rPr>
          <w:sz w:val="20"/>
          <w:szCs w:val="20"/>
          <w:color w:val="auto"/>
        </w:rPr>
        <w:tab/>
      </w:r>
      <w:r>
        <w:rPr>
          <w:rFonts w:ascii="Courier New" w:cs="Courier New" w:eastAsia="Courier New" w:hAnsi="Courier New"/>
          <w:sz w:val="13"/>
          <w:szCs w:val="13"/>
          <w:color w:val="auto"/>
        </w:rPr>
        <w:t>41</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Background of the Paramount Merger</w:t>
      </w:r>
      <w:r>
        <w:rPr>
          <w:sz w:val="20"/>
          <w:szCs w:val="20"/>
          <w:color w:val="auto"/>
        </w:rPr>
        <w:tab/>
      </w:r>
      <w:r>
        <w:rPr>
          <w:rFonts w:ascii="Courier New" w:cs="Courier New" w:eastAsia="Courier New" w:hAnsi="Courier New"/>
          <w:sz w:val="13"/>
          <w:szCs w:val="13"/>
          <w:color w:val="auto"/>
        </w:rPr>
        <w:t>41</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Purpose and Structure of the Paramount Merger</w:t>
      </w:r>
      <w:r>
        <w:rPr>
          <w:sz w:val="20"/>
          <w:szCs w:val="20"/>
          <w:color w:val="auto"/>
        </w:rPr>
        <w:tab/>
      </w:r>
      <w:r>
        <w:rPr>
          <w:rFonts w:ascii="Courier New" w:cs="Courier New" w:eastAsia="Courier New" w:hAnsi="Courier New"/>
          <w:sz w:val="13"/>
          <w:szCs w:val="13"/>
          <w:color w:val="auto"/>
        </w:rPr>
        <w:t>49</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Reasons for the Paramount Merger; Recommendations of the Board of Directors; Fairness of the</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Transaction</w:t>
      </w:r>
      <w:r>
        <w:rPr>
          <w:sz w:val="20"/>
          <w:szCs w:val="20"/>
          <w:color w:val="auto"/>
        </w:rPr>
        <w:tab/>
      </w:r>
      <w:r>
        <w:rPr>
          <w:rFonts w:ascii="Courier New" w:cs="Courier New" w:eastAsia="Courier New" w:hAnsi="Courier New"/>
          <w:sz w:val="13"/>
          <w:szCs w:val="13"/>
          <w:color w:val="auto"/>
        </w:rPr>
        <w:t>49</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Opinions of Financial Advisors</w:t>
      </w:r>
      <w:r>
        <w:rPr>
          <w:sz w:val="20"/>
          <w:szCs w:val="20"/>
          <w:color w:val="auto"/>
        </w:rPr>
        <w:tab/>
      </w:r>
      <w:r>
        <w:rPr>
          <w:rFonts w:ascii="Courier New" w:cs="Courier New" w:eastAsia="Courier New" w:hAnsi="Courier New"/>
          <w:sz w:val="13"/>
          <w:szCs w:val="13"/>
          <w:color w:val="auto"/>
        </w:rPr>
        <w:t>52</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Interests of Certain Persons in the Paramount Merger</w:t>
      </w:r>
      <w:r>
        <w:rPr>
          <w:sz w:val="20"/>
          <w:szCs w:val="20"/>
          <w:color w:val="auto"/>
        </w:rPr>
        <w:tab/>
      </w:r>
      <w:r>
        <w:rPr>
          <w:rFonts w:ascii="Courier New" w:cs="Courier New" w:eastAsia="Courier New" w:hAnsi="Courier New"/>
          <w:sz w:val="13"/>
          <w:szCs w:val="13"/>
          <w:color w:val="auto"/>
        </w:rPr>
        <w:t>74</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Paramount Voting Agreement</w:t>
      </w:r>
      <w:r>
        <w:rPr>
          <w:sz w:val="20"/>
          <w:szCs w:val="20"/>
          <w:color w:val="auto"/>
        </w:rPr>
        <w:tab/>
      </w:r>
      <w:r>
        <w:rPr>
          <w:rFonts w:ascii="Courier New" w:cs="Courier New" w:eastAsia="Courier New" w:hAnsi="Courier New"/>
          <w:sz w:val="13"/>
          <w:szCs w:val="13"/>
          <w:color w:val="auto"/>
        </w:rPr>
        <w:t>74</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Certain Federal Income Tax Consequences</w:t>
      </w:r>
      <w:r>
        <w:rPr>
          <w:sz w:val="20"/>
          <w:szCs w:val="20"/>
          <w:color w:val="auto"/>
        </w:rPr>
        <w:tab/>
      </w:r>
      <w:r>
        <w:rPr>
          <w:rFonts w:ascii="Courier New" w:cs="Courier New" w:eastAsia="Courier New" w:hAnsi="Courier New"/>
          <w:sz w:val="13"/>
          <w:szCs w:val="13"/>
          <w:color w:val="auto"/>
        </w:rPr>
        <w:t>75</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Real Estate Transfer Taxes</w:t>
      </w:r>
      <w:r>
        <w:rPr>
          <w:sz w:val="20"/>
          <w:szCs w:val="20"/>
          <w:color w:val="auto"/>
        </w:rPr>
        <w:tab/>
      </w:r>
      <w:r>
        <w:rPr>
          <w:rFonts w:ascii="Courier New" w:cs="Courier New" w:eastAsia="Courier New" w:hAnsi="Courier New"/>
          <w:sz w:val="13"/>
          <w:szCs w:val="13"/>
          <w:color w:val="auto"/>
        </w:rPr>
        <w:t>82</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Certain Effects of the Paramount Merger; Operations After the Paramount Merger</w:t>
      </w:r>
      <w:r>
        <w:rPr>
          <w:sz w:val="20"/>
          <w:szCs w:val="20"/>
          <w:color w:val="auto"/>
        </w:rPr>
        <w:tab/>
      </w:r>
      <w:r>
        <w:rPr>
          <w:rFonts w:ascii="Courier New" w:cs="Courier New" w:eastAsia="Courier New" w:hAnsi="Courier New"/>
          <w:sz w:val="13"/>
          <w:szCs w:val="13"/>
          <w:color w:val="auto"/>
        </w:rPr>
        <w:t>83</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THE PARAMOUNT MERGER</w:t>
      </w:r>
      <w:r>
        <w:rPr>
          <w:sz w:val="20"/>
          <w:szCs w:val="20"/>
          <w:color w:val="auto"/>
        </w:rPr>
        <w:tab/>
      </w:r>
      <w:r>
        <w:rPr>
          <w:rFonts w:ascii="Courier New" w:cs="Courier New" w:eastAsia="Courier New" w:hAnsi="Courier New"/>
          <w:sz w:val="13"/>
          <w:szCs w:val="13"/>
          <w:color w:val="auto"/>
        </w:rPr>
        <w:t>83</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3"/>
          <w:szCs w:val="13"/>
          <w:color w:val="auto"/>
        </w:rPr>
        <w:t>83</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The Offer</w:t>
      </w:r>
      <w:r>
        <w:rPr>
          <w:sz w:val="20"/>
          <w:szCs w:val="20"/>
          <w:color w:val="auto"/>
        </w:rPr>
        <w:tab/>
      </w:r>
      <w:r>
        <w:rPr>
          <w:rFonts w:ascii="Courier New" w:cs="Courier New" w:eastAsia="Courier New" w:hAnsi="Courier New"/>
          <w:sz w:val="13"/>
          <w:szCs w:val="13"/>
          <w:color w:val="auto"/>
        </w:rPr>
        <w:t>83</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Paramount Merger Consideration</w:t>
      </w:r>
      <w:r>
        <w:rPr>
          <w:sz w:val="20"/>
          <w:szCs w:val="20"/>
          <w:color w:val="auto"/>
        </w:rPr>
        <w:tab/>
      </w:r>
      <w:r>
        <w:rPr>
          <w:rFonts w:ascii="Courier New" w:cs="Courier New" w:eastAsia="Courier New" w:hAnsi="Courier New"/>
          <w:sz w:val="13"/>
          <w:szCs w:val="13"/>
          <w:color w:val="auto"/>
        </w:rPr>
        <w:t>83</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Paramount Effective Time</w:t>
      </w:r>
      <w:r>
        <w:rPr>
          <w:sz w:val="20"/>
          <w:szCs w:val="20"/>
          <w:color w:val="auto"/>
        </w:rPr>
        <w:tab/>
      </w:r>
      <w:r>
        <w:rPr>
          <w:rFonts w:ascii="Courier New" w:cs="Courier New" w:eastAsia="Courier New" w:hAnsi="Courier New"/>
          <w:sz w:val="13"/>
          <w:szCs w:val="13"/>
          <w:color w:val="auto"/>
        </w:rPr>
        <w:t>85</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Stock Exchange Listing</w:t>
      </w:r>
      <w:r>
        <w:rPr>
          <w:sz w:val="20"/>
          <w:szCs w:val="20"/>
          <w:color w:val="auto"/>
        </w:rPr>
        <w:tab/>
      </w:r>
      <w:r>
        <w:rPr>
          <w:rFonts w:ascii="Courier New" w:cs="Courier New" w:eastAsia="Courier New" w:hAnsi="Courier New"/>
          <w:sz w:val="13"/>
          <w:szCs w:val="13"/>
          <w:color w:val="auto"/>
        </w:rPr>
        <w:t>85</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Expenses of the Transaction</w:t>
      </w:r>
      <w:r>
        <w:rPr>
          <w:sz w:val="20"/>
          <w:szCs w:val="20"/>
          <w:color w:val="auto"/>
        </w:rPr>
        <w:tab/>
      </w:r>
      <w:r>
        <w:rPr>
          <w:rFonts w:ascii="Courier New" w:cs="Courier New" w:eastAsia="Courier New" w:hAnsi="Courier New"/>
          <w:sz w:val="13"/>
          <w:szCs w:val="13"/>
          <w:color w:val="auto"/>
        </w:rPr>
        <w:t>86</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Ownership of Viacom Common Stock Immediately After the Paramount Merger and the Mergers</w:t>
      </w:r>
      <w:r>
        <w:rPr>
          <w:sz w:val="20"/>
          <w:szCs w:val="20"/>
          <w:color w:val="auto"/>
        </w:rPr>
        <w:tab/>
      </w:r>
      <w:r>
        <w:rPr>
          <w:rFonts w:ascii="Courier New" w:cs="Courier New" w:eastAsia="Courier New" w:hAnsi="Courier New"/>
          <w:sz w:val="13"/>
          <w:szCs w:val="13"/>
          <w:color w:val="auto"/>
        </w:rPr>
        <w:t>86</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Effect on Employee Benefit Stock Plans</w:t>
      </w:r>
      <w:r>
        <w:rPr>
          <w:sz w:val="20"/>
          <w:szCs w:val="20"/>
          <w:color w:val="auto"/>
        </w:rPr>
        <w:tab/>
      </w:r>
      <w:r>
        <w:rPr>
          <w:rFonts w:ascii="Courier New" w:cs="Courier New" w:eastAsia="Courier New" w:hAnsi="Courier New"/>
          <w:sz w:val="13"/>
          <w:szCs w:val="13"/>
          <w:color w:val="auto"/>
        </w:rPr>
        <w:t>87</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FINANCING OF THE OFFER</w:t>
      </w:r>
      <w:r>
        <w:rPr>
          <w:sz w:val="20"/>
          <w:szCs w:val="20"/>
          <w:color w:val="auto"/>
        </w:rPr>
        <w:tab/>
      </w:r>
      <w:r>
        <w:rPr>
          <w:rFonts w:ascii="Courier New" w:cs="Courier New" w:eastAsia="Courier New" w:hAnsi="Courier New"/>
          <w:sz w:val="13"/>
          <w:szCs w:val="13"/>
          <w:color w:val="auto"/>
        </w:rPr>
        <w:t>89</w:t>
      </w:r>
    </w:p>
    <w:p>
      <w:pPr>
        <w:spacing w:after="0" w:line="32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720"/>
          </w:cols>
          <w:pgMar w:left="220" w:top="600" w:right="959" w:bottom="1440" w:gutter="0" w:footer="0" w:header="0"/>
        </w:sectPr>
      </w:pPr>
    </w:p>
    <w:bookmarkStart w:id="11" w:name="page12"/>
    <w:bookmarkEnd w:id="11"/>
    <w:p>
      <w:pPr>
        <w:spacing w:after="0"/>
        <w:tabs>
          <w:tab w:leader="none" w:pos="9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2"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163"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SALE OF VIACOM PREFERRED STOCK</w:t>
      </w:r>
      <w:r>
        <w:rPr>
          <w:sz w:val="20"/>
          <w:szCs w:val="20"/>
          <w:color w:val="auto"/>
        </w:rPr>
        <w:tab/>
      </w:r>
      <w:r>
        <w:rPr>
          <w:rFonts w:ascii="Courier New" w:cs="Courier New" w:eastAsia="Courier New" w:hAnsi="Courier New"/>
          <w:sz w:val="13"/>
          <w:szCs w:val="13"/>
          <w:color w:val="auto"/>
        </w:rPr>
        <w:t>91</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CERTAIN PROVISIONS OF THE PARAMOUNT MERGER AGREEMENT</w:t>
      </w:r>
      <w:r>
        <w:rPr>
          <w:sz w:val="20"/>
          <w:szCs w:val="20"/>
          <w:color w:val="auto"/>
        </w:rPr>
        <w:tab/>
      </w:r>
      <w:r>
        <w:rPr>
          <w:rFonts w:ascii="Courier New" w:cs="Courier New" w:eastAsia="Courier New" w:hAnsi="Courier New"/>
          <w:sz w:val="13"/>
          <w:szCs w:val="13"/>
          <w:color w:val="auto"/>
        </w:rPr>
        <w:t>92</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Procedure for Exchange of Paramount Certificates</w:t>
      </w:r>
      <w:r>
        <w:rPr>
          <w:sz w:val="20"/>
          <w:szCs w:val="20"/>
          <w:color w:val="auto"/>
        </w:rPr>
        <w:tab/>
      </w:r>
      <w:r>
        <w:rPr>
          <w:rFonts w:ascii="Courier New" w:cs="Courier New" w:eastAsia="Courier New" w:hAnsi="Courier New"/>
          <w:sz w:val="13"/>
          <w:szCs w:val="13"/>
          <w:color w:val="auto"/>
        </w:rPr>
        <w:t>92</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Certain Representations and Warranties</w:t>
      </w:r>
      <w:r>
        <w:rPr>
          <w:sz w:val="20"/>
          <w:szCs w:val="20"/>
          <w:color w:val="auto"/>
        </w:rPr>
        <w:tab/>
      </w:r>
      <w:r>
        <w:rPr>
          <w:rFonts w:ascii="Courier New" w:cs="Courier New" w:eastAsia="Courier New" w:hAnsi="Courier New"/>
          <w:sz w:val="13"/>
          <w:szCs w:val="13"/>
          <w:color w:val="auto"/>
        </w:rPr>
        <w:t>93</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Rights Agreement Amendments</w:t>
      </w:r>
      <w:r>
        <w:rPr>
          <w:sz w:val="20"/>
          <w:szCs w:val="20"/>
          <w:color w:val="auto"/>
        </w:rPr>
        <w:tab/>
      </w:r>
      <w:r>
        <w:rPr>
          <w:rFonts w:ascii="Courier New" w:cs="Courier New" w:eastAsia="Courier New" w:hAnsi="Courier New"/>
          <w:sz w:val="13"/>
          <w:szCs w:val="13"/>
          <w:color w:val="auto"/>
        </w:rPr>
        <w:t>94</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Conduct of Businesses Pending the Paramount Merger</w:t>
      </w:r>
      <w:r>
        <w:rPr>
          <w:sz w:val="20"/>
          <w:szCs w:val="20"/>
          <w:color w:val="auto"/>
        </w:rPr>
        <w:tab/>
      </w:r>
      <w:r>
        <w:rPr>
          <w:rFonts w:ascii="Courier New" w:cs="Courier New" w:eastAsia="Courier New" w:hAnsi="Courier New"/>
          <w:sz w:val="13"/>
          <w:szCs w:val="13"/>
          <w:color w:val="auto"/>
        </w:rPr>
        <w:t>95</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Conditions to Consummation of the Paramount Merger</w:t>
      </w:r>
      <w:r>
        <w:rPr>
          <w:sz w:val="20"/>
          <w:szCs w:val="20"/>
          <w:color w:val="auto"/>
        </w:rPr>
        <w:tab/>
      </w:r>
      <w:r>
        <w:rPr>
          <w:rFonts w:ascii="Courier New" w:cs="Courier New" w:eastAsia="Courier New" w:hAnsi="Courier New"/>
          <w:sz w:val="13"/>
          <w:szCs w:val="13"/>
          <w:color w:val="auto"/>
        </w:rPr>
        <w:t>96</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Restrictions On Going Private Transactions</w:t>
      </w:r>
      <w:r>
        <w:rPr>
          <w:sz w:val="20"/>
          <w:szCs w:val="20"/>
          <w:color w:val="auto"/>
        </w:rPr>
        <w:tab/>
      </w:r>
      <w:r>
        <w:rPr>
          <w:rFonts w:ascii="Courier New" w:cs="Courier New" w:eastAsia="Courier New" w:hAnsi="Courier New"/>
          <w:sz w:val="13"/>
          <w:szCs w:val="13"/>
          <w:color w:val="auto"/>
        </w:rPr>
        <w:t>97</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Blockbuster Merger Agreement</w:t>
      </w:r>
      <w:r>
        <w:rPr>
          <w:sz w:val="20"/>
          <w:szCs w:val="20"/>
          <w:color w:val="auto"/>
        </w:rPr>
        <w:tab/>
      </w:r>
      <w:r>
        <w:rPr>
          <w:rFonts w:ascii="Courier New" w:cs="Courier New" w:eastAsia="Courier New" w:hAnsi="Courier New"/>
          <w:sz w:val="13"/>
          <w:szCs w:val="13"/>
          <w:color w:val="auto"/>
        </w:rPr>
        <w:t>97</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Indemnification; Insurance</w:t>
      </w:r>
      <w:r>
        <w:rPr>
          <w:sz w:val="20"/>
          <w:szCs w:val="20"/>
          <w:color w:val="auto"/>
        </w:rPr>
        <w:tab/>
      </w:r>
      <w:r>
        <w:rPr>
          <w:rFonts w:ascii="Courier New" w:cs="Courier New" w:eastAsia="Courier New" w:hAnsi="Courier New"/>
          <w:sz w:val="13"/>
          <w:szCs w:val="13"/>
          <w:color w:val="auto"/>
        </w:rPr>
        <w:t>97</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3"/>
          <w:szCs w:val="13"/>
          <w:color w:val="auto"/>
        </w:rPr>
        <w:t>98</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3"/>
          <w:szCs w:val="13"/>
          <w:color w:val="auto"/>
        </w:rPr>
        <w:t>98</w:t>
      </w:r>
    </w:p>
    <w:p>
      <w:pPr>
        <w:spacing w:after="0" w:line="2" w:lineRule="exact"/>
        <w:rPr>
          <w:sz w:val="20"/>
          <w:szCs w:val="20"/>
          <w:color w:val="auto"/>
        </w:rPr>
      </w:pPr>
    </w:p>
    <w:p>
      <w:pPr>
        <w:ind w:left="180"/>
        <w:spacing w:after="0"/>
        <w:tabs>
          <w:tab w:leader="dot" w:pos="9780" w:val="left"/>
        </w:tabs>
        <w:rPr>
          <w:sz w:val="20"/>
          <w:szCs w:val="20"/>
          <w:color w:val="auto"/>
        </w:rPr>
      </w:pPr>
      <w:r>
        <w:rPr>
          <w:rFonts w:ascii="Courier New" w:cs="Courier New" w:eastAsia="Courier New" w:hAnsi="Courier New"/>
          <w:sz w:val="14"/>
          <w:szCs w:val="14"/>
          <w:color w:val="auto"/>
        </w:rPr>
        <w:t>Amendment and Waiver</w:t>
      </w:r>
      <w:r>
        <w:rPr>
          <w:sz w:val="20"/>
          <w:szCs w:val="20"/>
          <w:color w:val="auto"/>
        </w:rPr>
        <w:tab/>
      </w:r>
      <w:r>
        <w:rPr>
          <w:rFonts w:ascii="Courier New" w:cs="Courier New" w:eastAsia="Courier New" w:hAnsi="Courier New"/>
          <w:sz w:val="13"/>
          <w:szCs w:val="13"/>
          <w:color w:val="auto"/>
        </w:rPr>
        <w:t>98</w:t>
      </w:r>
    </w:p>
    <w:p>
      <w:pPr>
        <w:spacing w:after="0" w:line="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4"/>
          <w:szCs w:val="14"/>
          <w:color w:val="auto"/>
        </w:rPr>
        <w:t>EXCHANGE ACT REGISTRATION AND TRADING OF THE PARAMOUNT COMMON STOCK</w:t>
      </w:r>
      <w:r>
        <w:rPr>
          <w:sz w:val="20"/>
          <w:szCs w:val="20"/>
          <w:color w:val="auto"/>
        </w:rPr>
        <w:tab/>
      </w:r>
      <w:r>
        <w:rPr>
          <w:rFonts w:ascii="Courier New" w:cs="Courier New" w:eastAsia="Courier New" w:hAnsi="Courier New"/>
          <w:sz w:val="13"/>
          <w:szCs w:val="13"/>
          <w:color w:val="auto"/>
        </w:rPr>
        <w:t>99</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THE BLOCKBUSTER MERGER</w:t>
      </w:r>
      <w:r>
        <w:rPr>
          <w:sz w:val="20"/>
          <w:szCs w:val="20"/>
          <w:color w:val="auto"/>
        </w:rPr>
        <w:tab/>
      </w:r>
      <w:r>
        <w:rPr>
          <w:rFonts w:ascii="Courier New" w:cs="Courier New" w:eastAsia="Courier New" w:hAnsi="Courier New"/>
          <w:sz w:val="13"/>
          <w:szCs w:val="13"/>
          <w:color w:val="auto"/>
        </w:rPr>
        <w:t>100</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Blockbuster</w:t>
      </w:r>
      <w:r>
        <w:rPr>
          <w:sz w:val="20"/>
          <w:szCs w:val="20"/>
          <w:color w:val="auto"/>
        </w:rPr>
        <w:tab/>
      </w:r>
      <w:r>
        <w:rPr>
          <w:rFonts w:ascii="Courier New" w:cs="Courier New" w:eastAsia="Courier New" w:hAnsi="Courier New"/>
          <w:sz w:val="13"/>
          <w:szCs w:val="13"/>
          <w:color w:val="auto"/>
        </w:rPr>
        <w:t>100</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Certain Transactions Between Viacom and Blockbuster and With Their Stockholders</w:t>
      </w:r>
      <w:r>
        <w:rPr>
          <w:sz w:val="20"/>
          <w:szCs w:val="20"/>
          <w:color w:val="auto"/>
        </w:rPr>
        <w:tab/>
      </w:r>
      <w:r>
        <w:rPr>
          <w:rFonts w:ascii="Courier New" w:cs="Courier New" w:eastAsia="Courier New" w:hAnsi="Courier New"/>
          <w:sz w:val="13"/>
          <w:szCs w:val="13"/>
          <w:color w:val="auto"/>
        </w:rPr>
        <w:t>101</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Form of the Blockbuster Merger</w:t>
      </w:r>
      <w:r>
        <w:rPr>
          <w:sz w:val="20"/>
          <w:szCs w:val="20"/>
          <w:color w:val="auto"/>
        </w:rPr>
        <w:tab/>
      </w:r>
      <w:r>
        <w:rPr>
          <w:rFonts w:ascii="Courier New" w:cs="Courier New" w:eastAsia="Courier New" w:hAnsi="Courier New"/>
          <w:sz w:val="13"/>
          <w:szCs w:val="13"/>
          <w:color w:val="auto"/>
        </w:rPr>
        <w:t>102</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Blockbuster Merger Consideration</w:t>
      </w:r>
      <w:r>
        <w:rPr>
          <w:sz w:val="20"/>
          <w:szCs w:val="20"/>
          <w:color w:val="auto"/>
        </w:rPr>
        <w:tab/>
      </w:r>
      <w:r>
        <w:rPr>
          <w:rFonts w:ascii="Courier New" w:cs="Courier New" w:eastAsia="Courier New" w:hAnsi="Courier New"/>
          <w:sz w:val="13"/>
          <w:szCs w:val="13"/>
          <w:color w:val="auto"/>
        </w:rPr>
        <w:t>102</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Certain Federal Income Tax Consequences</w:t>
      </w:r>
      <w:r>
        <w:rPr>
          <w:sz w:val="20"/>
          <w:szCs w:val="20"/>
          <w:color w:val="auto"/>
        </w:rPr>
        <w:tab/>
      </w:r>
      <w:r>
        <w:rPr>
          <w:rFonts w:ascii="Courier New" w:cs="Courier New" w:eastAsia="Courier New" w:hAnsi="Courier New"/>
          <w:sz w:val="13"/>
          <w:szCs w:val="13"/>
          <w:color w:val="auto"/>
        </w:rPr>
        <w:t>103</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Appraisal Rights with Respect to the Blockbuster Merger</w:t>
      </w:r>
      <w:r>
        <w:rPr>
          <w:sz w:val="20"/>
          <w:szCs w:val="20"/>
          <w:color w:val="auto"/>
        </w:rPr>
        <w:tab/>
      </w:r>
      <w:r>
        <w:rPr>
          <w:rFonts w:ascii="Courier New" w:cs="Courier New" w:eastAsia="Courier New" w:hAnsi="Courier New"/>
          <w:sz w:val="13"/>
          <w:szCs w:val="13"/>
          <w:color w:val="auto"/>
        </w:rPr>
        <w:t>103</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Treatment of Blockbuster Warrants and Employee Stock Options</w:t>
      </w:r>
      <w:r>
        <w:rPr>
          <w:sz w:val="20"/>
          <w:szCs w:val="20"/>
          <w:color w:val="auto"/>
        </w:rPr>
        <w:tab/>
      </w:r>
      <w:r>
        <w:rPr>
          <w:rFonts w:ascii="Courier New" w:cs="Courier New" w:eastAsia="Courier New" w:hAnsi="Courier New"/>
          <w:sz w:val="13"/>
          <w:szCs w:val="13"/>
          <w:color w:val="auto"/>
        </w:rPr>
        <w:t>103</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CERTAIN CONSIDERATIONS</w:t>
      </w:r>
      <w:r>
        <w:rPr>
          <w:sz w:val="20"/>
          <w:szCs w:val="20"/>
          <w:color w:val="auto"/>
        </w:rPr>
        <w:tab/>
      </w:r>
      <w:r>
        <w:rPr>
          <w:rFonts w:ascii="Courier New" w:cs="Courier New" w:eastAsia="Courier New" w:hAnsi="Courier New"/>
          <w:sz w:val="13"/>
          <w:szCs w:val="13"/>
          <w:color w:val="auto"/>
        </w:rPr>
        <w:t>105</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AMENDMENTS TO THE RESTATED CERTIFICATE OF INCORPORATION OF VIACOM</w:t>
      </w:r>
      <w:r>
        <w:rPr>
          <w:sz w:val="20"/>
          <w:szCs w:val="20"/>
          <w:color w:val="auto"/>
        </w:rPr>
        <w:tab/>
      </w:r>
      <w:r>
        <w:rPr>
          <w:rFonts w:ascii="Courier New" w:cs="Courier New" w:eastAsia="Courier New" w:hAnsi="Courier New"/>
          <w:sz w:val="13"/>
          <w:szCs w:val="13"/>
          <w:color w:val="auto"/>
        </w:rPr>
        <w:t>106</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AMENDMENT TO THE CERTIFICATE OF INCORPORATION AND BY-LAWS OF PARAMOUNT</w:t>
      </w:r>
      <w:r>
        <w:rPr>
          <w:sz w:val="20"/>
          <w:szCs w:val="20"/>
          <w:color w:val="auto"/>
        </w:rPr>
        <w:tab/>
      </w:r>
      <w:r>
        <w:rPr>
          <w:rFonts w:ascii="Courier New" w:cs="Courier New" w:eastAsia="Courier New" w:hAnsi="Courier New"/>
          <w:sz w:val="13"/>
          <w:szCs w:val="13"/>
          <w:color w:val="auto"/>
        </w:rPr>
        <w:t>107</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MANAGEMENT BEFORE AND AFTER THE MERGERS</w:t>
      </w:r>
      <w:r>
        <w:rPr>
          <w:sz w:val="20"/>
          <w:szCs w:val="20"/>
          <w:color w:val="auto"/>
        </w:rPr>
        <w:tab/>
      </w:r>
      <w:r>
        <w:rPr>
          <w:rFonts w:ascii="Courier New" w:cs="Courier New" w:eastAsia="Courier New" w:hAnsi="Courier New"/>
          <w:sz w:val="13"/>
          <w:szCs w:val="13"/>
          <w:color w:val="auto"/>
        </w:rPr>
        <w:t>107</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Executive Officers and Directors of Viacom</w:t>
      </w:r>
      <w:r>
        <w:rPr>
          <w:sz w:val="20"/>
          <w:szCs w:val="20"/>
          <w:color w:val="auto"/>
        </w:rPr>
        <w:tab/>
      </w:r>
      <w:r>
        <w:rPr>
          <w:rFonts w:ascii="Courier New" w:cs="Courier New" w:eastAsia="Courier New" w:hAnsi="Courier New"/>
          <w:sz w:val="13"/>
          <w:szCs w:val="13"/>
          <w:color w:val="auto"/>
        </w:rPr>
        <w:t>107</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Executive Officers and Directors of Paramount</w:t>
      </w:r>
      <w:r>
        <w:rPr>
          <w:sz w:val="20"/>
          <w:szCs w:val="20"/>
          <w:color w:val="auto"/>
        </w:rPr>
        <w:tab/>
      </w:r>
      <w:r>
        <w:rPr>
          <w:rFonts w:ascii="Courier New" w:cs="Courier New" w:eastAsia="Courier New" w:hAnsi="Courier New"/>
          <w:sz w:val="13"/>
          <w:szCs w:val="13"/>
          <w:color w:val="auto"/>
        </w:rPr>
        <w:t>111</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Management After the Mergers</w:t>
      </w:r>
      <w:r>
        <w:rPr>
          <w:sz w:val="20"/>
          <w:szCs w:val="20"/>
          <w:color w:val="auto"/>
        </w:rPr>
        <w:tab/>
      </w:r>
      <w:r>
        <w:rPr>
          <w:rFonts w:ascii="Courier New" w:cs="Courier New" w:eastAsia="Courier New" w:hAnsi="Courier New"/>
          <w:sz w:val="13"/>
          <w:szCs w:val="13"/>
          <w:color w:val="auto"/>
        </w:rPr>
        <w:t>113</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FINANCIAL MATTERS AFTER THE MERGERS</w:t>
      </w:r>
      <w:r>
        <w:rPr>
          <w:sz w:val="20"/>
          <w:szCs w:val="20"/>
          <w:color w:val="auto"/>
        </w:rPr>
        <w:tab/>
      </w:r>
      <w:r>
        <w:rPr>
          <w:rFonts w:ascii="Courier New" w:cs="Courier New" w:eastAsia="Courier New" w:hAnsi="Courier New"/>
          <w:sz w:val="13"/>
          <w:szCs w:val="13"/>
          <w:color w:val="auto"/>
        </w:rPr>
        <w:t>113</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Accounting Treatment</w:t>
      </w:r>
      <w:r>
        <w:rPr>
          <w:sz w:val="20"/>
          <w:szCs w:val="20"/>
          <w:color w:val="auto"/>
        </w:rPr>
        <w:tab/>
      </w:r>
      <w:r>
        <w:rPr>
          <w:rFonts w:ascii="Courier New" w:cs="Courier New" w:eastAsia="Courier New" w:hAnsi="Courier New"/>
          <w:sz w:val="13"/>
          <w:szCs w:val="13"/>
          <w:color w:val="auto"/>
        </w:rPr>
        <w:t>113</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Common Stock Dividend Policy After the Paramount Merger and the Mergers</w:t>
      </w:r>
      <w:r>
        <w:rPr>
          <w:sz w:val="20"/>
          <w:szCs w:val="20"/>
          <w:color w:val="auto"/>
        </w:rPr>
        <w:tab/>
      </w:r>
      <w:r>
        <w:rPr>
          <w:rFonts w:ascii="Courier New" w:cs="Courier New" w:eastAsia="Courier New" w:hAnsi="Courier New"/>
          <w:sz w:val="13"/>
          <w:szCs w:val="13"/>
          <w:color w:val="auto"/>
        </w:rPr>
        <w:t>113</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3"/>
          <w:szCs w:val="13"/>
          <w:color w:val="auto"/>
        </w:rPr>
        <w:t>114</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COMBINED COMPANY UNAUDITED PRO FORMA COMBINED CONDENSED FINANCIAL STATEMENTS</w:t>
      </w:r>
      <w:r>
        <w:rPr>
          <w:sz w:val="20"/>
          <w:szCs w:val="20"/>
          <w:color w:val="auto"/>
        </w:rPr>
        <w:tab/>
      </w:r>
      <w:r>
        <w:rPr>
          <w:rFonts w:ascii="Courier New" w:cs="Courier New" w:eastAsia="Courier New" w:hAnsi="Courier New"/>
          <w:sz w:val="13"/>
          <w:szCs w:val="13"/>
          <w:color w:val="auto"/>
        </w:rPr>
        <w:t>115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MACMILLAN AND OTHER BUSINESSES ACQUIRED UNAUDITED PRO FORMA CONDENSED CONSOLIDATED FINANCIAL</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STATEMENTS</w:t>
      </w:r>
      <w:r>
        <w:rPr>
          <w:sz w:val="20"/>
          <w:szCs w:val="20"/>
          <w:color w:val="auto"/>
        </w:rPr>
        <w:tab/>
      </w:r>
      <w:r>
        <w:rPr>
          <w:rFonts w:ascii="Courier New" w:cs="Courier New" w:eastAsia="Courier New" w:hAnsi="Courier New"/>
          <w:sz w:val="13"/>
          <w:szCs w:val="13"/>
          <w:color w:val="auto"/>
        </w:rPr>
        <w:t>122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SUPER CLUB AND SPELLING ENTERTAINMENT UNAUDITED PRO FORMA CONDENSED CONSOLIDATED FINANCIAL</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STATEMENTS</w:t>
      </w:r>
      <w:r>
        <w:rPr>
          <w:sz w:val="20"/>
          <w:szCs w:val="20"/>
          <w:color w:val="auto"/>
        </w:rPr>
        <w:tab/>
      </w:r>
      <w:r>
        <w:rPr>
          <w:rFonts w:ascii="Courier New" w:cs="Courier New" w:eastAsia="Courier New" w:hAnsi="Courier New"/>
          <w:sz w:val="13"/>
          <w:szCs w:val="13"/>
          <w:color w:val="auto"/>
        </w:rPr>
        <w:t>126</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DESCRIPTION OF VIACOM CAPITAL STOCK</w:t>
      </w:r>
      <w:r>
        <w:rPr>
          <w:sz w:val="20"/>
          <w:szCs w:val="20"/>
          <w:color w:val="auto"/>
        </w:rPr>
        <w:tab/>
      </w:r>
      <w:r>
        <w:rPr>
          <w:rFonts w:ascii="Courier New" w:cs="Courier New" w:eastAsia="Courier New" w:hAnsi="Courier New"/>
          <w:sz w:val="13"/>
          <w:szCs w:val="13"/>
          <w:color w:val="auto"/>
        </w:rPr>
        <w:t>130</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Viacom Class A Common Stock</w:t>
      </w:r>
      <w:r>
        <w:rPr>
          <w:sz w:val="20"/>
          <w:szCs w:val="20"/>
          <w:color w:val="auto"/>
        </w:rPr>
        <w:tab/>
      </w:r>
      <w:r>
        <w:rPr>
          <w:rFonts w:ascii="Courier New" w:cs="Courier New" w:eastAsia="Courier New" w:hAnsi="Courier New"/>
          <w:sz w:val="13"/>
          <w:szCs w:val="13"/>
          <w:color w:val="auto"/>
        </w:rPr>
        <w:t>130</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Viacom Class B Common Stock</w:t>
      </w:r>
      <w:r>
        <w:rPr>
          <w:sz w:val="20"/>
          <w:szCs w:val="20"/>
          <w:color w:val="auto"/>
        </w:rPr>
        <w:tab/>
      </w:r>
      <w:r>
        <w:rPr>
          <w:rFonts w:ascii="Courier New" w:cs="Courier New" w:eastAsia="Courier New" w:hAnsi="Courier New"/>
          <w:sz w:val="13"/>
          <w:szCs w:val="13"/>
          <w:color w:val="auto"/>
        </w:rPr>
        <w:t>130</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Contingent Value Rights</w:t>
      </w:r>
      <w:r>
        <w:rPr>
          <w:sz w:val="20"/>
          <w:szCs w:val="20"/>
          <w:color w:val="auto"/>
        </w:rPr>
        <w:tab/>
      </w:r>
      <w:r>
        <w:rPr>
          <w:rFonts w:ascii="Courier New" w:cs="Courier New" w:eastAsia="Courier New" w:hAnsi="Courier New"/>
          <w:sz w:val="13"/>
          <w:szCs w:val="13"/>
          <w:color w:val="auto"/>
        </w:rPr>
        <w:t>131</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Viacom Warrants</w:t>
      </w:r>
      <w:r>
        <w:rPr>
          <w:sz w:val="20"/>
          <w:szCs w:val="20"/>
          <w:color w:val="auto"/>
        </w:rPr>
        <w:tab/>
      </w:r>
      <w:r>
        <w:rPr>
          <w:rFonts w:ascii="Courier New" w:cs="Courier New" w:eastAsia="Courier New" w:hAnsi="Courier New"/>
          <w:sz w:val="13"/>
          <w:szCs w:val="13"/>
          <w:color w:val="auto"/>
        </w:rPr>
        <w:t>135</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Voting and Other Rights of the Viacom Common Stock</w:t>
      </w:r>
      <w:r>
        <w:rPr>
          <w:sz w:val="20"/>
          <w:szCs w:val="20"/>
          <w:color w:val="auto"/>
        </w:rPr>
        <w:tab/>
      </w:r>
      <w:r>
        <w:rPr>
          <w:rFonts w:ascii="Courier New" w:cs="Courier New" w:eastAsia="Courier New" w:hAnsi="Courier New"/>
          <w:sz w:val="13"/>
          <w:szCs w:val="13"/>
          <w:color w:val="auto"/>
        </w:rPr>
        <w:t>136</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Viacom Preferred Stock</w:t>
      </w:r>
      <w:r>
        <w:rPr>
          <w:sz w:val="20"/>
          <w:szCs w:val="20"/>
          <w:color w:val="auto"/>
        </w:rPr>
        <w:tab/>
      </w:r>
      <w:r>
        <w:rPr>
          <w:rFonts w:ascii="Courier New" w:cs="Courier New" w:eastAsia="Courier New" w:hAnsi="Courier New"/>
          <w:sz w:val="13"/>
          <w:szCs w:val="13"/>
          <w:color w:val="auto"/>
        </w:rPr>
        <w:t>138</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720"/>
          </w:cols>
          <w:pgMar w:left="220" w:top="761" w:right="959" w:bottom="1440" w:gutter="0" w:footer="0" w:header="0"/>
        </w:sectPr>
      </w:pPr>
    </w:p>
    <w:bookmarkStart w:id="12" w:name="page13"/>
    <w:bookmarkEnd w:id="12"/>
    <w:p>
      <w:pPr>
        <w:spacing w:after="0"/>
        <w:tabs>
          <w:tab w:leader="none" w:pos="936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PAGE</w:t>
      </w:r>
    </w:p>
    <w:p>
      <w:pPr>
        <w:spacing w:after="0" w:line="2"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163"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Series C Preferred Stock</w:t>
      </w:r>
      <w:r>
        <w:rPr>
          <w:sz w:val="20"/>
          <w:szCs w:val="20"/>
          <w:color w:val="auto"/>
        </w:rPr>
        <w:tab/>
      </w:r>
      <w:r>
        <w:rPr>
          <w:rFonts w:ascii="Courier New" w:cs="Courier New" w:eastAsia="Courier New" w:hAnsi="Courier New"/>
          <w:sz w:val="13"/>
          <w:szCs w:val="13"/>
          <w:color w:val="auto"/>
        </w:rPr>
        <w:t>139</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DESCRIPTION OF VIACOM DEBENTURES</w:t>
      </w:r>
      <w:r>
        <w:rPr>
          <w:sz w:val="20"/>
          <w:szCs w:val="20"/>
          <w:color w:val="auto"/>
        </w:rPr>
        <w:tab/>
      </w:r>
      <w:r>
        <w:rPr>
          <w:rFonts w:ascii="Courier New" w:cs="Courier New" w:eastAsia="Courier New" w:hAnsi="Courier New"/>
          <w:sz w:val="13"/>
          <w:szCs w:val="13"/>
          <w:color w:val="auto"/>
        </w:rPr>
        <w:t>142</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COMPARISON OF STOCKHOLDER RIGHTS</w:t>
      </w:r>
      <w:r>
        <w:rPr>
          <w:sz w:val="20"/>
          <w:szCs w:val="20"/>
          <w:color w:val="auto"/>
        </w:rPr>
        <w:tab/>
      </w:r>
      <w:r>
        <w:rPr>
          <w:rFonts w:ascii="Courier New" w:cs="Courier New" w:eastAsia="Courier New" w:hAnsi="Courier New"/>
          <w:sz w:val="13"/>
          <w:szCs w:val="13"/>
          <w:color w:val="auto"/>
        </w:rPr>
        <w:t>152</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Stockholder Vote Required for Certain Transactions</w:t>
      </w:r>
      <w:r>
        <w:rPr>
          <w:sz w:val="20"/>
          <w:szCs w:val="20"/>
          <w:color w:val="auto"/>
        </w:rPr>
        <w:tab/>
      </w:r>
      <w:r>
        <w:rPr>
          <w:rFonts w:ascii="Courier New" w:cs="Courier New" w:eastAsia="Courier New" w:hAnsi="Courier New"/>
          <w:sz w:val="13"/>
          <w:szCs w:val="13"/>
          <w:color w:val="auto"/>
        </w:rPr>
        <w:t>152</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Special Meetings of Stockholders; Stockholder Action by Written Consent</w:t>
      </w:r>
      <w:r>
        <w:rPr>
          <w:sz w:val="20"/>
          <w:szCs w:val="20"/>
          <w:color w:val="auto"/>
        </w:rPr>
        <w:tab/>
      </w:r>
      <w:r>
        <w:rPr>
          <w:rFonts w:ascii="Courier New" w:cs="Courier New" w:eastAsia="Courier New" w:hAnsi="Courier New"/>
          <w:sz w:val="13"/>
          <w:szCs w:val="13"/>
          <w:color w:val="auto"/>
        </w:rPr>
        <w:t>153</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Rights Plans</w:t>
      </w:r>
      <w:r>
        <w:rPr>
          <w:sz w:val="20"/>
          <w:szCs w:val="20"/>
          <w:color w:val="auto"/>
        </w:rPr>
        <w:tab/>
      </w:r>
      <w:r>
        <w:rPr>
          <w:rFonts w:ascii="Courier New" w:cs="Courier New" w:eastAsia="Courier New" w:hAnsi="Courier New"/>
          <w:sz w:val="13"/>
          <w:szCs w:val="13"/>
          <w:color w:val="auto"/>
        </w:rPr>
        <w:t>154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BY CERTAIN PERSONS IN PARAMOUNT</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3"/>
          <w:szCs w:val="13"/>
          <w:color w:val="auto"/>
        </w:rPr>
        <w:t>156</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SECURITY OWNERSHIP OF CERTAIN BENEFICIAL OWNERS AND MANAGEMENT</w:t>
      </w:r>
      <w:r>
        <w:rPr>
          <w:sz w:val="20"/>
          <w:szCs w:val="20"/>
          <w:color w:val="auto"/>
        </w:rPr>
        <w:tab/>
      </w:r>
      <w:r>
        <w:rPr>
          <w:rFonts w:ascii="Courier New" w:cs="Courier New" w:eastAsia="Courier New" w:hAnsi="Courier New"/>
          <w:sz w:val="13"/>
          <w:szCs w:val="13"/>
          <w:color w:val="auto"/>
        </w:rPr>
        <w:t>157</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Viacom Capital Stock</w:t>
      </w:r>
      <w:r>
        <w:rPr>
          <w:sz w:val="20"/>
          <w:szCs w:val="20"/>
          <w:color w:val="auto"/>
        </w:rPr>
        <w:tab/>
      </w:r>
      <w:r>
        <w:rPr>
          <w:rFonts w:ascii="Courier New" w:cs="Courier New" w:eastAsia="Courier New" w:hAnsi="Courier New"/>
          <w:sz w:val="13"/>
          <w:szCs w:val="13"/>
          <w:color w:val="auto"/>
        </w:rPr>
        <w:t>157</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Paramount Capital Stock</w:t>
      </w:r>
      <w:r>
        <w:rPr>
          <w:sz w:val="20"/>
          <w:szCs w:val="20"/>
          <w:color w:val="auto"/>
        </w:rPr>
        <w:tab/>
      </w:r>
      <w:r>
        <w:rPr>
          <w:rFonts w:ascii="Courier New" w:cs="Courier New" w:eastAsia="Courier New" w:hAnsi="Courier New"/>
          <w:sz w:val="13"/>
          <w:szCs w:val="13"/>
          <w:color w:val="auto"/>
        </w:rPr>
        <w:t>158</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OTHER MATTERS</w:t>
      </w:r>
      <w:r>
        <w:rPr>
          <w:sz w:val="20"/>
          <w:szCs w:val="20"/>
          <w:color w:val="auto"/>
        </w:rPr>
        <w:tab/>
      </w:r>
      <w:r>
        <w:rPr>
          <w:rFonts w:ascii="Courier New" w:cs="Courier New" w:eastAsia="Courier New" w:hAnsi="Courier New"/>
          <w:sz w:val="13"/>
          <w:szCs w:val="13"/>
          <w:color w:val="auto"/>
        </w:rPr>
        <w:t>159</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Regulatory Approvals Required</w:t>
      </w:r>
      <w:r>
        <w:rPr>
          <w:sz w:val="20"/>
          <w:szCs w:val="20"/>
          <w:color w:val="auto"/>
        </w:rPr>
        <w:tab/>
      </w:r>
      <w:r>
        <w:rPr>
          <w:rFonts w:ascii="Courier New" w:cs="Courier New" w:eastAsia="Courier New" w:hAnsi="Courier New"/>
          <w:sz w:val="13"/>
          <w:szCs w:val="13"/>
          <w:color w:val="auto"/>
        </w:rPr>
        <w:t>159</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Antitrust Approvals</w:t>
      </w:r>
      <w:r>
        <w:rPr>
          <w:sz w:val="20"/>
          <w:szCs w:val="20"/>
          <w:color w:val="auto"/>
        </w:rPr>
        <w:tab/>
      </w:r>
      <w:r>
        <w:rPr>
          <w:rFonts w:ascii="Courier New" w:cs="Courier New" w:eastAsia="Courier New" w:hAnsi="Courier New"/>
          <w:sz w:val="13"/>
          <w:szCs w:val="13"/>
          <w:color w:val="auto"/>
        </w:rPr>
        <w:t>159</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Stockholder Litigations</w:t>
      </w:r>
      <w:r>
        <w:rPr>
          <w:sz w:val="20"/>
          <w:szCs w:val="20"/>
          <w:color w:val="auto"/>
        </w:rPr>
        <w:tab/>
      </w:r>
      <w:r>
        <w:rPr>
          <w:rFonts w:ascii="Courier New" w:cs="Courier New" w:eastAsia="Courier New" w:hAnsi="Courier New"/>
          <w:sz w:val="13"/>
          <w:szCs w:val="13"/>
          <w:color w:val="auto"/>
        </w:rPr>
        <w:t>161</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Antitrust Litigation</w:t>
      </w:r>
      <w:r>
        <w:rPr>
          <w:sz w:val="20"/>
          <w:szCs w:val="20"/>
          <w:color w:val="auto"/>
        </w:rPr>
        <w:tab/>
      </w:r>
      <w:r>
        <w:rPr>
          <w:rFonts w:ascii="Courier New" w:cs="Courier New" w:eastAsia="Courier New" w:hAnsi="Courier New"/>
          <w:sz w:val="13"/>
          <w:szCs w:val="13"/>
          <w:color w:val="auto"/>
        </w:rPr>
        <w:t>162</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QVC Litigation</w:t>
      </w:r>
      <w:r>
        <w:rPr>
          <w:sz w:val="20"/>
          <w:szCs w:val="20"/>
          <w:color w:val="auto"/>
        </w:rPr>
        <w:tab/>
      </w:r>
      <w:r>
        <w:rPr>
          <w:rFonts w:ascii="Courier New" w:cs="Courier New" w:eastAsia="Courier New" w:hAnsi="Courier New"/>
          <w:sz w:val="13"/>
          <w:szCs w:val="13"/>
          <w:color w:val="auto"/>
        </w:rPr>
        <w:t>163</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DISSENTING STOCKHOLDERS' RIGHTS OF APPRAISAL</w:t>
      </w:r>
      <w:r>
        <w:rPr>
          <w:sz w:val="20"/>
          <w:szCs w:val="20"/>
          <w:color w:val="auto"/>
        </w:rPr>
        <w:tab/>
      </w:r>
      <w:r>
        <w:rPr>
          <w:rFonts w:ascii="Courier New" w:cs="Courier New" w:eastAsia="Courier New" w:hAnsi="Courier New"/>
          <w:sz w:val="13"/>
          <w:szCs w:val="13"/>
          <w:color w:val="auto"/>
        </w:rPr>
        <w:t>165</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3"/>
          <w:szCs w:val="13"/>
          <w:color w:val="auto"/>
        </w:rPr>
        <w:t>167</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3"/>
          <w:szCs w:val="13"/>
          <w:color w:val="auto"/>
        </w:rPr>
        <w:t>167</w:t>
      </w:r>
    </w:p>
    <w:p>
      <w:pPr>
        <w:spacing w:after="0" w:line="2" w:lineRule="exact"/>
        <w:rPr>
          <w:sz w:val="20"/>
          <w:szCs w:val="20"/>
          <w:color w:val="auto"/>
        </w:rPr>
      </w:pPr>
    </w:p>
    <w:p>
      <w:pPr>
        <w:ind w:left="180"/>
        <w:spacing w:after="0"/>
        <w:tabs>
          <w:tab w:leader="dot" w:pos="9700" w:val="left"/>
        </w:tabs>
        <w:rPr>
          <w:sz w:val="20"/>
          <w:szCs w:val="20"/>
          <w:color w:val="auto"/>
        </w:rPr>
      </w:pPr>
      <w:r>
        <w:rPr>
          <w:rFonts w:ascii="Courier New" w:cs="Courier New" w:eastAsia="Courier New" w:hAnsi="Courier New"/>
          <w:sz w:val="14"/>
          <w:szCs w:val="14"/>
          <w:color w:val="auto"/>
        </w:rPr>
        <w:t>Legal Opinions</w:t>
      </w:r>
      <w:r>
        <w:rPr>
          <w:sz w:val="20"/>
          <w:szCs w:val="20"/>
          <w:color w:val="auto"/>
        </w:rPr>
        <w:tab/>
      </w:r>
      <w:r>
        <w:rPr>
          <w:rFonts w:ascii="Courier New" w:cs="Courier New" w:eastAsia="Courier New" w:hAnsi="Courier New"/>
          <w:sz w:val="13"/>
          <w:szCs w:val="13"/>
          <w:color w:val="auto"/>
        </w:rPr>
        <w:t>168</w:t>
      </w:r>
    </w:p>
    <w:p>
      <w:pPr>
        <w:spacing w:after="0" w:line="2"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4"/>
          <w:szCs w:val="14"/>
          <w:color w:val="auto"/>
        </w:rPr>
        <w:t>STOCKHOLDER PROPOSALS</w:t>
      </w:r>
      <w:r>
        <w:rPr>
          <w:sz w:val="20"/>
          <w:szCs w:val="20"/>
          <w:color w:val="auto"/>
        </w:rPr>
        <w:tab/>
      </w:r>
      <w:r>
        <w:rPr>
          <w:rFonts w:ascii="Courier New" w:cs="Courier New" w:eastAsia="Courier New" w:hAnsi="Courier New"/>
          <w:sz w:val="13"/>
          <w:szCs w:val="13"/>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900" w:type="dxa"/>
            <w:vAlign w:val="bottom"/>
          </w:tcPr>
          <w:p>
            <w:pPr>
              <w:ind w:left="540"/>
              <w:spacing w:after="0"/>
              <w:rPr>
                <w:sz w:val="20"/>
                <w:szCs w:val="20"/>
                <w:color w:val="auto"/>
              </w:rPr>
            </w:pPr>
            <w:r>
              <w:rPr>
                <w:rFonts w:ascii="Courier New" w:cs="Courier New" w:eastAsia="Courier New" w:hAnsi="Courier New"/>
                <w:sz w:val="14"/>
                <w:szCs w:val="14"/>
                <w:color w:val="auto"/>
              </w:rPr>
              <w:t>LIST OF ANNEXES</w:t>
            </w:r>
          </w:p>
        </w:tc>
      </w:tr>
      <w:tr>
        <w:trPr>
          <w:trHeight w:val="644"/>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I</w:t>
            </w:r>
          </w:p>
        </w:tc>
        <w:tc>
          <w:tcPr>
            <w:tcW w:w="1660" w:type="dxa"/>
            <w:vAlign w:val="bottom"/>
          </w:tcPr>
          <w:p>
            <w:pPr>
              <w:ind w:left="280"/>
              <w:spacing w:after="0"/>
              <w:rPr>
                <w:sz w:val="20"/>
                <w:szCs w:val="20"/>
                <w:color w:val="auto"/>
              </w:rPr>
            </w:pPr>
            <w:r>
              <w:rPr>
                <w:rFonts w:ascii="Courier New" w:cs="Courier New" w:eastAsia="Courier New" w:hAnsi="Courier New"/>
                <w:sz w:val="14"/>
                <w:szCs w:val="14"/>
                <w:color w:val="auto"/>
              </w:rPr>
              <w:t>Paramount Merger</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II</w:t>
            </w:r>
          </w:p>
        </w:tc>
        <w:tc>
          <w:tcPr>
            <w:tcW w:w="1660" w:type="dxa"/>
            <w:vAlign w:val="bottom"/>
          </w:tcPr>
          <w:p>
            <w:pPr>
              <w:ind w:left="280"/>
              <w:spacing w:after="0"/>
              <w:rPr>
                <w:sz w:val="20"/>
                <w:szCs w:val="20"/>
                <w:color w:val="auto"/>
              </w:rPr>
            </w:pPr>
            <w:r>
              <w:rPr>
                <w:rFonts w:ascii="Courier New" w:cs="Courier New" w:eastAsia="Courier New" w:hAnsi="Courier New"/>
                <w:sz w:val="14"/>
                <w:szCs w:val="14"/>
                <w:color w:val="auto"/>
              </w:rPr>
              <w:t>Paramount Voting</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III</w:t>
            </w:r>
          </w:p>
        </w:tc>
        <w:tc>
          <w:tcPr>
            <w:tcW w:w="1660" w:type="dxa"/>
            <w:vAlign w:val="bottom"/>
          </w:tcPr>
          <w:p>
            <w:pPr>
              <w:ind w:left="280"/>
              <w:spacing w:after="0"/>
              <w:rPr>
                <w:sz w:val="20"/>
                <w:szCs w:val="20"/>
                <w:color w:val="auto"/>
              </w:rPr>
            </w:pPr>
            <w:r>
              <w:rPr>
                <w:rFonts w:ascii="Courier New" w:cs="Courier New" w:eastAsia="Courier New" w:hAnsi="Courier New"/>
                <w:sz w:val="14"/>
                <w:szCs w:val="14"/>
                <w:color w:val="auto"/>
              </w:rPr>
              <w:t>Opinion of Smith</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Barney Shearson Inc.</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IV</w:t>
            </w:r>
          </w:p>
        </w:tc>
        <w:tc>
          <w:tcPr>
            <w:tcW w:w="7560" w:type="dxa"/>
            <w:vAlign w:val="bottom"/>
            <w:gridSpan w:val="2"/>
          </w:tcPr>
          <w:p>
            <w:pPr>
              <w:ind w:left="280"/>
              <w:spacing w:after="0"/>
              <w:rPr>
                <w:sz w:val="20"/>
                <w:szCs w:val="20"/>
                <w:color w:val="auto"/>
              </w:rPr>
            </w:pPr>
            <w:r>
              <w:rPr>
                <w:rFonts w:ascii="Courier New" w:cs="Courier New" w:eastAsia="Courier New" w:hAnsi="Courier New"/>
                <w:sz w:val="14"/>
                <w:szCs w:val="14"/>
                <w:color w:val="auto"/>
              </w:rPr>
              <w:t>Opinion of Lazard Freres &amp; Co.</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V</w:t>
            </w:r>
          </w:p>
        </w:tc>
        <w:tc>
          <w:tcPr>
            <w:tcW w:w="1660" w:type="dxa"/>
            <w:vAlign w:val="bottom"/>
          </w:tcPr>
          <w:p>
            <w:pPr>
              <w:ind w:left="280"/>
              <w:spacing w:after="0"/>
              <w:rPr>
                <w:sz w:val="20"/>
                <w:szCs w:val="20"/>
                <w:color w:val="auto"/>
              </w:rPr>
            </w:pPr>
            <w:r>
              <w:rPr>
                <w:rFonts w:ascii="Courier New" w:cs="Courier New" w:eastAsia="Courier New" w:hAnsi="Courier New"/>
                <w:sz w:val="14"/>
                <w:szCs w:val="14"/>
                <w:color w:val="auto"/>
              </w:rPr>
              <w:t>Excerpt from the</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Delaware General Corporation Law Relating to Dissenters' Rights</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VI</w:t>
            </w:r>
          </w:p>
        </w:tc>
        <w:tc>
          <w:tcPr>
            <w:tcW w:w="7560" w:type="dxa"/>
            <w:vAlign w:val="bottom"/>
            <w:gridSpan w:val="2"/>
          </w:tcPr>
          <w:p>
            <w:pPr>
              <w:ind w:left="280"/>
              <w:spacing w:after="0"/>
              <w:rPr>
                <w:sz w:val="20"/>
                <w:szCs w:val="20"/>
                <w:color w:val="auto"/>
              </w:rPr>
            </w:pPr>
            <w:r>
              <w:rPr>
                <w:rFonts w:ascii="Courier New" w:cs="Courier New" w:eastAsia="Courier New" w:hAnsi="Courier New"/>
                <w:sz w:val="14"/>
                <w:szCs w:val="14"/>
                <w:color w:val="auto"/>
              </w:rPr>
              <w:t>Form of Certificate of Merger for the Paramount Merger</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Annex VII</w:t>
            </w:r>
          </w:p>
        </w:tc>
        <w:tc>
          <w:tcPr>
            <w:tcW w:w="756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99"/>
              </w:rPr>
              <w:t>Form of Certificate of Amendment to the Restated Certificate of Incorporation of Viacom</w:t>
            </w:r>
          </w:p>
        </w:tc>
      </w:tr>
    </w:tbl>
    <w:p>
      <w:pPr>
        <w:spacing w:after="0" w:line="200" w:lineRule="exact"/>
        <w:rPr>
          <w:sz w:val="20"/>
          <w:szCs w:val="20"/>
          <w:color w:val="auto"/>
        </w:rPr>
      </w:pPr>
    </w:p>
    <w:p>
      <w:pPr>
        <w:spacing w:after="0" w:line="28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720"/>
          </w:cols>
          <w:pgMar w:left="220" w:top="922" w:right="959" w:bottom="1440" w:gutter="0" w:footer="0" w:header="0"/>
        </w:sectPr>
      </w:pPr>
    </w:p>
    <w:bookmarkStart w:id="13" w:name="page14"/>
    <w:bookmarkEnd w:id="13"/>
    <w:p>
      <w:pPr>
        <w:jc w:val="center"/>
        <w:ind w:right="3539"/>
        <w:spacing w:after="0"/>
        <w:rPr>
          <w:sz w:val="20"/>
          <w:szCs w:val="20"/>
          <w:color w:val="auto"/>
        </w:rPr>
      </w:pPr>
      <w:r>
        <w:rPr>
          <w:rFonts w:ascii="Courier New" w:cs="Courier New" w:eastAsia="Courier New" w:hAnsi="Courier New"/>
          <w:sz w:val="14"/>
          <w:szCs w:val="14"/>
          <w:color w:val="auto"/>
        </w:rPr>
        <w:t>DEFINITION CROSS-REFERENCE SHEET</w:t>
      </w:r>
    </w:p>
    <w:p>
      <w:pPr>
        <w:spacing w:after="0" w:line="166" w:lineRule="exact"/>
        <w:rPr>
          <w:sz w:val="20"/>
          <w:szCs w:val="20"/>
          <w:color w:val="auto"/>
        </w:rPr>
      </w:pPr>
    </w:p>
    <w:p>
      <w:pPr>
        <w:ind w:right="4039" w:firstLine="418"/>
        <w:spacing w:after="0" w:line="276" w:lineRule="auto"/>
        <w:rPr>
          <w:sz w:val="20"/>
          <w:szCs w:val="20"/>
          <w:color w:val="auto"/>
        </w:rPr>
      </w:pPr>
      <w:r>
        <w:rPr>
          <w:rFonts w:ascii="Courier New" w:cs="Courier New" w:eastAsia="Courier New" w:hAnsi="Courier New"/>
          <w:sz w:val="13"/>
          <w:szCs w:val="13"/>
          <w:color w:val="auto"/>
        </w:rPr>
        <w:t>Set forth below is a list of certain defined terms used in this Proxy Statement/Prospectus and the page on which each such term is defined: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tabs>
          <w:tab w:leader="none" w:pos="4160" w:val="left"/>
        </w:tabs>
        <w:rPr>
          <w:sz w:val="20"/>
          <w:szCs w:val="20"/>
          <w:color w:val="auto"/>
        </w:rPr>
      </w:pPr>
      <w:r>
        <w:rPr>
          <w:rFonts w:ascii="Courier New" w:cs="Courier New" w:eastAsia="Courier New" w:hAnsi="Courier New"/>
          <w:sz w:val="14"/>
          <w:szCs w:val="14"/>
          <w:color w:val="auto"/>
        </w:rPr>
        <w:t>TERM</w:t>
      </w:r>
      <w:r>
        <w:rPr>
          <w:sz w:val="20"/>
          <w:szCs w:val="20"/>
          <w:color w:val="auto"/>
        </w:rPr>
        <w:tab/>
      </w:r>
      <w:r>
        <w:rPr>
          <w:rFonts w:ascii="Courier New" w:cs="Courier New" w:eastAsia="Courier New" w:hAnsi="Courier New"/>
          <w:sz w:val="14"/>
          <w:szCs w:val="14"/>
          <w:color w:val="auto"/>
        </w:rPr>
        <w:t>PAGE</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AMEX</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Amended Stock Option Agreement</w:t>
      </w:r>
      <w:r>
        <w:rPr>
          <w:sz w:val="20"/>
          <w:szCs w:val="20"/>
          <w:color w:val="auto"/>
        </w:rPr>
        <w:tab/>
      </w:r>
      <w:r>
        <w:rPr>
          <w:rFonts w:ascii="Courier New" w:cs="Courier New" w:eastAsia="Courier New" w:hAnsi="Courier New"/>
          <w:sz w:val="14"/>
          <w:szCs w:val="14"/>
          <w:color w:val="auto"/>
        </w:rPr>
        <w:t>45</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Bidding Procedures</w:t>
      </w:r>
      <w:r>
        <w:rPr>
          <w:sz w:val="20"/>
          <w:szCs w:val="20"/>
          <w:color w:val="auto"/>
        </w:rPr>
        <w:tab/>
      </w:r>
      <w:r>
        <w:rPr>
          <w:rFonts w:ascii="Courier New" w:cs="Courier New" w:eastAsia="Courier New" w:hAnsi="Courier New"/>
          <w:sz w:val="14"/>
          <w:szCs w:val="14"/>
          <w:color w:val="auto"/>
        </w:rPr>
        <w:t>45</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Blockbuster</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Common Stock</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Credit Agreement</w:t>
      </w:r>
      <w:r>
        <w:rPr>
          <w:sz w:val="20"/>
          <w:szCs w:val="20"/>
          <w:color w:val="auto"/>
        </w:rPr>
        <w:tab/>
      </w:r>
      <w:r>
        <w:rPr>
          <w:rFonts w:ascii="Courier New" w:cs="Courier New" w:eastAsia="Courier New" w:hAnsi="Courier New"/>
          <w:sz w:val="14"/>
          <w:szCs w:val="14"/>
          <w:color w:val="auto"/>
        </w:rPr>
        <w:t>90</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Effective Time</w:t>
      </w:r>
      <w:r>
        <w:rPr>
          <w:sz w:val="20"/>
          <w:szCs w:val="20"/>
          <w:color w:val="auto"/>
        </w:rPr>
        <w:tab/>
      </w:r>
      <w:r>
        <w:rPr>
          <w:rFonts w:ascii="Courier New" w:cs="Courier New" w:eastAsia="Courier New" w:hAnsi="Courier New"/>
          <w:sz w:val="14"/>
          <w:szCs w:val="14"/>
          <w:color w:val="auto"/>
        </w:rPr>
        <w:t>11</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Blockbuster Merger</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Blockbuster Merger Agreement</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Merger Consideration</w:t>
      </w:r>
      <w:r>
        <w:rPr>
          <w:sz w:val="20"/>
          <w:szCs w:val="20"/>
          <w:color w:val="auto"/>
        </w:rPr>
        <w:tab/>
      </w:r>
      <w:r>
        <w:rPr>
          <w:rFonts w:ascii="Courier New" w:cs="Courier New" w:eastAsia="Courier New" w:hAnsi="Courier New"/>
          <w:sz w:val="14"/>
          <w:szCs w:val="14"/>
          <w:color w:val="auto"/>
        </w:rPr>
        <w:t>13</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Blockbuster Option Stockholders</w:t>
      </w:r>
      <w:r>
        <w:rPr>
          <w:sz w:val="20"/>
          <w:szCs w:val="20"/>
          <w:color w:val="auto"/>
        </w:rPr>
        <w:tab/>
      </w:r>
      <w:r>
        <w:rPr>
          <w:rFonts w:ascii="Courier New" w:cs="Courier New" w:eastAsia="Courier New" w:hAnsi="Courier New"/>
          <w:sz w:val="14"/>
          <w:szCs w:val="14"/>
          <w:color w:val="auto"/>
        </w:rPr>
        <w:t>101</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Preferred Stock Agreement</w:t>
      </w:r>
      <w:r>
        <w:rPr>
          <w:sz w:val="20"/>
          <w:szCs w:val="20"/>
          <w:color w:val="auto"/>
        </w:rPr>
        <w:tab/>
      </w:r>
      <w:r>
        <w:rPr>
          <w:rFonts w:ascii="Courier New" w:cs="Courier New" w:eastAsia="Courier New" w:hAnsi="Courier New"/>
          <w:sz w:val="14"/>
          <w:szCs w:val="14"/>
          <w:color w:val="auto"/>
        </w:rPr>
        <w:t>91</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Blockbuster Proxy Agreement</w:t>
      </w:r>
      <w:r>
        <w:rPr>
          <w:sz w:val="20"/>
          <w:szCs w:val="20"/>
          <w:color w:val="auto"/>
        </w:rPr>
        <w:tab/>
      </w:r>
      <w:r>
        <w:rPr>
          <w:rFonts w:ascii="Courier New" w:cs="Courier New" w:eastAsia="Courier New" w:hAnsi="Courier New"/>
          <w:sz w:val="14"/>
          <w:szCs w:val="14"/>
          <w:color w:val="auto"/>
        </w:rPr>
        <w:t>101</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Blockbuster Proxy Shares</w:t>
      </w:r>
      <w:r>
        <w:rPr>
          <w:sz w:val="20"/>
          <w:szCs w:val="20"/>
          <w:color w:val="auto"/>
        </w:rPr>
        <w:tab/>
      </w:r>
      <w:r>
        <w:rPr>
          <w:rFonts w:ascii="Courier New" w:cs="Courier New" w:eastAsia="Courier New" w:hAnsi="Courier New"/>
          <w:sz w:val="14"/>
          <w:szCs w:val="14"/>
          <w:color w:val="auto"/>
        </w:rPr>
        <w:t>101</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Blockbuster Proxy Stockholders</w:t>
      </w:r>
      <w:r>
        <w:rPr>
          <w:sz w:val="20"/>
          <w:szCs w:val="20"/>
          <w:color w:val="auto"/>
        </w:rPr>
        <w:tab/>
      </w:r>
      <w:r>
        <w:rPr>
          <w:rFonts w:ascii="Courier New" w:cs="Courier New" w:eastAsia="Courier New" w:hAnsi="Courier New"/>
          <w:sz w:val="14"/>
          <w:szCs w:val="14"/>
          <w:color w:val="auto"/>
        </w:rPr>
        <w:t>101</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Registration Statement</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Blockbuster Stockholders Stock Option Agreement</w:t>
      </w:r>
      <w:r>
        <w:rPr>
          <w:sz w:val="20"/>
          <w:szCs w:val="20"/>
          <w:color w:val="auto"/>
        </w:rPr>
        <w:tab/>
      </w:r>
      <w:r>
        <w:rPr>
          <w:rFonts w:ascii="Courier New" w:cs="Courier New" w:eastAsia="Courier New" w:hAnsi="Courier New"/>
          <w:sz w:val="14"/>
          <w:szCs w:val="14"/>
          <w:color w:val="auto"/>
        </w:rPr>
        <w:t>101</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Blockbuster Subscription Agreement</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Blockbuster Voting Agreement</w:t>
      </w:r>
      <w:r>
        <w:rPr>
          <w:sz w:val="20"/>
          <w:szCs w:val="20"/>
          <w:color w:val="auto"/>
        </w:rPr>
        <w:tab/>
      </w:r>
      <w:r>
        <w:rPr>
          <w:rFonts w:ascii="Courier New" w:cs="Courier New" w:eastAsia="Courier New" w:hAnsi="Courier New"/>
          <w:sz w:val="14"/>
          <w:szCs w:val="14"/>
          <w:color w:val="auto"/>
        </w:rPr>
        <w:t>11</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CVR Agreement</w:t>
      </w:r>
      <w:r>
        <w:rPr>
          <w:sz w:val="20"/>
          <w:szCs w:val="20"/>
          <w:color w:val="auto"/>
        </w:rPr>
        <w:tab/>
      </w:r>
      <w:r>
        <w:rPr>
          <w:rFonts w:ascii="Courier New" w:cs="Courier New" w:eastAsia="Courier New" w:hAnsi="Courier New"/>
          <w:sz w:val="14"/>
          <w:szCs w:val="14"/>
          <w:color w:val="auto"/>
        </w:rPr>
        <w:t>131</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CVRs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Cityvision</w:t>
      </w:r>
      <w:r>
        <w:rPr>
          <w:sz w:val="20"/>
          <w:szCs w:val="20"/>
          <w:color w:val="auto"/>
        </w:rPr>
        <w:tab/>
      </w:r>
      <w:r>
        <w:rPr>
          <w:rFonts w:ascii="Courier New" w:cs="Courier New" w:eastAsia="Courier New" w:hAnsi="Courier New"/>
          <w:sz w:val="14"/>
          <w:szCs w:val="14"/>
          <w:color w:val="auto"/>
        </w:rPr>
        <w:t>23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Class B Value</w:t>
      </w:r>
      <w:r>
        <w:rPr>
          <w:sz w:val="20"/>
          <w:szCs w:val="20"/>
          <w:color w:val="auto"/>
        </w:rPr>
        <w:tab/>
      </w:r>
      <w:r>
        <w:rPr>
          <w:rFonts w:ascii="Courier New" w:cs="Courier New" w:eastAsia="Courier New" w:hAnsi="Courier New"/>
          <w:sz w:val="14"/>
          <w:szCs w:val="14"/>
          <w:color w:val="auto"/>
        </w:rPr>
        <w:t>13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combined company</w:t>
      </w:r>
      <w:r>
        <w:rPr>
          <w:sz w:val="20"/>
          <w:szCs w:val="20"/>
          <w:color w:val="auto"/>
        </w:rPr>
        <w:tab/>
      </w:r>
      <w:r>
        <w:rPr>
          <w:rFonts w:ascii="Courier New" w:cs="Courier New" w:eastAsia="Courier New" w:hAnsi="Courier New"/>
          <w:sz w:val="14"/>
          <w:szCs w:val="14"/>
          <w:color w:val="auto"/>
        </w:rPr>
        <w:t>11</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Commission</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Communications Act</w:t>
      </w:r>
      <w:r>
        <w:rPr>
          <w:sz w:val="20"/>
          <w:szCs w:val="20"/>
          <w:color w:val="auto"/>
        </w:rPr>
        <w:tab/>
      </w:r>
      <w:r>
        <w:rPr>
          <w:rFonts w:ascii="Courier New" w:cs="Courier New" w:eastAsia="Courier New" w:hAnsi="Courier New"/>
          <w:sz w:val="14"/>
          <w:szCs w:val="14"/>
          <w:color w:val="auto"/>
        </w:rPr>
        <w:t>33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Credit Agreement</w:t>
      </w:r>
      <w:r>
        <w:rPr>
          <w:sz w:val="20"/>
          <w:szCs w:val="20"/>
          <w:color w:val="auto"/>
        </w:rPr>
        <w:tab/>
      </w:r>
      <w:r>
        <w:rPr>
          <w:rFonts w:ascii="Courier New" w:cs="Courier New" w:eastAsia="Courier New" w:hAnsi="Courier New"/>
          <w:sz w:val="14"/>
          <w:szCs w:val="14"/>
          <w:color w:val="auto"/>
        </w:rPr>
        <w:t>89</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DGCL</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Discovery Zone</w:t>
      </w:r>
      <w:r>
        <w:rPr>
          <w:sz w:val="20"/>
          <w:szCs w:val="20"/>
          <w:color w:val="auto"/>
        </w:rPr>
        <w:tab/>
      </w:r>
      <w:r>
        <w:rPr>
          <w:rFonts w:ascii="Courier New" w:cs="Courier New" w:eastAsia="Courier New" w:hAnsi="Courier New"/>
          <w:sz w:val="14"/>
          <w:szCs w:val="14"/>
          <w:color w:val="auto"/>
        </w:rPr>
        <w:t>13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Exchange Act</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FCC</w:t>
      </w:r>
      <w:r>
        <w:rPr>
          <w:sz w:val="20"/>
          <w:szCs w:val="20"/>
          <w:color w:val="auto"/>
        </w:rPr>
        <w:tab/>
      </w:r>
      <w:r>
        <w:rPr>
          <w:rFonts w:ascii="Courier New" w:cs="Courier New" w:eastAsia="Courier New" w:hAnsi="Courier New"/>
          <w:sz w:val="14"/>
          <w:szCs w:val="14"/>
          <w:color w:val="auto"/>
        </w:rPr>
        <w:t>32</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February 4 Merger Agreement</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February 22nd Regulations</w:t>
      </w:r>
      <w:r>
        <w:rPr>
          <w:sz w:val="20"/>
          <w:szCs w:val="20"/>
          <w:color w:val="auto"/>
        </w:rPr>
        <w:tab/>
      </w:r>
      <w:r>
        <w:rPr>
          <w:rFonts w:ascii="Courier New" w:cs="Courier New" w:eastAsia="Courier New" w:hAnsi="Courier New"/>
          <w:sz w:val="14"/>
          <w:szCs w:val="14"/>
          <w:color w:val="auto"/>
        </w:rPr>
        <w:t>33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First Viacom Offer</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First Viacom Second-Step Merger</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Fourth Viacom Offer</w:t>
      </w:r>
      <w:r>
        <w:rPr>
          <w:sz w:val="20"/>
          <w:szCs w:val="20"/>
          <w:color w:val="auto"/>
        </w:rPr>
        <w:tab/>
      </w:r>
      <w:r>
        <w:rPr>
          <w:rFonts w:ascii="Courier New" w:cs="Courier New" w:eastAsia="Courier New" w:hAnsi="Courier New"/>
          <w:sz w:val="14"/>
          <w:szCs w:val="14"/>
          <w:color w:val="auto"/>
        </w:rPr>
        <w:t>47</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Fourth Viacom Second-Step Merger</w:t>
      </w:r>
      <w:r>
        <w:rPr>
          <w:sz w:val="20"/>
          <w:szCs w:val="20"/>
          <w:color w:val="auto"/>
        </w:rPr>
        <w:tab/>
      </w:r>
      <w:r>
        <w:rPr>
          <w:rFonts w:ascii="Courier New" w:cs="Courier New" w:eastAsia="Courier New" w:hAnsi="Courier New"/>
          <w:sz w:val="14"/>
          <w:szCs w:val="14"/>
          <w:color w:val="auto"/>
        </w:rPr>
        <w:t>47</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Going Private Transaction</w:t>
      </w:r>
      <w:r>
        <w:rPr>
          <w:sz w:val="20"/>
          <w:szCs w:val="20"/>
          <w:color w:val="auto"/>
        </w:rPr>
        <w:tab/>
      </w:r>
      <w:r>
        <w:rPr>
          <w:rFonts w:ascii="Courier New" w:cs="Courier New" w:eastAsia="Courier New" w:hAnsi="Courier New"/>
          <w:sz w:val="14"/>
          <w:szCs w:val="14"/>
          <w:color w:val="auto"/>
        </w:rPr>
        <w:t>97</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Indenture</w:t>
      </w:r>
      <w:r>
        <w:rPr>
          <w:sz w:val="20"/>
          <w:szCs w:val="20"/>
          <w:color w:val="auto"/>
        </w:rPr>
        <w:tab/>
      </w:r>
      <w:r>
        <w:rPr>
          <w:rFonts w:ascii="Courier New" w:cs="Courier New" w:eastAsia="Courier New" w:hAnsi="Courier New"/>
          <w:sz w:val="14"/>
          <w:szCs w:val="14"/>
          <w:color w:val="auto"/>
        </w:rPr>
        <w:t>142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Macmillan</w:t>
      </w:r>
      <w:r>
        <w:rPr>
          <w:sz w:val="20"/>
          <w:szCs w:val="20"/>
          <w:color w:val="auto"/>
        </w:rPr>
        <w:tab/>
      </w:r>
      <w:r>
        <w:rPr>
          <w:rFonts w:ascii="Courier New" w:cs="Courier New" w:eastAsia="Courier New" w:hAnsi="Courier New"/>
          <w:sz w:val="14"/>
          <w:szCs w:val="14"/>
          <w:color w:val="auto"/>
        </w:rPr>
        <w:t>19</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Macmillan Acquisition</w:t>
      </w:r>
      <w:r>
        <w:rPr>
          <w:sz w:val="20"/>
          <w:szCs w:val="20"/>
          <w:color w:val="auto"/>
        </w:rPr>
        <w:tab/>
      </w:r>
      <w:r>
        <w:rPr>
          <w:rFonts w:ascii="Courier New" w:cs="Courier New" w:eastAsia="Courier New" w:hAnsi="Courier New"/>
          <w:sz w:val="14"/>
          <w:szCs w:val="14"/>
          <w:color w:val="auto"/>
        </w:rPr>
        <w:t>19</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Major Video</w:t>
      </w:r>
      <w:r>
        <w:rPr>
          <w:sz w:val="20"/>
          <w:szCs w:val="20"/>
          <w:color w:val="auto"/>
        </w:rPr>
        <w:tab/>
      </w:r>
      <w:r>
        <w:rPr>
          <w:rFonts w:ascii="Courier New" w:cs="Courier New" w:eastAsia="Courier New" w:hAnsi="Courier New"/>
          <w:sz w:val="14"/>
          <w:szCs w:val="14"/>
          <w:color w:val="auto"/>
        </w:rPr>
        <w:t>23</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Merger Subsidiary</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Mergers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MFJ</w:t>
      </w:r>
      <w:r>
        <w:rPr>
          <w:sz w:val="20"/>
          <w:szCs w:val="20"/>
          <w:color w:val="auto"/>
        </w:rPr>
        <w:tab/>
      </w:r>
      <w:r>
        <w:rPr>
          <w:rFonts w:ascii="Courier New" w:cs="Courier New" w:eastAsia="Courier New" w:hAnsi="Courier New"/>
          <w:sz w:val="14"/>
          <w:szCs w:val="14"/>
          <w:color w:val="auto"/>
        </w:rPr>
        <w:t>34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MTVN</w:t>
      </w:r>
      <w:r>
        <w:rPr>
          <w:sz w:val="20"/>
          <w:szCs w:val="20"/>
          <w:color w:val="auto"/>
        </w:rPr>
        <w:tab/>
      </w:r>
      <w:r>
        <w:rPr>
          <w:rFonts w:ascii="Courier New" w:cs="Courier New" w:eastAsia="Courier New" w:hAnsi="Courier New"/>
          <w:sz w:val="14"/>
          <w:szCs w:val="14"/>
          <w:color w:val="auto"/>
        </w:rPr>
        <w:t>29</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NAI</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NYSE</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NYNEX</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NYNEX Preferred Stock Agreement</w:t>
      </w:r>
      <w:r>
        <w:rPr>
          <w:sz w:val="20"/>
          <w:szCs w:val="20"/>
          <w:color w:val="auto"/>
        </w:rPr>
        <w:tab/>
      </w:r>
      <w:r>
        <w:rPr>
          <w:rFonts w:ascii="Courier New" w:cs="Courier New" w:eastAsia="Courier New" w:hAnsi="Courier New"/>
          <w:sz w:val="14"/>
          <w:szCs w:val="14"/>
          <w:color w:val="auto"/>
        </w:rPr>
        <w:t>91</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New Blockbuster Facility</w:t>
      </w:r>
      <w:r>
        <w:rPr>
          <w:sz w:val="20"/>
          <w:szCs w:val="20"/>
          <w:color w:val="auto"/>
        </w:rPr>
        <w:tab/>
      </w:r>
      <w:r>
        <w:rPr>
          <w:rFonts w:ascii="Courier New" w:cs="Courier New" w:eastAsia="Courier New" w:hAnsi="Courier New"/>
          <w:sz w:val="14"/>
          <w:szCs w:val="14"/>
          <w:color w:val="auto"/>
        </w:rPr>
        <w:t>89</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Nielsen Report</w:t>
      </w:r>
      <w:r>
        <w:rPr>
          <w:sz w:val="20"/>
          <w:szCs w:val="20"/>
          <w:color w:val="auto"/>
        </w:rPr>
        <w:tab/>
      </w:r>
      <w:r>
        <w:rPr>
          <w:rFonts w:ascii="Courier New" w:cs="Courier New" w:eastAsia="Courier New" w:hAnsi="Courier New"/>
          <w:sz w:val="14"/>
          <w:szCs w:val="14"/>
          <w:color w:val="auto"/>
        </w:rPr>
        <w:t>29</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November 6 Amendment</w:t>
      </w:r>
      <w:r>
        <w:rPr>
          <w:sz w:val="20"/>
          <w:szCs w:val="20"/>
          <w:color w:val="auto"/>
        </w:rPr>
        <w:tab/>
      </w:r>
      <w:r>
        <w:rPr>
          <w:rFonts w:ascii="Courier New" w:cs="Courier New" w:eastAsia="Courier New" w:hAnsi="Courier New"/>
          <w:sz w:val="14"/>
          <w:szCs w:val="14"/>
          <w:color w:val="auto"/>
        </w:rPr>
        <w:t>44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October 24 Merger Agreement</w:t>
      </w:r>
      <w:r>
        <w:rPr>
          <w:sz w:val="20"/>
          <w:szCs w:val="20"/>
          <w:color w:val="auto"/>
        </w:rPr>
        <w:tab/>
      </w:r>
      <w:r>
        <w:rPr>
          <w:rFonts w:ascii="Courier New" w:cs="Courier New" w:eastAsia="Courier New" w:hAnsi="Courier New"/>
          <w:sz w:val="14"/>
          <w:szCs w:val="14"/>
          <w:color w:val="auto"/>
        </w:rPr>
        <w:t>43</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Offer</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Original Merge</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Original Merger Agreement</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Original Stock Option Agreement</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Original Voting Agreement</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Outside Directors</w:t>
      </w:r>
      <w:r>
        <w:rPr>
          <w:sz w:val="20"/>
          <w:szCs w:val="20"/>
          <w:color w:val="auto"/>
        </w:rPr>
        <w:tab/>
      </w:r>
      <w:r>
        <w:rPr>
          <w:rFonts w:ascii="Courier New" w:cs="Courier New" w:eastAsia="Courier New" w:hAnsi="Courier New"/>
          <w:sz w:val="14"/>
          <w:szCs w:val="14"/>
          <w:color w:val="auto"/>
        </w:rPr>
        <w:t>74</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Paramount</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Paramount Certificates</w:t>
      </w:r>
      <w:r>
        <w:rPr>
          <w:sz w:val="20"/>
          <w:szCs w:val="20"/>
          <w:color w:val="auto"/>
        </w:rPr>
        <w:tab/>
      </w:r>
      <w:r>
        <w:rPr>
          <w:rFonts w:ascii="Courier New" w:cs="Courier New" w:eastAsia="Courier New" w:hAnsi="Courier New"/>
          <w:sz w:val="14"/>
          <w:szCs w:val="14"/>
          <w:color w:val="auto"/>
        </w:rPr>
        <w:t>92</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Paramount Common Stock</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Paramount Effective Time</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Paramount Exchange Agent</w:t>
      </w:r>
      <w:r>
        <w:rPr>
          <w:sz w:val="20"/>
          <w:szCs w:val="20"/>
          <w:color w:val="auto"/>
        </w:rPr>
        <w:tab/>
      </w:r>
      <w:r>
        <w:rPr>
          <w:rFonts w:ascii="Courier New" w:cs="Courier New" w:eastAsia="Courier New" w:hAnsi="Courier New"/>
          <w:sz w:val="14"/>
          <w:szCs w:val="14"/>
          <w:color w:val="auto"/>
        </w:rPr>
        <w:t>92</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Paramount Merger</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Paramount Merger Agreement</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Paramount Merger Consideration</w:t>
      </w:r>
      <w:r>
        <w:rPr>
          <w:sz w:val="20"/>
          <w:szCs w:val="20"/>
          <w:color w:val="auto"/>
        </w:rPr>
        <w:tab/>
      </w:r>
      <w:r>
        <w:rPr>
          <w:rFonts w:ascii="Courier New" w:cs="Courier New" w:eastAsia="Courier New" w:hAnsi="Courier New"/>
          <w:sz w:val="13"/>
          <w:szCs w:val="13"/>
          <w:color w:val="auto"/>
        </w:rPr>
        <w:t>6</w:t>
      </w:r>
    </w:p>
    <w:p>
      <w:pPr>
        <w:spacing w:after="0" w:line="200" w:lineRule="exact"/>
        <w:rPr>
          <w:sz w:val="20"/>
          <w:szCs w:val="20"/>
          <w:color w:val="auto"/>
        </w:rPr>
      </w:pPr>
    </w:p>
    <w:p>
      <w:pPr>
        <w:spacing w:after="0" w:line="28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600" w:right="1440" w:bottom="1440" w:gutter="0" w:footer="0" w:header="0"/>
        </w:sectPr>
      </w:pPr>
    </w:p>
    <w:bookmarkStart w:id="14" w:name="page15"/>
    <w:bookmarkEnd w:id="14"/>
    <w:p>
      <w:pPr>
        <w:ind w:left="340"/>
        <w:spacing w:after="0"/>
        <w:tabs>
          <w:tab w:leader="none" w:pos="4160" w:val="left"/>
        </w:tabs>
        <w:rPr>
          <w:sz w:val="20"/>
          <w:szCs w:val="20"/>
          <w:color w:val="auto"/>
        </w:rPr>
      </w:pPr>
      <w:r>
        <w:rPr>
          <w:rFonts w:ascii="Courier New" w:cs="Courier New" w:eastAsia="Courier New" w:hAnsi="Courier New"/>
          <w:sz w:val="14"/>
          <w:szCs w:val="14"/>
          <w:color w:val="auto"/>
        </w:rPr>
        <w:t>TERM</w:t>
      </w:r>
      <w:r>
        <w:rPr>
          <w:sz w:val="20"/>
          <w:szCs w:val="20"/>
          <w:color w:val="auto"/>
        </w:rPr>
        <w:tab/>
      </w:r>
      <w:r>
        <w:rPr>
          <w:rFonts w:ascii="Courier New" w:cs="Courier New" w:eastAsia="Courier New" w:hAnsi="Courier New"/>
          <w:sz w:val="14"/>
          <w:szCs w:val="14"/>
          <w:color w:val="auto"/>
        </w:rPr>
        <w:t>PAGE</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Paramount Option Shares</w:t>
      </w:r>
      <w:r>
        <w:rPr>
          <w:sz w:val="20"/>
          <w:szCs w:val="20"/>
          <w:color w:val="auto"/>
        </w:rPr>
        <w:tab/>
      </w:r>
      <w:r>
        <w:rPr>
          <w:rFonts w:ascii="Courier New" w:cs="Courier New" w:eastAsia="Courier New" w:hAnsi="Courier New"/>
          <w:sz w:val="14"/>
          <w:szCs w:val="14"/>
          <w:color w:val="auto"/>
        </w:rPr>
        <w:t>87</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Paramount Special Meeting</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Paramount Stock Options</w:t>
      </w:r>
      <w:r>
        <w:rPr>
          <w:sz w:val="20"/>
          <w:szCs w:val="20"/>
          <w:color w:val="auto"/>
        </w:rPr>
        <w:tab/>
      </w:r>
      <w:r>
        <w:rPr>
          <w:rFonts w:ascii="Courier New" w:cs="Courier New" w:eastAsia="Courier New" w:hAnsi="Courier New"/>
          <w:sz w:val="14"/>
          <w:szCs w:val="14"/>
          <w:color w:val="auto"/>
        </w:rPr>
        <w:t>87</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Paramount Voting Agreement</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Parity Stock</w:t>
      </w:r>
      <w:r>
        <w:rPr>
          <w:sz w:val="20"/>
          <w:szCs w:val="20"/>
          <w:color w:val="auto"/>
        </w:rPr>
        <w:tab/>
      </w:r>
      <w:r>
        <w:rPr>
          <w:rFonts w:ascii="Courier New" w:cs="Courier New" w:eastAsia="Courier New" w:hAnsi="Courier New"/>
          <w:sz w:val="14"/>
          <w:szCs w:val="14"/>
          <w:color w:val="auto"/>
        </w:rPr>
        <w:t>139</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Philips</w:t>
      </w:r>
      <w:r>
        <w:rPr>
          <w:sz w:val="20"/>
          <w:szCs w:val="20"/>
          <w:color w:val="auto"/>
        </w:rPr>
        <w:tab/>
      </w:r>
      <w:r>
        <w:rPr>
          <w:rFonts w:ascii="Courier New" w:cs="Courier New" w:eastAsia="Courier New" w:hAnsi="Courier New"/>
          <w:sz w:val="14"/>
          <w:szCs w:val="14"/>
          <w:color w:val="auto"/>
        </w:rPr>
        <w:t>100</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74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Pro Forma Events</w:t>
      </w:r>
      <w:r>
        <w:rPr>
          <w:sz w:val="20"/>
          <w:szCs w:val="20"/>
          <w:color w:val="auto"/>
        </w:rPr>
        <w:tab/>
      </w:r>
      <w:r>
        <w:rPr>
          <w:rFonts w:ascii="Courier New" w:cs="Courier New" w:eastAsia="Courier New" w:hAnsi="Courier New"/>
          <w:sz w:val="14"/>
          <w:szCs w:val="14"/>
          <w:color w:val="auto"/>
        </w:rPr>
        <w:t>25</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Preferred Stock Investors</w:t>
      </w:r>
      <w:r>
        <w:rPr>
          <w:sz w:val="20"/>
          <w:szCs w:val="20"/>
          <w:color w:val="auto"/>
        </w:rPr>
        <w:tab/>
      </w:r>
      <w:r>
        <w:rPr>
          <w:rFonts w:ascii="Courier New" w:cs="Courier New" w:eastAsia="Courier New" w:hAnsi="Courier New"/>
          <w:sz w:val="14"/>
          <w:szCs w:val="14"/>
          <w:color w:val="auto"/>
        </w:rPr>
        <w:t>91</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Proxy Statement/Prospectus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QVC</w:t>
      </w:r>
      <w:r>
        <w:rPr>
          <w:sz w:val="20"/>
          <w:szCs w:val="20"/>
          <w:color w:val="auto"/>
        </w:rPr>
        <w:tab/>
      </w:r>
      <w:r>
        <w:rPr>
          <w:rFonts w:ascii="Courier New" w:cs="Courier New" w:eastAsia="Courier New" w:hAnsi="Courier New"/>
          <w:sz w:val="14"/>
          <w:szCs w:val="14"/>
          <w:color w:val="auto"/>
        </w:rPr>
        <w:t>42</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QVC Transaction Consideration</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Republic Pictures</w:t>
      </w:r>
      <w:r>
        <w:rPr>
          <w:sz w:val="20"/>
          <w:szCs w:val="20"/>
          <w:color w:val="auto"/>
        </w:rPr>
        <w:tab/>
      </w:r>
      <w:r>
        <w:rPr>
          <w:rFonts w:ascii="Courier New" w:cs="Courier New" w:eastAsia="Courier New" w:hAnsi="Courier New"/>
          <w:sz w:val="14"/>
          <w:szCs w:val="14"/>
          <w:color w:val="auto"/>
        </w:rPr>
        <w:t>12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Rights</w:t>
      </w:r>
      <w:r>
        <w:rPr>
          <w:sz w:val="20"/>
          <w:szCs w:val="20"/>
          <w:color w:val="auto"/>
        </w:rPr>
        <w:tab/>
      </w:r>
      <w:r>
        <w:rPr>
          <w:rFonts w:ascii="Courier New" w:cs="Courier New" w:eastAsia="Courier New" w:hAnsi="Courier New"/>
          <w:sz w:val="14"/>
          <w:szCs w:val="14"/>
          <w:color w:val="auto"/>
        </w:rPr>
        <w:t>48</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Rights Agreement</w:t>
      </w:r>
      <w:r>
        <w:rPr>
          <w:sz w:val="20"/>
          <w:szCs w:val="20"/>
          <w:color w:val="auto"/>
        </w:rPr>
        <w:tab/>
      </w:r>
      <w:r>
        <w:rPr>
          <w:rFonts w:ascii="Courier New" w:cs="Courier New" w:eastAsia="Courier New" w:hAnsi="Courier New"/>
          <w:sz w:val="14"/>
          <w:szCs w:val="14"/>
          <w:color w:val="auto"/>
        </w:rPr>
        <w:t>43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Rights Agreement Amendments Agreement</w:t>
      </w:r>
      <w:r>
        <w:rPr>
          <w:sz w:val="20"/>
          <w:szCs w:val="20"/>
          <w:color w:val="auto"/>
        </w:rPr>
        <w:tab/>
      </w:r>
      <w:r>
        <w:rPr>
          <w:rFonts w:ascii="Courier New" w:cs="Courier New" w:eastAsia="Courier New" w:hAnsi="Courier New"/>
          <w:sz w:val="14"/>
          <w:szCs w:val="14"/>
          <w:color w:val="auto"/>
        </w:rPr>
        <w:t>94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SNI</w:t>
      </w:r>
      <w:r>
        <w:rPr>
          <w:sz w:val="20"/>
          <w:szCs w:val="20"/>
          <w:color w:val="auto"/>
        </w:rPr>
        <w:tab/>
      </w:r>
      <w:r>
        <w:rPr>
          <w:rFonts w:ascii="Courier New" w:cs="Courier New" w:eastAsia="Courier New" w:hAnsi="Courier New"/>
          <w:sz w:val="14"/>
          <w:szCs w:val="14"/>
          <w:color w:val="auto"/>
        </w:rPr>
        <w:t>29</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Schedule 13E-3</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Second Viacom Offer</w:t>
      </w:r>
      <w:r>
        <w:rPr>
          <w:sz w:val="20"/>
          <w:szCs w:val="20"/>
          <w:color w:val="auto"/>
        </w:rPr>
        <w:tab/>
      </w:r>
      <w:r>
        <w:rPr>
          <w:rFonts w:ascii="Courier New" w:cs="Courier New" w:eastAsia="Courier New" w:hAnsi="Courier New"/>
          <w:sz w:val="14"/>
          <w:szCs w:val="14"/>
          <w:color w:val="auto"/>
        </w:rPr>
        <w:t>44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Second Viacom Second-Step Merger</w:t>
      </w:r>
      <w:r>
        <w:rPr>
          <w:sz w:val="20"/>
          <w:szCs w:val="20"/>
          <w:color w:val="auto"/>
        </w:rPr>
        <w:tab/>
      </w:r>
      <w:r>
        <w:rPr>
          <w:rFonts w:ascii="Courier New" w:cs="Courier New" w:eastAsia="Courier New" w:hAnsi="Courier New"/>
          <w:sz w:val="14"/>
          <w:szCs w:val="14"/>
          <w:color w:val="auto"/>
        </w:rPr>
        <w:t>44</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4"/>
          <w:szCs w:val="14"/>
          <w:color w:val="auto"/>
        </w:rPr>
        <w:t>(i)</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Series A Preferred Stock</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Series B Preferred Stock</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Series C Preferred Stock</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Significant Stockholder</w:t>
      </w:r>
      <w:r>
        <w:rPr>
          <w:sz w:val="20"/>
          <w:szCs w:val="20"/>
          <w:color w:val="auto"/>
        </w:rPr>
        <w:tab/>
      </w:r>
      <w:r>
        <w:rPr>
          <w:rFonts w:ascii="Courier New" w:cs="Courier New" w:eastAsia="Courier New" w:hAnsi="Courier New"/>
          <w:sz w:val="14"/>
          <w:szCs w:val="14"/>
          <w:color w:val="auto"/>
        </w:rPr>
        <w:t>97</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Sound Warehouse</w:t>
      </w:r>
      <w:r>
        <w:rPr>
          <w:sz w:val="20"/>
          <w:szCs w:val="20"/>
          <w:color w:val="auto"/>
        </w:rPr>
        <w:tab/>
      </w:r>
      <w:r>
        <w:rPr>
          <w:rFonts w:ascii="Courier New" w:cs="Courier New" w:eastAsia="Courier New" w:hAnsi="Courier New"/>
          <w:sz w:val="14"/>
          <w:szCs w:val="14"/>
          <w:color w:val="auto"/>
        </w:rPr>
        <w:t>23</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Special Meetings</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Spelling Entertainment</w:t>
      </w:r>
      <w:r>
        <w:rPr>
          <w:sz w:val="20"/>
          <w:szCs w:val="20"/>
          <w:color w:val="auto"/>
        </w:rPr>
        <w:tab/>
      </w:r>
      <w:r>
        <w:rPr>
          <w:rFonts w:ascii="Courier New" w:cs="Courier New" w:eastAsia="Courier New" w:hAnsi="Courier New"/>
          <w:sz w:val="14"/>
          <w:szCs w:val="14"/>
          <w:color w:val="auto"/>
        </w:rPr>
        <w:t>12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Super Club</w:t>
      </w:r>
      <w:r>
        <w:rPr>
          <w:sz w:val="20"/>
          <w:szCs w:val="20"/>
          <w:color w:val="auto"/>
        </w:rPr>
        <w:tab/>
      </w:r>
      <w:r>
        <w:rPr>
          <w:rFonts w:ascii="Courier New" w:cs="Courier New" w:eastAsia="Courier New" w:hAnsi="Courier New"/>
          <w:sz w:val="14"/>
          <w:szCs w:val="14"/>
          <w:color w:val="auto"/>
        </w:rPr>
        <w:t>23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telco</w:t>
      </w:r>
      <w:r>
        <w:rPr>
          <w:sz w:val="20"/>
          <w:szCs w:val="20"/>
          <w:color w:val="auto"/>
        </w:rPr>
        <w:tab/>
      </w:r>
      <w:r>
        <w:rPr>
          <w:rFonts w:ascii="Courier New" w:cs="Courier New" w:eastAsia="Courier New" w:hAnsi="Courier New"/>
          <w:sz w:val="14"/>
          <w:szCs w:val="14"/>
          <w:color w:val="auto"/>
        </w:rPr>
        <w:t>33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Third Viacom Offer</w:t>
      </w:r>
      <w:r>
        <w:rPr>
          <w:sz w:val="20"/>
          <w:szCs w:val="20"/>
          <w:color w:val="auto"/>
        </w:rPr>
        <w:tab/>
      </w:r>
      <w:r>
        <w:rPr>
          <w:rFonts w:ascii="Courier New" w:cs="Courier New" w:eastAsia="Courier New" w:hAnsi="Courier New"/>
          <w:sz w:val="14"/>
          <w:szCs w:val="14"/>
          <w:color w:val="auto"/>
        </w:rPr>
        <w:t>46</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Third Viacom Second-Step Merger</w:t>
      </w:r>
      <w:r>
        <w:rPr>
          <w:sz w:val="20"/>
          <w:szCs w:val="20"/>
          <w:color w:val="auto"/>
        </w:rPr>
        <w:tab/>
      </w:r>
      <w:r>
        <w:rPr>
          <w:rFonts w:ascii="Courier New" w:cs="Courier New" w:eastAsia="Courier New" w:hAnsi="Courier New"/>
          <w:sz w:val="14"/>
          <w:szCs w:val="14"/>
          <w:color w:val="auto"/>
        </w:rPr>
        <w:t>46</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VCR</w:t>
      </w:r>
      <w:r>
        <w:rPr>
          <w:sz w:val="20"/>
          <w:szCs w:val="20"/>
          <w:color w:val="auto"/>
        </w:rPr>
        <w:tab/>
      </w:r>
      <w:r>
        <w:rPr>
          <w:rFonts w:ascii="Courier New" w:cs="Courier New" w:eastAsia="Courier New" w:hAnsi="Courier New"/>
          <w:sz w:val="14"/>
          <w:szCs w:val="14"/>
          <w:color w:val="auto"/>
        </w:rPr>
        <w:t>13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VCR Conversion Date</w:t>
      </w:r>
      <w:r>
        <w:rPr>
          <w:sz w:val="20"/>
          <w:szCs w:val="20"/>
          <w:color w:val="auto"/>
        </w:rPr>
        <w:tab/>
      </w:r>
      <w:r>
        <w:rPr>
          <w:rFonts w:ascii="Courier New" w:cs="Courier New" w:eastAsia="Courier New" w:hAnsi="Courier New"/>
          <w:sz w:val="14"/>
          <w:szCs w:val="14"/>
          <w:color w:val="auto"/>
        </w:rPr>
        <w:t>13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VCR Valuation Period</w:t>
      </w:r>
      <w:r>
        <w:rPr>
          <w:sz w:val="20"/>
          <w:szCs w:val="20"/>
          <w:color w:val="auto"/>
        </w:rPr>
        <w:tab/>
      </w:r>
      <w:r>
        <w:rPr>
          <w:rFonts w:ascii="Courier New" w:cs="Courier New" w:eastAsia="Courier New" w:hAnsi="Courier New"/>
          <w:sz w:val="14"/>
          <w:szCs w:val="14"/>
          <w:color w:val="auto"/>
        </w:rPr>
        <w:t>13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VSMLP</w:t>
      </w:r>
      <w:r>
        <w:rPr>
          <w:sz w:val="20"/>
          <w:szCs w:val="20"/>
          <w:color w:val="auto"/>
        </w:rPr>
        <w:tab/>
      </w:r>
      <w:r>
        <w:rPr>
          <w:rFonts w:ascii="Courier New" w:cs="Courier New" w:eastAsia="Courier New" w:hAnsi="Courier New"/>
          <w:sz w:val="14"/>
          <w:szCs w:val="14"/>
          <w:color w:val="auto"/>
        </w:rPr>
        <w:t>23</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Annual Meeting</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Annual Meeting Proposals</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Viacom-Blockbuster</w:t>
      </w:r>
      <w:r>
        <w:rPr>
          <w:sz w:val="20"/>
          <w:szCs w:val="20"/>
          <w:color w:val="auto"/>
        </w:rPr>
        <w:tab/>
      </w:r>
      <w:r>
        <w:rPr>
          <w:rFonts w:ascii="Courier New" w:cs="Courier New" w:eastAsia="Courier New" w:hAnsi="Courier New"/>
          <w:sz w:val="14"/>
          <w:szCs w:val="14"/>
          <w:color w:val="auto"/>
        </w:rPr>
        <w:t>11</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Charter Amendments</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Class A Common Stock</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Class B Common Stock</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Common Stock</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Viacom Debentures</w:t>
      </w:r>
      <w:r>
        <w:rPr>
          <w:sz w:val="20"/>
          <w:szCs w:val="20"/>
          <w:color w:val="auto"/>
        </w:rPr>
        <w:tab/>
      </w:r>
      <w:r>
        <w:rPr>
          <w:rFonts w:ascii="Courier New" w:cs="Courier New" w:eastAsia="Courier New" w:hAnsi="Courier New"/>
          <w:sz w:val="14"/>
          <w:szCs w:val="14"/>
          <w:color w:val="auto"/>
        </w:rPr>
        <w:t>142</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Exchange Debentures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Viacom Five-Year Warrant Agreement</w:t>
      </w:r>
      <w:r>
        <w:rPr>
          <w:sz w:val="20"/>
          <w:szCs w:val="20"/>
          <w:color w:val="auto"/>
        </w:rPr>
        <w:tab/>
      </w:r>
      <w:r>
        <w:rPr>
          <w:rFonts w:ascii="Courier New" w:cs="Courier New" w:eastAsia="Courier New" w:hAnsi="Courier New"/>
          <w:sz w:val="14"/>
          <w:szCs w:val="14"/>
          <w:color w:val="auto"/>
        </w:rPr>
        <w:t>135</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Five-Year Warrants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International</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Merger Debentures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Preferred Stock</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Special Meeting</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Viacom Three-Year Warrant Agreement</w:t>
      </w:r>
      <w:r>
        <w:rPr>
          <w:sz w:val="20"/>
          <w:szCs w:val="20"/>
          <w:color w:val="auto"/>
        </w:rPr>
        <w:tab/>
      </w:r>
      <w:r>
        <w:rPr>
          <w:rFonts w:ascii="Courier New" w:cs="Courier New" w:eastAsia="Courier New" w:hAnsi="Courier New"/>
          <w:sz w:val="14"/>
          <w:szCs w:val="14"/>
          <w:color w:val="auto"/>
        </w:rPr>
        <w:t>135</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Three-Year Warrants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Viacom Transaction Consideration</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Viacom Warrant Agreements</w:t>
      </w:r>
      <w:r>
        <w:rPr>
          <w:sz w:val="20"/>
          <w:szCs w:val="20"/>
          <w:color w:val="auto"/>
        </w:rPr>
        <w:tab/>
      </w:r>
      <w:r>
        <w:rPr>
          <w:rFonts w:ascii="Courier New" w:cs="Courier New" w:eastAsia="Courier New" w:hAnsi="Courier New"/>
          <w:sz w:val="14"/>
          <w:szCs w:val="14"/>
          <w:color w:val="auto"/>
        </w:rPr>
        <w:t>135</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Viacom Warrants</w:t>
      </w:r>
      <w:r>
        <w:rPr>
          <w:sz w:val="20"/>
          <w:szCs w:val="20"/>
          <w:color w:val="auto"/>
        </w:rPr>
        <w:tab/>
      </w:r>
      <w:r>
        <w:rPr>
          <w:rFonts w:ascii="Courier New" w:cs="Courier New" w:eastAsia="Courier New" w:hAnsi="Courier New"/>
          <w:sz w:val="14"/>
          <w:szCs w:val="14"/>
          <w:color w:val="auto"/>
        </w:rPr>
        <w:t>Cover</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Virgin</w:t>
      </w:r>
      <w:r>
        <w:rPr>
          <w:sz w:val="20"/>
          <w:szCs w:val="20"/>
          <w:color w:val="auto"/>
        </w:rPr>
        <w:tab/>
      </w:r>
      <w:r>
        <w:rPr>
          <w:rFonts w:ascii="Courier New" w:cs="Courier New" w:eastAsia="Courier New" w:hAnsi="Courier New"/>
          <w:sz w:val="14"/>
          <w:szCs w:val="14"/>
          <w:color w:val="auto"/>
        </w:rPr>
        <w:t>12</w:t>
      </w:r>
    </w:p>
    <w:p>
      <w:pPr>
        <w:spacing w:after="0" w:line="2"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WJB</w:t>
      </w:r>
      <w:r>
        <w:rPr>
          <w:sz w:val="20"/>
          <w:szCs w:val="20"/>
          <w:color w:val="auto"/>
        </w:rPr>
        <w:tab/>
      </w:r>
      <w:r>
        <w:rPr>
          <w:rFonts w:ascii="Courier New" w:cs="Courier New" w:eastAsia="Courier New" w:hAnsi="Courier New"/>
          <w:sz w:val="14"/>
          <w:szCs w:val="14"/>
          <w:color w:val="auto"/>
        </w:rPr>
        <w:t>23</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761" w:right="1440" w:bottom="1440" w:gutter="0" w:footer="0" w:header="0"/>
        </w:sectPr>
      </w:pPr>
    </w:p>
    <w:bookmarkStart w:id="15" w:name="page16"/>
    <w:bookmarkEnd w:id="15"/>
    <w:p>
      <w:pPr>
        <w:jc w:val="center"/>
        <w:ind w:right="3619"/>
        <w:spacing w:after="0"/>
        <w:rPr>
          <w:sz w:val="20"/>
          <w:szCs w:val="20"/>
          <w:color w:val="auto"/>
        </w:rPr>
      </w:pPr>
      <w:r>
        <w:rPr>
          <w:rFonts w:ascii="Courier New" w:cs="Courier New" w:eastAsia="Courier New" w:hAnsi="Courier New"/>
          <w:sz w:val="14"/>
          <w:szCs w:val="14"/>
          <w:color w:val="auto"/>
        </w:rPr>
        <w:t>SUMMARY</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The following is a summary of certain information contained elsewhere in this Proxy Statement/Prospectus. Reference is made to, and this summary is qualified in its entirety by, the more detailed information contained or incorporated by reference in this Proxy Statement/Prospectus and the Annexes hereto. Stockholders are urged to read this Proxy Statement/Prospectus and the Annexes hereto, and in particular the section herein entitled "Certain Considerations", in their entirety.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ectPr>
          <w:pgSz w:w="11900" w:h="16838" w:orient="portrait"/>
          <w:cols w:equalWidth="0" w:num="1">
            <w:col w:w="10239"/>
          </w:cols>
          <w:pgMar w:left="220" w:top="761" w:right="1440" w:bottom="1440" w:gutter="0" w:footer="0" w:header="0"/>
        </w:sectPr>
      </w:pP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Viacom Inc. ...............................</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 Elm Street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Dedham, Massachusetts 02026</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(617) 461-1600</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Viacom's principal asset is its 100% ownership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("Viacom International") and its majority ownership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Paramount. Viacom International is a diversified entertainment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communications company with operations in four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 Networks, Entertainment, Cable Television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Broadcasting.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Networks. Viacom Networks operates three basic cable services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MTV: MUSIC TELEVISION, VH-1/VIDEO HITS ONE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NICKELODEON/NICK AT NITE. Viacom Networks also operates three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premium services: SHOWTIME, THE MOVIE CHANNEL and FLIX.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participates as a joint venturer in COMEDY CENTRALTM and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 CHANNELTM. Internationally, MTV Networks operates MTV EUROPE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MTV LATINO and participates as a joint venturer in NICKELODEON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Viacom Entertainment is comprised principally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Viacom Enterprises, which distributes off-network programming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feature films for television exhibition in various markets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throughout the world and also distributes television programs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U.S. television exhibition on a non-network basis and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television exhibition; (ii) Viacom Productions,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produces television series and other television properties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independently and in association with others primarily for initial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exhibition on U.S. prime time network television; and (iii) Viacom</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Media, which develops, produces, distributes and markets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interactive software for the stand-alone and other multimedia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marketplaces.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Television. Viacom Cable owns and operates cable television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systems servicing approximately 1,094,000 customers as of December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1993 in California, the Pacific Northwest and the Midwest.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Among other projects, Viacom Cable has constructed a fiber optic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system in Castro Valley, California to accommodate testing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interactive services. In connection with this test,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entered into an agreement with AT&amp;T to test and further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 such services.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Broadcasting. Viacom Broadcasting owns and operates five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network-affiliated television stations and 14 radio stations (two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which are under contract to be sold) in six of the top eight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radio markets, including duopolies (i.e., ownership of two or more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or two or more FM stations in the same</w:t>
      </w:r>
    </w:p>
    <w:p>
      <w:pPr>
        <w:spacing w:after="0" w:line="200" w:lineRule="exact"/>
        <w:rPr>
          <w:sz w:val="20"/>
          <w:szCs w:val="20"/>
          <w:color w:val="auto"/>
        </w:rPr>
      </w:pPr>
    </w:p>
    <w:p>
      <w:pPr>
        <w:sectPr>
          <w:pgSz w:w="11900" w:h="16838" w:orient="portrait"/>
          <w:cols w:equalWidth="0" w:num="2">
            <w:col w:w="3780" w:space="160"/>
            <w:col w:w="6299"/>
          </w:cols>
          <w:pgMar w:left="220" w:top="761" w:right="1440" w:bottom="1440" w:gutter="0" w:footer="0" w:header="0"/>
          <w:type w:val="continuous"/>
        </w:sectPr>
      </w:pPr>
    </w:p>
    <w:p>
      <w:pPr>
        <w:spacing w:after="0" w:line="12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61" w:right="1440" w:bottom="1440" w:gutter="0" w:footer="0" w:header="0"/>
          <w:type w:val="continuous"/>
        </w:sectPr>
      </w:pPr>
    </w:p>
    <w:bookmarkStart w:id="16" w:name="page17"/>
    <w:bookmarkEnd w:id="16"/>
    <w:p>
      <w:pPr>
        <w:ind w:left="3760" w:right="779"/>
        <w:spacing w:after="0" w:line="243" w:lineRule="auto"/>
        <w:rPr>
          <w:sz w:val="20"/>
          <w:szCs w:val="20"/>
          <w:color w:val="auto"/>
        </w:rPr>
      </w:pPr>
      <w:r>
        <w:rPr>
          <w:rFonts w:ascii="Courier New" w:cs="Courier New" w:eastAsia="Courier New" w:hAnsi="Courier New"/>
          <w:sz w:val="14"/>
          <w:szCs w:val="14"/>
          <w:color w:val="auto"/>
        </w:rPr>
        <w:t>market) in each of Los Angeles, Seattle and Washington, D.C. Strategic Relationships. Viacom has entered into strategic relationships with Blockbuster and NYNEX Corporation ("NYNEX") including (i) a $600 million investment by Blockbuster in the Series A Cumulative Convertible Preferred Stock, par value $.01 per share, of Viacom (the "Series A Preferred Stock"), (ii) a $1.2 billion investment by NYNEX in the Series B Cumulative Convertible Preferred Stock, par value $.01 per share, of Viacom (the "Series B Preferred Stock" and, together with the Series A Preferred Stock, the "Viacom Preferred Stock") and (iii) an agreement with each of Blockbuster and NYNEX to explore strategic partnership opportunities.</w:t>
      </w:r>
    </w:p>
    <w:p>
      <w:pPr>
        <w:spacing w:after="0" w:line="4"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In addition, on March 10, 1994 Blockbuster purchased approximately 22.7 million shares of Viacom Class B Common Stock for an aggregate purchase price of approximately $1.25 billion pursuant to the Subscription Agreement dated as of January 7, 1994 between Blockbuster and Viacom (the "Blockbuster Subscription Agreement"). Blockbuster Merger. Viacom and Blockbuster are parties to an Agreement and Plan of Merger (the "Blockbuster Merger Agreement") dated as of January 7, 1994, as described under "The Blockbuster Merger."</w:t>
      </w:r>
    </w:p>
    <w:p>
      <w:pPr>
        <w:spacing w:after="0" w:line="3"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Ownership of Paramount Common Stock. On March 11, 1994, pursuant to the terms of its tender offer for shares of Paramount Common Stock (the "Offer"), Viacom completed its purchase of 61,657,432 of such shares, representing a majority of the shares of Paramount Common Stock outstanding. On March 11, 1994, 10 members of Paramount's Board of Directors resigned and their positions were filled by 10 designees of Viacom. Effective March 15, 1994, Paramount's fiscal year was changed such that its fiscal year (consisting of eleven calendar months) will end March 31, 1994, following which Paramount's fiscal year will be the nine month period ending December 31, 1994. Thereafter, Paramount's fiscal year will be the twelve month period ending on December 31 of each year, conforming to that of Viacom.</w:t>
      </w:r>
    </w:p>
    <w:p>
      <w:pPr>
        <w:spacing w:after="0" w:line="4" w:lineRule="exact"/>
        <w:rPr>
          <w:sz w:val="20"/>
          <w:szCs w:val="20"/>
          <w:color w:val="auto"/>
        </w:rPr>
      </w:pPr>
    </w:p>
    <w:p>
      <w:pPr>
        <w:ind w:left="3760" w:right="939"/>
        <w:spacing w:after="0" w:line="242" w:lineRule="auto"/>
        <w:rPr>
          <w:sz w:val="20"/>
          <w:szCs w:val="20"/>
          <w:color w:val="auto"/>
        </w:rPr>
      </w:pPr>
      <w:r>
        <w:rPr>
          <w:rFonts w:ascii="Courier New" w:cs="Courier New" w:eastAsia="Courier New" w:hAnsi="Courier New"/>
          <w:sz w:val="14"/>
          <w:szCs w:val="14"/>
          <w:color w:val="auto"/>
        </w:rPr>
        <w:t>Recent Developments. On April 4, 1994, Viacom sold its one-third partnership interest in LIFETIME(R) to its partners The Hearst Corporation and Capital Cities/ABC Inc. for approximately $317.6 million.</w:t>
      </w:r>
    </w:p>
    <w:p>
      <w:pPr>
        <w:spacing w:after="0" w:line="162" w:lineRule="exact"/>
        <w:rPr>
          <w:sz w:val="20"/>
          <w:szCs w:val="20"/>
          <w:color w:val="auto"/>
        </w:rPr>
      </w:pPr>
    </w:p>
    <w:p>
      <w:pPr>
        <w:spacing w:after="0"/>
        <w:tabs>
          <w:tab w:leader="none" w:pos="3740" w:val="left"/>
        </w:tabs>
        <w:rPr>
          <w:sz w:val="20"/>
          <w:szCs w:val="20"/>
          <w:color w:val="auto"/>
        </w:rPr>
      </w:pPr>
      <w:r>
        <w:rPr>
          <w:rFonts w:ascii="Courier New" w:cs="Courier New" w:eastAsia="Courier New" w:hAnsi="Courier New"/>
          <w:sz w:val="14"/>
          <w:szCs w:val="14"/>
          <w:color w:val="auto"/>
        </w:rPr>
        <w:t>Paramount Communications Inc. .............</w:t>
      </w:r>
      <w:r>
        <w:rPr>
          <w:sz w:val="20"/>
          <w:szCs w:val="20"/>
          <w:color w:val="auto"/>
        </w:rPr>
        <w:tab/>
      </w:r>
      <w:r>
        <w:rPr>
          <w:rFonts w:ascii="Courier New" w:cs="Courier New" w:eastAsia="Courier New" w:hAnsi="Courier New"/>
          <w:sz w:val="13"/>
          <w:szCs w:val="13"/>
          <w:color w:val="auto"/>
        </w:rPr>
        <w:t>The businesses of Paramount are entertainment and publishing.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40" w:type="dxa"/>
            <w:vAlign w:val="bottom"/>
          </w:tcPr>
          <w:p>
            <w:pPr>
              <w:spacing w:after="0"/>
              <w:rPr>
                <w:sz w:val="20"/>
                <w:szCs w:val="20"/>
                <w:color w:val="auto"/>
              </w:rPr>
            </w:pPr>
            <w:r>
              <w:rPr>
                <w:rFonts w:ascii="Courier New" w:cs="Courier New" w:eastAsia="Courier New" w:hAnsi="Courier New"/>
                <w:sz w:val="14"/>
                <w:szCs w:val="14"/>
                <w:color w:val="auto"/>
              </w:rPr>
              <w:t>15 Columbus Circle</w:t>
            </w:r>
          </w:p>
        </w:tc>
        <w:tc>
          <w:tcPr>
            <w:tcW w:w="3100" w:type="dxa"/>
            <w:vAlign w:val="bottom"/>
          </w:tcPr>
          <w:p>
            <w:pPr>
              <w:ind w:left="1220"/>
              <w:spacing w:after="0"/>
              <w:rPr>
                <w:sz w:val="20"/>
                <w:szCs w:val="20"/>
                <w:color w:val="auto"/>
              </w:rPr>
            </w:pPr>
            <w:r>
              <w:rPr>
                <w:rFonts w:ascii="Courier New" w:cs="Courier New" w:eastAsia="Courier New" w:hAnsi="Courier New"/>
                <w:sz w:val="14"/>
                <w:szCs w:val="14"/>
                <w:color w:val="auto"/>
              </w:rPr>
              <w:t>Entertainment includes</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w w:val="99"/>
              </w:rPr>
              <w:t>the production, financing and distribution</w:t>
            </w:r>
          </w:p>
        </w:tc>
      </w:tr>
      <w:tr>
        <w:trPr>
          <w:trHeight w:val="16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New York, New York 10023</w:t>
            </w:r>
          </w:p>
        </w:tc>
        <w:tc>
          <w:tcPr>
            <w:tcW w:w="666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of motion pictures, television programming and prerecorded</w:t>
            </w:r>
          </w:p>
        </w:tc>
      </w:tr>
      <w:tr>
        <w:trPr>
          <w:trHeight w:val="161"/>
        </w:trPr>
        <w:tc>
          <w:tcPr>
            <w:tcW w:w="2540" w:type="dxa"/>
            <w:vAlign w:val="bottom"/>
          </w:tcPr>
          <w:p>
            <w:pPr>
              <w:spacing w:after="0"/>
              <w:rPr>
                <w:sz w:val="20"/>
                <w:szCs w:val="20"/>
                <w:color w:val="auto"/>
              </w:rPr>
            </w:pPr>
            <w:r>
              <w:rPr>
                <w:rFonts w:ascii="Courier New" w:cs="Courier New" w:eastAsia="Courier New" w:hAnsi="Courier New"/>
                <w:sz w:val="14"/>
                <w:szCs w:val="14"/>
                <w:color w:val="auto"/>
              </w:rPr>
              <w:t>(212) 373-8000</w:t>
            </w:r>
          </w:p>
        </w:tc>
        <w:tc>
          <w:tcPr>
            <w:tcW w:w="3100" w:type="dxa"/>
            <w:vAlign w:val="bottom"/>
          </w:tcPr>
          <w:p>
            <w:pPr>
              <w:ind w:left="1220"/>
              <w:spacing w:after="0"/>
              <w:rPr>
                <w:sz w:val="20"/>
                <w:szCs w:val="20"/>
                <w:color w:val="auto"/>
              </w:rPr>
            </w:pPr>
            <w:r>
              <w:rPr>
                <w:rFonts w:ascii="Courier New" w:cs="Courier New" w:eastAsia="Courier New" w:hAnsi="Courier New"/>
                <w:sz w:val="14"/>
                <w:szCs w:val="14"/>
                <w:color w:val="auto"/>
              </w:rPr>
              <w:t>videocassettes and the</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operation of motion picture theaters,</w:t>
            </w:r>
          </w:p>
        </w:tc>
      </w:tr>
      <w:tr>
        <w:trPr>
          <w:trHeight w:val="161"/>
        </w:trPr>
        <w:tc>
          <w:tcPr>
            <w:tcW w:w="2540" w:type="dxa"/>
            <w:vAlign w:val="bottom"/>
          </w:tcPr>
          <w:p>
            <w:pPr>
              <w:spacing w:after="0"/>
              <w:rPr>
                <w:sz w:val="13"/>
                <w:szCs w:val="13"/>
                <w:color w:val="auto"/>
              </w:rPr>
            </w:pPr>
          </w:p>
        </w:tc>
        <w:tc>
          <w:tcPr>
            <w:tcW w:w="3100" w:type="dxa"/>
            <w:vAlign w:val="bottom"/>
          </w:tcPr>
          <w:p>
            <w:pPr>
              <w:ind w:left="1220"/>
              <w:spacing w:after="0"/>
              <w:rPr>
                <w:sz w:val="20"/>
                <w:szCs w:val="20"/>
                <w:color w:val="auto"/>
              </w:rPr>
            </w:pPr>
            <w:r>
              <w:rPr>
                <w:rFonts w:ascii="Courier New" w:cs="Courier New" w:eastAsia="Courier New" w:hAnsi="Courier New"/>
                <w:sz w:val="14"/>
                <w:szCs w:val="14"/>
                <w:color w:val="auto"/>
              </w:rPr>
              <w:t>independent television</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w w:val="99"/>
              </w:rPr>
              <w:t>stations, regional theme parks and Madison</w:t>
            </w:r>
          </w:p>
        </w:tc>
      </w:tr>
      <w:tr>
        <w:trPr>
          <w:trHeight w:val="161"/>
        </w:trPr>
        <w:tc>
          <w:tcPr>
            <w:tcW w:w="2540" w:type="dxa"/>
            <w:vAlign w:val="bottom"/>
          </w:tcPr>
          <w:p>
            <w:pPr>
              <w:spacing w:after="0"/>
              <w:rPr>
                <w:sz w:val="13"/>
                <w:szCs w:val="13"/>
                <w:color w:val="auto"/>
              </w:rPr>
            </w:pPr>
          </w:p>
        </w:tc>
        <w:tc>
          <w:tcPr>
            <w:tcW w:w="3100" w:type="dxa"/>
            <w:vAlign w:val="bottom"/>
          </w:tcPr>
          <w:p>
            <w:pPr>
              <w:ind w:left="1220"/>
              <w:spacing w:after="0"/>
              <w:rPr>
                <w:sz w:val="20"/>
                <w:szCs w:val="20"/>
                <w:color w:val="auto"/>
              </w:rPr>
            </w:pPr>
            <w:r>
              <w:rPr>
                <w:rFonts w:ascii="Courier New" w:cs="Courier New" w:eastAsia="Courier New" w:hAnsi="Courier New"/>
                <w:sz w:val="14"/>
                <w:szCs w:val="14"/>
                <w:color w:val="auto"/>
              </w:rPr>
              <w:t>Square Garden.</w:t>
            </w:r>
          </w:p>
        </w:tc>
        <w:tc>
          <w:tcPr>
            <w:tcW w:w="3560" w:type="dxa"/>
            <w:vAlign w:val="bottom"/>
          </w:tcPr>
          <w:p>
            <w:pPr>
              <w:spacing w:after="0"/>
              <w:rPr>
                <w:sz w:val="13"/>
                <w:szCs w:val="13"/>
                <w:color w:val="auto"/>
              </w:rPr>
            </w:pPr>
          </w:p>
        </w:tc>
      </w:tr>
      <w:tr>
        <w:trPr>
          <w:trHeight w:val="483"/>
        </w:trPr>
        <w:tc>
          <w:tcPr>
            <w:tcW w:w="2540" w:type="dxa"/>
            <w:vAlign w:val="bottom"/>
          </w:tcPr>
          <w:p>
            <w:pPr>
              <w:spacing w:after="0"/>
              <w:rPr>
                <w:sz w:val="24"/>
                <w:szCs w:val="24"/>
                <w:color w:val="auto"/>
              </w:rPr>
            </w:pPr>
          </w:p>
        </w:tc>
        <w:tc>
          <w:tcPr>
            <w:tcW w:w="3100" w:type="dxa"/>
            <w:vAlign w:val="bottom"/>
          </w:tcPr>
          <w:p>
            <w:pPr>
              <w:ind w:left="540"/>
              <w:spacing w:after="0"/>
              <w:rPr>
                <w:sz w:val="20"/>
                <w:szCs w:val="20"/>
                <w:color w:val="auto"/>
              </w:rPr>
            </w:pPr>
            <w:r>
              <w:rPr>
                <w:rFonts w:ascii="Courier New" w:cs="Courier New" w:eastAsia="Courier New" w:hAnsi="Courier New"/>
                <w:sz w:val="14"/>
                <w:szCs w:val="14"/>
                <w:color w:val="auto"/>
              </w:rPr>
              <w:t>2</w:t>
            </w:r>
          </w:p>
        </w:tc>
        <w:tc>
          <w:tcPr>
            <w:tcW w:w="3560" w:type="dxa"/>
            <w:vAlign w:val="bottom"/>
          </w:tcPr>
          <w:p>
            <w:pPr>
              <w:spacing w:after="0"/>
              <w:rPr>
                <w:sz w:val="24"/>
                <w:szCs w:val="24"/>
                <w:color w:val="auto"/>
              </w:rPr>
            </w:pPr>
          </w:p>
        </w:tc>
      </w:tr>
    </w:tbl>
    <w:p>
      <w:pPr>
        <w:sectPr>
          <w:pgSz w:w="11900" w:h="16838" w:orient="portrait"/>
          <w:cols w:equalWidth="0" w:num="1">
            <w:col w:w="10059"/>
          </w:cols>
          <w:pgMar w:left="400" w:top="1085" w:right="1440" w:bottom="1440" w:gutter="0" w:footer="0" w:header="0"/>
        </w:sectPr>
      </w:pPr>
    </w:p>
    <w:bookmarkStart w:id="17" w:name="page18"/>
    <w:bookmarkEnd w:id="17"/>
    <w:p>
      <w:pPr>
        <w:ind w:left="3940" w:right="859"/>
        <w:spacing w:after="0" w:line="242" w:lineRule="auto"/>
        <w:rPr>
          <w:sz w:val="20"/>
          <w:szCs w:val="20"/>
          <w:color w:val="auto"/>
        </w:rPr>
      </w:pPr>
      <w:r>
        <w:rPr>
          <w:rFonts w:ascii="Courier New" w:cs="Courier New" w:eastAsia="Courier New" w:hAnsi="Courier New"/>
          <w:sz w:val="14"/>
          <w:szCs w:val="14"/>
          <w:color w:val="auto"/>
        </w:rPr>
        <w:t>Publishing includes the publication and distribution of hardcover and paperback books for the general public, textbooks for elementary schools, high schools and colleges, and the provision of information services for business and professions.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tcPr>
          <w:p>
            <w:pPr>
              <w:spacing w:after="0"/>
              <w:rPr>
                <w:sz w:val="20"/>
                <w:szCs w:val="20"/>
                <w:color w:val="auto"/>
              </w:rPr>
            </w:pPr>
            <w:r>
              <w:rPr>
                <w:rFonts w:ascii="Courier New" w:cs="Courier New" w:eastAsia="Courier New" w:hAnsi="Courier New"/>
                <w:sz w:val="14"/>
                <w:szCs w:val="14"/>
                <w:color w:val="auto"/>
              </w:rPr>
              <w:t>THE MEETINGS</w:t>
            </w:r>
          </w:p>
        </w:tc>
        <w:tc>
          <w:tcPr>
            <w:tcW w:w="9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860" w:type="dxa"/>
            <w:vAlign w:val="bottom"/>
          </w:tcPr>
          <w:p>
            <w:pPr>
              <w:ind w:left="180"/>
              <w:spacing w:after="0"/>
              <w:rPr>
                <w:sz w:val="20"/>
                <w:szCs w:val="20"/>
                <w:color w:val="auto"/>
              </w:rPr>
            </w:pPr>
            <w:r>
              <w:rPr>
                <w:rFonts w:ascii="Courier New" w:cs="Courier New" w:eastAsia="Courier New" w:hAnsi="Courier New"/>
                <w:sz w:val="14"/>
                <w:szCs w:val="14"/>
                <w:color w:val="auto"/>
              </w:rPr>
              <w:t>Meetings of Stockholders...................</w:t>
            </w: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Viacom. A Special Meeting of Stockholders of Viacom will be held</w:t>
            </w:r>
          </w:p>
        </w:tc>
      </w:tr>
      <w:tr>
        <w:trPr>
          <w:trHeight w:val="161"/>
        </w:trPr>
        <w:tc>
          <w:tcPr>
            <w:tcW w:w="386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at [</w:t>
            </w:r>
          </w:p>
        </w:tc>
        <w:tc>
          <w:tcPr>
            <w:tcW w:w="2720" w:type="dxa"/>
            <w:vAlign w:val="bottom"/>
          </w:tcPr>
          <w:p>
            <w:pPr>
              <w:ind w:left="540"/>
              <w:spacing w:after="0"/>
              <w:rPr>
                <w:sz w:val="20"/>
                <w:szCs w:val="20"/>
                <w:color w:val="auto"/>
              </w:rPr>
            </w:pPr>
            <w:r>
              <w:rPr>
                <w:rFonts w:ascii="Courier New" w:cs="Courier New" w:eastAsia="Courier New" w:hAnsi="Courier New"/>
                <w:sz w:val="14"/>
                <w:szCs w:val="14"/>
                <w:color w:val="auto"/>
                <w:w w:val="98"/>
              </w:rPr>
              <w:t>], New York, New York on [</w:t>
            </w:r>
          </w:p>
        </w:tc>
        <w:tc>
          <w:tcPr>
            <w:tcW w:w="116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8"/>
              </w:rPr>
              <w:t>], 1994,</w:t>
            </w:r>
          </w:p>
        </w:tc>
      </w:tr>
      <w:tr>
        <w:trPr>
          <w:trHeight w:val="161"/>
        </w:trPr>
        <w:tc>
          <w:tcPr>
            <w:tcW w:w="386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at [</w:t>
            </w:r>
          </w:p>
        </w:tc>
        <w:tc>
          <w:tcPr>
            <w:tcW w:w="4640" w:type="dxa"/>
            <w:vAlign w:val="bottom"/>
            <w:gridSpan w:val="3"/>
          </w:tcPr>
          <w:p>
            <w:pPr>
              <w:jc w:val="right"/>
              <w:ind w:right="270"/>
              <w:spacing w:after="0"/>
              <w:rPr>
                <w:sz w:val="20"/>
                <w:szCs w:val="20"/>
                <w:color w:val="auto"/>
              </w:rPr>
            </w:pPr>
            <w:r>
              <w:rPr>
                <w:rFonts w:ascii="Courier New" w:cs="Courier New" w:eastAsia="Courier New" w:hAnsi="Courier New"/>
                <w:sz w:val="14"/>
                <w:szCs w:val="14"/>
                <w:color w:val="auto"/>
              </w:rPr>
              <w:t>] a.m., local time (the "Viacom Special Meeting").</w:t>
            </w:r>
          </w:p>
        </w:tc>
      </w:tr>
      <w:tr>
        <w:trPr>
          <w:trHeight w:val="161"/>
        </w:trPr>
        <w:tc>
          <w:tcPr>
            <w:tcW w:w="3860" w:type="dxa"/>
            <w:vAlign w:val="bottom"/>
          </w:tcPr>
          <w:p>
            <w:pPr>
              <w:spacing w:after="0"/>
              <w:rPr>
                <w:sz w:val="13"/>
                <w:szCs w:val="13"/>
                <w:color w:val="auto"/>
              </w:rPr>
            </w:pP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The Viacom Annual Meeting will be held immediately following the</w:t>
            </w:r>
          </w:p>
        </w:tc>
      </w:tr>
      <w:tr>
        <w:trPr>
          <w:trHeight w:val="161"/>
        </w:trPr>
        <w:tc>
          <w:tcPr>
            <w:tcW w:w="3860" w:type="dxa"/>
            <w:vAlign w:val="bottom"/>
          </w:tcPr>
          <w:p>
            <w:pPr>
              <w:spacing w:after="0"/>
              <w:rPr>
                <w:sz w:val="13"/>
                <w:szCs w:val="13"/>
                <w:color w:val="auto"/>
              </w:rPr>
            </w:pP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Viacom Special Meeting at the same location as the Viacom Special</w:t>
            </w:r>
          </w:p>
        </w:tc>
      </w:tr>
      <w:tr>
        <w:trPr>
          <w:trHeight w:val="161"/>
        </w:trPr>
        <w:tc>
          <w:tcPr>
            <w:tcW w:w="386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Meeting.</w:t>
            </w:r>
          </w:p>
        </w:tc>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860" w:type="dxa"/>
            <w:vAlign w:val="bottom"/>
          </w:tcPr>
          <w:p>
            <w:pPr>
              <w:spacing w:after="0"/>
              <w:rPr>
                <w:sz w:val="13"/>
                <w:szCs w:val="13"/>
                <w:color w:val="auto"/>
              </w:rPr>
            </w:pP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Paramount. A Special Meeting of Stockholders of Paramount will be</w:t>
            </w:r>
          </w:p>
        </w:tc>
      </w:tr>
      <w:tr>
        <w:trPr>
          <w:trHeight w:val="161"/>
        </w:trPr>
        <w:tc>
          <w:tcPr>
            <w:tcW w:w="386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held at [</w:t>
            </w:r>
          </w:p>
        </w:tc>
        <w:tc>
          <w:tcPr>
            <w:tcW w:w="2720" w:type="dxa"/>
            <w:vAlign w:val="bottom"/>
          </w:tcPr>
          <w:p>
            <w:pPr>
              <w:ind w:left="1040"/>
              <w:spacing w:after="0"/>
              <w:rPr>
                <w:sz w:val="20"/>
                <w:szCs w:val="20"/>
                <w:color w:val="auto"/>
              </w:rPr>
            </w:pPr>
            <w:r>
              <w:rPr>
                <w:rFonts w:ascii="Courier New" w:cs="Courier New" w:eastAsia="Courier New" w:hAnsi="Courier New"/>
                <w:sz w:val="14"/>
                <w:szCs w:val="14"/>
                <w:color w:val="auto"/>
              </w:rPr>
              <w:t>] on [</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 1994, at [</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860" w:type="dxa"/>
            <w:vAlign w:val="bottom"/>
          </w:tcPr>
          <w:p>
            <w:pPr>
              <w:spacing w:after="0"/>
              <w:rPr>
                <w:sz w:val="13"/>
                <w:szCs w:val="13"/>
                <w:color w:val="auto"/>
              </w:rPr>
            </w:pP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a.m., local time (the "Paramount Special Meeting" and, together</w:t>
            </w:r>
          </w:p>
        </w:tc>
      </w:tr>
      <w:tr>
        <w:trPr>
          <w:trHeight w:val="161"/>
        </w:trPr>
        <w:tc>
          <w:tcPr>
            <w:tcW w:w="3860" w:type="dxa"/>
            <w:vAlign w:val="bottom"/>
          </w:tcPr>
          <w:p>
            <w:pPr>
              <w:spacing w:after="0"/>
              <w:rPr>
                <w:sz w:val="13"/>
                <w:szCs w:val="13"/>
                <w:color w:val="auto"/>
              </w:rPr>
            </w:pPr>
          </w:p>
        </w:tc>
        <w:tc>
          <w:tcPr>
            <w:tcW w:w="4840" w:type="dxa"/>
            <w:vAlign w:val="bottom"/>
            <w:gridSpan w:val="3"/>
          </w:tcPr>
          <w:p>
            <w:pPr>
              <w:ind w:left="80"/>
              <w:spacing w:after="0"/>
              <w:rPr>
                <w:sz w:val="20"/>
                <w:szCs w:val="20"/>
                <w:color w:val="auto"/>
              </w:rPr>
            </w:pPr>
            <w:r>
              <w:rPr>
                <w:rFonts w:ascii="Courier New" w:cs="Courier New" w:eastAsia="Courier New" w:hAnsi="Courier New"/>
                <w:sz w:val="14"/>
                <w:szCs w:val="14"/>
                <w:color w:val="auto"/>
                <w:w w:val="98"/>
              </w:rPr>
              <w:t>with the Viacom Special Meeting, the "Special Meetings").</w:t>
            </w:r>
          </w:p>
        </w:tc>
        <w:tc>
          <w:tcPr>
            <w:tcW w:w="760" w:type="dxa"/>
            <w:vAlign w:val="bottom"/>
          </w:tcPr>
          <w:p>
            <w:pPr>
              <w:spacing w:after="0"/>
              <w:rPr>
                <w:sz w:val="13"/>
                <w:szCs w:val="13"/>
                <w:color w:val="auto"/>
              </w:rPr>
            </w:pPr>
          </w:p>
        </w:tc>
      </w:tr>
      <w:tr>
        <w:trPr>
          <w:trHeight w:val="161"/>
        </w:trPr>
        <w:tc>
          <w:tcPr>
            <w:tcW w:w="3860" w:type="dxa"/>
            <w:vAlign w:val="bottom"/>
          </w:tcPr>
          <w:p>
            <w:pPr>
              <w:ind w:left="180"/>
              <w:spacing w:after="0"/>
              <w:rPr>
                <w:sz w:val="20"/>
                <w:szCs w:val="20"/>
                <w:color w:val="auto"/>
              </w:rPr>
            </w:pPr>
            <w:r>
              <w:rPr>
                <w:rFonts w:ascii="Courier New" w:cs="Courier New" w:eastAsia="Courier New" w:hAnsi="Courier New"/>
                <w:sz w:val="14"/>
                <w:szCs w:val="14"/>
                <w:color w:val="auto"/>
              </w:rPr>
              <w:t>Matters to Be Considered at the Meetings...</w:t>
            </w: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Viacom. At the Viacom Special Meeting, holders of Viacom Class A</w:t>
            </w:r>
          </w:p>
        </w:tc>
      </w:tr>
      <w:tr>
        <w:trPr>
          <w:trHeight w:val="161"/>
        </w:trPr>
        <w:tc>
          <w:tcPr>
            <w:tcW w:w="3860" w:type="dxa"/>
            <w:vAlign w:val="bottom"/>
          </w:tcPr>
          <w:p>
            <w:pPr>
              <w:spacing w:after="0"/>
              <w:rPr>
                <w:sz w:val="13"/>
                <w:szCs w:val="13"/>
                <w:color w:val="auto"/>
              </w:rPr>
            </w:pP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w w:val="99"/>
              </w:rPr>
              <w:t>Common Stock will consider and vote upon (i) a proposal to approve</w:t>
            </w:r>
          </w:p>
        </w:tc>
      </w:tr>
      <w:tr>
        <w:trPr>
          <w:trHeight w:val="161"/>
        </w:trPr>
        <w:tc>
          <w:tcPr>
            <w:tcW w:w="3860" w:type="dxa"/>
            <w:vAlign w:val="bottom"/>
          </w:tcPr>
          <w:p>
            <w:pPr>
              <w:spacing w:after="0"/>
              <w:rPr>
                <w:sz w:val="13"/>
                <w:szCs w:val="13"/>
                <w:color w:val="auto"/>
              </w:rPr>
            </w:pPr>
          </w:p>
        </w:tc>
        <w:tc>
          <w:tcPr>
            <w:tcW w:w="56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and adopt the Paramount Merger Agreement, including the issuance</w:t>
            </w:r>
          </w:p>
        </w:tc>
      </w:tr>
    </w:tbl>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of the Paramount Merger Consideration (as defined below); (ii) to the extent such matters have not been previously approved by the stockholders of Viacom, proposals to amend Viacom's Restated Certificate of Incorporation to (1) increase the number of shares of Viacom Class B Common Stock authorized to be issued from 150 million to one billion, (2) increase the number of shares of Viacom Class A Common Stock authorized to be issued from 100 million to 200 million, (3) increase the number of shares of preferred stock of Viacom authorized to be issued from 100 million to 200 million and (4) increase the maximum number of directors constituting the Board of Directors of Viacom from 12 to 20 (the matters described in clauses (1) through (4) above being hereinafter together referred to as the "Viacom Charter Amendments") and (iii) such other proposals as may be properly brought before the Viacom Special Meeting.</w:t>
      </w:r>
    </w:p>
    <w:p>
      <w:pPr>
        <w:spacing w:after="0" w:line="5" w:lineRule="exact"/>
        <w:rPr>
          <w:sz w:val="20"/>
          <w:szCs w:val="20"/>
          <w:color w:val="auto"/>
        </w:rPr>
      </w:pPr>
    </w:p>
    <w:p>
      <w:pPr>
        <w:ind w:left="3940" w:right="859"/>
        <w:spacing w:after="0" w:line="243" w:lineRule="auto"/>
        <w:rPr>
          <w:sz w:val="20"/>
          <w:szCs w:val="20"/>
          <w:color w:val="auto"/>
        </w:rPr>
      </w:pPr>
      <w:r>
        <w:rPr>
          <w:rFonts w:ascii="Courier New" w:cs="Courier New" w:eastAsia="Courier New" w:hAnsi="Courier New"/>
          <w:sz w:val="14"/>
          <w:szCs w:val="14"/>
          <w:color w:val="auto"/>
        </w:rPr>
        <w:t>At the Viacom Annual Meeting, holders of Viacom Class A Common Stock will consider and vote upon (i) the election of 10 directors, (ii) the approval of the Viacom Senior Executive Short-Term Incentive Plan, (iii) the approval of the Viacom 1994 Long-Term Management Incentive Plan, (iv) the approval of the Viacom Stock Option Plan for Outside Directors, (v) the approval of the appointment of independent auditors for 1994 and (vi) such other business as may properly come before the Viacom Annual Meeting or any adjournment thereof (the matters described in clauses (i) through (v) above being hereinafter together referred to as the "Viacom Annual Meeting Proposals").</w:t>
      </w:r>
    </w:p>
    <w:p>
      <w:pPr>
        <w:spacing w:after="0" w:line="32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4" w:right="1440" w:bottom="1440" w:gutter="0" w:footer="0" w:header="0"/>
        </w:sectPr>
      </w:pPr>
    </w:p>
    <w:bookmarkStart w:id="18" w:name="page19"/>
    <w:bookmarkEnd w:id="18"/>
    <w:p>
      <w:pPr>
        <w:ind w:left="3940" w:right="779"/>
        <w:spacing w:after="0" w:line="242" w:lineRule="auto"/>
        <w:rPr>
          <w:sz w:val="20"/>
          <w:szCs w:val="20"/>
          <w:color w:val="auto"/>
        </w:rPr>
      </w:pPr>
      <w:r>
        <w:rPr>
          <w:rFonts w:ascii="Courier New" w:cs="Courier New" w:eastAsia="Courier New" w:hAnsi="Courier New"/>
          <w:sz w:val="14"/>
          <w:szCs w:val="14"/>
          <w:color w:val="auto"/>
        </w:rPr>
        <w:t>Paramount. At the Paramount Special Meeting, holders of Paramount Common Stock will consider and vote upon (i) a proposal to approve and adopt the Paramount Merger Agreement and (ii) such other matters as may be properly brought before the meeting.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Security Ownership of Management and</w:t>
      </w:r>
    </w:p>
    <w:p>
      <w:pPr>
        <w:spacing w:after="0" w:line="2"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4"/>
          <w:szCs w:val="14"/>
          <w:color w:val="auto"/>
        </w:rPr>
        <w:t>Certain Affiliates...........................</w:t>
      </w:r>
      <w:r>
        <w:rPr>
          <w:sz w:val="20"/>
          <w:szCs w:val="20"/>
          <w:color w:val="auto"/>
        </w:rPr>
        <w:tab/>
      </w:r>
      <w:r>
        <w:rPr>
          <w:rFonts w:ascii="Courier New" w:cs="Courier New" w:eastAsia="Courier New" w:hAnsi="Courier New"/>
          <w:sz w:val="13"/>
          <w:szCs w:val="13"/>
          <w:color w:val="auto"/>
        </w:rPr>
        <w:t>Viacom. As of April 1, 1994, directors and executive officers of</w:t>
      </w:r>
    </w:p>
    <w:p>
      <w:pPr>
        <w:spacing w:after="0" w:line="5" w:lineRule="exact"/>
        <w:rPr>
          <w:sz w:val="20"/>
          <w:szCs w:val="20"/>
          <w:color w:val="auto"/>
        </w:rPr>
      </w:pPr>
    </w:p>
    <w:p>
      <w:pPr>
        <w:ind w:left="3940" w:right="939"/>
        <w:spacing w:after="0" w:line="243" w:lineRule="auto"/>
        <w:rPr>
          <w:sz w:val="20"/>
          <w:szCs w:val="20"/>
          <w:color w:val="auto"/>
        </w:rPr>
      </w:pPr>
      <w:r>
        <w:rPr>
          <w:rFonts w:ascii="Courier New" w:cs="Courier New" w:eastAsia="Courier New" w:hAnsi="Courier New"/>
          <w:sz w:val="14"/>
          <w:szCs w:val="14"/>
          <w:color w:val="auto"/>
        </w:rPr>
        <w:t>Viacom and their affiliates (other than Sumner M. Redstone, Chairman of the Board of Viacom) were beneficial owners of less than 1% of the outstanding shares of Viacom Class A Common Stock and less than 1% of the outstanding shares of Viacom Class B Common Stock. National Amusements, Inc. ("NAI"), in which Sumner M. Redstone beneficially owns a controlling interest, owned approximately 85% of the outstanding shares of Viacom Class A Common Stock and 52% of the outstanding shares of Viacom Class B Common Stock on April 1, 1994.</w:t>
      </w:r>
    </w:p>
    <w:p>
      <w:pPr>
        <w:spacing w:after="0" w:line="3" w:lineRule="exact"/>
        <w:rPr>
          <w:sz w:val="20"/>
          <w:szCs w:val="20"/>
          <w:color w:val="auto"/>
        </w:rPr>
      </w:pPr>
    </w:p>
    <w:p>
      <w:pPr>
        <w:jc w:val="both"/>
        <w:ind w:left="3940" w:right="859"/>
        <w:spacing w:after="0" w:line="241" w:lineRule="auto"/>
        <w:rPr>
          <w:sz w:val="20"/>
          <w:szCs w:val="20"/>
          <w:color w:val="auto"/>
        </w:rPr>
      </w:pPr>
      <w:r>
        <w:rPr>
          <w:rFonts w:ascii="Courier New" w:cs="Courier New" w:eastAsia="Courier New" w:hAnsi="Courier New"/>
          <w:sz w:val="14"/>
          <w:szCs w:val="14"/>
          <w:color w:val="auto"/>
        </w:rPr>
        <w:t>Paramount. As of March 31, 1994, directors and executive officers of Paramount were beneficial owners of approximately 1.84% of the outstanding shares of Paramount Common Stock.</w:t>
      </w:r>
    </w:p>
    <w:p>
      <w:pPr>
        <w:spacing w:after="0" w:line="3" w:lineRule="exact"/>
        <w:rPr>
          <w:sz w:val="20"/>
          <w:szCs w:val="20"/>
          <w:color w:val="auto"/>
        </w:rPr>
      </w:pPr>
    </w:p>
    <w:p>
      <w:pPr>
        <w:ind w:left="180"/>
        <w:spacing w:after="0"/>
        <w:tabs>
          <w:tab w:leader="none" w:pos="3920" w:val="left"/>
        </w:tabs>
        <w:rPr>
          <w:sz w:val="20"/>
          <w:szCs w:val="20"/>
          <w:color w:val="auto"/>
        </w:rPr>
      </w:pPr>
      <w:r>
        <w:rPr>
          <w:rFonts w:ascii="Courier New" w:cs="Courier New" w:eastAsia="Courier New" w:hAnsi="Courier New"/>
          <w:sz w:val="14"/>
          <w:szCs w:val="14"/>
          <w:color w:val="auto"/>
        </w:rPr>
        <w:t>Votes Required.............................</w:t>
      </w:r>
      <w:r>
        <w:rPr>
          <w:sz w:val="20"/>
          <w:szCs w:val="20"/>
          <w:color w:val="auto"/>
        </w:rPr>
        <w:tab/>
      </w:r>
      <w:r>
        <w:rPr>
          <w:rFonts w:ascii="Courier New" w:cs="Courier New" w:eastAsia="Courier New" w:hAnsi="Courier New"/>
          <w:sz w:val="13"/>
          <w:szCs w:val="13"/>
          <w:color w:val="auto"/>
        </w:rPr>
        <w:t>Viacom. In order to effect the Viacom Charter Amendments, the</w:t>
      </w:r>
    </w:p>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Viacom Charter Amendments must be approved by the affirmative vote of the holders of a majority of the outstanding shares of Viacom Class A Common Stock. Abstentions and broker non-votes will have the same effect as votes against the Viacom Charter Amendments. The affirmative vote of the holders of a majority of the shares of Viacom Class A Common Stock present in person or represented by proxy is required for approval of the Paramount Merger Agreement (including the issuance of the Paramount Merger Consideration) and approval of the Annual Meeting Proposals. Abstentions will have the same effect as a vote against approval of the Paramount Merger Agreement and approval of Annual Meeting Proposals. Broker non-votes will have no such effect and will not be counted. Pursuant to a Voting Agreement dated as of January 21, 1994 (the "Paramount Voting Agreement") between Paramount and NAI, a copy of which is attached as Annex II, NAI has agreed to vote all of its shares of Viacom Class A Common Stock in favor of the Paramount Merger and related transactions. The vote of NAI in accordance with the Paramount Voting Agreement would be sufficient to approve the Paramount Merger Agreement and the related transactions without any action on the part of any other holder of Viacom Class A Common Stock.</w:t>
      </w:r>
    </w:p>
    <w:p>
      <w:pPr>
        <w:spacing w:after="0" w:line="7" w:lineRule="exact"/>
        <w:rPr>
          <w:sz w:val="20"/>
          <w:szCs w:val="20"/>
          <w:color w:val="auto"/>
        </w:rPr>
      </w:pPr>
    </w:p>
    <w:p>
      <w:pPr>
        <w:ind w:left="3940" w:right="939"/>
        <w:spacing w:after="0" w:line="242" w:lineRule="auto"/>
        <w:rPr>
          <w:sz w:val="20"/>
          <w:szCs w:val="20"/>
          <w:color w:val="auto"/>
        </w:rPr>
      </w:pPr>
      <w:r>
        <w:rPr>
          <w:rFonts w:ascii="Courier New" w:cs="Courier New" w:eastAsia="Courier New" w:hAnsi="Courier New"/>
          <w:sz w:val="14"/>
          <w:szCs w:val="14"/>
          <w:color w:val="auto"/>
        </w:rPr>
        <w:t>NAI has advised Viacom that it intends to vote all of its shares of Viacom Class A Common Stock in favor of the Annual Meeting Proposals and each of the Viacom Charter Amendments; such action by NAI is sufficient to approve</w:t>
      </w:r>
    </w:p>
    <w:p>
      <w:pPr>
        <w:spacing w:after="0" w:line="32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1085" w:right="1440" w:bottom="1440" w:gutter="0" w:footer="0" w:header="0"/>
        </w:sectPr>
      </w:pPr>
    </w:p>
    <w:bookmarkStart w:id="19" w:name="page20"/>
    <w:bookmarkEnd w:id="19"/>
    <w:p>
      <w:pPr>
        <w:ind w:left="3940" w:right="859"/>
        <w:spacing w:after="0" w:line="239" w:lineRule="auto"/>
        <w:rPr>
          <w:sz w:val="20"/>
          <w:szCs w:val="20"/>
          <w:color w:val="auto"/>
        </w:rPr>
      </w:pPr>
      <w:r>
        <w:rPr>
          <w:rFonts w:ascii="Courier New" w:cs="Courier New" w:eastAsia="Courier New" w:hAnsi="Courier New"/>
          <w:sz w:val="14"/>
          <w:szCs w:val="14"/>
          <w:color w:val="auto"/>
        </w:rPr>
        <w:t>such proposals without any action on the part of any other holder of Viacom Class A Common Stock.</w:t>
      </w:r>
    </w:p>
    <w:p>
      <w:pPr>
        <w:spacing w:after="0" w:line="6"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Paramount. In order to effect the Paramount Merger, the Paramount Merger Agreement must be approved by the affirmative vote of the holders of a majority of the outstanding shares of Paramount Common Stock entitled to vote thereon. Abstentions and broker non-votes will have the same effect as votes against the Paramount Merger Agreement. As Viacom has acquired a majority of the outstanding shares of Paramount Common Stock pursuant to the Offer, Viacom has sufficient voting power to approve the Paramount Merger Agreement, even if no other stockholder of Paramount votes in favor of the Paramount Merger Agreement.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tcPr>
          <w:p>
            <w:pPr>
              <w:ind w:left="180"/>
              <w:spacing w:after="0"/>
              <w:rPr>
                <w:sz w:val="20"/>
                <w:szCs w:val="20"/>
                <w:color w:val="auto"/>
              </w:rPr>
            </w:pPr>
            <w:r>
              <w:rPr>
                <w:rFonts w:ascii="Courier New" w:cs="Courier New" w:eastAsia="Courier New" w:hAnsi="Courier New"/>
                <w:sz w:val="14"/>
                <w:szCs w:val="14"/>
                <w:color w:val="auto"/>
              </w:rPr>
              <w:t>Record Date................................</w:t>
            </w: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Viacom. The record date for the Viacom Special Meeting and the</w:t>
            </w:r>
          </w:p>
        </w:tc>
      </w:tr>
      <w:tr>
        <w:trPr>
          <w:trHeight w:val="161"/>
        </w:trPr>
        <w:tc>
          <w:tcPr>
            <w:tcW w:w="3860" w:type="dxa"/>
            <w:vAlign w:val="bottom"/>
          </w:tcPr>
          <w:p>
            <w:pPr>
              <w:spacing w:after="0"/>
              <w:rPr>
                <w:sz w:val="13"/>
                <w:szCs w:val="13"/>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Viacom Annual Meeting is [</w:t>
            </w:r>
          </w:p>
        </w:tc>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 1994. Accordingly, holders of</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record of Viacom Common Stock as of such date will be entitled to</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notice of, and holders of record of Viacom Class A Common Stock</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will be entitled to vote at, the Viacom Special Meeting and the</w:t>
            </w:r>
          </w:p>
        </w:tc>
      </w:tr>
      <w:tr>
        <w:trPr>
          <w:trHeight w:val="161"/>
        </w:trPr>
        <w:tc>
          <w:tcPr>
            <w:tcW w:w="3860" w:type="dxa"/>
            <w:vAlign w:val="bottom"/>
          </w:tcPr>
          <w:p>
            <w:pPr>
              <w:spacing w:after="0"/>
              <w:rPr>
                <w:sz w:val="13"/>
                <w:szCs w:val="13"/>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Viacom Annual Meeting.</w:t>
            </w:r>
          </w:p>
        </w:tc>
        <w:tc>
          <w:tcPr>
            <w:tcW w:w="3360" w:type="dxa"/>
            <w:vAlign w:val="bottom"/>
          </w:tcPr>
          <w:p>
            <w:pPr>
              <w:spacing w:after="0"/>
              <w:rPr>
                <w:sz w:val="13"/>
                <w:szCs w:val="13"/>
                <w:color w:val="auto"/>
              </w:rPr>
            </w:pP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Paramount. The record date for the Paramount Special Meeting is</w:t>
            </w:r>
          </w:p>
        </w:tc>
      </w:tr>
      <w:tr>
        <w:trPr>
          <w:trHeight w:val="161"/>
        </w:trPr>
        <w:tc>
          <w:tcPr>
            <w:tcW w:w="38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1994. Accordingly, holders of record of Paramount</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Common Stock as of such date will be entitled to notice of, and to</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vote at, the Paramount Special Meeting.</w:t>
            </w:r>
          </w:p>
        </w:tc>
      </w:tr>
      <w:tr>
        <w:trPr>
          <w:trHeight w:val="161"/>
        </w:trPr>
        <w:tc>
          <w:tcPr>
            <w:tcW w:w="3860" w:type="dxa"/>
            <w:vAlign w:val="bottom"/>
          </w:tcPr>
          <w:p>
            <w:pPr>
              <w:spacing w:after="0"/>
              <w:rPr>
                <w:sz w:val="20"/>
                <w:szCs w:val="20"/>
                <w:color w:val="auto"/>
              </w:rPr>
            </w:pPr>
            <w:r>
              <w:rPr>
                <w:rFonts w:ascii="Courier New" w:cs="Courier New" w:eastAsia="Courier New" w:hAnsi="Courier New"/>
                <w:sz w:val="14"/>
                <w:szCs w:val="14"/>
                <w:color w:val="auto"/>
              </w:rPr>
              <w:t>THE PARAMOUNT MERGER</w:t>
            </w: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61"/>
        </w:trPr>
        <w:tc>
          <w:tcPr>
            <w:tcW w:w="3860" w:type="dxa"/>
            <w:vAlign w:val="bottom"/>
          </w:tcPr>
          <w:p>
            <w:pPr>
              <w:ind w:left="180"/>
              <w:spacing w:after="0"/>
              <w:rPr>
                <w:sz w:val="20"/>
                <w:szCs w:val="20"/>
                <w:color w:val="auto"/>
              </w:rPr>
            </w:pPr>
            <w:r>
              <w:rPr>
                <w:rFonts w:ascii="Courier New" w:cs="Courier New" w:eastAsia="Courier New" w:hAnsi="Courier New"/>
                <w:sz w:val="14"/>
                <w:szCs w:val="14"/>
                <w:color w:val="auto"/>
              </w:rPr>
              <w:t>The Offer..................................</w:t>
            </w: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Pursuant to the Offer, on March 11, 1994, Viacom completed its</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purchase of a majority of the shares of Paramount Common Stock</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outstanding at a price of $107 per share in cash, or an aggregate</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cash consideration of approximately $6.6 billion.</w:t>
            </w:r>
          </w:p>
        </w:tc>
      </w:tr>
      <w:tr>
        <w:trPr>
          <w:trHeight w:val="161"/>
        </w:trPr>
        <w:tc>
          <w:tcPr>
            <w:tcW w:w="3860" w:type="dxa"/>
            <w:vAlign w:val="bottom"/>
          </w:tcPr>
          <w:p>
            <w:pPr>
              <w:ind w:left="180"/>
              <w:spacing w:after="0"/>
              <w:rPr>
                <w:sz w:val="20"/>
                <w:szCs w:val="20"/>
                <w:color w:val="auto"/>
              </w:rPr>
            </w:pPr>
            <w:r>
              <w:rPr>
                <w:rFonts w:ascii="Courier New" w:cs="Courier New" w:eastAsia="Courier New" w:hAnsi="Courier New"/>
                <w:sz w:val="14"/>
                <w:szCs w:val="14"/>
                <w:color w:val="auto"/>
              </w:rPr>
              <w:t>Form of the Paramount Merger...............</w:t>
            </w: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The Paramount Merger Agreement provides that the Paramount Merger</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will be effected by causing the Merger Subsidiary, a wholly owned</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subsidiary of Viacom, to merge with and into Paramount. As a</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result, Paramount will be the corporation surviving the merger and</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will become a wholly owned subsidiary of Viacom after the</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effective time of the Paramount Merger (the "Paramount Effective</w:t>
            </w:r>
          </w:p>
        </w:tc>
      </w:tr>
      <w:tr>
        <w:trPr>
          <w:trHeight w:val="161"/>
        </w:trPr>
        <w:tc>
          <w:tcPr>
            <w:tcW w:w="38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Time").</w:t>
            </w:r>
          </w:p>
        </w:tc>
        <w:tc>
          <w:tcPr>
            <w:tcW w:w="184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At the Paramount Effective Time, the Restated Certificate of</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Incorporation (the "Certificate of Incorporation") and By-Laws of</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w w:val="99"/>
              </w:rPr>
              <w:t>Paramount will be amended in their entirety to read as the Certificate</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Incorporation and By-Laws of the Merger Subsidiary.</w:t>
            </w:r>
          </w:p>
        </w:tc>
      </w:tr>
      <w:tr>
        <w:trPr>
          <w:trHeight w:val="161"/>
        </w:trPr>
        <w:tc>
          <w:tcPr>
            <w:tcW w:w="3860" w:type="dxa"/>
            <w:vAlign w:val="bottom"/>
          </w:tcPr>
          <w:p>
            <w:pPr>
              <w:ind w:left="180"/>
              <w:spacing w:after="0"/>
              <w:rPr>
                <w:sz w:val="20"/>
                <w:szCs w:val="20"/>
                <w:color w:val="auto"/>
              </w:rPr>
            </w:pPr>
            <w:r>
              <w:rPr>
                <w:rFonts w:ascii="Courier New" w:cs="Courier New" w:eastAsia="Courier New" w:hAnsi="Courier New"/>
                <w:sz w:val="14"/>
                <w:szCs w:val="14"/>
                <w:color w:val="auto"/>
              </w:rPr>
              <w:t>Conversion of the Paramount Common Stock...</w:t>
            </w: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Pursuant to the Paramount Merger Agreement, each share of</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Paramount Common Stock not owned by Viacom (other than shares of</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Paramount Common Stock held in the treasury of Paramount or owned</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by any direct or indirect wholly owned subsidiary of Viacom or of</w:t>
            </w:r>
          </w:p>
        </w:tc>
      </w:tr>
      <w:tr>
        <w:trPr>
          <w:trHeight w:val="161"/>
        </w:trPr>
        <w:tc>
          <w:tcPr>
            <w:tcW w:w="3860" w:type="dxa"/>
            <w:vAlign w:val="bottom"/>
          </w:tcPr>
          <w:p>
            <w:pPr>
              <w:spacing w:after="0"/>
              <w:rPr>
                <w:sz w:val="13"/>
                <w:szCs w:val="13"/>
                <w:color w:val="auto"/>
              </w:rPr>
            </w:pPr>
          </w:p>
        </w:tc>
        <w:tc>
          <w:tcPr>
            <w:tcW w:w="5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Paramount and other than shares of Paramount Common Stock held by</w:t>
            </w:r>
          </w:p>
        </w:tc>
      </w:tr>
      <w:tr>
        <w:trPr>
          <w:trHeight w:val="483"/>
        </w:trPr>
        <w:tc>
          <w:tcPr>
            <w:tcW w:w="3860" w:type="dxa"/>
            <w:vAlign w:val="bottom"/>
          </w:tcPr>
          <w:p>
            <w:pPr>
              <w:ind w:left="3260"/>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0239"/>
          </w:cols>
          <w:pgMar w:left="220" w:top="924" w:right="1440" w:bottom="1440" w:gutter="0" w:footer="0" w:header="0"/>
        </w:sectPr>
      </w:pPr>
    </w:p>
    <w:bookmarkStart w:id="20" w:name="page21"/>
    <w:bookmarkEnd w:id="20"/>
    <w:p>
      <w:pPr>
        <w:ind w:left="3760" w:right="939"/>
        <w:spacing w:after="0" w:line="262" w:lineRule="auto"/>
        <w:rPr>
          <w:sz w:val="20"/>
          <w:szCs w:val="20"/>
          <w:color w:val="auto"/>
        </w:rPr>
      </w:pPr>
      <w:r>
        <w:rPr>
          <w:rFonts w:ascii="Courier New" w:cs="Courier New" w:eastAsia="Courier New" w:hAnsi="Courier New"/>
          <w:sz w:val="13"/>
          <w:szCs w:val="13"/>
          <w:color w:val="auto"/>
        </w:rPr>
        <w:t>stockholders who have demanded and perfected appraisal rights under the Delaware General Corporation Law ("DGCL")), will be converted into the right to receive (i) 0.93065 of a share of Viacom Class B Common Stock, (ii) $17.50 principal amount of the Viacom Merger Debentures, (iii) 0.93065 of a CVR, (iv) 0.5 of a Viacom Three-Year Warrant and (v) 0.3 of a Viacom Five-Year Warrant (collectively, the "Paramount Merger Consideration").</w:t>
      </w:r>
    </w:p>
    <w:p>
      <w:pPr>
        <w:spacing w:after="0"/>
        <w:tabs>
          <w:tab w:leader="none" w:pos="3740" w:val="left"/>
        </w:tabs>
        <w:rPr>
          <w:sz w:val="20"/>
          <w:szCs w:val="20"/>
          <w:color w:val="auto"/>
        </w:rPr>
      </w:pPr>
      <w:r>
        <w:rPr>
          <w:rFonts w:ascii="Courier New" w:cs="Courier New" w:eastAsia="Courier New" w:hAnsi="Courier New"/>
          <w:sz w:val="14"/>
          <w:szCs w:val="14"/>
          <w:color w:val="auto"/>
        </w:rPr>
        <w:t>Paramount Merger Consideration.............</w:t>
      </w:r>
      <w:r>
        <w:rPr>
          <w:sz w:val="20"/>
          <w:szCs w:val="20"/>
          <w:color w:val="auto"/>
        </w:rPr>
        <w:tab/>
      </w:r>
      <w:r>
        <w:rPr>
          <w:rFonts w:ascii="Courier New" w:cs="Courier New" w:eastAsia="Courier New" w:hAnsi="Courier New"/>
          <w:sz w:val="13"/>
          <w:szCs w:val="13"/>
          <w:color w:val="auto"/>
        </w:rPr>
        <w:t>Viacom Class B Common Stock has rights, privileges, limitations,</w:t>
      </w:r>
    </w:p>
    <w:p>
      <w:pPr>
        <w:spacing w:after="0" w:line="5" w:lineRule="exact"/>
        <w:rPr>
          <w:sz w:val="20"/>
          <w:szCs w:val="20"/>
          <w:color w:val="auto"/>
        </w:rPr>
      </w:pPr>
    </w:p>
    <w:p>
      <w:pPr>
        <w:ind w:left="3760" w:right="779"/>
        <w:spacing w:after="0" w:line="241" w:lineRule="auto"/>
        <w:rPr>
          <w:sz w:val="20"/>
          <w:szCs w:val="20"/>
          <w:color w:val="auto"/>
        </w:rPr>
      </w:pPr>
      <w:r>
        <w:rPr>
          <w:rFonts w:ascii="Courier New" w:cs="Courier New" w:eastAsia="Courier New" w:hAnsi="Courier New"/>
          <w:sz w:val="14"/>
          <w:szCs w:val="14"/>
          <w:color w:val="auto"/>
        </w:rPr>
        <w:t>restrictions and qualifications identical to Viacom Class A Common Stock, except that shares of Viacom Class B Common Stock have no voting rights other than those required by law.</w:t>
      </w:r>
    </w:p>
    <w:p>
      <w:pPr>
        <w:spacing w:after="0" w:line="5" w:lineRule="exact"/>
        <w:rPr>
          <w:sz w:val="20"/>
          <w:szCs w:val="20"/>
          <w:color w:val="auto"/>
        </w:rPr>
      </w:pPr>
    </w:p>
    <w:p>
      <w:pPr>
        <w:ind w:left="3760" w:right="779"/>
        <w:spacing w:after="0" w:line="242" w:lineRule="auto"/>
        <w:rPr>
          <w:sz w:val="20"/>
          <w:szCs w:val="20"/>
          <w:color w:val="auto"/>
        </w:rPr>
      </w:pPr>
      <w:r>
        <w:rPr>
          <w:rFonts w:ascii="Courier New" w:cs="Courier New" w:eastAsia="Courier New" w:hAnsi="Courier New"/>
          <w:sz w:val="14"/>
          <w:szCs w:val="14"/>
          <w:color w:val="auto"/>
        </w:rPr>
        <w:t>The Viacom Merger Debentures will bear interest at a rate of 8% per annum, will have a maturity of 12 years from the Paramount Effective Time, will be redeemable by Viacom at declining redemption premiums after the fifth anniversary of the Paramount Effective Time and will be subordinated in right of payment to all senior indebtedness of Viacom.</w:t>
      </w:r>
    </w:p>
    <w:p>
      <w:pPr>
        <w:spacing w:after="0" w:line="6"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The Viacom Merger Debentures will be exchangeable, at the option of Viacom, into the Series C Cumulative Exchangeable Preferred Stock, par value $.01 per share, of Viacom (the "Series C Preferred Stock"), on or after the earlier of (i) January 1, 1995, but only if the Blockbuster Merger has not been consummated by such date and (ii) the acquisition by a third party of beneficial ownership of a majority of the then outstanding voting securities of Blockbuster. The Series C Preferred Stock, if issued, (i) would accrue dividends at a rate of 5% per annum until the tenth anniversary of the Paramount Effective Time and 10% per annum thereafter, (ii) would have a liquidation preference of $50 per share, (iii) would be redeemable at the option of Viacom at declining redemption premiums after the fifth anniversary of the Paramount Effective Time and (iv) would be exchangeable at the option of Viacom into the 5% subordinated debentures of Viacom (the "Viacom Exchange Debentures") after the third anniversary of the Paramount Effective Time.</w:t>
      </w:r>
    </w:p>
    <w:p>
      <w:pPr>
        <w:spacing w:after="0" w:line="6"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Each whole CVR will represent the right, on the first anniversary of the Paramount Effective Time, to receive, in cash or securities of Viacom (at the option of Viacom), the amount by which the average trading value of Viacom Class B Common Stock over a specified period is less than a minimum price of $48 per share. Viacom will have the right, in its sole discretion, to extend the payment and measurement dates of the CVR by one year, in which case the minimum price will increase to $51 per share, and a further one-year extension right which, if exercised by Viacom, would increase the minimum price to $55 per share. The average trading value will be based upon market prices during the 60 trading days ending on the last day of</w:t>
      </w:r>
    </w:p>
    <w:p>
      <w:pPr>
        <w:spacing w:after="0" w:line="32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059"/>
          </w:cols>
          <w:pgMar w:left="400" w:top="1085" w:right="1440" w:bottom="1440" w:gutter="0" w:footer="0" w:header="0"/>
        </w:sectPr>
      </w:pPr>
    </w:p>
    <w:bookmarkStart w:id="21" w:name="page22"/>
    <w:bookmarkEnd w:id="21"/>
    <w:p>
      <w:pPr>
        <w:ind w:left="3940" w:right="779"/>
        <w:spacing w:after="0" w:line="242" w:lineRule="auto"/>
        <w:rPr>
          <w:sz w:val="20"/>
          <w:szCs w:val="20"/>
          <w:color w:val="auto"/>
        </w:rPr>
      </w:pPr>
      <w:r>
        <w:rPr>
          <w:rFonts w:ascii="Courier New" w:cs="Courier New" w:eastAsia="Courier New" w:hAnsi="Courier New"/>
          <w:sz w:val="14"/>
          <w:szCs w:val="14"/>
          <w:color w:val="auto"/>
        </w:rPr>
        <w:t>the relevant period and is subject to a floor of (i) $36 per share if Viacom does not exercise its extension rights, (ii) $37 per share if Viacom extends the payment and measurement dates of the CVR by one year or (iii) $38 per share if Viacom exercises its further one-year extension right.</w:t>
      </w:r>
    </w:p>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 See "Description of Viacom Capital Stock--Contingent Value Rights."</w:t>
      </w:r>
    </w:p>
    <w:p>
      <w:pPr>
        <w:spacing w:after="0" w:line="4"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Each whole Viacom Three-Year Warrant will entitle the holder thereof to purchase one share of Viacom Class B Common Stock at any time prior to the third anniversary of the Paramount Effective Time at a price of $60, payable in cash.</w:t>
      </w:r>
    </w:p>
    <w:p>
      <w:pPr>
        <w:spacing w:after="0" w:line="4" w:lineRule="exact"/>
        <w:rPr>
          <w:sz w:val="20"/>
          <w:szCs w:val="20"/>
          <w:color w:val="auto"/>
        </w:rPr>
      </w:pPr>
    </w:p>
    <w:p>
      <w:pPr>
        <w:ind w:left="3940" w:right="779"/>
        <w:spacing w:after="0" w:line="262" w:lineRule="auto"/>
        <w:rPr>
          <w:sz w:val="20"/>
          <w:szCs w:val="20"/>
          <w:color w:val="auto"/>
        </w:rPr>
      </w:pPr>
      <w:r>
        <w:rPr>
          <w:rFonts w:ascii="Courier New" w:cs="Courier New" w:eastAsia="Courier New" w:hAnsi="Courier New"/>
          <w:sz w:val="13"/>
          <w:szCs w:val="13"/>
          <w:color w:val="auto"/>
        </w:rPr>
        <w:t>Each whole Viacom Five-Year Warrant will entitle the holder thereof to purchase one share of Viacom Class B Common Stock at any time prior to the fifth anniversary of the Paramount Effective Time at a price of $70, payable in cash or, if issued, in an equivalent amount of liquidation preference of Series C Preferred Stock or principal amount of Viacom Exchange Debentures.</w:t>
      </w:r>
    </w:p>
    <w:p>
      <w:pPr>
        <w:spacing w:after="0" w:line="1"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No fractional securities will be issued in connection with the Paramount Merger. In lieu of any such fractional shares, each holder of Paramount Common Stock will be paid an amount in cash as described under "Certain Provisions of the Paramount Merger Agreement--Procedure for Exchange of Paramount Certificates."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Ownership of Viacom Common Stock After the</w:t>
      </w:r>
    </w:p>
    <w:p>
      <w:pPr>
        <w:spacing w:after="0" w:line="2"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4"/>
          <w:szCs w:val="14"/>
          <w:color w:val="auto"/>
        </w:rPr>
        <w:t>Mergers......................................</w:t>
      </w:r>
      <w:r>
        <w:rPr>
          <w:sz w:val="20"/>
          <w:szCs w:val="20"/>
          <w:color w:val="auto"/>
        </w:rPr>
        <w:tab/>
      </w:r>
      <w:r>
        <w:rPr>
          <w:rFonts w:ascii="Courier New" w:cs="Courier New" w:eastAsia="Courier New" w:hAnsi="Courier New"/>
          <w:sz w:val="13"/>
          <w:szCs w:val="13"/>
          <w:color w:val="auto"/>
        </w:rPr>
        <w:t>Following the Paramount Merger. NAI will own approximately 85% of</w:t>
      </w:r>
    </w:p>
    <w:p>
      <w:pPr>
        <w:spacing w:after="0" w:line="5" w:lineRule="exact"/>
        <w:rPr>
          <w:sz w:val="20"/>
          <w:szCs w:val="20"/>
          <w:color w:val="auto"/>
        </w:rPr>
      </w:pPr>
    </w:p>
    <w:p>
      <w:pPr>
        <w:ind w:left="3940" w:right="859"/>
        <w:spacing w:after="0" w:line="242" w:lineRule="auto"/>
        <w:rPr>
          <w:sz w:val="20"/>
          <w:szCs w:val="20"/>
          <w:color w:val="auto"/>
        </w:rPr>
      </w:pPr>
      <w:r>
        <w:rPr>
          <w:rFonts w:ascii="Courier New" w:cs="Courier New" w:eastAsia="Courier New" w:hAnsi="Courier New"/>
          <w:sz w:val="14"/>
          <w:szCs w:val="14"/>
          <w:color w:val="auto"/>
        </w:rPr>
        <w:t>the voting Viacom Class A Common Stock and approximately 46% of the aggregate Viacom Common Stock immediately following consummation of the Paramount Merger. Former stockholders of Paramount will own approximately 28% of the aggregate Viacom Common Stock immediately following consummation of the Paramount Merger. (All percentages of ownership of common stock shown above in this paragraph are calculated assuming that the Blockbuster Merger has not yet been consummated.)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Following the Mergers. NAI will own approximately 62% of the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voting Viacom Class A Common Stock and</w:t>
      </w:r>
    </w:p>
    <w:p>
      <w:pPr>
        <w:spacing w:after="0" w:line="200" w:lineRule="exact"/>
        <w:rPr>
          <w:sz w:val="20"/>
          <w:szCs w:val="20"/>
          <w:color w:val="auto"/>
        </w:r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1246" w:right="1440" w:bottom="1440" w:gutter="0" w:footer="0" w:header="0"/>
        </w:sectPr>
      </w:pPr>
    </w:p>
    <w:bookmarkStart w:id="22" w:name="page23"/>
    <w:bookmarkEnd w:id="22"/>
    <w:p>
      <w:pPr>
        <w:ind w:left="3940" w:right="779"/>
        <w:spacing w:after="0" w:line="263" w:lineRule="auto"/>
        <w:rPr>
          <w:sz w:val="20"/>
          <w:szCs w:val="20"/>
          <w:color w:val="auto"/>
        </w:rPr>
      </w:pPr>
      <w:r>
        <w:rPr>
          <w:rFonts w:ascii="Courier New" w:cs="Courier New" w:eastAsia="Courier New" w:hAnsi="Courier New"/>
          <w:sz w:val="13"/>
          <w:szCs w:val="13"/>
          <w:color w:val="auto"/>
        </w:rPr>
        <w:t>approximately 25% of the aggregate Viacom Common Stock immediately following consummation of the Mergers. Former stockholders of Paramount will own approximately 16% of the aggregate Viacom Common Stock immediately following consummation of the Mergers. Former stockholders of Blockbuster will own approximately 27% of the voting Viacom Class A Common Stock and approximately 46% of the aggregate Viacom Common Stock immediately following consummation of the Mergers. (All percentages of ownership of common stock shown above in this section are calculated based on the number of shares of the relevant class or classes of stock outstanding as of March 31, 1994).</w:t>
      </w:r>
    </w:p>
    <w:p>
      <w:pPr>
        <w:spacing w:after="0" w:line="15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Recommendations of the Boards of</w:t>
      </w:r>
    </w:p>
    <w:p>
      <w:pPr>
        <w:spacing w:after="0" w:line="2"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3"/>
          <w:szCs w:val="13"/>
          <w:color w:val="auto"/>
        </w:rPr>
        <w:t>Viacom. By a unanimous vote (with one director abstaining) of</w:t>
      </w:r>
    </w:p>
    <w:p>
      <w:pPr>
        <w:spacing w:after="0" w:line="5"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directors at a special meeting of the Board of Directors of Viacom held on February 1, 1994, the Viacom Board of Directors determined that the Offer and the Paramount Merger, taken together, are fair to, and in the best interests of, Viacom and its stockholders, approved the Offer and the Paramount Merger and resolved to recommend that holders of Viacom Class A Common Stock vote FOR approval of the February 4 Merger Agreement and related transactions.</w:t>
      </w:r>
    </w:p>
    <w:p>
      <w:pPr>
        <w:spacing w:after="0" w:line="8" w:lineRule="exact"/>
        <w:rPr>
          <w:sz w:val="20"/>
          <w:szCs w:val="20"/>
          <w:color w:val="auto"/>
        </w:rPr>
      </w:pPr>
    </w:p>
    <w:p>
      <w:pPr>
        <w:ind w:left="3940" w:right="519"/>
        <w:spacing w:after="0" w:line="243" w:lineRule="auto"/>
        <w:rPr>
          <w:sz w:val="20"/>
          <w:szCs w:val="20"/>
          <w:color w:val="auto"/>
        </w:rPr>
      </w:pPr>
      <w:r>
        <w:rPr>
          <w:rFonts w:ascii="Courier New" w:cs="Courier New" w:eastAsia="Courier New" w:hAnsi="Courier New"/>
          <w:sz w:val="14"/>
          <w:szCs w:val="14"/>
          <w:color w:val="auto"/>
        </w:rPr>
        <w:t>[On April [ ], 1994, the Board of Directors of Viacom approved certain amendments to the February 4 Merger Agreement which are embodied in the Paramount Merger Agreement.] The Paramount Merger Agreement amended and restated the terms of the February 4 Merger Agreement solely to provide for a merger of a wholly owned subsidiary of Viacom into Paramount (rather than Paramount into Viacom) and to provide for the treatment of Paramount Stock Options in the Paramount Merger as described under "The Paramount Merger--Effect on Employee Benefit Stock Plans."</w:t>
      </w:r>
    </w:p>
    <w:p>
      <w:pPr>
        <w:spacing w:after="0" w:line="3" w:lineRule="exact"/>
        <w:rPr>
          <w:sz w:val="20"/>
          <w:szCs w:val="20"/>
          <w:color w:val="auto"/>
        </w:rPr>
      </w:pPr>
    </w:p>
    <w:p>
      <w:pPr>
        <w:ind w:left="3940" w:right="859"/>
        <w:spacing w:after="0" w:line="241" w:lineRule="auto"/>
        <w:rPr>
          <w:sz w:val="20"/>
          <w:szCs w:val="20"/>
          <w:color w:val="auto"/>
        </w:rPr>
      </w:pPr>
      <w:r>
        <w:rPr>
          <w:rFonts w:ascii="Courier New" w:cs="Courier New" w:eastAsia="Courier New" w:hAnsi="Courier New"/>
          <w:sz w:val="14"/>
          <w:szCs w:val="14"/>
          <w:color w:val="auto"/>
        </w:rPr>
        <w:t>The Board of Directors of Viacom also recommends that the stockholders of Viacom vote FOR the Viacom Charter Amendments and Annual Meeting Proposals.</w:t>
      </w:r>
    </w:p>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Paramount. On February 4, 1994, the Board of Directors of Paramount (i) approved the terms of the February 4 Merger Agreement and authorized its execution and delivery, (ii) determined that the Offer and the Paramount Merger, taken together, are fair to, and in the best interests of, the holders of Paramount Common Stock, (iii) recommended approval and adoption of the February 4 Merger Agreement by the stockholders of Paramount and (iv) recommended that holders of Paramount Common Stock tender their shares pursuant to the Offer.</w:t>
      </w:r>
    </w:p>
    <w:p>
      <w:pPr>
        <w:spacing w:after="0" w:line="3" w:lineRule="exact"/>
        <w:rPr>
          <w:sz w:val="20"/>
          <w:szCs w:val="20"/>
          <w:color w:val="auto"/>
        </w:rPr>
      </w:pPr>
    </w:p>
    <w:p>
      <w:pPr>
        <w:ind w:left="3940" w:right="939"/>
        <w:spacing w:after="0" w:line="262" w:lineRule="auto"/>
        <w:rPr>
          <w:sz w:val="20"/>
          <w:szCs w:val="20"/>
          <w:color w:val="auto"/>
        </w:rPr>
      </w:pPr>
      <w:r>
        <w:rPr>
          <w:rFonts w:ascii="Courier New" w:cs="Courier New" w:eastAsia="Courier New" w:hAnsi="Courier New"/>
          <w:sz w:val="13"/>
          <w:szCs w:val="13"/>
          <w:color w:val="auto"/>
        </w:rPr>
        <w:t>[On April [ ], 1994, the reconstituted Board of Directors of Paramount approved certain amendments to the February 4 Merger Agreement which are embodied in the Paramount Merger Agreement.]</w:t>
      </w:r>
    </w:p>
    <w:p>
      <w:pPr>
        <w:ind w:left="180"/>
        <w:spacing w:after="0"/>
        <w:tabs>
          <w:tab w:leader="none" w:pos="3920" w:val="left"/>
        </w:tabs>
        <w:rPr>
          <w:sz w:val="20"/>
          <w:szCs w:val="20"/>
          <w:color w:val="auto"/>
        </w:rPr>
      </w:pPr>
      <w:r>
        <w:rPr>
          <w:rFonts w:ascii="Courier New" w:cs="Courier New" w:eastAsia="Courier New" w:hAnsi="Courier New"/>
          <w:sz w:val="14"/>
          <w:szCs w:val="14"/>
          <w:color w:val="auto"/>
        </w:rPr>
        <w:t>Opinions of Financial Advisors.............</w:t>
      </w:r>
      <w:r>
        <w:rPr>
          <w:sz w:val="20"/>
          <w:szCs w:val="20"/>
          <w:color w:val="auto"/>
        </w:rPr>
        <w:tab/>
      </w:r>
      <w:r>
        <w:rPr>
          <w:rFonts w:ascii="Courier New" w:cs="Courier New" w:eastAsia="Courier New" w:hAnsi="Courier New"/>
          <w:sz w:val="13"/>
          <w:szCs w:val="13"/>
          <w:color w:val="auto"/>
        </w:rPr>
        <w:t>Viacom. Smith Barney Shearson Inc. ("Smith Barney") has delivered</w:t>
      </w:r>
    </w:p>
    <w:p>
      <w:pPr>
        <w:spacing w:after="0" w:line="5"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its opinion to the Board of Directors of Viacom that, as of February 1, 1994, the financial terms of the Offer and the Paramount Merger, taken together, are fair, from a financial point of view, to Viacom and its stockholders whether or not the Blockbuster Merger is consummated.</w:t>
      </w:r>
    </w:p>
    <w:p>
      <w:pPr>
        <w:spacing w:after="0" w:line="200" w:lineRule="exact"/>
        <w:rPr>
          <w:sz w:val="20"/>
          <w:szCs w:val="20"/>
          <w:color w:val="auto"/>
        </w:r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1246" w:right="1440" w:bottom="1440" w:gutter="0" w:footer="0" w:header="0"/>
        </w:sectPr>
      </w:pPr>
    </w:p>
    <w:bookmarkStart w:id="23" w:name="page24"/>
    <w:bookmarkEnd w:id="23"/>
    <w:p>
      <w:pPr>
        <w:ind w:left="3940" w:right="859"/>
        <w:spacing w:after="0" w:line="243" w:lineRule="auto"/>
        <w:rPr>
          <w:sz w:val="20"/>
          <w:szCs w:val="20"/>
          <w:color w:val="auto"/>
        </w:rPr>
      </w:pPr>
      <w:r>
        <w:rPr>
          <w:rFonts w:ascii="Courier New" w:cs="Courier New" w:eastAsia="Courier New" w:hAnsi="Courier New"/>
          <w:sz w:val="14"/>
          <w:szCs w:val="14"/>
          <w:color w:val="auto"/>
        </w:rPr>
        <w:t>Paramount. Lazard Freres &amp; Co. ("Lazard Freres"), financial advisor to Paramount, has delivered its opinion to the Board of Directors of Paramount that, as of February 4, 1994, (i) the consideration to be received by the holders of Paramount Common Stock in the Offer and the Paramount Merger, taken together (the "Viacom Transaction Consideration"), was fair to the holders of Paramount Common Stock from a financial point of view, (ii) the consideration proposed to be received in the Fourth QVC Offer and the Fourth QVC Second-Step Merger (each as defined in "Special Factors--Opinions of Financial Advisors"), taken together (the "QVC Transaction Consideration"), was fair to the holders of Paramount Common Stock from a financial point of view and (iii) the Viacom Transaction Consideration was marginally superior to the QVC Transaction Consideration from a financial point of view. For information on the assumptions made, matters considered and limits of the reviews by Smith Barney and Lazard Freres, stockholders are urged to read in their entirety the opinions of Smith Barney and Lazard Freres attached as Annexes III and IV, respectively, to this Proxy Statement/Prospectus.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Conditions to the Paramount Merger,</w:t>
      </w:r>
    </w:p>
    <w:p>
      <w:pPr>
        <w:spacing w:after="0" w:line="2"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3"/>
          <w:szCs w:val="13"/>
          <w:color w:val="auto"/>
        </w:rPr>
        <w:t>The obligations of Viacom and Paramount to consummate the</w:t>
      </w:r>
    </w:p>
    <w:p>
      <w:pPr>
        <w:spacing w:after="0" w:line="5"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Paramount Merger are subject to various conditions, including obtaining requisite stockholder approvals and approval for listing on the AMEX, subject to official notice of issuance, of the shares of Viacom Class B Common Stock, the Viacom Merger Debentures, the CVRs and the Viacom Warrants to be issued in connection with the Paramount Merger.</w:t>
      </w:r>
    </w:p>
    <w:p>
      <w:pPr>
        <w:spacing w:after="0" w:line="6" w:lineRule="exact"/>
        <w:rPr>
          <w:sz w:val="20"/>
          <w:szCs w:val="20"/>
          <w:color w:val="auto"/>
        </w:rPr>
      </w:pPr>
    </w:p>
    <w:p>
      <w:pPr>
        <w:ind w:left="3940" w:right="779"/>
        <w:spacing w:after="0" w:line="262" w:lineRule="auto"/>
        <w:rPr>
          <w:sz w:val="20"/>
          <w:szCs w:val="20"/>
          <w:color w:val="auto"/>
        </w:rPr>
      </w:pPr>
      <w:r>
        <w:rPr>
          <w:rFonts w:ascii="Courier New" w:cs="Courier New" w:eastAsia="Courier New" w:hAnsi="Courier New"/>
          <w:sz w:val="13"/>
          <w:szCs w:val="13"/>
          <w:color w:val="auto"/>
        </w:rPr>
        <w:t>The Paramount Merger Agreement may be terminated at any time prior to the Paramount Effective Time by mutual consent of Viacom and Paramount, or by either party if (i) any permanent injunction or action by any governmental entity preventing consummation of the Paramount Merger becomes final and nonappealable, (ii) the Paramount Merger has not been consummated before July 31, 1994; provided, however, that the Paramount Merger Agreement may be extended by written notice of either Paramount or Viacom to a date not later than September 30, 1994 if the Paramount Merger has not been consummated as a direct result of Viacom or Paramount having failed by July 31, 1994 to receive all required regulatory approvals or consents with respect to the Paramount Merger or</w:t>
      </w:r>
    </w:p>
    <w:p>
      <w:pPr>
        <w:spacing w:after="0" w:line="2" w:lineRule="exact"/>
        <w:rPr>
          <w:sz w:val="20"/>
          <w:szCs w:val="20"/>
          <w:color w:val="auto"/>
        </w:rPr>
      </w:pPr>
    </w:p>
    <w:p>
      <w:pPr>
        <w:ind w:left="3940" w:right="779" w:hanging="2"/>
        <w:spacing w:after="0" w:line="241" w:lineRule="auto"/>
        <w:tabs>
          <w:tab w:leader="none" w:pos="444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approval of stockholders of Viacom or Paramount required for consummation of the Paramount Merger has not been obtained at the applicable meeting.</w:t>
      </w:r>
    </w:p>
    <w:p>
      <w:pPr>
        <w:spacing w:after="0" w:line="4" w:lineRule="exact"/>
        <w:rPr>
          <w:rFonts w:ascii="Courier New" w:cs="Courier New" w:eastAsia="Courier New" w:hAnsi="Courier New"/>
          <w:sz w:val="14"/>
          <w:szCs w:val="14"/>
          <w:color w:val="auto"/>
        </w:rPr>
      </w:pPr>
    </w:p>
    <w:p>
      <w:pPr>
        <w:ind w:left="3940" w:right="779"/>
        <w:spacing w:after="0" w:line="24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may terminate the Paramount Merger Agreement if Viacom has breached any representation, warranty, covenant or agreement in the Paramount Merger Agreement such that the closing conditions relating to its</w:t>
      </w:r>
    </w:p>
    <w:p>
      <w:pPr>
        <w:spacing w:after="0" w:line="32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085"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59"/>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representations, warranties, covenants and agreements would be</w:t>
            </w: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incapable of being satisfied by July 31, 1994.</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20"/>
                <w:szCs w:val="20"/>
                <w:color w:val="auto"/>
              </w:rPr>
            </w:pPr>
            <w:r>
              <w:rPr>
                <w:rFonts w:ascii="Courier New" w:cs="Courier New" w:eastAsia="Courier New" w:hAnsi="Courier New"/>
                <w:sz w:val="14"/>
                <w:szCs w:val="14"/>
                <w:color w:val="auto"/>
              </w:rPr>
              <w:t>Stock Exchange Listing.....................</w:t>
            </w: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It is a condition to the Paramount Merger that the shares of</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Viacom Class B Common Stock, the Viacom Merger Debentures, the</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CVRs and the Viacom Warrants to be issued in the Paramount Merger</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as Paramount Merger Consideration be authorized for listing on the</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AMEX, subject to official notice of issuance. Viacom will file an</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application to list such securities on the AMEX, subject to</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official notice of issuance. The shares of Viacom Class B Common</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Stock are traded on the AMEX under the symbol "VIAB" and the</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Viacom Debentures, CVRs, Viacom Three-Year Warrants and Viacom</w:t>
            </w: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Five-Year Warrants will be traded under the symbols "</w:t>
            </w:r>
          </w:p>
        </w:tc>
        <w:tc>
          <w:tcPr>
            <w:tcW w:w="72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w:t>
            </w:r>
          </w:p>
        </w:tc>
      </w:tr>
      <w:tr>
        <w:trPr>
          <w:trHeight w:val="161"/>
        </w:trPr>
        <w:tc>
          <w:tcPr>
            <w:tcW w:w="368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30"/>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 and "</w:t>
            </w:r>
          </w:p>
        </w:tc>
        <w:tc>
          <w:tcPr>
            <w:tcW w:w="2760" w:type="dxa"/>
            <w:vAlign w:val="bottom"/>
          </w:tcPr>
          <w:p>
            <w:pPr>
              <w:ind w:left="220"/>
              <w:spacing w:after="0"/>
              <w:rPr>
                <w:sz w:val="20"/>
                <w:szCs w:val="20"/>
                <w:color w:val="auto"/>
              </w:rPr>
            </w:pPr>
            <w:r>
              <w:rPr>
                <w:rFonts w:ascii="Courier New" w:cs="Courier New" w:eastAsia="Courier New" w:hAnsi="Courier New"/>
                <w:sz w:val="14"/>
                <w:szCs w:val="14"/>
                <w:color w:val="auto"/>
              </w:rPr>
              <w:t>", respectively.</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Viacom has also agreed to use its reasonable best efforts to cause</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the Series C Preferred Stock and the Viacom Exchange Debentures to</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be approved for listing on the AMEX prior to the issuance thereof.</w:t>
            </w:r>
          </w:p>
        </w:tc>
      </w:tr>
      <w:tr>
        <w:trPr>
          <w:trHeight w:val="161"/>
        </w:trPr>
        <w:tc>
          <w:tcPr>
            <w:tcW w:w="36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Paramount Merger Agreement prohibits the declaration, setting</w:t>
            </w: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w w:val="99"/>
              </w:rPr>
              <w:t>aside, making or payment of dividends until the Paramount</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Effective Time, except for (i) Viacom's regularly scheduled</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quarterly dividends to be paid on the Viacom Preferred Stock, (ii)</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Paramount's regularly scheduled quarterly dividends, not to exceed</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$.20 per share, after consultation with Viacom as to the timing</w:t>
            </w: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w w:val="99"/>
              </w:rPr>
              <w:t>and advisability of declaring any such dividend and (iii)</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w w:val="99"/>
              </w:rPr>
              <w:t>dividends paid and declared by subsidiaries of Viacom and</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Paramount consistent with past practice.</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20"/>
                <w:szCs w:val="20"/>
                <w:color w:val="auto"/>
              </w:rPr>
            </w:pPr>
            <w:r>
              <w:rPr>
                <w:rFonts w:ascii="Courier New" w:cs="Courier New" w:eastAsia="Courier New" w:hAnsi="Courier New"/>
                <w:sz w:val="14"/>
                <w:szCs w:val="14"/>
                <w:color w:val="auto"/>
              </w:rPr>
              <w:t>Appraisal Rights...........................</w:t>
            </w: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In connection with the Paramount Merger, a holder of shares of</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Paramount Common Stock will be entitled to demand appraisal rights</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in respect of such shares under Section 262 of the DGCL, subject</w:t>
            </w: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w w:val="99"/>
              </w:rPr>
              <w:t>to satisfaction by such stockholder of the conditions for</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appraisal rights established by such Section, which is set forth</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in full in Annex V hereto. Holders of Viacom Common Stock will not</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have appraisal rights in connection with the Paramount Merger.</w:t>
            </w:r>
          </w:p>
        </w:tc>
      </w:tr>
      <w:tr>
        <w:trPr>
          <w:trHeight w:val="161"/>
        </w:trPr>
        <w:tc>
          <w:tcPr>
            <w:tcW w:w="3680" w:type="dxa"/>
            <w:vAlign w:val="bottom"/>
          </w:tcPr>
          <w:p>
            <w:pPr>
              <w:spacing w:after="0"/>
              <w:rPr>
                <w:sz w:val="20"/>
                <w:szCs w:val="20"/>
                <w:color w:val="auto"/>
              </w:rPr>
            </w:pPr>
            <w:r>
              <w:rPr>
                <w:rFonts w:ascii="Courier New" w:cs="Courier New" w:eastAsia="Courier New" w:hAnsi="Courier New"/>
                <w:sz w:val="14"/>
                <w:szCs w:val="14"/>
                <w:color w:val="auto"/>
              </w:rPr>
              <w:t>Certain Federal Income Tax Consequences....</w:t>
            </w: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No ruling has been (or will be) sought from the Internal Revenue</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Service as to the anticipated Federal income tax consequences of</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Paramount Merger. A Paramount stockholder will recognize gain</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or loss on all Paramount Common Stock exchanged in the Paramount</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Merger equal to the difference between such stockholder's basis in</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Paramount Common Stock so exchanged and the amount of cash</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and/or the fair market value on the date of the Paramount Merger</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of the Viacom Class B Common Stock, the Viacom Merger Debentures,</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CVRs, the Viacom Three-Year Warrants and the Viacom Five-Year</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99"/>
              </w:rPr>
              <w:t>Warrants received. Neither Paramount nor Viacom will recognize any</w:t>
            </w:r>
          </w:p>
        </w:tc>
      </w:tr>
      <w:tr>
        <w:trPr>
          <w:trHeight w:val="161"/>
        </w:trPr>
        <w:tc>
          <w:tcPr>
            <w:tcW w:w="3680" w:type="dxa"/>
            <w:vAlign w:val="bottom"/>
          </w:tcPr>
          <w:p>
            <w:pPr>
              <w:spacing w:after="0"/>
              <w:rPr>
                <w:sz w:val="13"/>
                <w:szCs w:val="13"/>
                <w:color w:val="auto"/>
              </w:rPr>
            </w:pPr>
          </w:p>
        </w:tc>
        <w:tc>
          <w:tcPr>
            <w:tcW w:w="48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gain or loss as a result of the Paramount Merger.</w:t>
            </w:r>
          </w:p>
        </w:tc>
        <w:tc>
          <w:tcPr>
            <w:tcW w:w="720" w:type="dxa"/>
            <w:vAlign w:val="bottom"/>
          </w:tcPr>
          <w:p>
            <w:pPr>
              <w:spacing w:after="0"/>
              <w:rPr>
                <w:sz w:val="13"/>
                <w:szCs w:val="13"/>
                <w:color w:val="auto"/>
              </w:rPr>
            </w:pPr>
          </w:p>
        </w:tc>
      </w:tr>
      <w:tr>
        <w:trPr>
          <w:trHeight w:val="161"/>
        </w:trPr>
        <w:tc>
          <w:tcPr>
            <w:tcW w:w="3680" w:type="dxa"/>
            <w:vAlign w:val="bottom"/>
          </w:tcPr>
          <w:p>
            <w:pPr>
              <w:spacing w:after="0"/>
              <w:rPr>
                <w:sz w:val="20"/>
                <w:szCs w:val="20"/>
                <w:color w:val="auto"/>
              </w:rPr>
            </w:pPr>
            <w:r>
              <w:rPr>
                <w:rFonts w:ascii="Courier New" w:cs="Courier New" w:eastAsia="Courier New" w:hAnsi="Courier New"/>
                <w:sz w:val="14"/>
                <w:szCs w:val="14"/>
                <w:color w:val="auto"/>
              </w:rPr>
              <w:t>Financing of the Offer.....................</w:t>
            </w: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total amount of funds required by Viacom to consummate the</w:t>
            </w:r>
          </w:p>
        </w:tc>
      </w:tr>
      <w:tr>
        <w:trPr>
          <w:trHeight w:val="161"/>
        </w:trPr>
        <w:tc>
          <w:tcPr>
            <w:tcW w:w="3680" w:type="dxa"/>
            <w:vAlign w:val="bottom"/>
          </w:tcPr>
          <w:p>
            <w:pPr>
              <w:spacing w:after="0"/>
              <w:rPr>
                <w:sz w:val="13"/>
                <w:szCs w:val="13"/>
                <w:color w:val="auto"/>
              </w:rPr>
            </w:pPr>
          </w:p>
        </w:tc>
        <w:tc>
          <w:tcPr>
            <w:tcW w:w="5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Offer and to pay related fees and expenses was approximately $6.7</w:t>
            </w:r>
          </w:p>
        </w:tc>
      </w:tr>
      <w:tr>
        <w:trPr>
          <w:trHeight w:val="161"/>
        </w:trPr>
        <w:tc>
          <w:tcPr>
            <w:tcW w:w="368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billion.</w:t>
            </w:r>
          </w:p>
        </w:tc>
        <w:tc>
          <w:tcPr>
            <w:tcW w:w="10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83"/>
        </w:trPr>
        <w:tc>
          <w:tcPr>
            <w:tcW w:w="3680" w:type="dxa"/>
            <w:vAlign w:val="bottom"/>
          </w:tcPr>
          <w:p>
            <w:pPr>
              <w:ind w:left="3080"/>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059"/>
          </w:cols>
          <w:pgMar w:left="400" w:top="1083" w:right="1440" w:bottom="1440" w:gutter="0" w:footer="0" w:header="0"/>
        </w:sectPr>
      </w:pPr>
    </w:p>
    <w:bookmarkStart w:id="25" w:name="page26"/>
    <w:bookmarkEnd w:id="25"/>
    <w:p>
      <w:pPr>
        <w:ind w:left="3940" w:right="779"/>
        <w:spacing w:after="0" w:line="262" w:lineRule="auto"/>
        <w:rPr>
          <w:sz w:val="20"/>
          <w:szCs w:val="20"/>
          <w:color w:val="auto"/>
        </w:rPr>
      </w:pPr>
      <w:r>
        <w:rPr>
          <w:rFonts w:ascii="Courier New" w:cs="Courier New" w:eastAsia="Courier New" w:hAnsi="Courier New"/>
          <w:sz w:val="13"/>
          <w:szCs w:val="13"/>
          <w:color w:val="auto"/>
        </w:rPr>
        <w:t>The Offer was financed by (i) $1.8 billion from the sale of Viacom Preferred Stock (see "Sale of Viacom Preferred Stock"), proceeds of which are reflected as cash and cash equivalents on Viacom's Balance Sheet as of December 31, 1993, (ii) $1.25 billion from the sale of Viacom Class B Common Stock to Blockbuster and (iii) $3.7 billion from borrowings under a credit agreement. Assuming the Blockbuster Merger is consummated, the Series A Preferred Stock and Viacom Class B Common Stock owned by Blockbuster will cease to be outstanding and borrowings under bank facilities used by Viacom and Blockbuster will be repaid from various sources as further described under "Financing of the Offer."</w:t>
      </w:r>
    </w:p>
    <w:p>
      <w:pPr>
        <w:spacing w:after="0" w:line="1"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Although Viacom expects that it will be able to refinance its indebtedness and meet its obligations without the need to sell any assets, Viacom is continuing to review opportunities for the sale of non-strategic assets as such opportunities may arise.</w:t>
      </w:r>
    </w:p>
    <w:p>
      <w:pPr>
        <w:spacing w:after="0" w:line="2" w:lineRule="exact"/>
        <w:rPr>
          <w:sz w:val="20"/>
          <w:szCs w:val="20"/>
          <w:color w:val="auto"/>
        </w:rPr>
      </w:pPr>
    </w:p>
    <w:p>
      <w:pPr>
        <w:ind w:left="180"/>
        <w:spacing w:after="0"/>
        <w:tabs>
          <w:tab w:leader="none" w:pos="3920" w:val="left"/>
        </w:tabs>
        <w:rPr>
          <w:sz w:val="20"/>
          <w:szCs w:val="20"/>
          <w:color w:val="auto"/>
        </w:rPr>
      </w:pPr>
      <w:r>
        <w:rPr>
          <w:rFonts w:ascii="Courier New" w:cs="Courier New" w:eastAsia="Courier New" w:hAnsi="Courier New"/>
          <w:sz w:val="14"/>
          <w:szCs w:val="14"/>
          <w:color w:val="auto"/>
        </w:rPr>
        <w:t>Paramount Voting Agreement.................</w:t>
      </w:r>
      <w:r>
        <w:rPr>
          <w:sz w:val="20"/>
          <w:szCs w:val="20"/>
          <w:color w:val="auto"/>
        </w:rPr>
        <w:tab/>
      </w:r>
      <w:r>
        <w:rPr>
          <w:rFonts w:ascii="Courier New" w:cs="Courier New" w:eastAsia="Courier New" w:hAnsi="Courier New"/>
          <w:sz w:val="13"/>
          <w:szCs w:val="13"/>
          <w:color w:val="auto"/>
        </w:rPr>
        <w:t>Pursuant to the Paramount Voting Agreement, NAI has agreed to vote</w:t>
      </w:r>
    </w:p>
    <w:p>
      <w:pPr>
        <w:spacing w:after="0" w:line="5" w:lineRule="exact"/>
        <w:rPr>
          <w:sz w:val="20"/>
          <w:szCs w:val="20"/>
          <w:color w:val="auto"/>
        </w:rPr>
      </w:pPr>
    </w:p>
    <w:p>
      <w:pPr>
        <w:ind w:left="3940" w:right="779"/>
        <w:spacing w:after="0" w:line="242" w:lineRule="auto"/>
        <w:rPr>
          <w:sz w:val="20"/>
          <w:szCs w:val="20"/>
          <w:color w:val="auto"/>
        </w:rPr>
      </w:pPr>
      <w:r>
        <w:rPr>
          <w:rFonts w:ascii="Courier New" w:cs="Courier New" w:eastAsia="Courier New" w:hAnsi="Courier New"/>
          <w:sz w:val="14"/>
          <w:szCs w:val="14"/>
          <w:color w:val="auto"/>
        </w:rPr>
        <w:t>its shares of Viacom Class A Common Stock in favor of the Paramount Merger and related transactions and against any competing business combination proposal. Approval of the Paramount Merger Agreement (including the issuance of the Paramount Merger Consideration) and related transactions by the stockholders of Viacom is therefore assured.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BLOCKBUSTER MERGER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Blockbuster Merger</w:t>
      </w:r>
    </w:p>
    <w:p>
      <w:pPr>
        <w:spacing w:after="0" w:line="2" w:lineRule="exact"/>
        <w:rPr>
          <w:sz w:val="20"/>
          <w:szCs w:val="20"/>
          <w:color w:val="auto"/>
        </w:rPr>
      </w:pPr>
    </w:p>
    <w:p>
      <w:pPr>
        <w:ind w:left="420"/>
        <w:spacing w:after="0"/>
        <w:tabs>
          <w:tab w:leader="none" w:pos="3920" w:val="left"/>
        </w:tabs>
        <w:rPr>
          <w:sz w:val="20"/>
          <w:szCs w:val="20"/>
          <w:color w:val="auto"/>
        </w:rPr>
      </w:pP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3"/>
          <w:szCs w:val="13"/>
          <w:color w:val="auto"/>
        </w:rPr>
        <w:t>The Blockbuster Merger Agreement provides that, subject to</w:t>
      </w:r>
    </w:p>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stockholder approval, at the effective time of the Blockbuster Merger (the "Blockbuster Effective Time"), Blockbuster will merge with and into Viacom, with Viacom being the surviving corporation. Such surviving corporation is hereinafter referred to in this Proxy Statement/Prospectus as "Viacom-Blockbuster." Viacom-Blockbuster, together with its consolidated subsidiaries, and together with Paramount as its wholly owned subsidiary, is referred to in this Proxy Statement/Prospectus as the "combined company."</w:t>
      </w:r>
    </w:p>
    <w:p>
      <w:pPr>
        <w:spacing w:after="0" w:line="3" w:lineRule="exact"/>
        <w:rPr>
          <w:sz w:val="20"/>
          <w:szCs w:val="20"/>
          <w:color w:val="auto"/>
        </w:rPr>
      </w:pPr>
    </w:p>
    <w:p>
      <w:pPr>
        <w:ind w:left="3940" w:right="779"/>
        <w:spacing w:after="0" w:line="262" w:lineRule="auto"/>
        <w:rPr>
          <w:sz w:val="20"/>
          <w:szCs w:val="20"/>
          <w:color w:val="auto"/>
        </w:rPr>
      </w:pPr>
      <w:r>
        <w:rPr>
          <w:rFonts w:ascii="Courier New" w:cs="Courier New" w:eastAsia="Courier New" w:hAnsi="Courier New"/>
          <w:sz w:val="13"/>
          <w:szCs w:val="13"/>
          <w:color w:val="auto"/>
        </w:rPr>
        <w:t>It is anticipated that the Blockbuster Merger will be considered at separate meetings of the stockholders of Viacom and Blockbuster</w:t>
      </w:r>
    </w:p>
    <w:p>
      <w:pPr>
        <w:ind w:left="3940" w:right="779"/>
        <w:spacing w:after="0" w:line="243" w:lineRule="auto"/>
        <w:rPr>
          <w:sz w:val="20"/>
          <w:szCs w:val="20"/>
          <w:color w:val="auto"/>
        </w:rPr>
      </w:pPr>
      <w:r>
        <w:rPr>
          <w:rFonts w:ascii="Courier New" w:cs="Courier New" w:eastAsia="Courier New" w:hAnsi="Courier New"/>
          <w:sz w:val="14"/>
          <w:szCs w:val="14"/>
          <w:color w:val="auto"/>
        </w:rPr>
        <w:t>to be held on [ ], 1994. Pursuant to a Voting Agreement dated as of January 7, 1994 (the "Blockbuster Voting Agreement") between Blockbuster and NAI, NAI has agreed to vote its shares of Viacom Class A Common Stock in favor of the Blockbuster Merger and against any competing business combination proposal. Approval of the Blockbuster Merger by the stockholders of Viacom is therefore assured. THIS PROXY STATEMENT/PROSPECTUS IS NOT A SOLICITATION WITH RESPECT TO, NOR A PROSPECTUS RELATING TO, THE BLOCKBUSTER MERGER.</w:t>
      </w:r>
    </w:p>
    <w:p>
      <w:pPr>
        <w:spacing w:after="0" w:line="200" w:lineRule="exact"/>
        <w:rPr>
          <w:sz w:val="20"/>
          <w:szCs w:val="20"/>
          <w:color w:val="auto"/>
        </w:rPr>
      </w:pPr>
    </w:p>
    <w:p>
      <w:pPr>
        <w:spacing w:after="0" w:line="28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1246" w:right="1440" w:bottom="1440" w:gutter="0" w:footer="0" w:header="0"/>
        </w:sectPr>
      </w:pPr>
    </w:p>
    <w:bookmarkStart w:id="26" w:name="page27"/>
    <w:bookmarkEnd w:id="26"/>
    <w:p>
      <w:pPr>
        <w:spacing w:after="0"/>
        <w:tabs>
          <w:tab w:leader="none" w:pos="3740" w:val="left"/>
        </w:tabs>
        <w:rPr>
          <w:sz w:val="20"/>
          <w:szCs w:val="20"/>
          <w:color w:val="auto"/>
        </w:rPr>
      </w:pPr>
      <w:r>
        <w:rPr>
          <w:rFonts w:ascii="Courier New" w:cs="Courier New" w:eastAsia="Courier New" w:hAnsi="Courier New"/>
          <w:sz w:val="14"/>
          <w:szCs w:val="14"/>
          <w:color w:val="auto"/>
        </w:rPr>
        <w:t>Blockbuster ...............................</w:t>
      </w:r>
      <w:r>
        <w:rPr>
          <w:sz w:val="20"/>
          <w:szCs w:val="20"/>
          <w:color w:val="auto"/>
        </w:rPr>
        <w:tab/>
      </w:r>
      <w:r>
        <w:rPr>
          <w:rFonts w:ascii="Courier New" w:cs="Courier New" w:eastAsia="Courier New" w:hAnsi="Courier New"/>
          <w:sz w:val="13"/>
          <w:szCs w:val="13"/>
          <w:color w:val="auto"/>
        </w:rPr>
        <w:t>Blockbuster is an international entertainment company with</w:t>
      </w:r>
    </w:p>
    <w:p>
      <w:pPr>
        <w:spacing w:after="0" w:line="5" w:lineRule="exact"/>
        <w:rPr>
          <w:sz w:val="20"/>
          <w:szCs w:val="20"/>
          <w:color w:val="auto"/>
        </w:rPr>
      </w:pPr>
    </w:p>
    <w:p>
      <w:pPr>
        <w:ind w:left="3760" w:right="779"/>
        <w:spacing w:after="0" w:line="241" w:lineRule="auto"/>
        <w:rPr>
          <w:sz w:val="20"/>
          <w:szCs w:val="20"/>
          <w:color w:val="auto"/>
        </w:rPr>
      </w:pPr>
      <w:r>
        <w:rPr>
          <w:rFonts w:ascii="Courier New" w:cs="Courier New" w:eastAsia="Courier New" w:hAnsi="Courier New"/>
          <w:sz w:val="14"/>
          <w:szCs w:val="14"/>
          <w:color w:val="auto"/>
        </w:rPr>
        <w:t>businesses operating in the home video, music retailing and filmed entertainment industries. Blockbuster also has investments in other entertainment related businesses.</w:t>
      </w:r>
    </w:p>
    <w:p>
      <w:pPr>
        <w:spacing w:after="0" w:line="5"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Home Video Retailing. Blockbuster owns, operates and franchises Blockbuster Video videocassette rental and sales stores. According to a survey published in the December 1993 issue of Video Store Magazine, Blockbuster's and its franchise owners' systemwide revenue from the rental and sale of prerecorded videocassettes is greater than that of any other video specialty chain in the United States. 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Austria and 120 stores operating under the "Video Towne", "Alfalfa", "Movies at Home" and "Movieland" trade names. The Blockbuster Video system operates in 49 states and 9 foreign countries.</w:t>
      </w:r>
    </w:p>
    <w:p>
      <w:pPr>
        <w:spacing w:after="0" w:line="5"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Music Retailing. Through music stores operating under various trade names, including "Blockbuster Music Plus", "Sound Warehouse", "Music Plus", "Record Bar", "Tracks", "Turtle's" and "Rhythm and Views", Blockbuster is one of the largest specialty retailers of prerecorded music in the United States, with 511 stores operating throughout the United States as of December 31, 1993. Blockbuster is also a partner in an international joint venture with Virgin Retail Group Limited ("Virgin") to develop music "Megastores" in Continental Europe, Australia and the United States. The joint venture currently owns interests in and operates 20 "Megastores."</w:t>
      </w:r>
    </w:p>
    <w:p>
      <w:pPr>
        <w:spacing w:after="0" w:line="4" w:lineRule="exact"/>
        <w:rPr>
          <w:sz w:val="20"/>
          <w:szCs w:val="20"/>
          <w:color w:val="auto"/>
        </w:rPr>
      </w:pPr>
    </w:p>
    <w:p>
      <w:pPr>
        <w:ind w:left="3760" w:right="779"/>
        <w:spacing w:after="0" w:line="243" w:lineRule="auto"/>
        <w:rPr>
          <w:sz w:val="20"/>
          <w:szCs w:val="20"/>
          <w:color w:val="auto"/>
        </w:rPr>
      </w:pPr>
      <w:r>
        <w:rPr>
          <w:rFonts w:ascii="Courier New" w:cs="Courier New" w:eastAsia="Courier New" w:hAnsi="Courier New"/>
          <w:sz w:val="14"/>
          <w:szCs w:val="14"/>
          <w:color w:val="auto"/>
        </w:rPr>
        <w:t>Filmed Entertainment. Blockbuster has interests in the filmed entertainment industry through investments in Spelling Entertainment Group Inc. (together with its subsidiaries, "Spelling Entertainment") and Republic Pictures Corporation ("Republic Pictures"), each of which operates in a broad range of filmed entertainment businesses, supported by an extensive library of television series, feature films, television movies, mini-series and specials. Blockbuster owns approximately 70.5% of Spelling Entertainment's outstanding shares of common stock and approximately 39% of Republic Pictures' outstanding shares of common stock, including shares subject to certain warrants, as of December 31, 1993.</w:t>
      </w:r>
    </w:p>
    <w:p>
      <w:pPr>
        <w:spacing w:after="0" w:line="4" w:lineRule="exact"/>
        <w:rPr>
          <w:sz w:val="20"/>
          <w:szCs w:val="20"/>
          <w:color w:val="auto"/>
        </w:rPr>
      </w:pPr>
    </w:p>
    <w:p>
      <w:pPr>
        <w:ind w:left="3760" w:right="779"/>
        <w:spacing w:after="0" w:line="242" w:lineRule="auto"/>
        <w:rPr>
          <w:sz w:val="20"/>
          <w:szCs w:val="20"/>
          <w:color w:val="auto"/>
        </w:rPr>
      </w:pPr>
      <w:r>
        <w:rPr>
          <w:rFonts w:ascii="Courier New" w:cs="Courier New" w:eastAsia="Courier New" w:hAnsi="Courier New"/>
          <w:sz w:val="14"/>
          <w:szCs w:val="14"/>
          <w:color w:val="auto"/>
        </w:rPr>
        <w:t>Spelling Entertainment and Republic Pictures have entered into an agreement pursuant to which Spelling Entertainment will acquire Republic Pictures, which transaction is expected to be consummated during the second quarter of 1994.</w:t>
      </w:r>
    </w:p>
    <w:p>
      <w:pPr>
        <w:spacing w:after="0" w:line="4" w:lineRule="exact"/>
        <w:rPr>
          <w:sz w:val="20"/>
          <w:szCs w:val="20"/>
          <w:color w:val="auto"/>
        </w:rPr>
      </w:pPr>
    </w:p>
    <w:p>
      <w:pPr>
        <w:ind w:left="3760" w:right="1039"/>
        <w:spacing w:after="0" w:line="239" w:lineRule="auto"/>
        <w:rPr>
          <w:sz w:val="20"/>
          <w:szCs w:val="20"/>
          <w:color w:val="auto"/>
        </w:rPr>
      </w:pPr>
      <w:r>
        <w:rPr>
          <w:rFonts w:ascii="Courier New" w:cs="Courier New" w:eastAsia="Courier New" w:hAnsi="Courier New"/>
          <w:sz w:val="14"/>
          <w:szCs w:val="14"/>
          <w:color w:val="auto"/>
        </w:rPr>
        <w:t>Other Entertainment. As of December 31, 1993, Blockbuster owned approximately 19.1% of the outstanding</w:t>
      </w:r>
    </w:p>
    <w:p>
      <w:pPr>
        <w:spacing w:after="0" w:line="32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059"/>
          </w:cols>
          <w:pgMar w:left="400" w:top="1083" w:right="1440" w:bottom="1440" w:gutter="0" w:footer="0" w:header="0"/>
        </w:sectPr>
      </w:pPr>
    </w:p>
    <w:bookmarkStart w:id="27" w:name="page28"/>
    <w:bookmarkEnd w:id="27"/>
    <w:p>
      <w:pPr>
        <w:ind w:left="3940" w:right="779"/>
        <w:spacing w:after="0" w:line="262" w:lineRule="auto"/>
        <w:rPr>
          <w:sz w:val="20"/>
          <w:szCs w:val="20"/>
          <w:color w:val="auto"/>
        </w:rPr>
      </w:pPr>
      <w:r>
        <w:rPr>
          <w:rFonts w:ascii="Courier New" w:cs="Courier New" w:eastAsia="Courier New" w:hAnsi="Courier New"/>
          <w:sz w:val="13"/>
          <w:szCs w:val="13"/>
          <w:color w:val="auto"/>
        </w:rPr>
        <w:t>shares of common stock of Discovery Zone, Inc. ("Discovery Zone"). Discovery Zone owns, operates and franchises indoor recreational facilities for children ("Discovery Zone FunCenters"). Blockbuster currently operates 34 Discovery Zone facilities as a franchisee of Discovery Zone and has rights to develop additional Discovery Zone facilities, directly and in a joint venture with Discovery Zone.</w:t>
      </w:r>
    </w:p>
    <w:p>
      <w:pPr>
        <w:ind w:left="180"/>
        <w:spacing w:after="0" w:line="237" w:lineRule="auto"/>
        <w:rPr>
          <w:sz w:val="20"/>
          <w:szCs w:val="20"/>
          <w:color w:val="auto"/>
        </w:rPr>
      </w:pPr>
      <w:r>
        <w:rPr>
          <w:rFonts w:ascii="Courier New" w:cs="Courier New" w:eastAsia="Courier New" w:hAnsi="Courier New"/>
          <w:sz w:val="14"/>
          <w:szCs w:val="14"/>
          <w:color w:val="auto"/>
        </w:rPr>
        <w:t>Conversion of the Blockbuster Common</w:t>
      </w:r>
    </w:p>
    <w:p>
      <w:pPr>
        <w:spacing w:after="0" w:line="3"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3"/>
          <w:szCs w:val="13"/>
          <w:color w:val="auto"/>
        </w:rPr>
        <w:t>At the Blockbuster Effective Time, each outstanding share of</w:t>
      </w:r>
    </w:p>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Blockbuster Common Stock (other than shares of Blockbuster Common Stock owned by Viacom or any direct or indirect wholly owned subsidiary of Viacom or of Blockbuster and other than shares of Blockbuster Common Stock held by stockholders who have demanded and perfected appraisal rights, if available, under the DGCL) will be converted into the right to receive (i) 0.08 of a share of Viacom Class A Common Stock, (ii) 0.60615 of a share of Viacom Class B Common Stock and (iii) up to an additional 0.13829 of a share of Viacom Class B Common Stock, with such number of shares depending on market prices of Viacom Class B Common Stock during the year following the Blockbuster Effective Time, evidenced by one variable common right (a "VCR" and, collectively, the "Blockbuster Merger Consideration").</w:t>
      </w:r>
    </w:p>
    <w:p>
      <w:pPr>
        <w:spacing w:after="0" w:line="2" w:lineRule="exact"/>
        <w:rPr>
          <w:sz w:val="20"/>
          <w:szCs w:val="20"/>
          <w:color w:val="auto"/>
        </w:rPr>
      </w:pPr>
    </w:p>
    <w:p>
      <w:pPr>
        <w:ind w:left="180"/>
        <w:spacing w:after="0"/>
        <w:tabs>
          <w:tab w:leader="none" w:pos="3920" w:val="left"/>
        </w:tabs>
        <w:rPr>
          <w:sz w:val="20"/>
          <w:szCs w:val="20"/>
          <w:color w:val="auto"/>
        </w:rPr>
      </w:pPr>
      <w:r>
        <w:rPr>
          <w:rFonts w:ascii="Courier New" w:cs="Courier New" w:eastAsia="Courier New" w:hAnsi="Courier New"/>
          <w:sz w:val="14"/>
          <w:szCs w:val="14"/>
          <w:color w:val="auto"/>
        </w:rPr>
        <w:t>Variable Common Rights.....................</w:t>
      </w:r>
      <w:r>
        <w:rPr>
          <w:sz w:val="20"/>
          <w:szCs w:val="20"/>
          <w:color w:val="auto"/>
        </w:rPr>
        <w:tab/>
      </w:r>
      <w:r>
        <w:rPr>
          <w:rFonts w:ascii="Courier New" w:cs="Courier New" w:eastAsia="Courier New" w:hAnsi="Courier New"/>
          <w:sz w:val="13"/>
          <w:szCs w:val="13"/>
          <w:color w:val="auto"/>
        </w:rPr>
        <w:t>The VCRs represent the right to receive shares of Viacom Class B</w:t>
      </w:r>
    </w:p>
    <w:p>
      <w:pPr>
        <w:spacing w:after="0" w:line="5" w:lineRule="exact"/>
        <w:rPr>
          <w:sz w:val="20"/>
          <w:szCs w:val="20"/>
          <w:color w:val="auto"/>
        </w:rPr>
      </w:pPr>
    </w:p>
    <w:p>
      <w:pPr>
        <w:ind w:left="3940" w:right="779"/>
        <w:spacing w:after="0" w:line="243" w:lineRule="auto"/>
        <w:rPr>
          <w:sz w:val="20"/>
          <w:szCs w:val="20"/>
          <w:color w:val="auto"/>
        </w:rPr>
      </w:pPr>
      <w:r>
        <w:rPr>
          <w:rFonts w:ascii="Courier New" w:cs="Courier New" w:eastAsia="Courier New" w:hAnsi="Courier New"/>
          <w:sz w:val="14"/>
          <w:szCs w:val="14"/>
          <w:color w:val="auto"/>
        </w:rPr>
        <w:t>Common Stock under certain circumstances on the first anniversary of the Blockbuster Effective Time (the "VCR Conversion Date"). The number of shares of Viacom Class B Common Stock into which the VCRs will convert will generally be based upon the value of Viacom Class B Common Stock (the "Class B Value") determined during the 90 trading day period (the "VCR Valuation Period") immediately preceding the VCR Conversion Date. The Class B Value will be equal to the average closing price of a share of Viacom Class B Common Stock during the 30 consecutive trading days in the VCR Valuation Period which yields the highest average closing price of a share of Viacom Class B Common Stock. In the event that the Class B Value is more than $40 per share but less than $48 per share, each VCR will convert into 0.05929 of a share of Viacom Class B Common Stock on the VCR Conversion Date. If the Class B Value is $40 per share or below, the number of shares of Viacom Class B Common Stock into which each VCR will convert on the VCR Conversion Date will increase ratably to the maximum of 0.13829 of a share of Viacom Class B Common Stock, which will occur if the Class B Value is $36 per share or below. If the Class B Value is $48 per share or above, the number of shares of Viacom Class B Common Stock into which the VCR will convert on the VCR Conversion Date will decrease ratably to zero, which will occur if the Class B Value is $52 per share or above.</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1085"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CERTAIN CONSIDERATIONS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Notwithstanding the calculation in the above paragraph, the number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Viacom Class B Common Stock into which each VCR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 on the VCR Conversion Date will not exceed 0.05929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share of Viacom Class B Common Stock if the average of the closing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for a share of Viacom Class B Common Stock exceeds $40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during any 30 consecutive trading day period following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Effective Time and prior to the VCR Conversion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that during any such period such average price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exceeds $52 per share, the VCRs will terminate and have no value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holders thereof will have no further rights with respect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VCRs. The dollar amounts are subject to certain downward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in connection with substantial declines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 &amp; Poor's 400 Index. Certain days are not included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days" if the number of shares of Viacom Class B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traded on such days is below specified levels.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Stockholders of Viacom and Paramount should carefully evaluate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set forth under "Certain Considerations." Factors to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considered, among other things, include the potential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fluctuations in the value of the Paramount Merger Consideration.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stockholders should also consider that, following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consummation of the Paramount Merger and the Mergers, voting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of the combined company will be held by a single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(although certain provisions of the Paramount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the Blockbuster Merger Agreement restrict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ability of certain large stockholders from engaging in 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private transactions). Paramount stockholders should also consider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total indebtedness of Viacom after the Paramount Merger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Mergers, including the maturity of such debt. Finally,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should consider the changing competitive environment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entertainment and telecommunications industries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w:t>
      </w:r>
    </w:p>
    <w:p>
      <w:pPr>
        <w:spacing w:after="0" w:line="2" w:lineRule="exact"/>
        <w:rPr>
          <w:sz w:val="20"/>
          <w:szCs w:val="20"/>
          <w:color w:val="auto"/>
        </w:rPr>
      </w:pPr>
    </w:p>
    <w:p>
      <w:pPr>
        <w:sectPr>
          <w:pgSz w:w="11900" w:h="16838" w:orient="portrait"/>
          <w:cols w:equalWidth="0" w:num="2">
            <w:col w:w="3220" w:space="720"/>
            <w:col w:w="6299"/>
          </w:cols>
          <w:pgMar w:left="220" w:top="124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MANAGEMENT AFTER THE MERGERS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Directors..................................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 currently the Chairman of the Board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Paramount, will remain Chairman of the Board of the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company. Assuming consummation of the Blockbuster Merger, H. Wayne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Huizenga, currently the Chairman of the Board and Chief Executive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Blockbuster and a Director of Viacom and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become Vice Chairman of the combined company. Frank J.</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Biondi, Jr., currently President, Chief Executive Officer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Viacom and Paramount, will remain President,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the combined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Viacom Annual Meeting, holders of Viacom Class A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will consider and vote upon the election of 10 directors.</w:t>
      </w:r>
    </w:p>
    <w:p>
      <w:pPr>
        <w:spacing w:after="0" w:line="2" w:lineRule="exact"/>
        <w:rPr>
          <w:sz w:val="20"/>
          <w:szCs w:val="20"/>
          <w:color w:val="auto"/>
        </w:rPr>
      </w:pPr>
    </w:p>
    <w:p>
      <w:pPr>
        <w:sectPr>
          <w:pgSz w:w="11900" w:h="16838" w:orient="portrait"/>
          <w:cols w:equalWidth="0" w:num="2">
            <w:col w:w="3780" w:space="160"/>
            <w:col w:w="6299"/>
          </w:cols>
          <w:pgMar w:left="220" w:top="124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FINANCIAL MATTERS AFTER THE MERGERS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Accounting Treatment.......................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939"/>
        <w:spacing w:after="0" w:line="241" w:lineRule="auto"/>
        <w:rPr>
          <w:sz w:val="20"/>
          <w:szCs w:val="20"/>
          <w:color w:val="auto"/>
        </w:rPr>
      </w:pPr>
      <w:r>
        <w:rPr>
          <w:rFonts w:ascii="Courier New" w:cs="Courier New" w:eastAsia="Courier New" w:hAnsi="Courier New"/>
          <w:sz w:val="14"/>
          <w:szCs w:val="14"/>
          <w:color w:val="auto"/>
        </w:rPr>
        <w:t>The Mergers will be accounted for by Viacom under the "purchase" method of accounting in accordance with generally accepted accounting principles. Therefore, the</w:t>
      </w:r>
    </w:p>
    <w:p>
      <w:pPr>
        <w:spacing w:after="0" w:line="200" w:lineRule="exact"/>
        <w:rPr>
          <w:sz w:val="20"/>
          <w:szCs w:val="20"/>
          <w:color w:val="auto"/>
        </w:rPr>
      </w:pPr>
    </w:p>
    <w:p>
      <w:pPr>
        <w:sectPr>
          <w:pgSz w:w="11900" w:h="16838" w:orient="portrait"/>
          <w:cols w:equalWidth="0" w:num="2">
            <w:col w:w="3780" w:space="160"/>
            <w:col w:w="6299"/>
          </w:cols>
          <w:pgMar w:left="220" w:top="1246" w:right="1440" w:bottom="1440" w:gutter="0" w:footer="0" w:header="0"/>
          <w:type w:val="continuous"/>
        </w:sect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246" w:right="1440" w:bottom="1440" w:gutter="0" w:footer="0" w:header="0"/>
          <w:type w:val="continuous"/>
        </w:sectPr>
      </w:pPr>
    </w:p>
    <w:bookmarkStart w:id="29" w:name="page30"/>
    <w:bookmarkEnd w:id="29"/>
    <w:p>
      <w:pPr>
        <w:ind w:left="3940"/>
        <w:spacing w:after="0"/>
        <w:rPr>
          <w:sz w:val="20"/>
          <w:szCs w:val="20"/>
          <w:color w:val="auto"/>
        </w:rPr>
      </w:pPr>
      <w:r>
        <w:rPr>
          <w:rFonts w:ascii="Courier New" w:cs="Courier New" w:eastAsia="Courier New" w:hAnsi="Courier New"/>
          <w:sz w:val="14"/>
          <w:szCs w:val="14"/>
          <w:color w:val="auto"/>
        </w:rPr>
        <w:t>aggregate consideration paid by Viacom in connection with the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Mergers will be allocated to both Paramount's and Blockbuster's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assets and liabilities based on their fair values, with any excess</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being treated as goodwill.</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The assets and liabilities and results of operations of Paramount</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(adjusted for minority ownership interests from the date of the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purchase of the shares of Paramount Common Stock pursuant to the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Offer through the Paramount Effective Time) were consolidated into</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the assets and liabilities and results of operations of Viacom as</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of March 1, 1994. The assets and liabilities and results of</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operations of Blockbuster will be consolidated into the assets and</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liabilities and results of operations of Viacom subsequent to the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Blockbuster Effective Time.</w:t>
      </w:r>
    </w:p>
    <w:p>
      <w:pPr>
        <w:sectPr>
          <w:pgSz w:w="11900" w:h="16838" w:orient="portrait"/>
          <w:cols w:equalWidth="0" w:num="1">
            <w:col w:w="10239"/>
          </w:cols>
          <w:pgMar w:left="220" w:top="1083" w:right="1440" w:bottom="1440" w:gutter="0" w:footer="0" w:header="0"/>
        </w:sectPr>
      </w:pP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 Dividend Policy After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Merger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and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TRADE NAMES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the current intention of the Viacom Board not to pay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on the Viacom Class A Common Stock or Viacom Class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following the Paramount Merger and the 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Future dividends will be determined by Viacom's Board of Directors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light of Viacom's alternative opportunities for investment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earnings and financial condition of Viacom and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among other factors.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The following trademarks, trade names and service marks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are used in this Proxy Statement/Prospectus and are proprietary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Logo(R); MTV: MUSIC TELEVISION(R); NICKELODEON(R); NICK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NITE(R); MTV EUROPETM; MTV LATINOTM; NICKELODEON UKTM; VH-1/VIDEO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HITS ONE(R); SHOWTIME(R); THE MOVIE CHANNELTM; FLIXTM; SHOWTIME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SATELLITE NETWORKSTM; SETTM PAY PER VIEW; THE REN &amp; STIMPY SHOWTM;</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RUGRATS(R); NICKTOONS(R); DOUGTM; BEAVIS &amp; BUTT-HEADTM; ROCKO'S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MODERN LIFETM; DRACULA UNLEASHEDTM; and UNPLUGGEDTM.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The trademarks and trade names used in this Proxy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Statement/Prospectus in connection with Paramount and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are proprietary or licensed to Paramount or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The following trademarks and trade names are used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Statement/Prospectus and are proprietary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BLOCKBUSTER(R); BLOCKBUSTER VIDEO(R); BLOCKBUSTER ENTERTAINMENTTM;</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MUSIC PLUS(R) and design; SOUND WAREHOUSE(R); TRACKS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MUSIC-VIDEO(R) and design; TURTLE'S(R); VIDEOTOWNE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ENTERTAINMENT(R) and design; RECORD BAR(R); and RHYTHM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VIEWS(R) and design.</w:t>
      </w:r>
    </w:p>
    <w:p>
      <w:pPr>
        <w:spacing w:after="0" w:line="200" w:lineRule="exact"/>
        <w:rPr>
          <w:sz w:val="20"/>
          <w:szCs w:val="20"/>
          <w:color w:val="auto"/>
        </w:rPr>
      </w:pPr>
    </w:p>
    <w:p>
      <w:pPr>
        <w:sectPr>
          <w:pgSz w:w="11900" w:h="16838" w:orient="portrait"/>
          <w:cols w:equalWidth="0" w:num="2">
            <w:col w:w="3780" w:space="160"/>
            <w:col w:w="6299"/>
          </w:cols>
          <w:pgMar w:left="220" w:top="1083" w:right="1440" w:bottom="1440" w:gutter="0" w:footer="0" w:header="0"/>
          <w:type w:val="continuous"/>
        </w:sectPr>
      </w:pPr>
    </w:p>
    <w:p>
      <w:pPr>
        <w:spacing w:after="0" w:line="12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083" w:right="1440" w:bottom="1440" w:gutter="0" w:footer="0" w:header="0"/>
          <w:type w:val="continuous"/>
        </w:sectPr>
      </w:pPr>
    </w:p>
    <w:bookmarkStart w:id="30" w:name="page31"/>
    <w:bookmarkEnd w:id="30"/>
    <w:p>
      <w:pPr>
        <w:jc w:val="center"/>
        <w:ind w:right="3539"/>
        <w:spacing w:after="0"/>
        <w:rPr>
          <w:sz w:val="20"/>
          <w:szCs w:val="20"/>
          <w:color w:val="auto"/>
        </w:rPr>
      </w:pPr>
      <w:r>
        <w:rPr>
          <w:rFonts w:ascii="Courier New" w:cs="Courier New" w:eastAsia="Courier New" w:hAnsi="Courier New"/>
          <w:sz w:val="14"/>
          <w:szCs w:val="14"/>
          <w:color w:val="auto"/>
        </w:rPr>
        <w:t>SELECTED HISTORICAL CONSOLIDATED FINANCIAL DATA OF</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VIACOM</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(IN MILLIONS, EXCEPT PER SHARE DATA AND RATIOS)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Viacom and has been derived from and should be read in conjunction with the audited consolidated financial statements of Viacom, including the notes thereto, which are incorporated by reference in this Proxy Statement/Prospectus. See "Incorporation of Certain Documents by Reference." The notes to the audited consolidated financial statements disclose, among other matters, certain business acquisitions and dispositions, certain other transactions, and accounting changes.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right"/>
              <w:ind w:right="390"/>
              <w:spacing w:after="0"/>
              <w:rPr>
                <w:sz w:val="20"/>
                <w:szCs w:val="20"/>
                <w:color w:val="auto"/>
              </w:rPr>
            </w:pPr>
            <w:r>
              <w:rPr>
                <w:rFonts w:ascii="Courier New" w:cs="Courier New" w:eastAsia="Courier New" w:hAnsi="Courier New"/>
                <w:sz w:val="14"/>
                <w:szCs w:val="14"/>
                <w:color w:val="auto"/>
              </w:rPr>
              <w:t>YEAR ENDED DECEMBER 31,</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45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30"/>
              <w:spacing w:after="0"/>
              <w:rPr>
                <w:sz w:val="20"/>
                <w:szCs w:val="20"/>
                <w:color w:val="auto"/>
              </w:rPr>
            </w:pPr>
            <w:r>
              <w:rPr>
                <w:rFonts w:ascii="Courier New" w:cs="Courier New" w:eastAsia="Courier New" w:hAnsi="Courier New"/>
                <w:sz w:val="14"/>
                <w:szCs w:val="14"/>
                <w:color w:val="auto"/>
                <w:w w:val="98"/>
              </w:rPr>
              <w:t>1993(A)</w:t>
            </w:r>
          </w:p>
        </w:tc>
        <w:tc>
          <w:tcPr>
            <w:tcW w:w="140" w:type="dxa"/>
            <w:vAlign w:val="bottom"/>
          </w:tcPr>
          <w:p>
            <w:pPr>
              <w:spacing w:after="0"/>
              <w:rPr>
                <w:sz w:val="13"/>
                <w:szCs w:val="13"/>
                <w:color w:val="auto"/>
              </w:rPr>
            </w:pPr>
          </w:p>
        </w:tc>
        <w:tc>
          <w:tcPr>
            <w:tcW w:w="780" w:type="dxa"/>
            <w:vAlign w:val="bottom"/>
          </w:tcPr>
          <w:p>
            <w:pPr>
              <w:jc w:val="right"/>
              <w:ind w:right="130"/>
              <w:spacing w:after="0"/>
              <w:rPr>
                <w:sz w:val="20"/>
                <w:szCs w:val="20"/>
                <w:color w:val="auto"/>
              </w:rPr>
            </w:pPr>
            <w:r>
              <w:rPr>
                <w:rFonts w:ascii="Courier New" w:cs="Courier New" w:eastAsia="Courier New" w:hAnsi="Courier New"/>
                <w:sz w:val="14"/>
                <w:szCs w:val="14"/>
                <w:color w:val="auto"/>
                <w:w w:val="95"/>
              </w:rPr>
              <w:t>1992(B)</w:t>
            </w:r>
          </w:p>
        </w:tc>
        <w:tc>
          <w:tcPr>
            <w:tcW w:w="180" w:type="dxa"/>
            <w:vAlign w:val="bottom"/>
          </w:tcPr>
          <w:p>
            <w:pPr>
              <w:spacing w:after="0"/>
              <w:rPr>
                <w:sz w:val="13"/>
                <w:szCs w:val="13"/>
                <w:color w:val="auto"/>
              </w:rPr>
            </w:pPr>
          </w:p>
        </w:tc>
        <w:tc>
          <w:tcPr>
            <w:tcW w:w="7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1991</w:t>
            </w:r>
          </w:p>
        </w:tc>
        <w:tc>
          <w:tcPr>
            <w:tcW w:w="180" w:type="dxa"/>
            <w:vAlign w:val="bottom"/>
          </w:tcPr>
          <w:p>
            <w:pPr>
              <w:spacing w:after="0"/>
              <w:rPr>
                <w:sz w:val="13"/>
                <w:szCs w:val="13"/>
                <w:color w:val="auto"/>
              </w:rPr>
            </w:pPr>
          </w:p>
        </w:tc>
        <w:tc>
          <w:tcPr>
            <w:tcW w:w="7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1990</w:t>
            </w:r>
          </w:p>
        </w:tc>
        <w:tc>
          <w:tcPr>
            <w:tcW w:w="14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1989(C)</w:t>
            </w:r>
          </w:p>
        </w:tc>
      </w:tr>
      <w:tr>
        <w:trPr>
          <w:trHeight w:val="161"/>
        </w:trPr>
        <w:tc>
          <w:tcPr>
            <w:tcW w:w="4940" w:type="dxa"/>
            <w:vAlign w:val="bottom"/>
          </w:tcPr>
          <w:p>
            <w:pPr>
              <w:spacing w:after="0"/>
              <w:rPr>
                <w:sz w:val="13"/>
                <w:szCs w:val="13"/>
                <w:color w:val="auto"/>
              </w:rPr>
            </w:pPr>
          </w:p>
        </w:tc>
        <w:tc>
          <w:tcPr>
            <w:tcW w:w="96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494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96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$ 2,004.9</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$ 1,864.7</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$ 1,711.6</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$ 1,599.6</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$ 1,436.2</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385.0</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347.9</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312.2</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223.8</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144.7</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301.8</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155.6</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8.3</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144.9</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earnings (loss) before extraordinary items and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169.5</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66.1</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(46.6)</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131.1</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171.0</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49.0</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131.1</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earnings (loss) attributable to common stock..........</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158.2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113.6</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earnings (loss) per common share:</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 before extraordinary items and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ind w:left="34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1"/>
        </w:trPr>
        <w:tc>
          <w:tcPr>
            <w:tcW w:w="49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9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.08</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94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1.31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2.8x</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1.8x</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1.0x</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1.4x</w:t>
            </w:r>
          </w:p>
        </w:tc>
      </w:t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45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1993</w:t>
            </w:r>
          </w:p>
        </w:tc>
        <w:tc>
          <w:tcPr>
            <w:tcW w:w="140" w:type="dxa"/>
            <w:vAlign w:val="bottom"/>
          </w:tcPr>
          <w:p>
            <w:pPr>
              <w:spacing w:after="0"/>
              <w:rPr>
                <w:sz w:val="13"/>
                <w:szCs w:val="13"/>
                <w:color w:val="auto"/>
              </w:rPr>
            </w:pPr>
          </w:p>
        </w:tc>
        <w:tc>
          <w:tcPr>
            <w:tcW w:w="78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13"/>
                <w:szCs w:val="13"/>
                <w:color w:val="auto"/>
              </w:rPr>
            </w:pPr>
          </w:p>
        </w:tc>
        <w:tc>
          <w:tcPr>
            <w:tcW w:w="7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1991</w:t>
            </w:r>
          </w:p>
        </w:tc>
        <w:tc>
          <w:tcPr>
            <w:tcW w:w="180" w:type="dxa"/>
            <w:vAlign w:val="bottom"/>
          </w:tcPr>
          <w:p>
            <w:pPr>
              <w:spacing w:after="0"/>
              <w:rPr>
                <w:sz w:val="13"/>
                <w:szCs w:val="13"/>
                <w:color w:val="auto"/>
              </w:rPr>
            </w:pPr>
          </w:p>
        </w:tc>
        <w:tc>
          <w:tcPr>
            <w:tcW w:w="7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1990</w:t>
            </w:r>
          </w:p>
        </w:tc>
        <w:tc>
          <w:tcPr>
            <w:tcW w:w="14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1989</w:t>
            </w:r>
          </w:p>
        </w:tc>
      </w:tr>
      <w:tr>
        <w:trPr>
          <w:trHeight w:val="161"/>
        </w:trPr>
        <w:tc>
          <w:tcPr>
            <w:tcW w:w="4940" w:type="dxa"/>
            <w:vAlign w:val="bottom"/>
          </w:tcPr>
          <w:p>
            <w:pPr>
              <w:spacing w:after="0"/>
              <w:rPr>
                <w:sz w:val="13"/>
                <w:szCs w:val="13"/>
                <w:color w:val="auto"/>
              </w:rPr>
            </w:pPr>
          </w:p>
        </w:tc>
        <w:tc>
          <w:tcPr>
            <w:tcW w:w="96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6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$ 6,416.9</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$ 4,317.1</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$ 4,188.4</w:t>
            </w:r>
          </w:p>
        </w:tc>
        <w:tc>
          <w:tcPr>
            <w:tcW w:w="92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$ 4,027.9</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$ 3,753.0</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4940" w:type="dxa"/>
            <w:vAlign w:val="bottom"/>
          </w:tcPr>
          <w:p>
            <w:pPr>
              <w:ind w:left="180"/>
              <w:spacing w:after="0"/>
              <w:rPr>
                <w:sz w:val="20"/>
                <w:szCs w:val="20"/>
                <w:color w:val="auto"/>
              </w:rPr>
            </w:pPr>
            <w:r>
              <w:rPr>
                <w:rFonts w:ascii="Courier New" w:cs="Courier New" w:eastAsia="Courier New" w:hAnsi="Courier New"/>
                <w:sz w:val="14"/>
                <w:szCs w:val="14"/>
                <w:color w:val="auto"/>
              </w:rPr>
              <w:t>maturities..............................................</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2,433.3</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2,397.0</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2,321.0</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2,537.3</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2,283.2</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3"/>
                <w:szCs w:val="13"/>
                <w:color w:val="auto"/>
              </w:rPr>
            </w:pP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2,718.1</w:t>
            </w:r>
          </w:p>
        </w:tc>
        <w:tc>
          <w:tcPr>
            <w:tcW w:w="1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756.5</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699.5</w:t>
            </w:r>
          </w:p>
        </w:tc>
        <w:tc>
          <w:tcPr>
            <w:tcW w:w="18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366.2</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455.9</w:t>
            </w:r>
          </w:p>
        </w:tc>
      </w:tr>
      <w:tr>
        <w:trPr>
          <w:trHeight w:val="161"/>
        </w:trPr>
        <w:tc>
          <w:tcPr>
            <w:tcW w:w="494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7.60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6.28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5.82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3.43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See notes to selected historical consolidated financial data of Viacom.</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00" w:right="1440" w:bottom="1440" w:gutter="0" w:footer="0" w:header="0"/>
        </w:sectPr>
      </w:pPr>
    </w:p>
    <w:bookmarkStart w:id="31" w:name="page32"/>
    <w:bookmarkEnd w:id="31"/>
    <w:p>
      <w:pPr>
        <w:ind w:left="100"/>
        <w:spacing w:after="0"/>
        <w:rPr>
          <w:sz w:val="20"/>
          <w:szCs w:val="20"/>
          <w:color w:val="auto"/>
        </w:rPr>
      </w:pPr>
      <w:r>
        <w:rPr>
          <w:rFonts w:ascii="Courier New" w:cs="Courier New" w:eastAsia="Courier New" w:hAnsi="Courier New"/>
          <w:sz w:val="14"/>
          <w:szCs w:val="14"/>
          <w:color w:val="auto"/>
        </w:rPr>
        <w:t>NOTES TO SELECTED HISTORICAL CONSOLIDATED FINANCIAL DATA OF VIACOM</w:t>
      </w:r>
    </w:p>
    <w:p>
      <w:pPr>
        <w:spacing w:after="0" w:line="200" w:lineRule="exact"/>
        <w:rPr>
          <w:sz w:val="20"/>
          <w:szCs w:val="20"/>
          <w:color w:val="auto"/>
        </w:rPr>
      </w:pPr>
    </w:p>
    <w:p>
      <w:pPr>
        <w:spacing w:after="0" w:line="287" w:lineRule="exact"/>
        <w:rPr>
          <w:sz w:val="20"/>
          <w:szCs w:val="20"/>
          <w:color w:val="auto"/>
        </w:rPr>
      </w:pPr>
    </w:p>
    <w:p>
      <w:pPr>
        <w:ind w:left="420" w:right="439" w:hanging="412"/>
        <w:spacing w:after="0" w:line="241" w:lineRule="auto"/>
        <w:tabs>
          <w:tab w:leader="none" w:pos="4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1993, Viacom adopted Statement of Financial Accounting Standards No. 109, "Accounting for Income Taxes," on a prospective basis and recognized a cumulative benefit from a change in accounting principle of $10.3 million.</w:t>
      </w:r>
    </w:p>
    <w:p>
      <w:pPr>
        <w:spacing w:after="0" w:line="165" w:lineRule="exact"/>
        <w:rPr>
          <w:rFonts w:ascii="Courier New" w:cs="Courier New" w:eastAsia="Courier New" w:hAnsi="Courier New"/>
          <w:sz w:val="14"/>
          <w:szCs w:val="14"/>
          <w:color w:val="auto"/>
        </w:rPr>
      </w:pPr>
    </w:p>
    <w:p>
      <w:pPr>
        <w:jc w:val="both"/>
        <w:ind w:left="420" w:right="35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the settlement of the Time Warner antitrust lawsuit, Viacom sold the stock of Viacom Cablevision of Wisconsin, Inc. to Warner Communications Inc., effective January 1, 1993, resulting in a pre-tax gain of approximately $55 million.</w:t>
      </w:r>
    </w:p>
    <w:p>
      <w:pPr>
        <w:spacing w:after="0" w:line="4" w:lineRule="exact"/>
        <w:rPr>
          <w:rFonts w:ascii="Courier New" w:cs="Courier New" w:eastAsia="Courier New" w:hAnsi="Courier New"/>
          <w:sz w:val="14"/>
          <w:szCs w:val="14"/>
          <w:color w:val="auto"/>
        </w:rPr>
      </w:pPr>
    </w:p>
    <w:p>
      <w:pPr>
        <w:ind w:left="420" w:right="279"/>
        <w:spacing w:after="0" w:line="24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1993, Viacom International recognized an after-tax extraordinary loss from the early extinguishment of debt of $8.9 million (net of a tax benefit of approximately $6.1 million) related to the redemption, on July 15, 1993, of the $298 million principal amount outstanding of the 11.8% Senior Subordinated Notes.</w:t>
      </w:r>
    </w:p>
    <w:p>
      <w:pPr>
        <w:spacing w:after="0" w:line="3" w:lineRule="exact"/>
        <w:rPr>
          <w:rFonts w:ascii="Courier New" w:cs="Courier New" w:eastAsia="Courier New" w:hAnsi="Courier New"/>
          <w:sz w:val="14"/>
          <w:szCs w:val="14"/>
          <w:color w:val="auto"/>
        </w:rPr>
      </w:pPr>
    </w:p>
    <w:p>
      <w:pPr>
        <w:ind w:left="420" w:right="199" w:hanging="412"/>
        <w:spacing w:after="0" w:line="242" w:lineRule="auto"/>
        <w:tabs>
          <w:tab w:leader="none" w:pos="4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for the year ended December 31, 1992 reflect a reserve for litigation of approximately $33 million related to a summary judgment against Viacom in a dispute with CBS Inc. Additionally, a gain of approximately $35 million related to the Time Warner antitrust lawsuit was recognized in the third quarter of 1992.</w:t>
      </w:r>
    </w:p>
    <w:p>
      <w:pPr>
        <w:spacing w:after="0" w:line="3" w:lineRule="exact"/>
        <w:rPr>
          <w:rFonts w:ascii="Courier New" w:cs="Courier New" w:eastAsia="Courier New" w:hAnsi="Courier New"/>
          <w:sz w:val="14"/>
          <w:szCs w:val="14"/>
          <w:color w:val="auto"/>
        </w:rPr>
      </w:pPr>
    </w:p>
    <w:p>
      <w:pPr>
        <w:ind w:left="420" w:right="43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for the year ended December 31, 1992 also include an after-tax extraordinary loss of $17.1 million (net of a tax benefit of $11.3 million) from the early extinguishment of the 11.5% Senior Subordinated Reset Notes and 14.75% Senior Subordinated Discount Debentures.</w:t>
      </w:r>
    </w:p>
    <w:p>
      <w:pPr>
        <w:spacing w:after="0" w:line="165" w:lineRule="exact"/>
        <w:rPr>
          <w:rFonts w:ascii="Courier New" w:cs="Courier New" w:eastAsia="Courier New" w:hAnsi="Courier New"/>
          <w:sz w:val="14"/>
          <w:szCs w:val="14"/>
          <w:color w:val="auto"/>
        </w:rPr>
      </w:pPr>
    </w:p>
    <w:p>
      <w:pPr>
        <w:ind w:left="420" w:right="439" w:hanging="412"/>
        <w:spacing w:after="0" w:line="239" w:lineRule="auto"/>
        <w:tabs>
          <w:tab w:leader="none" w:pos="4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for the year ended December 31, 1989 reflect a pre-tax gain of $313.1 million on the sale of the Long Island and Cleveland cable systems.</w:t>
      </w:r>
    </w:p>
    <w:p>
      <w:pPr>
        <w:spacing w:after="0" w:line="5" w:lineRule="exact"/>
        <w:rPr>
          <w:rFonts w:ascii="Courier New" w:cs="Courier New" w:eastAsia="Courier New" w:hAnsi="Courier New"/>
          <w:sz w:val="14"/>
          <w:szCs w:val="14"/>
          <w:color w:val="auto"/>
        </w:rPr>
      </w:pPr>
    </w:p>
    <w:p>
      <w:pPr>
        <w:ind w:left="420" w:right="279" w:hanging="412"/>
        <w:spacing w:after="0" w:line="393" w:lineRule="auto"/>
        <w:tabs>
          <w:tab w:leader="none" w:pos="42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of Viacom were insufficient to cover fixed charges for the year ended December 31, 1990. The additional amount of earnings required to cover fixed charges of Viacom for the year ended December 31, 1990</w:t>
      </w:r>
    </w:p>
    <w:p>
      <w:pPr>
        <w:ind w:left="420"/>
        <w:spacing w:after="0" w:line="236" w:lineRule="auto"/>
        <w:rPr>
          <w:sz w:val="20"/>
          <w:szCs w:val="20"/>
          <w:color w:val="auto"/>
        </w:rPr>
      </w:pPr>
      <w:r>
        <w:rPr>
          <w:rFonts w:ascii="Courier New" w:cs="Courier New" w:eastAsia="Courier New" w:hAnsi="Courier New"/>
          <w:sz w:val="14"/>
          <w:szCs w:val="14"/>
          <w:color w:val="auto"/>
        </w:rPr>
        <w:t>would have been $66.2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Acquisitions and Dispositions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 April 1994, Viacom sold its one-third partnership interest in LIFETIME for approximately $317.6 million.</w:t>
      </w:r>
    </w:p>
    <w:p>
      <w:pPr>
        <w:spacing w:after="0" w:line="166" w:lineRule="exact"/>
        <w:rPr>
          <w:sz w:val="20"/>
          <w:szCs w:val="20"/>
          <w:color w:val="auto"/>
        </w:rPr>
      </w:pPr>
    </w:p>
    <w:p>
      <w:pPr>
        <w:ind w:left="420" w:right="199"/>
        <w:spacing w:after="0" w:line="241" w:lineRule="auto"/>
        <w:rPr>
          <w:sz w:val="20"/>
          <w:szCs w:val="20"/>
          <w:color w:val="auto"/>
        </w:rPr>
      </w:pPr>
      <w:r>
        <w:rPr>
          <w:rFonts w:ascii="Courier New" w:cs="Courier New" w:eastAsia="Courier New" w:hAnsi="Courier New"/>
          <w:sz w:val="14"/>
          <w:szCs w:val="14"/>
          <w:color w:val="auto"/>
        </w:rPr>
        <w:t>On August 30, 1991, Viacom increased its interest in MTV Europe to 100% through the purchase of the 50.01% interest held by an affiliate of Mirror Group Newspapers. As consideration for the purchase, which was valued at approximately $65 million, Viacom issued 2,210,884 shares of Viacom Class B Common Stock.</w:t>
      </w:r>
    </w:p>
    <w:p>
      <w:pPr>
        <w:spacing w:after="0" w:line="166" w:lineRule="exact"/>
        <w:rPr>
          <w:sz w:val="20"/>
          <w:szCs w:val="20"/>
          <w:color w:val="auto"/>
        </w:rPr>
      </w:pPr>
    </w:p>
    <w:p>
      <w:pPr>
        <w:ind w:left="420" w:right="439"/>
        <w:spacing w:after="0" w:line="242" w:lineRule="auto"/>
        <w:rPr>
          <w:sz w:val="20"/>
          <w:szCs w:val="20"/>
          <w:color w:val="auto"/>
        </w:rPr>
      </w:pPr>
      <w:r>
        <w:rPr>
          <w:rFonts w:ascii="Courier New" w:cs="Courier New" w:eastAsia="Courier New" w:hAnsi="Courier New"/>
          <w:sz w:val="14"/>
          <w:szCs w:val="14"/>
          <w:color w:val="auto"/>
        </w:rPr>
        <w:t>During 1990, Viacom purchased five radio stations for approximately $121.3 million in the aggregate. These stations included: KOFY-FM (now KSRY-FM), San Francisco, California; KLRS-FM (now KSRI-FM), Santa Cruz/San Jose, California; KJOI-FM (now KYSR-FM), Los Angeles, California; and KHOW-AM and KSYY-FM (now KHOW-FM), Denver, Colorado (which were exchanged for KNDD-FM, Seattle, Washington during 1992).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w:t>
      </w:r>
    </w:p>
    <w:p>
      <w:pPr>
        <w:spacing w:after="0" w:line="5" w:lineRule="exact"/>
        <w:rPr>
          <w:sz w:val="20"/>
          <w:szCs w:val="20"/>
          <w:color w:val="auto"/>
        </w:rPr>
      </w:pPr>
    </w:p>
    <w:p>
      <w:pPr>
        <w:ind w:left="420" w:right="859"/>
        <w:spacing w:after="0" w:line="239" w:lineRule="auto"/>
        <w:rPr>
          <w:sz w:val="20"/>
          <w:szCs w:val="20"/>
          <w:color w:val="auto"/>
        </w:rPr>
      </w:pPr>
      <w:r>
        <w:rPr>
          <w:rFonts w:ascii="Courier New" w:cs="Courier New" w:eastAsia="Courier New" w:hAnsi="Courier New"/>
          <w:sz w:val="14"/>
          <w:szCs w:val="14"/>
          <w:color w:val="auto"/>
        </w:rPr>
        <w:t>Viacom has not declared cash dividends with respect to the Viacom Common Stock for any of the periods presented.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B Common Stock</w:t>
      </w:r>
    </w:p>
    <w:p>
      <w:pPr>
        <w:spacing w:after="0" w:line="5" w:lineRule="exact"/>
        <w:rPr>
          <w:sz w:val="20"/>
          <w:szCs w:val="20"/>
          <w:color w:val="auto"/>
        </w:rPr>
      </w:pPr>
    </w:p>
    <w:p>
      <w:pPr>
        <w:ind w:left="420" w:right="699"/>
        <w:spacing w:after="0" w:line="239" w:lineRule="auto"/>
        <w:rPr>
          <w:sz w:val="20"/>
          <w:szCs w:val="20"/>
          <w:color w:val="auto"/>
        </w:rPr>
      </w:pPr>
      <w:r>
        <w:rPr>
          <w:rFonts w:ascii="Courier New" w:cs="Courier New" w:eastAsia="Courier New" w:hAnsi="Courier New"/>
          <w:sz w:val="14"/>
          <w:szCs w:val="14"/>
          <w:color w:val="auto"/>
        </w:rPr>
        <w:t>Pursuant to the Blockbuster Subscription Agreement, on March 10, 1994, Viacom sold 22,727,273 shares of Viacom Class B Common Stock to Blockbuster at a price of $55.00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Cancellation of Series A Preferred Stock and Viacom Class B Common Stock Owned by Blockbuster</w:t>
      </w:r>
    </w:p>
    <w:p>
      <w:pPr>
        <w:spacing w:after="0" w:line="5" w:lineRule="exact"/>
        <w:rPr>
          <w:sz w:val="20"/>
          <w:szCs w:val="20"/>
          <w:color w:val="auto"/>
        </w:rPr>
      </w:pPr>
    </w:p>
    <w:p>
      <w:pPr>
        <w:ind w:left="420" w:right="359"/>
        <w:spacing w:after="0" w:line="239" w:lineRule="auto"/>
        <w:rPr>
          <w:sz w:val="20"/>
          <w:szCs w:val="20"/>
          <w:color w:val="auto"/>
        </w:rPr>
      </w:pPr>
      <w:r>
        <w:rPr>
          <w:rFonts w:ascii="Courier New" w:cs="Courier New" w:eastAsia="Courier New" w:hAnsi="Courier New"/>
          <w:sz w:val="14"/>
          <w:szCs w:val="14"/>
          <w:color w:val="auto"/>
        </w:rPr>
        <w:t>If the Blockbuster Merger is consummated, the Series A Preferred Stock and Viacom Class B Common Stock then owned by Blockbuster will be cancelled and will no longer be outstanding.</w:t>
      </w:r>
    </w:p>
    <w:p>
      <w:pPr>
        <w:spacing w:after="0" w:line="32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39"/>
          </w:cols>
          <w:pgMar w:left="720" w:top="439" w:right="1440" w:bottom="1440" w:gutter="0" w:footer="0" w:header="0"/>
        </w:sectPr>
      </w:pPr>
    </w:p>
    <w:bookmarkStart w:id="32" w:name="page33"/>
    <w:bookmarkEnd w:id="32"/>
    <w:p>
      <w:pPr>
        <w:spacing w:after="0" w:line="50"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4"/>
          <w:szCs w:val="14"/>
          <w:color w:val="auto"/>
        </w:rPr>
        <w:t>SELECTED HISTORICAL CONSOLIDATED FINANCIAL DATA OF</w:t>
      </w:r>
    </w:p>
    <w:p>
      <w:pPr>
        <w:spacing w:after="0" w:line="2"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4"/>
          <w:szCs w:val="14"/>
          <w:color w:val="auto"/>
        </w:rPr>
        <w:t>PARAMOUNT</w:t>
      </w:r>
    </w:p>
    <w:p>
      <w:pPr>
        <w:spacing w:after="0" w:line="2"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4"/>
          <w:szCs w:val="14"/>
          <w:color w:val="auto"/>
        </w:rPr>
        <w:t>(IN MILLIONS, EXCEPT PER SHARE DATA AND RATIOS)</w:t>
      </w:r>
    </w:p>
    <w:p>
      <w:pPr>
        <w:spacing w:after="0" w:line="166" w:lineRule="exact"/>
        <w:rPr>
          <w:sz w:val="20"/>
          <w:szCs w:val="20"/>
          <w:color w:val="auto"/>
        </w:rPr>
      </w:pPr>
    </w:p>
    <w:p>
      <w:pPr>
        <w:ind w:right="3940" w:firstLine="418"/>
        <w:spacing w:after="0" w:line="243"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Paramount and has been derived from and should be read in conjunction with the audited consolidated financial statements of Paramount, including the notes thereto, and the unaudited interim consolidated financial statements of Paramount, including the notes thereto, which are incorporated by reference in this Proxy Statement/Prospectus. See "Incorporation of Certain Documents by Reference." The notes to the audited consolidated financial statements and unaudited interim consolidated financial statements disclose, among other matters, certain business acquisitions and dispositions, certain other transactions and accounting changes. Unaudited interim data for the nine months ended January 31, 1994 and 1993 and for the six months ended April 30, 1992 reflect, in the opinion of management of Paramount, all adjustments (consisting only of normal recurring adjustments) considered necessary for a fair presentation of such data. Results of operations for the six months ended April 30, 1993 and the interim nine months ended January 31, 1994 are not necessarily indicative of results which may be expected for any other interim or annual period. In 1993, Paramount changed its fiscal year end from October 31 to April 30. In 1994, Paramount caused its fiscal period to be the eleven month period ended March 31, 1994. Subsequently, Paramount's fiscal year end will be December 31 to conform with that of Viacom.</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Courier New" w:cs="Courier New" w:eastAsia="Courier New" w:hAnsi="Courier New"/>
                <w:sz w:val="14"/>
                <w:szCs w:val="14"/>
                <w:color w:val="auto"/>
              </w:rPr>
              <w:t>NINE MONTHS ENDED</w:t>
            </w:r>
          </w:p>
        </w:tc>
        <w:tc>
          <w:tcPr>
            <w:tcW w:w="120" w:type="dxa"/>
            <w:vAlign w:val="bottom"/>
          </w:tcPr>
          <w:p>
            <w:pPr>
              <w:spacing w:after="0"/>
              <w:rPr>
                <w:sz w:val="13"/>
                <w:szCs w:val="13"/>
                <w:color w:val="auto"/>
              </w:rPr>
            </w:pPr>
          </w:p>
        </w:tc>
        <w:tc>
          <w:tcPr>
            <w:tcW w:w="1680" w:type="dxa"/>
            <w:vAlign w:val="bottom"/>
            <w:gridSpan w:val="3"/>
          </w:tcPr>
          <w:p>
            <w:pPr>
              <w:jc w:val="right"/>
              <w:ind w:right="190"/>
              <w:spacing w:after="0"/>
              <w:rPr>
                <w:sz w:val="20"/>
                <w:szCs w:val="20"/>
                <w:color w:val="auto"/>
              </w:rPr>
            </w:pPr>
            <w:r>
              <w:rPr>
                <w:rFonts w:ascii="Courier New" w:cs="Courier New" w:eastAsia="Courier New" w:hAnsi="Courier New"/>
                <w:sz w:val="14"/>
                <w:szCs w:val="14"/>
                <w:color w:val="auto"/>
              </w:rPr>
              <w:t>SIX MONTHS ENDED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3"/>
          </w:tcPr>
          <w:p>
            <w:pPr>
              <w:jc w:val="right"/>
              <w:ind w:right="490"/>
              <w:spacing w:after="0"/>
              <w:rPr>
                <w:sz w:val="20"/>
                <w:szCs w:val="20"/>
                <w:color w:val="auto"/>
              </w:rPr>
            </w:pPr>
            <w:r>
              <w:rPr>
                <w:rFonts w:ascii="Courier New" w:cs="Courier New" w:eastAsia="Courier New" w:hAnsi="Courier New"/>
                <w:sz w:val="14"/>
                <w:szCs w:val="14"/>
                <w:color w:val="auto"/>
              </w:rPr>
              <w:t>JANUARY 31,</w:t>
            </w:r>
          </w:p>
        </w:tc>
        <w:tc>
          <w:tcPr>
            <w:tcW w:w="120" w:type="dxa"/>
            <w:vAlign w:val="bottom"/>
          </w:tcPr>
          <w:p>
            <w:pPr>
              <w:spacing w:after="0"/>
              <w:rPr>
                <w:sz w:val="13"/>
                <w:szCs w:val="13"/>
                <w:color w:val="auto"/>
              </w:rPr>
            </w:pPr>
          </w:p>
        </w:tc>
        <w:tc>
          <w:tcPr>
            <w:tcW w:w="1680" w:type="dxa"/>
            <w:vAlign w:val="bottom"/>
            <w:gridSpan w:val="3"/>
          </w:tcPr>
          <w:p>
            <w:pPr>
              <w:jc w:val="right"/>
              <w:ind w:right="530"/>
              <w:spacing w:after="0"/>
              <w:rPr>
                <w:sz w:val="20"/>
                <w:szCs w:val="20"/>
                <w:color w:val="auto"/>
              </w:rPr>
            </w:pPr>
            <w:r>
              <w:rPr>
                <w:rFonts w:ascii="Courier New" w:cs="Courier New" w:eastAsia="Courier New" w:hAnsi="Courier New"/>
                <w:sz w:val="14"/>
                <w:szCs w:val="14"/>
                <w:color w:val="auto"/>
              </w:rPr>
              <w:t>APRIL 30,</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8"/>
              </w:rPr>
              <w:t>YEAR ENDED OCTOBER 31,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4"/>
              </w:rPr>
              <w:t>--------------------</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gridSpan w:val="4"/>
          </w:tcPr>
          <w:p>
            <w:pPr>
              <w:jc w:val="right"/>
              <w:ind w:right="30"/>
              <w:spacing w:after="0"/>
              <w:rPr>
                <w:sz w:val="20"/>
                <w:szCs w:val="20"/>
                <w:color w:val="auto"/>
              </w:rPr>
            </w:pPr>
            <w:r>
              <w:rPr>
                <w:rFonts w:ascii="Courier New" w:cs="Courier New" w:eastAsia="Courier New" w:hAnsi="Courier New"/>
                <w:sz w:val="14"/>
                <w:szCs w:val="14"/>
                <w:color w:val="auto"/>
                <w:w w:val="99"/>
              </w:rPr>
              <w:t>--------------------</w:t>
            </w:r>
          </w:p>
        </w:tc>
        <w:tc>
          <w:tcPr>
            <w:tcW w:w="3680" w:type="dxa"/>
            <w:vAlign w:val="bottom"/>
            <w:gridSpan w:val="8"/>
          </w:tcPr>
          <w:p>
            <w:pPr>
              <w:jc w:val="right"/>
              <w:ind w:right="3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1994(A)</w:t>
            </w:r>
          </w:p>
        </w:tc>
        <w:tc>
          <w:tcPr>
            <w:tcW w:w="220" w:type="dxa"/>
            <w:vAlign w:val="bottom"/>
          </w:tcPr>
          <w:p>
            <w:pPr>
              <w:spacing w:after="0"/>
              <w:rPr>
                <w:sz w:val="13"/>
                <w:szCs w:val="13"/>
                <w:color w:val="auto"/>
              </w:rPr>
            </w:pPr>
          </w:p>
        </w:tc>
        <w:tc>
          <w:tcPr>
            <w:tcW w:w="76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13"/>
                <w:szCs w:val="13"/>
                <w:color w:val="auto"/>
              </w:rPr>
            </w:pPr>
          </w:p>
        </w:tc>
        <w:tc>
          <w:tcPr>
            <w:tcW w:w="800" w:type="dxa"/>
            <w:vAlign w:val="bottom"/>
          </w:tcPr>
          <w:p>
            <w:pPr>
              <w:jc w:val="right"/>
              <w:ind w:right="150"/>
              <w:spacing w:after="0"/>
              <w:rPr>
                <w:sz w:val="20"/>
                <w:szCs w:val="20"/>
                <w:color w:val="auto"/>
              </w:rPr>
            </w:pPr>
            <w:r>
              <w:rPr>
                <w:rFonts w:ascii="Courier New" w:cs="Courier New" w:eastAsia="Courier New" w:hAnsi="Courier New"/>
                <w:sz w:val="14"/>
                <w:szCs w:val="14"/>
                <w:color w:val="auto"/>
                <w:w w:val="95"/>
              </w:rPr>
              <w:t>1993(B)</w:t>
            </w:r>
          </w:p>
        </w:tc>
        <w:tc>
          <w:tcPr>
            <w:tcW w:w="160" w:type="dxa"/>
            <w:vAlign w:val="bottom"/>
          </w:tcPr>
          <w:p>
            <w:pPr>
              <w:spacing w:after="0"/>
              <w:rPr>
                <w:sz w:val="13"/>
                <w:szCs w:val="13"/>
                <w:color w:val="auto"/>
              </w:rPr>
            </w:pPr>
          </w:p>
        </w:tc>
        <w:tc>
          <w:tcPr>
            <w:tcW w:w="7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1992</w:t>
            </w:r>
          </w:p>
        </w:tc>
        <w:tc>
          <w:tcPr>
            <w:tcW w:w="200" w:type="dxa"/>
            <w:vAlign w:val="bottom"/>
          </w:tcPr>
          <w:p>
            <w:pPr>
              <w:spacing w:after="0"/>
              <w:rPr>
                <w:sz w:val="13"/>
                <w:szCs w:val="13"/>
                <w:color w:val="auto"/>
              </w:rPr>
            </w:pPr>
          </w:p>
        </w:tc>
        <w:tc>
          <w:tcPr>
            <w:tcW w:w="7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1992</w:t>
            </w:r>
          </w:p>
        </w:tc>
        <w:tc>
          <w:tcPr>
            <w:tcW w:w="160" w:type="dxa"/>
            <w:vAlign w:val="bottom"/>
          </w:tcPr>
          <w:p>
            <w:pPr>
              <w:spacing w:after="0"/>
              <w:rPr>
                <w:sz w:val="13"/>
                <w:szCs w:val="13"/>
                <w:color w:val="auto"/>
              </w:rPr>
            </w:pPr>
          </w:p>
        </w:tc>
        <w:tc>
          <w:tcPr>
            <w:tcW w:w="7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5"/>
              </w:rPr>
              <w:t>1991(C)</w:t>
            </w:r>
          </w:p>
        </w:tc>
        <w:tc>
          <w:tcPr>
            <w:tcW w:w="200" w:type="dxa"/>
            <w:vAlign w:val="bottom"/>
          </w:tcPr>
          <w:p>
            <w:pPr>
              <w:spacing w:after="0"/>
              <w:rPr>
                <w:sz w:val="13"/>
                <w:szCs w:val="13"/>
                <w:color w:val="auto"/>
              </w:rPr>
            </w:pPr>
          </w:p>
        </w:tc>
        <w:tc>
          <w:tcPr>
            <w:tcW w:w="76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1990</w:t>
            </w:r>
          </w:p>
        </w:tc>
        <w:tc>
          <w:tcPr>
            <w:tcW w:w="120" w:type="dxa"/>
            <w:vAlign w:val="bottom"/>
          </w:tcPr>
          <w:p>
            <w:pPr>
              <w:spacing w:after="0"/>
              <w:rPr>
                <w:sz w:val="13"/>
                <w:szCs w:val="13"/>
                <w:color w:val="auto"/>
              </w:rPr>
            </w:pPr>
          </w:p>
        </w:tc>
        <w:tc>
          <w:tcPr>
            <w:tcW w:w="7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5"/>
              </w:rPr>
              <w:t>1989(D)</w:t>
            </w:r>
          </w:p>
        </w:tc>
      </w:tr>
      <w:tr>
        <w:trPr>
          <w:trHeight w:val="161"/>
        </w:trPr>
        <w:tc>
          <w:tcPr>
            <w:tcW w:w="3260" w:type="dxa"/>
            <w:vAlign w:val="bottom"/>
          </w:tcPr>
          <w:p>
            <w:pPr>
              <w:spacing w:after="0"/>
              <w:rPr>
                <w:sz w:val="13"/>
                <w:szCs w:val="13"/>
                <w:color w:val="auto"/>
              </w:rPr>
            </w:pP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4"/>
          </w:tcPr>
          <w:p>
            <w:pPr>
              <w:jc w:val="right"/>
              <w:ind w:right="30"/>
              <w:spacing w:after="0"/>
              <w:rPr>
                <w:sz w:val="20"/>
                <w:szCs w:val="20"/>
                <w:color w:val="auto"/>
              </w:rPr>
            </w:pPr>
            <w:r>
              <w:rPr>
                <w:rFonts w:ascii="Courier New" w:cs="Courier New" w:eastAsia="Courier New" w:hAnsi="Courier New"/>
                <w:sz w:val="14"/>
                <w:szCs w:val="14"/>
                <w:color w:val="auto"/>
                <w:w w:val="99"/>
              </w:rPr>
              <w:t>---------  ---------</w:t>
            </w:r>
          </w:p>
        </w:tc>
        <w:tc>
          <w:tcPr>
            <w:tcW w:w="92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rPr>
              <w:t>---------</w:t>
            </w:r>
          </w:p>
        </w:tc>
      </w:tr>
      <w:tr>
        <w:trPr>
          <w:trHeight w:val="322"/>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3,757.0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3,210.1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1,898.1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1,998.5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4,264.9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3,895.4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3,869.0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3,391.6</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Earnings (loss) from operations.......</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298.0</w:t>
            </w:r>
          </w:p>
        </w:tc>
        <w:tc>
          <w:tcPr>
            <w:tcW w:w="22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320.1</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77.8</w:t>
            </w:r>
          </w:p>
        </w:tc>
        <w:tc>
          <w:tcPr>
            <w:tcW w:w="2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396.1</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157.8</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304.2</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192.9</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income taxes......</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277.8</w:t>
            </w:r>
          </w:p>
        </w:tc>
        <w:tc>
          <w:tcPr>
            <w:tcW w:w="22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327.4</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68.7</w:t>
            </w:r>
          </w:p>
        </w:tc>
        <w:tc>
          <w:tcPr>
            <w:tcW w:w="2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397.3</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179.7</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381.0</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19.1</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earnings (loss) from continuing</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extraordinary item</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 of changes in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accounting principles.................</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180.6</w:t>
            </w:r>
          </w:p>
        </w:tc>
        <w:tc>
          <w:tcPr>
            <w:tcW w:w="22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225.6</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48.7</w:t>
            </w:r>
          </w:p>
        </w:tc>
        <w:tc>
          <w:tcPr>
            <w:tcW w:w="2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274.2</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127.6</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264.4</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17.3</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180.6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149.9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48.7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265.4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127.6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264.4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1,414.7</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earnings (loss) per share:</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 from continuing</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operations before extraordinary</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item and cumulative effect of</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changes in accounting</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1.90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1.08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.14</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12.12</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20" w:type="dxa"/>
            <w:vAlign w:val="bottom"/>
          </w:tcPr>
          <w:p>
            <w:pPr>
              <w:spacing w:after="0"/>
              <w:rPr>
                <w:sz w:val="13"/>
                <w:szCs w:val="13"/>
                <w:color w:val="auto"/>
              </w:rPr>
            </w:pPr>
          </w:p>
        </w:tc>
        <w:tc>
          <w:tcPr>
            <w:tcW w:w="800" w:type="dxa"/>
            <w:vAlign w:val="bottom"/>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changes in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accounting principles.................</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1.26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2.23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1.08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11.78</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.60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70"/>
              <w:spacing w:after="0"/>
              <w:rPr>
                <w:sz w:val="20"/>
                <w:szCs w:val="20"/>
                <w:color w:val="auto"/>
              </w:rPr>
            </w:pPr>
            <w:r>
              <w:rPr>
                <w:rFonts w:ascii="Courier New" w:cs="Courier New" w:eastAsia="Courier New" w:hAnsi="Courier New"/>
                <w:sz w:val="14"/>
                <w:szCs w:val="14"/>
                <w:color w:val="auto"/>
              </w:rPr>
              <w:t>.40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.375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.775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.70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.70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.70</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4.1x</w:t>
            </w:r>
          </w:p>
        </w:tc>
        <w:tc>
          <w:tcPr>
            <w:tcW w:w="22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4.5x</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c>
          <w:tcPr>
            <w:tcW w:w="16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2.2x</w:t>
            </w:r>
          </w:p>
        </w:tc>
        <w:tc>
          <w:tcPr>
            <w:tcW w:w="2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4.1x</w:t>
            </w:r>
          </w:p>
        </w:tc>
        <w:tc>
          <w:tcPr>
            <w:tcW w:w="16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2.3x</w:t>
            </w:r>
          </w:p>
        </w:tc>
        <w:tc>
          <w:tcPr>
            <w:tcW w:w="20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3.4x</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1.0x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1988</w:t>
            </w:r>
          </w:p>
        </w:tc>
      </w:tr>
      <w:tr>
        <w:trPr>
          <w:trHeight w:val="161"/>
        </w:trPr>
        <w:tc>
          <w:tcPr>
            <w:tcW w:w="3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3,055.9</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Earnings (loss) from operations.......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375.5</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income taxes......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268.7</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earnings (loss) from continuing</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extraordinary item</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 of changes in</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accounting principles.................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152.8</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384.7</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earnings (loss) per share:</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 from continuing</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operations before extraordinary</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item and cumulative effect of</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changes in accounting</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changes in</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accounting principles.................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2.4x</w:t>
            </w:r>
          </w:p>
        </w:tc>
      </w:tr>
    </w:tbl>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40" w:type="dxa"/>
            <w:vAlign w:val="bottom"/>
          </w:tcPr>
          <w:p>
            <w:pPr>
              <w:spacing w:after="0"/>
              <w:rPr>
                <w:sz w:val="13"/>
                <w:szCs w:val="13"/>
                <w:color w:val="auto"/>
              </w:rPr>
            </w:pP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1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AT APRIL</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5"/>
              </w:rPr>
              <w:t>30,</w:t>
            </w:r>
          </w:p>
        </w:tc>
        <w:tc>
          <w:tcPr>
            <w:tcW w:w="92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OCTOBER 31,</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34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4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2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1993</w:t>
            </w:r>
          </w:p>
        </w:tc>
        <w:tc>
          <w:tcPr>
            <w:tcW w:w="92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1992</w:t>
            </w:r>
          </w:p>
        </w:tc>
        <w:tc>
          <w:tcPr>
            <w:tcW w:w="92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1991</w:t>
            </w:r>
          </w:p>
        </w:tc>
        <w:tc>
          <w:tcPr>
            <w:tcW w:w="102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1990</w:t>
            </w:r>
          </w:p>
        </w:tc>
        <w:tc>
          <w:tcPr>
            <w:tcW w:w="82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1989</w:t>
            </w: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1988</w:t>
            </w:r>
          </w:p>
        </w:tc>
      </w:tr>
      <w:tr>
        <w:trPr>
          <w:trHeight w:val="161"/>
        </w:trPr>
        <w:tc>
          <w:tcPr>
            <w:tcW w:w="234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1"/>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7,416.8</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$ 6,874.8</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$ 7,057.0</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$ 6,654.7</w:t>
            </w:r>
          </w:p>
        </w:tc>
        <w:tc>
          <w:tcPr>
            <w:tcW w:w="10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$ 6,541.0</w:t>
            </w:r>
          </w:p>
        </w:tc>
        <w:tc>
          <w:tcPr>
            <w:tcW w:w="8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$ 7,060.0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$ 5,378.1</w:t>
            </w:r>
          </w:p>
        </w:tc>
      </w:tr>
      <w:tr>
        <w:trPr>
          <w:trHeight w:val="161"/>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Long-term debt, including</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340" w:type="dxa"/>
            <w:vAlign w:val="bottom"/>
          </w:tcPr>
          <w:p>
            <w:pPr>
              <w:spacing w:after="0"/>
              <w:rPr>
                <w:sz w:val="20"/>
                <w:szCs w:val="20"/>
                <w:color w:val="auto"/>
              </w:rPr>
            </w:pPr>
            <w:r>
              <w:rPr>
                <w:rFonts w:ascii="Courier New" w:cs="Courier New" w:eastAsia="Courier New" w:hAnsi="Courier New"/>
                <w:sz w:val="14"/>
                <w:szCs w:val="14"/>
                <w:color w:val="auto"/>
              </w:rPr>
              <w:t>current maturities.........</w:t>
            </w: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Courier New" w:cs="Courier New" w:eastAsia="Courier New" w:hAnsi="Courier New"/>
                <w:sz w:val="14"/>
                <w:szCs w:val="14"/>
                <w:color w:val="auto"/>
              </w:rPr>
              <w:t>1,010.7</w:t>
            </w:r>
          </w:p>
        </w:tc>
        <w:tc>
          <w:tcPr>
            <w:tcW w:w="11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817.1</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822.1</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718.2</w:t>
            </w:r>
          </w:p>
        </w:tc>
        <w:tc>
          <w:tcPr>
            <w:tcW w:w="10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733.8</w:t>
            </w:r>
          </w:p>
        </w:tc>
        <w:tc>
          <w:tcPr>
            <w:tcW w:w="8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744.4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1,507.5</w:t>
            </w:r>
          </w:p>
        </w:tc>
      </w:tr>
      <w:tr>
        <w:trPr>
          <w:trHeight w:val="161"/>
        </w:trPr>
        <w:tc>
          <w:tcPr>
            <w:tcW w:w="23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Courier New" w:cs="Courier New" w:eastAsia="Courier New" w:hAnsi="Courier New"/>
                <w:sz w:val="14"/>
                <w:szCs w:val="14"/>
                <w:color w:val="auto"/>
              </w:rPr>
              <w:t>4,186.8</w:t>
            </w:r>
          </w:p>
        </w:tc>
        <w:tc>
          <w:tcPr>
            <w:tcW w:w="11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3,902.1</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4,015.5</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3,854.8</w:t>
            </w:r>
          </w:p>
        </w:tc>
        <w:tc>
          <w:tcPr>
            <w:tcW w:w="10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3,783.8</w:t>
            </w:r>
          </w:p>
        </w:tc>
        <w:tc>
          <w:tcPr>
            <w:tcW w:w="8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3,666.8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2,266.2</w:t>
            </w:r>
          </w:p>
        </w:tc>
      </w:tr>
    </w:tbl>
    <w:p>
      <w:pPr>
        <w:sectPr>
          <w:pgSz w:w="11900" w:h="16889" w:orient="portrait"/>
          <w:cols w:equalWidth="0" w:num="1">
            <w:col w:w="10640"/>
          </w:cols>
          <w:pgMar w:left="220" w:top="600" w:right="10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0" w:type="dxa"/>
            <w:vAlign w:val="bottom"/>
          </w:tcPr>
          <w:p>
            <w:pPr>
              <w:spacing w:after="0"/>
              <w:rPr>
                <w:sz w:val="20"/>
                <w:szCs w:val="20"/>
                <w:color w:val="auto"/>
              </w:rPr>
            </w:pPr>
            <w:r>
              <w:rPr>
                <w:rFonts w:ascii="Courier New" w:cs="Courier New" w:eastAsia="Courier New" w:hAnsi="Courier New"/>
                <w:sz w:val="14"/>
                <w:szCs w:val="14"/>
                <w:color w:val="auto"/>
              </w:rPr>
              <w:t>Book value per common</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1"/>
        </w:trPr>
        <w:tc>
          <w:tcPr>
            <w:tcW w:w="240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3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34.35</w:t>
            </w:r>
          </w:p>
        </w:tc>
        <w:tc>
          <w:tcPr>
            <w:tcW w:w="1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   33.01</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34.19</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32.73</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32.24</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30.56</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19.50</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See notes to selected historical consolidated financial data of Paramount.</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39" w:right="1440" w:bottom="1440" w:gutter="0" w:footer="0" w:header="0"/>
        </w:sectPr>
      </w:pPr>
    </w:p>
    <w:bookmarkStart w:id="34" w:name="page35"/>
    <w:bookmarkEnd w:id="34"/>
    <w:p>
      <w:pPr>
        <w:ind w:left="420"/>
        <w:spacing w:after="0"/>
        <w:rPr>
          <w:sz w:val="20"/>
          <w:szCs w:val="20"/>
          <w:color w:val="auto"/>
        </w:rPr>
      </w:pPr>
      <w:r>
        <w:rPr>
          <w:rFonts w:ascii="Courier New" w:cs="Courier New" w:eastAsia="Courier New" w:hAnsi="Courier New"/>
          <w:sz w:val="14"/>
          <w:szCs w:val="14"/>
          <w:color w:val="auto"/>
        </w:rPr>
        <w:t>NOTES TO SELECTED HISTORICAL CONSOLIDATED FINANCIAL DATA OF PARAMOUNT</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Effective May 1, 1993, Paramount adopted Statement of Financial Accounting Standards ("SFAS") No. 109, "Accounting for Income Taxes," by restating its prior period financial statements beginning November 1, 1988. The cumulative effect of this accounting change was a charge of $56.5 million, which is included in net earnings for the year ended October 31, 1989.</w:t>
      </w:r>
    </w:p>
    <w:p>
      <w:pPr>
        <w:spacing w:after="0" w:line="200" w:lineRule="exact"/>
        <w:rPr>
          <w:sz w:val="20"/>
          <w:szCs w:val="20"/>
          <w:color w:val="auto"/>
        </w:rPr>
      </w:pPr>
    </w:p>
    <w:p>
      <w:pPr>
        <w:spacing w:after="0" w:line="288" w:lineRule="exact"/>
        <w:rPr>
          <w:sz w:val="20"/>
          <w:szCs w:val="20"/>
          <w:color w:val="auto"/>
        </w:rPr>
      </w:pPr>
    </w:p>
    <w:p>
      <w:pPr>
        <w:ind w:left="920" w:right="199" w:hanging="412"/>
        <w:spacing w:after="0" w:line="242" w:lineRule="auto"/>
        <w:tabs>
          <w:tab w:leader="none" w:pos="9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operating losses at USA Networks, Paramount's 50%-owned cable networks, due largely to a $78 million pre-tax charge, the majority of which was recorded in December 1993, to adjust the carrying value of certain broadcast rights to net realizable value because of the under performance of certain series programming of which Paramount recorded its share.</w:t>
      </w:r>
    </w:p>
    <w:p>
      <w:pPr>
        <w:spacing w:after="0" w:line="3" w:lineRule="exact"/>
        <w:rPr>
          <w:rFonts w:ascii="Courier New" w:cs="Courier New" w:eastAsia="Courier New" w:hAnsi="Courier New"/>
          <w:sz w:val="14"/>
          <w:szCs w:val="14"/>
          <w:color w:val="auto"/>
        </w:rPr>
      </w:pPr>
    </w:p>
    <w:p>
      <w:pPr>
        <w:ind w:left="920" w:right="359" w:hanging="412"/>
        <w:spacing w:after="0" w:line="269" w:lineRule="auto"/>
        <w:tabs>
          <w:tab w:leader="none" w:pos="92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an after-tax charge of $26.0 million, related to the write-down to net realizable value of certain Publishing operations real estate, expected to be sold, and a provision for relocation costs in connection with Paramount's planned move of its Publishing operations and Paramount's corporate headquarters.</w:t>
      </w:r>
    </w:p>
    <w:p>
      <w:pPr>
        <w:spacing w:after="0" w:line="309" w:lineRule="exact"/>
        <w:rPr>
          <w:rFonts w:ascii="Courier New" w:cs="Courier New" w:eastAsia="Courier New" w:hAnsi="Courier New"/>
          <w:sz w:val="13"/>
          <w:szCs w:val="13"/>
          <w:color w:val="auto"/>
        </w:rPr>
      </w:pPr>
    </w:p>
    <w:p>
      <w:pPr>
        <w:ind w:left="920" w:right="199"/>
        <w:spacing w:after="0" w:line="242"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Effective November 1, 1992, Paramount adopted SFAS No. 106, "Employers' Accounting for Postretirement Benefits Other Than Pensions." Paramount has elected to record the cumulative effect of the accounting change as a charge against income as of November 1, 1992, resulting in a one-time charge of $66.9 million, net of income taxes of $34.5 million.</w:t>
      </w:r>
    </w:p>
    <w:p>
      <w:pPr>
        <w:spacing w:after="0" w:line="164" w:lineRule="exact"/>
        <w:rPr>
          <w:rFonts w:ascii="Courier New" w:cs="Courier New" w:eastAsia="Courier New" w:hAnsi="Courier New"/>
          <w:sz w:val="13"/>
          <w:szCs w:val="13"/>
          <w:color w:val="auto"/>
        </w:rPr>
      </w:pPr>
    </w:p>
    <w:p>
      <w:pPr>
        <w:ind w:left="920" w:right="359" w:hanging="412"/>
        <w:spacing w:after="0" w:line="241" w:lineRule="auto"/>
        <w:tabs>
          <w:tab w:leader="none" w:pos="9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for the year ended October 31, 1991 includes a $35.4 million after-tax charge, the majority of which was related to a provision for write-downs of certain motion picture and television development commitments and entertainment reorganization costs.</w:t>
      </w:r>
    </w:p>
    <w:p>
      <w:pPr>
        <w:spacing w:after="0" w:line="4" w:lineRule="exact"/>
        <w:rPr>
          <w:rFonts w:ascii="Courier New" w:cs="Courier New" w:eastAsia="Courier New" w:hAnsi="Courier New"/>
          <w:sz w:val="14"/>
          <w:szCs w:val="14"/>
          <w:color w:val="auto"/>
        </w:rPr>
      </w:pPr>
    </w:p>
    <w:p>
      <w:pPr>
        <w:ind w:left="920" w:right="359" w:hanging="412"/>
        <w:spacing w:after="0" w:line="242" w:lineRule="auto"/>
        <w:tabs>
          <w:tab w:leader="none" w:pos="9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year ended October 31, 1989, Paramount completed a major reevaluation of its Publishing business and, as a result, recorded an $84.3 million after-tax charge, a portion of which was related to the write-down of obsolete inventory and the carrying value of pre-publication costs to reflect a more conservative estimate of the life cycle of various publishing products. Further, this charge included provisions related to certain royalty advances, book returns and capitalized database costs, as well as a charge related to a restructuring plan to modify certain publishing systems and other adjustments to the carrying value of certain assets and liabilities on Publishing's balance sheet.</w:t>
      </w:r>
    </w:p>
    <w:p>
      <w:pPr>
        <w:spacing w:after="0" w:line="328" w:lineRule="exact"/>
        <w:rPr>
          <w:rFonts w:ascii="Courier New" w:cs="Courier New" w:eastAsia="Courier New" w:hAnsi="Courier New"/>
          <w:sz w:val="14"/>
          <w:szCs w:val="14"/>
          <w:color w:val="auto"/>
        </w:rPr>
      </w:pPr>
    </w:p>
    <w:p>
      <w:pPr>
        <w:ind w:left="920" w:right="199"/>
        <w:spacing w:after="0" w:line="262"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Includes an after-tax gain of approximately $1.2 billion on the sale of Associates First Capital Corporation, Paramount's former consumer/commercial finance business. In addition, Paramount recorded an after-tax charge of $30.8 million to provide for additional costs applicable to certain operations previously discontinued.</w:t>
      </w:r>
    </w:p>
    <w:p>
      <w:pPr>
        <w:ind w:left="920" w:right="279"/>
        <w:spacing w:after="0" w:line="24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for fiscal 1989 also include an after-tax charge of $48.3 million for costs incurred in Paramount's bid to acquire Time Incorporated. In addition, in fiscal 1989 Paramount sold Prentice Hall Information Services and Prentice Hall Information Network, two units of its Publishing operations, resulting in an after-tax gain of $7.4 million.</w:t>
      </w:r>
    </w:p>
    <w:p>
      <w:pPr>
        <w:spacing w:after="0" w:line="164" w:lineRule="exact"/>
        <w:rPr>
          <w:rFonts w:ascii="Courier New" w:cs="Courier New" w:eastAsia="Courier New" w:hAnsi="Courier New"/>
          <w:sz w:val="14"/>
          <w:szCs w:val="14"/>
          <w:color w:val="auto"/>
        </w:rPr>
      </w:pPr>
    </w:p>
    <w:p>
      <w:pPr>
        <w:ind w:left="920" w:right="19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1988, Paramount completed the sale of a 50% interest in its domestic motion picture theater operations for approximately half of Paramount's purchase price. The results for fiscal 1989 reflect the gain on this sale of $5.6 million, net of income taxes of $3.3 million.</w:t>
      </w:r>
    </w:p>
    <w:p>
      <w:pPr>
        <w:spacing w:after="0" w:line="163" w:lineRule="exact"/>
        <w:rPr>
          <w:rFonts w:ascii="Courier New" w:cs="Courier New" w:eastAsia="Courier New" w:hAnsi="Courier New"/>
          <w:sz w:val="14"/>
          <w:szCs w:val="14"/>
          <w:color w:val="auto"/>
        </w:rPr>
      </w:pPr>
    </w:p>
    <w:p>
      <w:pPr>
        <w:ind w:left="920" w:hanging="412"/>
        <w:spacing w:after="0"/>
        <w:tabs>
          <w:tab w:leader="none" w:pos="9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for the six months ended April 30, 1993, did not cover fixed charges by $22.8 million.</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Acquisitions and Dispositions</w:t>
      </w:r>
    </w:p>
    <w:p>
      <w:pPr>
        <w:spacing w:after="0" w:line="166" w:lineRule="exact"/>
        <w:rPr>
          <w:sz w:val="20"/>
          <w:szCs w:val="20"/>
          <w:color w:val="auto"/>
        </w:rPr>
      </w:pPr>
    </w:p>
    <w:p>
      <w:pPr>
        <w:ind w:left="920" w:right="619"/>
        <w:spacing w:after="0" w:line="276" w:lineRule="auto"/>
        <w:rPr>
          <w:sz w:val="20"/>
          <w:szCs w:val="20"/>
          <w:color w:val="auto"/>
        </w:rPr>
      </w:pPr>
      <w:r>
        <w:rPr>
          <w:rFonts w:ascii="Courier New" w:cs="Courier New" w:eastAsia="Courier New" w:hAnsi="Courier New"/>
          <w:sz w:val="13"/>
          <w:szCs w:val="13"/>
          <w:color w:val="auto"/>
        </w:rPr>
        <w:t>In February 1994, Paramount acquired Macmillan Publishing Company and certain other publishing assets of Macmillan, Inc. (together, "Macmillan") for approximately $553 million (the "Macmillan Acquisition").</w:t>
      </w:r>
    </w:p>
    <w:p>
      <w:pPr>
        <w:spacing w:after="0" w:line="305" w:lineRule="exact"/>
        <w:rPr>
          <w:sz w:val="20"/>
          <w:szCs w:val="20"/>
          <w:color w:val="auto"/>
        </w:rPr>
      </w:pPr>
    </w:p>
    <w:p>
      <w:pPr>
        <w:ind w:left="920" w:right="439"/>
        <w:spacing w:after="0" w:line="239" w:lineRule="auto"/>
        <w:rPr>
          <w:sz w:val="20"/>
          <w:szCs w:val="20"/>
          <w:color w:val="auto"/>
        </w:rPr>
      </w:pPr>
      <w:r>
        <w:rPr>
          <w:rFonts w:ascii="Courier New" w:cs="Courier New" w:eastAsia="Courier New" w:hAnsi="Courier New"/>
          <w:sz w:val="14"/>
          <w:szCs w:val="14"/>
          <w:color w:val="auto"/>
        </w:rPr>
        <w:t>In September 1993, Paramount purchased television station WKBD-TV in Detroit from Cox Enterprises Inc. for approximately $105 million.</w:t>
      </w:r>
    </w:p>
    <w:p>
      <w:pPr>
        <w:spacing w:after="0" w:line="328" w:lineRule="exact"/>
        <w:rPr>
          <w:sz w:val="20"/>
          <w:szCs w:val="20"/>
          <w:color w:val="auto"/>
        </w:rPr>
      </w:pPr>
    </w:p>
    <w:p>
      <w:pPr>
        <w:ind w:left="920" w:right="199"/>
        <w:spacing w:after="0" w:line="239" w:lineRule="auto"/>
        <w:rPr>
          <w:sz w:val="20"/>
          <w:szCs w:val="20"/>
          <w:color w:val="auto"/>
        </w:rPr>
      </w:pPr>
      <w:r>
        <w:rPr>
          <w:rFonts w:ascii="Courier New" w:cs="Courier New" w:eastAsia="Courier New" w:hAnsi="Courier New"/>
          <w:sz w:val="14"/>
          <w:szCs w:val="14"/>
          <w:color w:val="auto"/>
        </w:rPr>
        <w:t>In May 1993, Paramount purchased the remaining 80% it did not own of Canada's Wonderland, Inc., later renamed Paramount Canada's Wonderland, Inc., a Canadian theme park, for approximately $52 million.</w:t>
      </w:r>
    </w:p>
    <w:p>
      <w:pPr>
        <w:spacing w:after="0" w:line="32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00" w:right="1440" w:bottom="1440" w:gutter="0" w:footer="0" w:header="0"/>
        </w:sectPr>
      </w:pPr>
    </w:p>
    <w:bookmarkStart w:id="35" w:name="page36"/>
    <w:bookmarkEnd w:id="35"/>
    <w:p>
      <w:pPr>
        <w:ind w:right="699"/>
        <w:spacing w:after="0" w:line="241" w:lineRule="auto"/>
        <w:rPr>
          <w:sz w:val="20"/>
          <w:szCs w:val="20"/>
          <w:color w:val="auto"/>
        </w:rPr>
      </w:pPr>
      <w:r>
        <w:rPr>
          <w:rFonts w:ascii="Courier New" w:cs="Courier New" w:eastAsia="Courier New" w:hAnsi="Courier New"/>
          <w:sz w:val="14"/>
          <w:szCs w:val="14"/>
          <w:color w:val="auto"/>
        </w:rPr>
        <w:t>In August and October 1992, Paramount acquired Kings Entertainment Company and Kings Island Company, respectively, later renamed Paramount Parks, which own and operate regional theme parks, for a total of approximately $400 million.</w:t>
      </w:r>
    </w:p>
    <w:p>
      <w:pPr>
        <w:spacing w:after="0" w:line="166" w:lineRule="exact"/>
        <w:rPr>
          <w:sz w:val="20"/>
          <w:szCs w:val="20"/>
          <w:color w:val="auto"/>
        </w:rPr>
      </w:pPr>
    </w:p>
    <w:p>
      <w:pPr>
        <w:jc w:val="both"/>
        <w:ind w:right="619"/>
        <w:spacing w:after="0" w:line="241" w:lineRule="auto"/>
        <w:rPr>
          <w:sz w:val="20"/>
          <w:szCs w:val="20"/>
          <w:color w:val="auto"/>
        </w:rPr>
      </w:pPr>
      <w:r>
        <w:rPr>
          <w:rFonts w:ascii="Courier New" w:cs="Courier New" w:eastAsia="Courier New" w:hAnsi="Courier New"/>
          <w:sz w:val="14"/>
          <w:szCs w:val="14"/>
          <w:color w:val="auto"/>
        </w:rPr>
        <w:t>In November 1991, Paramount acquired Macmillan Computer Publishing, later renamed Prentice Hall Computer Publishing, a leading publisher of personal computer and related technical books, for approximately $158 million.</w:t>
      </w:r>
    </w:p>
    <w:p>
      <w:pPr>
        <w:spacing w:after="0" w:line="166" w:lineRule="exact"/>
        <w:rPr>
          <w:sz w:val="20"/>
          <w:szCs w:val="20"/>
          <w:color w:val="auto"/>
        </w:rPr>
      </w:pPr>
    </w:p>
    <w:p>
      <w:pPr>
        <w:ind w:right="279"/>
        <w:spacing w:after="0" w:line="239" w:lineRule="auto"/>
        <w:rPr>
          <w:sz w:val="20"/>
          <w:szCs w:val="20"/>
          <w:color w:val="auto"/>
        </w:rPr>
      </w:pPr>
      <w:r>
        <w:rPr>
          <w:rFonts w:ascii="Courier New" w:cs="Courier New" w:eastAsia="Courier New" w:hAnsi="Courier New"/>
          <w:sz w:val="14"/>
          <w:szCs w:val="14"/>
          <w:color w:val="auto"/>
        </w:rPr>
        <w:t>In March 1990, Paramount acquired Computer Curriculum Corporation, which develops and markets computer-based learning systems, for approximately $75 million.</w:t>
      </w:r>
    </w:p>
    <w:p>
      <w:pPr>
        <w:spacing w:after="0" w:line="167" w:lineRule="exact"/>
        <w:rPr>
          <w:sz w:val="20"/>
          <w:szCs w:val="20"/>
          <w:color w:val="auto"/>
        </w:rPr>
      </w:pPr>
    </w:p>
    <w:p>
      <w:pPr>
        <w:ind w:right="199"/>
        <w:spacing w:after="0" w:line="242" w:lineRule="auto"/>
        <w:rPr>
          <w:sz w:val="20"/>
          <w:szCs w:val="20"/>
          <w:color w:val="auto"/>
        </w:rPr>
      </w:pPr>
      <w:r>
        <w:rPr>
          <w:rFonts w:ascii="Courier New" w:cs="Courier New" w:eastAsia="Courier New" w:hAnsi="Courier New"/>
          <w:sz w:val="14"/>
          <w:szCs w:val="14"/>
          <w:color w:val="auto"/>
        </w:rPr>
        <w:t>In December 1989, Paramount acquired a preferred and common stock equity interest in Paramount Stations Group ("PSG"), formerly TVX Broadcast Group Inc., which owns and operates independent television stations, for approximately $110 million. Paramount also acquired PSG debt obligations for approximately $34 million. In April 1990, Paramount was granted the right by the FCC to assume control of PSG. Paramount did so by converting preferred stock into common stock and, consequently, began reflecting its operations on a consolidated basis. In July and October 1990, Paramount purchased additional shares of PSG stock for $3.5 million and $4.3 million, respectively. In February 1991, Paramount, through a merger, acquired the remaining outstanding shares of PSG for approximately $62 million.</w:t>
      </w:r>
    </w:p>
    <w:p>
      <w:pPr>
        <w:spacing w:after="0" w:line="169" w:lineRule="exact"/>
        <w:rPr>
          <w:sz w:val="20"/>
          <w:szCs w:val="20"/>
          <w:color w:val="auto"/>
        </w:rPr>
      </w:pPr>
    </w:p>
    <w:p>
      <w:pPr>
        <w:ind w:right="279"/>
        <w:spacing w:after="0" w:line="242" w:lineRule="auto"/>
        <w:rPr>
          <w:sz w:val="20"/>
          <w:szCs w:val="20"/>
          <w:color w:val="auto"/>
        </w:rPr>
      </w:pPr>
      <w:r>
        <w:rPr>
          <w:rFonts w:ascii="Courier New" w:cs="Courier New" w:eastAsia="Courier New" w:hAnsi="Courier New"/>
          <w:sz w:val="14"/>
          <w:szCs w:val="14"/>
          <w:color w:val="auto"/>
        </w:rPr>
        <w:t>In October 1989, Paramount sold Associates First Capital Corporation, its former consumer/commercial finance business, for $3.35 billion. Paramount realized net proceeds of approximately $2.6 billion and reported a gain of approximately $1.2 billion, net of income taxes of $763.4 million. In addition, in fiscal 1989 Paramount sold Prentice Hall Information Services and Prentice Hall Information Network, two units of its Publishing operations, resulting in an after-tax gain of $7.4 million.</w:t>
      </w:r>
    </w:p>
    <w:p>
      <w:pPr>
        <w:spacing w:after="0" w:line="32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319"/>
          </w:cols>
          <w:pgMar w:left="1140" w:top="924" w:right="1440" w:bottom="1440" w:gutter="0" w:footer="0" w:header="0"/>
        </w:sectPr>
      </w:pPr>
    </w:p>
    <w:bookmarkStart w:id="36" w:name="page37"/>
    <w:bookmarkEnd w:id="36"/>
    <w:p>
      <w:pPr>
        <w:jc w:val="center"/>
        <w:ind w:right="3539"/>
        <w:spacing w:after="0"/>
        <w:rPr>
          <w:sz w:val="20"/>
          <w:szCs w:val="20"/>
          <w:color w:val="auto"/>
        </w:rPr>
      </w:pPr>
      <w:r>
        <w:rPr>
          <w:rFonts w:ascii="Courier New" w:cs="Courier New" w:eastAsia="Courier New" w:hAnsi="Courier New"/>
          <w:sz w:val="14"/>
          <w:szCs w:val="14"/>
          <w:color w:val="auto"/>
        </w:rPr>
        <w:t>SELECTED UNAUDITED PRO FORMA FINANCIAL DATA OF PARAMOUNT</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(IN MILLIONS, EXCEPT PER SHARE DATA AND RATIO)</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following selected unaudited pro forma financial data of Paramount for the twelve months ended or at January 31, 1994 gives effect to, on a purchase accounting basis, (i) the Macmillan Acquisition, (ii) the acquisition of television station WKBD-TV in Detroit ("WKBD") in September 1993 and (iii) the acquisition of the remaining 80% interest in Paramount Canada's Wonderland ("PCW") theme park in May 1993. The unaudited pro forma Paramount results of operations data for the twelve months ended January 31, 1994 was prepared based upon the historical consolidated statements of operations of (i) Paramount for the nine months ended January 31, 1994 and three months ended April 30, 1993 combined, (ii) Macmillan for the twelve months ended December 31, 1993, (iii) WKBD for the seven months ended August 31, 1993 and (iv) PCW for the three months ended April 30, 1993. Financial information of WKBD and PCW subsequent to their acquisition is included in the Paramount historical financial information. The unaudited pro forma results of operations data present the transactions as if they had occurred at the beginning of the period presented. The following selected unaudited pro forma balance sheet data was prepared based upon the balance sheet data of (x) Paramount at January 31, 1994 and (y) Macmillan at December 31, 1993. The unaudited pro forma balance sheet data presents the Macmillan Acquisition as if it had occurred on January 31, 1994. The selected unaudited pro forma financial data was derived from, and should be read in conjunction with, the Unaudited Pro Forma Condensed Consolidated Financial Statements and the notes thereto appearing elsewhere in this Proxy Statement/Prospectus. See "Paramount, Macmillan and Other Businesses Acquired Unaudited Pro Forma Condensed Consolidated Financial Statements." The unaudited pro forma data are not necessarily indicative of the results of operations or financial position that would have occurred if the aforementioned transactions had been in effect at the beginning of the period or on the date indicated nor are they necessarily indicative of future operating results or financial position.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60" w:type="dxa"/>
            <w:vAlign w:val="bottom"/>
          </w:tcPr>
          <w:p>
            <w:pPr>
              <w:spacing w:after="0"/>
              <w:rPr>
                <w:sz w:val="13"/>
                <w:szCs w:val="13"/>
                <w:color w:val="auto"/>
              </w:rPr>
            </w:pPr>
          </w:p>
        </w:tc>
        <w:tc>
          <w:tcPr>
            <w:tcW w:w="15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TWELVE MONTHS</w:t>
            </w:r>
          </w:p>
        </w:tc>
      </w:tr>
      <w:tr>
        <w:trPr>
          <w:trHeight w:val="161"/>
        </w:trPr>
        <w:tc>
          <w:tcPr>
            <w:tcW w:w="7960" w:type="dxa"/>
            <w:vAlign w:val="bottom"/>
          </w:tcPr>
          <w:p>
            <w:pPr>
              <w:spacing w:after="0"/>
              <w:rPr>
                <w:sz w:val="13"/>
                <w:szCs w:val="13"/>
                <w:color w:val="auto"/>
              </w:rPr>
            </w:pPr>
          </w:p>
        </w:tc>
        <w:tc>
          <w:tcPr>
            <w:tcW w:w="15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ENDED JANUARY 31,</w:t>
            </w:r>
          </w:p>
        </w:tc>
      </w:tr>
      <w:tr>
        <w:trPr>
          <w:trHeight w:val="161"/>
        </w:trPr>
        <w:tc>
          <w:tcPr>
            <w:tcW w:w="7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center"/>
              <w:ind w:right="390"/>
              <w:spacing w:after="0"/>
              <w:rPr>
                <w:sz w:val="20"/>
                <w:szCs w:val="20"/>
                <w:color w:val="auto"/>
              </w:rPr>
            </w:pPr>
            <w:r>
              <w:rPr>
                <w:rFonts w:ascii="Courier New" w:cs="Courier New" w:eastAsia="Courier New" w:hAnsi="Courier New"/>
                <w:sz w:val="14"/>
                <w:szCs w:val="14"/>
                <w:color w:val="auto"/>
              </w:rPr>
              <w:t>1994</w:t>
            </w:r>
          </w:p>
        </w:tc>
      </w:tr>
      <w:tr>
        <w:trPr>
          <w:trHeight w:val="161"/>
        </w:trPr>
        <w:tc>
          <w:tcPr>
            <w:tcW w:w="7960" w:type="dxa"/>
            <w:vAlign w:val="bottom"/>
          </w:tcPr>
          <w:p>
            <w:pPr>
              <w:spacing w:after="0"/>
              <w:rPr>
                <w:sz w:val="13"/>
                <w:szCs w:val="13"/>
                <w:color w:val="auto"/>
              </w:rPr>
            </w:pPr>
          </w:p>
        </w:tc>
        <w:tc>
          <w:tcPr>
            <w:tcW w:w="1580" w:type="dxa"/>
            <w:vAlign w:val="bottom"/>
            <w:gridSpan w:val="2"/>
          </w:tcPr>
          <w:p>
            <w:pPr>
              <w:jc w:val="center"/>
              <w:ind w:left="10"/>
              <w:spacing w:after="0"/>
              <w:rPr>
                <w:sz w:val="20"/>
                <w:szCs w:val="20"/>
                <w:color w:val="auto"/>
              </w:rPr>
            </w:pPr>
            <w:r>
              <w:rPr>
                <w:rFonts w:ascii="Courier New" w:cs="Courier New" w:eastAsia="Courier New" w:hAnsi="Courier New"/>
                <w:sz w:val="14"/>
                <w:szCs w:val="14"/>
                <w:color w:val="auto"/>
                <w:w w:val="99"/>
              </w:rPr>
              <w:t>------------------</w:t>
            </w:r>
          </w:p>
        </w:tc>
      </w:tr>
      <w:tr>
        <w:trPr>
          <w:trHeight w:val="322"/>
        </w:trPr>
        <w:tc>
          <w:tcPr>
            <w:tcW w:w="796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5,024.0</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540" w:type="dxa"/>
            <w:vAlign w:val="bottom"/>
          </w:tcPr>
          <w:p>
            <w:pPr>
              <w:spacing w:after="0"/>
              <w:rPr>
                <w:sz w:val="13"/>
                <w:szCs w:val="13"/>
                <w:color w:val="auto"/>
              </w:rPr>
            </w:pP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302.1</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Net earnings before cumulative effect of change in accounting principle.......................</w:t>
            </w:r>
          </w:p>
        </w:tc>
        <w:tc>
          <w:tcPr>
            <w:tcW w:w="540" w:type="dxa"/>
            <w:vAlign w:val="bottom"/>
          </w:tcPr>
          <w:p>
            <w:pPr>
              <w:spacing w:after="0"/>
              <w:rPr>
                <w:sz w:val="13"/>
                <w:szCs w:val="13"/>
                <w:color w:val="auto"/>
              </w:rPr>
            </w:pP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155.4</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Net earnings per common share before cumulative effect of change in accounting principle......</w:t>
            </w:r>
          </w:p>
        </w:tc>
        <w:tc>
          <w:tcPr>
            <w:tcW w:w="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1.30</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540" w:type="dxa"/>
            <w:vAlign w:val="bottom"/>
          </w:tcPr>
          <w:p>
            <w:pPr>
              <w:spacing w:after="0"/>
              <w:rPr>
                <w:sz w:val="13"/>
                <w:szCs w:val="13"/>
                <w:color w:val="auto"/>
              </w:rPr>
            </w:pP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3.0x</w:t>
            </w:r>
          </w:p>
        </w:tc>
      </w:tr>
      <w:tr>
        <w:trPr>
          <w:trHeight w:val="161"/>
        </w:trPr>
        <w:tc>
          <w:tcPr>
            <w:tcW w:w="7960" w:type="dxa"/>
            <w:vAlign w:val="bottom"/>
          </w:tcPr>
          <w:p>
            <w:pPr>
              <w:spacing w:after="0"/>
              <w:rPr>
                <w:sz w:val="13"/>
                <w:szCs w:val="13"/>
                <w:color w:val="auto"/>
              </w:rPr>
            </w:pPr>
          </w:p>
        </w:tc>
        <w:tc>
          <w:tcPr>
            <w:tcW w:w="15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AT JANUARY 31,</w:t>
            </w:r>
          </w:p>
        </w:tc>
      </w:tr>
      <w:tr>
        <w:trPr>
          <w:trHeight w:val="161"/>
        </w:trPr>
        <w:tc>
          <w:tcPr>
            <w:tcW w:w="7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center"/>
              <w:ind w:right="390"/>
              <w:spacing w:after="0"/>
              <w:rPr>
                <w:sz w:val="20"/>
                <w:szCs w:val="20"/>
                <w:color w:val="auto"/>
              </w:rPr>
            </w:pPr>
            <w:r>
              <w:rPr>
                <w:rFonts w:ascii="Courier New" w:cs="Courier New" w:eastAsia="Courier New" w:hAnsi="Courier New"/>
                <w:sz w:val="14"/>
                <w:szCs w:val="14"/>
                <w:color w:val="auto"/>
              </w:rPr>
              <w:t>1994</w:t>
            </w:r>
          </w:p>
        </w:tc>
      </w:tr>
      <w:tr>
        <w:trPr>
          <w:trHeight w:val="161"/>
        </w:trPr>
        <w:tc>
          <w:tcPr>
            <w:tcW w:w="7960" w:type="dxa"/>
            <w:vAlign w:val="bottom"/>
          </w:tcPr>
          <w:p>
            <w:pPr>
              <w:spacing w:after="0"/>
              <w:rPr>
                <w:sz w:val="13"/>
                <w:szCs w:val="13"/>
                <w:color w:val="auto"/>
              </w:rPr>
            </w:pPr>
          </w:p>
        </w:tc>
        <w:tc>
          <w:tcPr>
            <w:tcW w:w="1580" w:type="dxa"/>
            <w:vAlign w:val="bottom"/>
            <w:gridSpan w:val="2"/>
          </w:tcPr>
          <w:p>
            <w:pPr>
              <w:jc w:val="center"/>
              <w:ind w:left="10"/>
              <w:spacing w:after="0"/>
              <w:rPr>
                <w:sz w:val="20"/>
                <w:szCs w:val="20"/>
                <w:color w:val="auto"/>
              </w:rPr>
            </w:pPr>
            <w:r>
              <w:rPr>
                <w:rFonts w:ascii="Courier New" w:cs="Courier New" w:eastAsia="Courier New" w:hAnsi="Courier New"/>
                <w:sz w:val="14"/>
                <w:szCs w:val="14"/>
                <w:color w:val="auto"/>
                <w:w w:val="99"/>
              </w:rPr>
              <w:t>------------------</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7,480.7</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w:t>
            </w:r>
          </w:p>
        </w:tc>
        <w:tc>
          <w:tcPr>
            <w:tcW w:w="540" w:type="dxa"/>
            <w:vAlign w:val="bottom"/>
          </w:tcPr>
          <w:p>
            <w:pPr>
              <w:spacing w:after="0"/>
              <w:rPr>
                <w:sz w:val="13"/>
                <w:szCs w:val="13"/>
                <w:color w:val="auto"/>
              </w:rPr>
            </w:pP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1,010.7</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40" w:type="dxa"/>
            <w:vAlign w:val="bottom"/>
          </w:tcPr>
          <w:p>
            <w:pPr>
              <w:spacing w:after="0"/>
              <w:rPr>
                <w:sz w:val="13"/>
                <w:szCs w:val="13"/>
                <w:color w:val="auto"/>
              </w:rPr>
            </w:pP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4,186.8</w:t>
            </w:r>
          </w:p>
        </w:tc>
      </w:tr>
      <w:tr>
        <w:trPr>
          <w:trHeight w:val="161"/>
        </w:trPr>
        <w:tc>
          <w:tcPr>
            <w:tcW w:w="796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34.35</w:t>
            </w:r>
          </w:p>
        </w:tc>
      </w:tr>
      <w:tr>
        <w:trPr>
          <w:trHeight w:val="483"/>
        </w:trPr>
        <w:tc>
          <w:tcPr>
            <w:tcW w:w="7960" w:type="dxa"/>
            <w:vAlign w:val="bottom"/>
          </w:tcPr>
          <w:p>
            <w:pPr>
              <w:ind w:left="3260"/>
              <w:spacing w:after="0"/>
              <w:rPr>
                <w:sz w:val="20"/>
                <w:szCs w:val="20"/>
                <w:color w:val="auto"/>
              </w:rPr>
            </w:pPr>
            <w:r>
              <w:rPr>
                <w:rFonts w:ascii="Courier New" w:cs="Courier New" w:eastAsia="Courier New" w:hAnsi="Courier New"/>
                <w:sz w:val="14"/>
                <w:szCs w:val="14"/>
                <w:color w:val="auto"/>
              </w:rPr>
              <w:t>21</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00" w:right="1440" w:bottom="1440" w:gutter="0" w:footer="0" w:header="0"/>
        </w:sectPr>
      </w:pPr>
    </w:p>
    <w:bookmarkStart w:id="37" w:name="page38"/>
    <w:bookmarkEnd w:id="37"/>
    <w:p>
      <w:pPr>
        <w:jc w:val="center"/>
        <w:ind w:right="3539"/>
        <w:spacing w:after="0"/>
        <w:rPr>
          <w:sz w:val="20"/>
          <w:szCs w:val="20"/>
          <w:color w:val="auto"/>
        </w:rPr>
      </w:pPr>
      <w:r>
        <w:rPr>
          <w:rFonts w:ascii="Courier New" w:cs="Courier New" w:eastAsia="Courier New" w:hAnsi="Courier New"/>
          <w:sz w:val="14"/>
          <w:szCs w:val="14"/>
          <w:color w:val="auto"/>
        </w:rPr>
        <w:t>SELECTED HISTORICAL CONSOLIDATED FINANCIAL DATA OF</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BLOCKBUSTER</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(IN MILLIONS, EXCEPT PER SHARE DATA AND RATIOS)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Blockbuster and has been derived from and should be read in conjunction with the audited consolidated financial statements of Blockbuster, including the notes thereto, which are incorporated by reference in this Proxy Statement/Prospectus. See "Incorporation of Certain Documents by Reference." The notes to the audited consolidated financial statements disclose, among other matters, certain business acquisitions and certain other transactions.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5"/>
          </w:tcPr>
          <w:p>
            <w:pPr>
              <w:jc w:val="right"/>
              <w:ind w:right="430"/>
              <w:spacing w:after="0"/>
              <w:rPr>
                <w:sz w:val="20"/>
                <w:szCs w:val="20"/>
                <w:color w:val="auto"/>
              </w:rPr>
            </w:pPr>
            <w:r>
              <w:rPr>
                <w:rFonts w:ascii="Courier New" w:cs="Courier New" w:eastAsia="Courier New" w:hAnsi="Courier New"/>
                <w:sz w:val="14"/>
                <w:szCs w:val="14"/>
                <w:color w:val="auto"/>
              </w:rPr>
              <w:t>YEAR ENDED DECEMBER 31,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4780" w:type="dxa"/>
            <w:vAlign w:val="bottom"/>
          </w:tcPr>
          <w:p>
            <w:pPr>
              <w:spacing w:after="0"/>
              <w:rPr>
                <w:sz w:val="13"/>
                <w:szCs w:val="13"/>
                <w:color w:val="auto"/>
              </w:rPr>
            </w:pPr>
          </w:p>
        </w:tc>
        <w:tc>
          <w:tcPr>
            <w:tcW w:w="46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w w:val="95"/>
              </w:rPr>
              <w:t>1993(A)</w:t>
            </w:r>
          </w:p>
        </w:tc>
        <w:tc>
          <w:tcPr>
            <w:tcW w:w="16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8"/>
              </w:rPr>
              <w:t>1992(B)</w:t>
            </w:r>
          </w:p>
        </w:tc>
        <w:tc>
          <w:tcPr>
            <w:tcW w:w="16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w w:val="98"/>
              </w:rPr>
              <w:t>1991(C)</w:t>
            </w:r>
          </w:p>
        </w:tc>
        <w:tc>
          <w:tcPr>
            <w:tcW w:w="120" w:type="dxa"/>
            <w:vAlign w:val="bottom"/>
          </w:tcPr>
          <w:p>
            <w:pPr>
              <w:spacing w:after="0"/>
              <w:rPr>
                <w:sz w:val="13"/>
                <w:szCs w:val="13"/>
                <w:color w:val="auto"/>
              </w:rPr>
            </w:pPr>
          </w:p>
        </w:tc>
        <w:tc>
          <w:tcPr>
            <w:tcW w:w="7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1990</w:t>
            </w:r>
          </w:p>
        </w:tc>
        <w:tc>
          <w:tcPr>
            <w:tcW w:w="160" w:type="dxa"/>
            <w:vAlign w:val="bottom"/>
          </w:tcPr>
          <w:p>
            <w:pPr>
              <w:spacing w:after="0"/>
              <w:rPr>
                <w:sz w:val="13"/>
                <w:szCs w:val="13"/>
                <w:color w:val="auto"/>
              </w:rPr>
            </w:pPr>
          </w:p>
        </w:tc>
        <w:tc>
          <w:tcPr>
            <w:tcW w:w="6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8"/>
              </w:rPr>
              <w:t>1989(D)</w:t>
            </w:r>
          </w:p>
        </w:tc>
      </w:tr>
      <w:tr>
        <w:trPr>
          <w:trHeight w:val="161"/>
        </w:trPr>
        <w:tc>
          <w:tcPr>
            <w:tcW w:w="4780" w:type="dxa"/>
            <w:vAlign w:val="bottom"/>
          </w:tcPr>
          <w:p>
            <w:pPr>
              <w:spacing w:after="0"/>
              <w:rPr>
                <w:sz w:val="13"/>
                <w:szCs w:val="13"/>
                <w:color w:val="auto"/>
              </w:rPr>
            </w:pP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2,227.0</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$ 1,315.8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961.6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699.7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421.9</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spacing w:after="0"/>
              <w:rPr>
                <w:sz w:val="13"/>
                <w:szCs w:val="13"/>
                <w:color w:val="auto"/>
              </w:rPr>
            </w:pP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423.0</w:t>
            </w:r>
          </w:p>
        </w:tc>
        <w:tc>
          <w:tcPr>
            <w:tcW w:w="16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242.9</w:t>
            </w:r>
          </w:p>
        </w:tc>
        <w:tc>
          <w:tcPr>
            <w:tcW w:w="16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161.1</w:t>
            </w:r>
          </w:p>
        </w:tc>
        <w:tc>
          <w:tcPr>
            <w:tcW w:w="12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122.1</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76.9</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spacing w:after="0"/>
              <w:rPr>
                <w:sz w:val="13"/>
                <w:szCs w:val="13"/>
                <w:color w:val="auto"/>
              </w:rPr>
            </w:pP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389.8</w:t>
            </w:r>
          </w:p>
        </w:tc>
        <w:tc>
          <w:tcPr>
            <w:tcW w:w="16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231.2</w:t>
            </w:r>
          </w:p>
        </w:tc>
        <w:tc>
          <w:tcPr>
            <w:tcW w:w="16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141.0</w:t>
            </w:r>
          </w:p>
        </w:tc>
        <w:tc>
          <w:tcPr>
            <w:tcW w:w="12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103.7</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243.6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148.3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89.1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65.9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earnings per share--assuming full dilution(e).......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1.10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.06</w:t>
            </w:r>
          </w:p>
        </w:tc>
        <w:tc>
          <w:tcPr>
            <w:tcW w:w="16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60" w:type="dxa"/>
            <w:vAlign w:val="bottom"/>
          </w:tcPr>
          <w:p>
            <w:pPr>
              <w:spacing w:after="0"/>
              <w:rPr>
                <w:sz w:val="13"/>
                <w:szCs w:val="13"/>
                <w:color w:val="auto"/>
              </w:rPr>
            </w:pP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4.9x</w:t>
            </w:r>
          </w:p>
        </w:tc>
        <w:tc>
          <w:tcPr>
            <w:tcW w:w="16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4.9x</w:t>
            </w:r>
          </w:p>
        </w:tc>
        <w:tc>
          <w:tcPr>
            <w:tcW w:w="16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3.8x</w:t>
            </w:r>
          </w:p>
        </w:tc>
        <w:tc>
          <w:tcPr>
            <w:tcW w:w="12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3.6x</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3.7x</w:t>
            </w:r>
          </w:p>
        </w:tc>
      </w:tr>
      <w:tr>
        <w:trPr>
          <w:trHeight w:val="161"/>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4780" w:type="dxa"/>
            <w:vAlign w:val="bottom"/>
          </w:tcPr>
          <w:p>
            <w:pPr>
              <w:spacing w:after="0"/>
              <w:rPr>
                <w:sz w:val="13"/>
                <w:szCs w:val="13"/>
                <w:color w:val="auto"/>
              </w:rPr>
            </w:pPr>
          </w:p>
        </w:tc>
        <w:tc>
          <w:tcPr>
            <w:tcW w:w="46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1993</w:t>
            </w:r>
          </w:p>
        </w:tc>
        <w:tc>
          <w:tcPr>
            <w:tcW w:w="160" w:type="dxa"/>
            <w:vAlign w:val="bottom"/>
          </w:tcPr>
          <w:p>
            <w:pPr>
              <w:spacing w:after="0"/>
              <w:rPr>
                <w:sz w:val="13"/>
                <w:szCs w:val="13"/>
                <w:color w:val="auto"/>
              </w:rPr>
            </w:pPr>
          </w:p>
        </w:tc>
        <w:tc>
          <w:tcPr>
            <w:tcW w:w="7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1992</w:t>
            </w:r>
          </w:p>
        </w:tc>
        <w:tc>
          <w:tcPr>
            <w:tcW w:w="160" w:type="dxa"/>
            <w:vAlign w:val="bottom"/>
          </w:tcPr>
          <w:p>
            <w:pPr>
              <w:spacing w:after="0"/>
              <w:rPr>
                <w:sz w:val="13"/>
                <w:szCs w:val="13"/>
                <w:color w:val="auto"/>
              </w:rPr>
            </w:pPr>
          </w:p>
        </w:tc>
        <w:tc>
          <w:tcPr>
            <w:tcW w:w="8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1991</w:t>
            </w:r>
          </w:p>
        </w:tc>
        <w:tc>
          <w:tcPr>
            <w:tcW w:w="120" w:type="dxa"/>
            <w:vAlign w:val="bottom"/>
          </w:tcPr>
          <w:p>
            <w:pPr>
              <w:spacing w:after="0"/>
              <w:rPr>
                <w:sz w:val="13"/>
                <w:szCs w:val="13"/>
                <w:color w:val="auto"/>
              </w:rPr>
            </w:pPr>
          </w:p>
        </w:tc>
        <w:tc>
          <w:tcPr>
            <w:tcW w:w="7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1990</w:t>
            </w:r>
          </w:p>
        </w:tc>
        <w:tc>
          <w:tcPr>
            <w:tcW w:w="160" w:type="dxa"/>
            <w:vAlign w:val="bottom"/>
          </w:tcPr>
          <w:p>
            <w:pPr>
              <w:spacing w:after="0"/>
              <w:rPr>
                <w:sz w:val="13"/>
                <w:szCs w:val="13"/>
                <w:color w:val="auto"/>
              </w:rPr>
            </w:pPr>
          </w:p>
        </w:tc>
        <w:tc>
          <w:tcPr>
            <w:tcW w:w="6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1989</w:t>
            </w:r>
          </w:p>
        </w:tc>
      </w:tr>
      <w:tr>
        <w:trPr>
          <w:trHeight w:val="161"/>
        </w:trPr>
        <w:tc>
          <w:tcPr>
            <w:tcW w:w="4780" w:type="dxa"/>
            <w:vAlign w:val="bottom"/>
          </w:tcPr>
          <w:p>
            <w:pPr>
              <w:spacing w:after="0"/>
              <w:rPr>
                <w:sz w:val="13"/>
                <w:szCs w:val="13"/>
                <w:color w:val="auto"/>
              </w:rPr>
            </w:pP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3,521.0</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$ 1,540.7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893.3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702.1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468.9</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w:t>
            </w:r>
          </w:p>
        </w:tc>
        <w:tc>
          <w:tcPr>
            <w:tcW w:w="160" w:type="dxa"/>
            <w:vAlign w:val="bottom"/>
          </w:tcPr>
          <w:p>
            <w:pPr>
              <w:spacing w:after="0"/>
              <w:rPr>
                <w:sz w:val="13"/>
                <w:szCs w:val="13"/>
                <w:color w:val="auto"/>
              </w:rPr>
            </w:pP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612.6</w:t>
            </w:r>
          </w:p>
        </w:tc>
        <w:tc>
          <w:tcPr>
            <w:tcW w:w="16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373.5</w:t>
            </w:r>
          </w:p>
        </w:tc>
        <w:tc>
          <w:tcPr>
            <w:tcW w:w="16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214.2</w:t>
            </w:r>
          </w:p>
        </w:tc>
        <w:tc>
          <w:tcPr>
            <w:tcW w:w="12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253.9</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178.0</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3"/>
                <w:szCs w:val="13"/>
                <w:color w:val="auto"/>
              </w:rPr>
            </w:pP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2,123.4</w:t>
            </w:r>
          </w:p>
        </w:tc>
        <w:tc>
          <w:tcPr>
            <w:tcW w:w="16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787.3</w:t>
            </w:r>
          </w:p>
        </w:tc>
        <w:tc>
          <w:tcPr>
            <w:tcW w:w="16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480.5</w:t>
            </w:r>
          </w:p>
        </w:tc>
        <w:tc>
          <w:tcPr>
            <w:tcW w:w="12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319.4</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210.2</w:t>
            </w:r>
          </w:p>
        </w:tc>
      </w:tr>
      <w:tr>
        <w:trPr>
          <w:trHeight w:val="161"/>
        </w:trPr>
        <w:tc>
          <w:tcPr>
            <w:tcW w:w="47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8.58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3.98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2.04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bl>
    <w:p>
      <w:pPr>
        <w:spacing w:after="0" w:line="32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See notes to selected historical consolidated financial data of Blockbuster.</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00" w:right="1440" w:bottom="1440" w:gutter="0" w:footer="0" w:header="0"/>
        </w:sectPr>
      </w:pPr>
    </w:p>
    <w:bookmarkStart w:id="38" w:name="page39"/>
    <w:bookmarkEnd w:id="38"/>
    <w:p>
      <w:pPr>
        <w:jc w:val="center"/>
        <w:ind w:right="3619"/>
        <w:spacing w:after="0"/>
        <w:rPr>
          <w:sz w:val="20"/>
          <w:szCs w:val="20"/>
          <w:color w:val="auto"/>
        </w:rPr>
      </w:pPr>
      <w:r>
        <w:rPr>
          <w:rFonts w:ascii="Courier New" w:cs="Courier New" w:eastAsia="Courier New" w:hAnsi="Courier New"/>
          <w:sz w:val="14"/>
          <w:szCs w:val="14"/>
          <w:color w:val="auto"/>
        </w:rPr>
        <w:t>NOTES TO SELECTED HISTORICAL CONSOLIDATED FINANCIAL DATA OF</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BLOCKBUSTER</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Financial data for all periods presented is restated to reflect Blockbuster's consolidation with WJB Video Limited Partnership and certain of its affiliates ("WJB") in August 1993, which was accounted for under the pooling of interests method of accounting.</w:t>
      </w:r>
    </w:p>
    <w:p>
      <w:pPr>
        <w:spacing w:after="0" w:line="200" w:lineRule="exact"/>
        <w:rPr>
          <w:sz w:val="20"/>
          <w:szCs w:val="20"/>
          <w:color w:val="auto"/>
        </w:rPr>
      </w:pPr>
    </w:p>
    <w:p>
      <w:pPr>
        <w:spacing w:after="0" w:line="287" w:lineRule="exact"/>
        <w:rPr>
          <w:sz w:val="20"/>
          <w:szCs w:val="20"/>
          <w:color w:val="auto"/>
        </w:rPr>
      </w:pPr>
    </w:p>
    <w:p>
      <w:pPr>
        <w:ind w:left="920" w:right="199" w:hanging="412"/>
        <w:spacing w:after="0" w:line="242" w:lineRule="auto"/>
        <w:tabs>
          <w:tab w:leader="none" w:pos="9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1993, Blockbuster acquired a majority of Spelling Entertainment's outstanding common stock. In November 1993, Blockbuster acquired all of the outstanding capital stock of Super Club Retail Entertainment Corporation and subsidiaries ("Super Club"). These transactions were accounted for under the purchase method of accounting and, accordingly, the results of operations of Spelling Entertainment and Super Club subsequent to their acquisition are included in Blockbuster's consolidated financial statements. At December 31, 1993, Blockbuster owned 45,658,640 shares of common stock of Spelling Entertainment, representing approximately 70.5% of its outstanding shares.</w:t>
      </w:r>
    </w:p>
    <w:p>
      <w:pPr>
        <w:spacing w:after="0" w:line="6" w:lineRule="exact"/>
        <w:rPr>
          <w:rFonts w:ascii="Courier New" w:cs="Courier New" w:eastAsia="Courier New" w:hAnsi="Courier New"/>
          <w:sz w:val="14"/>
          <w:szCs w:val="14"/>
          <w:color w:val="auto"/>
        </w:rPr>
      </w:pPr>
    </w:p>
    <w:p>
      <w:pPr>
        <w:ind w:left="920" w:right="199" w:hanging="412"/>
        <w:spacing w:after="0" w:line="242" w:lineRule="auto"/>
        <w:tabs>
          <w:tab w:leader="none" w:pos="9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1992, Blockbuster acquired substantially all of the outstanding ordinary shares of Cityvision plc ("Cityvision"). The transaction was accounted for under the purchase method of accounting and, accordingly, the results of operations of Cityvision subsequent to that time are included in Blockbuster's consolidated financial statements. In November 1992, Blockbuster acquired all of the outstanding common stock of Sound Warehouse, Inc. (together with its subsidiary, "Sound Warehouse") and Show Industries, Inc. ("Show Industries"). These transactions were accounted for under the purchase method of accounting and, accordingly, the results of operations of Sound Warehouse and Show Industries subsequent to that time are included in Blockbuster's consolidated financial statements.</w:t>
      </w:r>
    </w:p>
    <w:p>
      <w:pPr>
        <w:spacing w:after="0" w:line="7" w:lineRule="exact"/>
        <w:rPr>
          <w:rFonts w:ascii="Courier New" w:cs="Courier New" w:eastAsia="Courier New" w:hAnsi="Courier New"/>
          <w:sz w:val="14"/>
          <w:szCs w:val="14"/>
          <w:color w:val="auto"/>
        </w:rPr>
      </w:pPr>
    </w:p>
    <w:p>
      <w:pPr>
        <w:ind w:left="920" w:right="279" w:hanging="412"/>
        <w:spacing w:after="0" w:line="242" w:lineRule="auto"/>
        <w:tabs>
          <w:tab w:leader="none" w:pos="9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April 1991, Blockbuster acquired all of the outstanding shares of capital stock of Erol's Inc. ("Erol's"). The transaction was accounted for under the purchase method of accounting and, accordingly, the results of operations of Erol's subsequent to that time are included in Blockbuster's consolidated financial statements.</w:t>
      </w:r>
    </w:p>
    <w:p>
      <w:pPr>
        <w:spacing w:after="0" w:line="3" w:lineRule="exact"/>
        <w:rPr>
          <w:rFonts w:ascii="Courier New" w:cs="Courier New" w:eastAsia="Courier New" w:hAnsi="Courier New"/>
          <w:sz w:val="14"/>
          <w:szCs w:val="14"/>
          <w:color w:val="auto"/>
        </w:rPr>
      </w:pPr>
    </w:p>
    <w:p>
      <w:pPr>
        <w:jc w:val="both"/>
        <w:ind w:left="920" w:right="279" w:hanging="412"/>
        <w:spacing w:after="0" w:line="262" w:lineRule="auto"/>
        <w:tabs>
          <w:tab w:leader="none" w:pos="92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January 1989, a wholly owned subsidiary of Blockbuster was merged into Major Video Corp. ("Major Video"). In August 1989, Blockbuster acquired Video Superstore Master Limited Partnership ("VSMLP"), then its largest franchise owner. These transactions were accounted for under the pooling of interests method of accounting.</w:t>
      </w:r>
    </w:p>
    <w:p>
      <w:pPr>
        <w:ind w:left="920" w:right="43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Accordingly, financial data has been restated as if Blockbuster, Major Video and VSMLP had operated as one entity since inception.</w:t>
      </w:r>
    </w:p>
    <w:p>
      <w:pPr>
        <w:spacing w:after="0" w:line="5" w:lineRule="exact"/>
        <w:rPr>
          <w:rFonts w:ascii="Courier New" w:cs="Courier New" w:eastAsia="Courier New" w:hAnsi="Courier New"/>
          <w:sz w:val="13"/>
          <w:szCs w:val="13"/>
          <w:color w:val="auto"/>
        </w:rPr>
      </w:pPr>
    </w:p>
    <w:p>
      <w:pPr>
        <w:ind w:left="920" w:right="519" w:hanging="412"/>
        <w:spacing w:after="0" w:line="239" w:lineRule="auto"/>
        <w:tabs>
          <w:tab w:leader="none" w:pos="9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has been adjusted to reflect two-for-one splits of Blockbuster Common Stock in May 1989 and March 1991.</w:t>
      </w:r>
    </w:p>
    <w:p>
      <w:pPr>
        <w:spacing w:after="0" w:line="32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00" w:right="1440" w:bottom="1440" w:gutter="0" w:footer="0" w:header="0"/>
        </w:sectPr>
      </w:pPr>
    </w:p>
    <w:bookmarkStart w:id="39" w:name="page40"/>
    <w:bookmarkEnd w:id="39"/>
    <w:p>
      <w:pPr>
        <w:jc w:val="center"/>
        <w:ind w:right="3539"/>
        <w:spacing w:after="0"/>
        <w:rPr>
          <w:sz w:val="20"/>
          <w:szCs w:val="20"/>
          <w:color w:val="auto"/>
        </w:rPr>
      </w:pPr>
      <w:r>
        <w:rPr>
          <w:rFonts w:ascii="Courier New" w:cs="Courier New" w:eastAsia="Courier New" w:hAnsi="Courier New"/>
          <w:sz w:val="14"/>
          <w:szCs w:val="14"/>
          <w:color w:val="auto"/>
        </w:rPr>
        <w:t>SELECTED UNAUDITED PRO FORMA FINANCIAL DATA OF</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BLOCKBUSTER</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(IN MILLIONS, EXCEPT PER SHARE DATA AND RATIO)</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following selected unaudited pro forma financial data of Blockbuster for the year ended December 31, 1993 gives effect to (i) the acquisition of Super Club, (ii) the acquisition of a majority of the outstanding common stock of Spelling Entertainment, (iii) the $1.25 billion investment in Viacom Class B Common Stock pursuant to the Blockbuster Subscription Agreement and (iv) additional borrowings of $1.25 billion. The acquisitions in (i) and (ii) above were accounted for under the purchase method of accounting. The unaudited pro forma results of operations data for the year ended December 31, 1993 was prepared based upon the results of operations of Blockbuster for the year ended December 31, 1993, Super Club for the eleven months ended November 20, 1993 and Spelling Entertainment for the three months ended March 31, 1993. Financial information subsequent to the acquisition of the majority of the outstanding common stock of Spelling Entertainment and the acquisition of Super Club is included in the Blockbuster historical financial information. The unaudited pro forma results of operations data presents the transactions above as if they had occurred at the beginning of the period presented. The selected unaudited pro forma balance sheet data was prepared based upon the balance sheet of Blockbuster at December 31, 1993. The unaudited pro forma balance sheet data presents pro forma transactions (iii) and (iv) above as if they had occurred at December 31, 1993. The selected unaudited pro forma financial data was derived from, and should be read in conjunction with, the Unaudited Pro Forma Condensed Consolidated Financial Statements of Blockbuster and the notes thereto appearing elsewhere in this Proxy Statement/Prospectus. See "Blockbuster, Super Club and Spelling Entertainment Unaudited Pro Forma Condensed Consolidated Financial Statements." The unaudited pro forma financial data are not necessarily indicative of the results of operations or financial position that would have occurred if the aforementioned transactions had been in effect at the beginning of the period or at the date indicated nor are they necessarily indicative of future operating results or financial position.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YEAR ENDED</w:t>
            </w:r>
          </w:p>
        </w:tc>
      </w:tr>
      <w:tr>
        <w:trPr>
          <w:trHeight w:val="161"/>
        </w:trPr>
        <w:tc>
          <w:tcPr>
            <w:tcW w:w="83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w:t>
            </w:r>
          </w:p>
        </w:tc>
      </w:tr>
      <w:tr>
        <w:trPr>
          <w:trHeight w:val="161"/>
        </w:trPr>
        <w:tc>
          <w:tcPr>
            <w:tcW w:w="8380" w:type="dxa"/>
            <w:vAlign w:val="bottom"/>
          </w:tcPr>
          <w:p>
            <w:pPr>
              <w:spacing w:after="0"/>
              <w:rPr>
                <w:sz w:val="13"/>
                <w:szCs w:val="13"/>
                <w:color w:val="auto"/>
              </w:rPr>
            </w:pPr>
          </w:p>
        </w:tc>
        <w:tc>
          <w:tcPr>
            <w:tcW w:w="116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1993</w:t>
            </w:r>
          </w:p>
        </w:tc>
      </w:tr>
      <w:tr>
        <w:trPr>
          <w:trHeight w:val="161"/>
        </w:trPr>
        <w:tc>
          <w:tcPr>
            <w:tcW w:w="83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7"/>
              </w:rPr>
              <w:t>-------------</w:t>
            </w:r>
          </w:p>
        </w:tc>
      </w:tr>
      <w:tr>
        <w:trPr>
          <w:trHeight w:val="322"/>
        </w:trPr>
        <w:tc>
          <w:tcPr>
            <w:tcW w:w="838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2,595.2</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50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435.6</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Net earnings from continuing operations............................................................</w:t>
            </w:r>
          </w:p>
        </w:tc>
        <w:tc>
          <w:tcPr>
            <w:tcW w:w="50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225.2</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Net earnings per share from continuing operations--assuming full dilution..........................</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0.92</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50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3.3x</w:t>
            </w:r>
          </w:p>
        </w:tc>
      </w:tr>
      <w:tr>
        <w:trPr>
          <w:trHeight w:val="161"/>
        </w:trPr>
        <w:tc>
          <w:tcPr>
            <w:tcW w:w="83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AT DECEMBER</w:t>
            </w:r>
          </w:p>
        </w:tc>
      </w:tr>
      <w:tr>
        <w:trPr>
          <w:trHeight w:val="161"/>
        </w:trPr>
        <w:tc>
          <w:tcPr>
            <w:tcW w:w="8380" w:type="dxa"/>
            <w:vAlign w:val="bottom"/>
          </w:tcPr>
          <w:p>
            <w:pPr>
              <w:spacing w:after="0"/>
              <w:rPr>
                <w:sz w:val="13"/>
                <w:szCs w:val="13"/>
                <w:color w:val="auto"/>
              </w:rPr>
            </w:pPr>
          </w:p>
        </w:tc>
        <w:tc>
          <w:tcPr>
            <w:tcW w:w="500" w:type="dxa"/>
            <w:vAlign w:val="bottom"/>
          </w:tcPr>
          <w:p>
            <w:pPr>
              <w:ind w:left="240"/>
              <w:spacing w:after="0"/>
              <w:rPr>
                <w:sz w:val="20"/>
                <w:szCs w:val="20"/>
                <w:color w:val="auto"/>
              </w:rPr>
            </w:pPr>
            <w:r>
              <w:rPr>
                <w:rFonts w:ascii="Courier New" w:cs="Courier New" w:eastAsia="Courier New" w:hAnsi="Courier New"/>
                <w:sz w:val="14"/>
                <w:szCs w:val="14"/>
                <w:color w:val="auto"/>
                <w:w w:val="95"/>
              </w:rPr>
              <w:t>31,</w:t>
            </w:r>
          </w:p>
        </w:tc>
        <w:tc>
          <w:tcPr>
            <w:tcW w:w="6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1993</w:t>
            </w:r>
          </w:p>
        </w:tc>
      </w:tr>
      <w:tr>
        <w:trPr>
          <w:trHeight w:val="161"/>
        </w:trPr>
        <w:tc>
          <w:tcPr>
            <w:tcW w:w="83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7"/>
              </w:rPr>
              <w:t>-------------</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4,771.0</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w:t>
            </w:r>
          </w:p>
        </w:tc>
        <w:tc>
          <w:tcPr>
            <w:tcW w:w="50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1,862.6</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0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2,123.4</w:t>
            </w:r>
          </w:p>
        </w:tc>
      </w:tr>
      <w:tr>
        <w:trPr>
          <w:trHeight w:val="161"/>
        </w:trPr>
        <w:tc>
          <w:tcPr>
            <w:tcW w:w="83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8.58</w:t>
            </w:r>
          </w:p>
        </w:tc>
      </w:tr>
      <w:tr>
        <w:trPr>
          <w:trHeight w:val="483"/>
        </w:trPr>
        <w:tc>
          <w:tcPr>
            <w:tcW w:w="8380" w:type="dxa"/>
            <w:vAlign w:val="bottom"/>
          </w:tcPr>
          <w:p>
            <w:pPr>
              <w:ind w:left="3260"/>
              <w:spacing w:after="0"/>
              <w:rPr>
                <w:sz w:val="20"/>
                <w:szCs w:val="20"/>
                <w:color w:val="auto"/>
              </w:rPr>
            </w:pPr>
            <w:r>
              <w:rPr>
                <w:rFonts w:ascii="Courier New" w:cs="Courier New" w:eastAsia="Courier New" w:hAnsi="Courier New"/>
                <w:sz w:val="14"/>
                <w:szCs w:val="14"/>
                <w:color w:val="auto"/>
              </w:rPr>
              <w:t>24</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00" w:right="1440" w:bottom="1440" w:gutter="0" w:footer="0" w:header="0"/>
        </w:sectPr>
      </w:pPr>
    </w:p>
    <w:bookmarkStart w:id="40" w:name="page41"/>
    <w:bookmarkEnd w:id="40"/>
    <w:p>
      <w:pPr>
        <w:jc w:val="center"/>
        <w:ind w:right="3619"/>
        <w:spacing w:after="0"/>
        <w:rPr>
          <w:sz w:val="20"/>
          <w:szCs w:val="20"/>
          <w:color w:val="auto"/>
        </w:rPr>
      </w:pPr>
      <w:r>
        <w:rPr>
          <w:rFonts w:ascii="Courier New" w:cs="Courier New" w:eastAsia="Courier New" w:hAnsi="Courier New"/>
          <w:sz w:val="14"/>
          <w:szCs w:val="14"/>
          <w:color w:val="auto"/>
        </w:rPr>
        <w:t>SELECTED UNAUDITED PRO FORMA COMBINED FINANCIAL DATA OF</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COMBINED COMPANY</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(IN MILLIONS, EXCEPT PER SHARE DATA AND RATIOS)</w:t>
      </w:r>
    </w:p>
    <w:p>
      <w:pPr>
        <w:spacing w:after="0" w:line="32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following selected unaudited pro forma combined financial data gives effect to (i) the Offer and the Paramount Merger, which will be accounted for under the purchase method of accounting, (ii) the elimination of all of the outstanding Paramount Common Stock, (iii) the issuance of the Paramount Merger Consideration, (iv) the acquisitions by Paramount described under "Selected Unaudited Pro Forma Financial Data of Paramount," (v) the Blockbuster Merger, which will be accounted for under the purchase method of accounting, (vi) the elimination of all of the outstanding Blockbuster Common Stock, (vii) the elimination of all the Series A Preferred Stock and Viacom Class B Common Stock held by Blockbuster, (viii) the issuance of the Blockbuster Merger Consideration, (ix) the pro forma events of Blockbuster described under "Selected Unaudited Pro Forma Financial Data of Blockbuster" and (x) the sale of Viacom's one-third partnership interest in LIFETIME (items (i) through (iv) being, collectively, the "Paramount Pro Forma Events," items (v) through (ix) being, collectively, the "Blockbuster Pro Forma Events," and, together with the Paramount Pro Forma Events and item (x), the "Pro Forma Events"), as if such events occurred at the beginning of the period presented for results of operations data. The following unaudited pro forma results of operations data was prepared based upon the results of operations of Viacom and Blockbuster for the year ended December 31, 1993 and of Paramount for the nine months ended January 31, 1994 combined with the three months ended April 30, 1993. The following selected unaudited pro forma combined balance sheet data was prepared based upon the balance sheet data of Viacom and Blockbuster at December 31, 1993 and the balance sheet data of Paramount at January 31, 1994. Such unaudited pro forma combined balance sheet data gives effect to the Pro Forma Events as if they occurred on December 31, 1993. The selected unaudited pro forma combined financial data was derived from, and should be read in conjunction with, the unaudited pro forma combined condensed financial statements and the notes thereto appearing elsewhere in this Proxy Statement/Prospectus. See "Combined Company Unaudited Pro Forma Combined Condensed Financial Statements." The unaudited pro forma data are not necessarily indicative of the combined results of operations or financial position that would have occurred if the Paramount Pro Forma Events or the Pro Forma Events, as the case may be, had been in effect at the beginning of the period or on the date indicated nor are they necessarily indicative of future operating results or financial position of the combined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3420" w:type="dxa"/>
            <w:vAlign w:val="bottom"/>
            <w:gridSpan w:val="4"/>
          </w:tcPr>
          <w:p>
            <w:pPr>
              <w:jc w:val="right"/>
              <w:ind w:right="190"/>
              <w:spacing w:after="0"/>
              <w:rPr>
                <w:sz w:val="20"/>
                <w:szCs w:val="20"/>
                <w:color w:val="auto"/>
              </w:rPr>
            </w:pPr>
            <w:r>
              <w:rPr>
                <w:rFonts w:ascii="Courier New" w:cs="Courier New" w:eastAsia="Courier New" w:hAnsi="Courier New"/>
                <w:sz w:val="14"/>
                <w:szCs w:val="14"/>
                <w:color w:val="auto"/>
              </w:rPr>
              <w:t>YEAR ENDED OR AT DECEMBER 31, 1993</w:t>
            </w:r>
          </w:p>
        </w:tc>
      </w:tr>
      <w:tr>
        <w:trPr>
          <w:trHeight w:val="161"/>
        </w:trPr>
        <w:tc>
          <w:tcPr>
            <w:tcW w:w="6040" w:type="dxa"/>
            <w:vAlign w:val="bottom"/>
          </w:tcPr>
          <w:p>
            <w:pPr>
              <w:spacing w:after="0"/>
              <w:rPr>
                <w:sz w:val="13"/>
                <w:szCs w:val="13"/>
                <w:color w:val="auto"/>
              </w:rPr>
            </w:pPr>
          </w:p>
        </w:tc>
        <w:tc>
          <w:tcPr>
            <w:tcW w:w="3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COMBINED</w:t>
            </w:r>
          </w:p>
        </w:tc>
      </w:tr>
      <w:tr>
        <w:trPr>
          <w:trHeight w:val="161"/>
        </w:trPr>
        <w:tc>
          <w:tcPr>
            <w:tcW w:w="6040" w:type="dxa"/>
            <w:vAlign w:val="bottom"/>
          </w:tcPr>
          <w:p>
            <w:pPr>
              <w:spacing w:after="0"/>
              <w:rPr>
                <w:sz w:val="13"/>
                <w:szCs w:val="13"/>
                <w:color w:val="auto"/>
              </w:rPr>
            </w:pPr>
          </w:p>
        </w:tc>
        <w:tc>
          <w:tcPr>
            <w:tcW w:w="170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VIACOM/PARAMOUNT*</w:t>
            </w:r>
          </w:p>
        </w:tc>
        <w:tc>
          <w:tcPr>
            <w:tcW w:w="500" w:type="dxa"/>
            <w:vAlign w:val="bottom"/>
          </w:tcPr>
          <w:p>
            <w:pPr>
              <w:spacing w:after="0"/>
              <w:rPr>
                <w:sz w:val="13"/>
                <w:szCs w:val="13"/>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1"/>
        </w:trPr>
        <w:tc>
          <w:tcPr>
            <w:tcW w:w="604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7,028.9</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9,624.1</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66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543.3</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887.9</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Earnings before extraordinary item, cumulative effect of change in</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1"/>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 and preferred stock dividend requirements.......</w:t>
            </w:r>
          </w:p>
        </w:tc>
        <w:tc>
          <w:tcPr>
            <w:tcW w:w="66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12.8</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128.5</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Earnings attributable to common stock before extraordinary item and</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1"/>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660" w:type="dxa"/>
            <w:vAlign w:val="bottom"/>
          </w:tcPr>
          <w:p>
            <w:pPr>
              <w:spacing w:after="0"/>
              <w:rPr>
                <w:sz w:val="13"/>
                <w:szCs w:val="13"/>
                <w:color w:val="auto"/>
              </w:rPr>
            </w:pPr>
          </w:p>
        </w:tc>
        <w:tc>
          <w:tcPr>
            <w:tcW w:w="104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(77.2)</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68.5</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Primary earnings per common share before extraordinary item and</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1"/>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6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(0.39)</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0.17</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66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1.3x</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1.5x</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6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w w:val="95"/>
              </w:rPr>
              <w:t>17,798.5</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24,328.1</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w:t>
            </w:r>
          </w:p>
        </w:tc>
        <w:tc>
          <w:tcPr>
            <w:tcW w:w="66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7,931.2</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9,793.8</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1"/>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Preferred............................................................</w:t>
            </w:r>
          </w:p>
        </w:tc>
        <w:tc>
          <w:tcPr>
            <w:tcW w:w="66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1,800.0</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1,200.0</w:t>
            </w:r>
          </w:p>
        </w:tc>
      </w:tr>
      <w:tr>
        <w:trPr>
          <w:trHeight w:val="161"/>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4,518.6</w:t>
            </w:r>
          </w:p>
        </w:tc>
        <w:tc>
          <w:tcPr>
            <w:tcW w:w="500" w:type="dxa"/>
            <w:vAlign w:val="bottom"/>
          </w:tcPr>
          <w:p>
            <w:pPr>
              <w:spacing w:after="0"/>
              <w:rPr>
                <w:sz w:val="13"/>
                <w:szCs w:val="13"/>
                <w:color w:val="auto"/>
              </w:rPr>
            </w:pP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9,000.6</w:t>
            </w:r>
          </w:p>
        </w:tc>
      </w:tr>
      <w:tr>
        <w:trPr>
          <w:trHeight w:val="161"/>
        </w:trPr>
        <w:tc>
          <w:tcPr>
            <w:tcW w:w="604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6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25.54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25.96</w:t>
            </w:r>
          </w:p>
        </w:tc>
      </w:tr>
      <w:tr>
        <w:trPr>
          <w:trHeight w:val="644"/>
        </w:trPr>
        <w:tc>
          <w:tcPr>
            <w:tcW w:w="6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66" w:lineRule="exact"/>
        <w:rPr>
          <w:sz w:val="20"/>
          <w:szCs w:val="20"/>
          <w:color w:val="auto"/>
        </w:rPr>
      </w:pPr>
    </w:p>
    <w:p>
      <w:pPr>
        <w:ind w:left="260" w:right="3799" w:hanging="166"/>
        <w:spacing w:after="0" w:line="239" w:lineRule="auto"/>
        <w:rPr>
          <w:sz w:val="20"/>
          <w:szCs w:val="20"/>
          <w:color w:val="auto"/>
        </w:rPr>
      </w:pPr>
      <w:r>
        <w:rPr>
          <w:rFonts w:ascii="Courier New" w:cs="Courier New" w:eastAsia="Courier New" w:hAnsi="Courier New"/>
          <w:sz w:val="14"/>
          <w:szCs w:val="14"/>
          <w:color w:val="auto"/>
        </w:rPr>
        <w:t>* Gives effect only to the Paramount Pro Forma Events and item (x) described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Gives effect to all of the Pro Forma Events.</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22" w:right="1440" w:bottom="1440" w:gutter="0" w:footer="0" w:header="0"/>
        </w:sectPr>
      </w:pPr>
    </w:p>
    <w:bookmarkStart w:id="41" w:name="page42"/>
    <w:bookmarkEnd w:id="41"/>
    <w:p>
      <w:pPr>
        <w:jc w:val="center"/>
        <w:ind w:right="4840"/>
        <w:spacing w:after="0"/>
        <w:rPr>
          <w:sz w:val="20"/>
          <w:szCs w:val="20"/>
          <w:color w:val="auto"/>
        </w:rPr>
      </w:pPr>
      <w:r>
        <w:rPr>
          <w:rFonts w:ascii="Courier New" w:cs="Courier New" w:eastAsia="Courier New" w:hAnsi="Courier New"/>
          <w:sz w:val="14"/>
          <w:szCs w:val="14"/>
          <w:color w:val="auto"/>
        </w:rPr>
        <w:t>COMPARATIVE STOCK PRICES</w:t>
      </w:r>
    </w:p>
    <w:p>
      <w:pPr>
        <w:spacing w:after="0" w:line="166" w:lineRule="exact"/>
        <w:rPr>
          <w:sz w:val="20"/>
          <w:szCs w:val="20"/>
          <w:color w:val="auto"/>
        </w:rPr>
      </w:pPr>
    </w:p>
    <w:p>
      <w:pPr>
        <w:ind w:right="4840" w:firstLine="418"/>
        <w:spacing w:after="0" w:line="265" w:lineRule="auto"/>
        <w:rPr>
          <w:sz w:val="20"/>
          <w:szCs w:val="20"/>
          <w:color w:val="auto"/>
        </w:rPr>
      </w:pPr>
      <w:r>
        <w:rPr>
          <w:rFonts w:ascii="Courier New" w:cs="Courier New" w:eastAsia="Courier New" w:hAnsi="Courier New"/>
          <w:sz w:val="13"/>
          <w:szCs w:val="13"/>
          <w:color w:val="auto"/>
        </w:rPr>
        <w:t>Viacom Common Stock is listed on the AMEX. Paramount Common Stock and Blockbuster Common Stock are listed on the NYSE. The following tables set forth, for the periods indicated, the high and low sales prices per share of Viacom Common Stock, Paramount Common Stock and Blockbuster Common Stock as reported on the AMEX or the NYSE Composite Transaction Tape, as the case may be.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VIACOM</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VIACOM</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CLASS A</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CLASS B</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right"/>
              <w:ind w:right="110"/>
              <w:spacing w:after="0"/>
              <w:rPr>
                <w:sz w:val="20"/>
                <w:szCs w:val="20"/>
                <w:color w:val="auto"/>
              </w:rPr>
            </w:pPr>
            <w:r>
              <w:rPr>
                <w:rFonts w:ascii="Courier New" w:cs="Courier New" w:eastAsia="Courier New" w:hAnsi="Courier New"/>
                <w:sz w:val="14"/>
                <w:szCs w:val="14"/>
                <w:color w:val="auto"/>
              </w:rPr>
              <w:t>BLOCKBUSTER</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PARAMOUNT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6"/>
              </w:rPr>
              <w:t>COMMON STOCK(A)</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96"/>
              </w:rPr>
              <w:t>COMMON STOCK(A)</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right"/>
              <w:ind w:right="30"/>
              <w:spacing w:after="0"/>
              <w:rPr>
                <w:sz w:val="20"/>
                <w:szCs w:val="20"/>
                <w:color w:val="auto"/>
              </w:rPr>
            </w:pPr>
            <w:r>
              <w:rPr>
                <w:rFonts w:ascii="Courier New" w:cs="Courier New" w:eastAsia="Courier New" w:hAnsi="Courier New"/>
                <w:sz w:val="14"/>
                <w:szCs w:val="14"/>
                <w:color w:val="auto"/>
              </w:rPr>
              <w:t>COMMON STOCK</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COMMON STOCK(B)</w:t>
            </w:r>
          </w:p>
        </w:tc>
        <w:tc>
          <w:tcPr>
            <w:tcW w:w="900" w:type="dxa"/>
            <w:vAlign w:val="bottom"/>
          </w:tcPr>
          <w:p>
            <w:pPr>
              <w:spacing w:after="0"/>
              <w:rPr>
                <w:sz w:val="13"/>
                <w:szCs w:val="13"/>
                <w:color w:val="auto"/>
              </w:rPr>
            </w:pPr>
          </w:p>
        </w:tc>
      </w:tr>
      <w:tr>
        <w:trPr>
          <w:trHeight w:val="161"/>
        </w:trPr>
        <w:tc>
          <w:tcPr>
            <w:tcW w:w="184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5"/>
                <w:szCs w:val="5"/>
                <w:color w:val="auto"/>
                <w:w w:val="79"/>
              </w:rPr>
              <w: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6"/>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6"/>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20" w:type="dxa"/>
            <w:vAlign w:val="bottom"/>
            <w:gridSpan w:val="6"/>
          </w:tcPr>
          <w:p>
            <w:pPr>
              <w:jc w:val="right"/>
              <w:ind w:right="590"/>
              <w:spacing w:after="0"/>
              <w:rPr>
                <w:sz w:val="20"/>
                <w:szCs w:val="20"/>
                <w:color w:val="auto"/>
              </w:rPr>
            </w:pPr>
            <w:r>
              <w:rPr>
                <w:rFonts w:ascii="Courier New" w:cs="Courier New" w:eastAsia="Courier New" w:hAnsi="Courier New"/>
                <w:sz w:val="14"/>
                <w:szCs w:val="14"/>
                <w:color w:val="auto"/>
              </w:rPr>
              <w:t>--------------------</w:t>
            </w:r>
          </w:p>
        </w:tc>
      </w:tr>
      <w:tr>
        <w:trPr>
          <w:trHeight w:val="161"/>
        </w:trPr>
        <w:tc>
          <w:tcPr>
            <w:tcW w:w="1840" w:type="dxa"/>
            <w:vAlign w:val="bottom"/>
          </w:tcPr>
          <w:p>
            <w:pPr>
              <w:ind w:left="420"/>
              <w:spacing w:after="0"/>
              <w:rPr>
                <w:sz w:val="20"/>
                <w:szCs w:val="20"/>
                <w:color w:val="auto"/>
              </w:rPr>
            </w:pPr>
            <w:r>
              <w:rPr>
                <w:rFonts w:ascii="Courier New" w:cs="Courier New" w:eastAsia="Courier New" w:hAnsi="Courier New"/>
                <w:sz w:val="14"/>
                <w:szCs w:val="14"/>
                <w:color w:val="auto"/>
              </w:rPr>
              <w:t>QUARTER ENDED</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5"/>
              </w:rPr>
              <w:t>HIGH</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w w:val="87"/>
              </w:rPr>
              <w:t>LOW</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5"/>
              </w:rPr>
              <w:t>HIGH</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w w:val="87"/>
              </w:rPr>
              <w:t>LOW</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HIGH</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320" w:type="dxa"/>
            <w:vAlign w:val="bottom"/>
          </w:tcPr>
          <w:p>
            <w:pPr>
              <w:spacing w:after="0"/>
              <w:rPr>
                <w:sz w:val="13"/>
                <w:szCs w:val="13"/>
                <w:color w:val="auto"/>
              </w:rPr>
            </w:pPr>
          </w:p>
        </w:tc>
        <w:tc>
          <w:tcPr>
            <w:tcW w:w="18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QUARTER ENDED</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HIGH</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LOW</w:t>
            </w:r>
          </w:p>
        </w:tc>
        <w:tc>
          <w:tcPr>
            <w:tcW w:w="900" w:type="dxa"/>
            <w:vAlign w:val="bottom"/>
          </w:tcPr>
          <w:p>
            <w:pPr>
              <w:spacing w:after="0"/>
              <w:rPr>
                <w:sz w:val="13"/>
                <w:szCs w:val="13"/>
                <w:color w:val="auto"/>
              </w:rPr>
            </w:pPr>
          </w:p>
        </w:tc>
      </w:tr>
      <w:tr>
        <w:trPr>
          <w:trHeight w:val="161"/>
        </w:trPr>
        <w:tc>
          <w:tcPr>
            <w:tcW w:w="2020" w:type="dxa"/>
            <w:vAlign w:val="bottom"/>
            <w:gridSpan w:val="2"/>
          </w:tcPr>
          <w:p>
            <w:pPr>
              <w:spacing w:after="0"/>
              <w:rPr>
                <w:sz w:val="20"/>
                <w:szCs w:val="20"/>
                <w:color w:val="auto"/>
              </w:rPr>
            </w:pPr>
            <w:r>
              <w:rPr>
                <w:rFonts w:ascii="Courier New" w:cs="Courier New" w:eastAsia="Courier New" w:hAnsi="Courier New"/>
                <w:sz w:val="14"/>
                <w:szCs w:val="14"/>
                <w:color w:val="auto"/>
                <w:w w:val="85"/>
              </w:rPr>
              <w:t>- - - - --------------------</w:t>
            </w:r>
          </w:p>
        </w:tc>
        <w:tc>
          <w:tcPr>
            <w:tcW w:w="32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  ---------  ---------  ---------</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184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1992</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March 31..........</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37 1/4</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32</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36 1/2</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3"/>
                <w:szCs w:val="13"/>
                <w:color w:val="auto"/>
              </w:rPr>
            </w:pP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11 7/8</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January</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43 3/8</w:t>
            </w:r>
          </w:p>
        </w:tc>
        <w:tc>
          <w:tcPr>
            <w:tcW w:w="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1/2</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June 30...........</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4"/>
              </w:rPr>
              <w:t>38</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32</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7/8</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7/8</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12</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1/8</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April 30</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48</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3/4</w:t>
            </w: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1/2</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September 30......</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4"/>
              </w:rPr>
              <w:t>34</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7/8</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32</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7/8</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29</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13</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3/4</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11</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1/8</w:t>
            </w:r>
          </w:p>
        </w:tc>
        <w:tc>
          <w:tcPr>
            <w:tcW w:w="1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31.............</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48</w:t>
            </w: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1/4</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December 31.......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41</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7/8</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27</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19</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1/2</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12</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3/8</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October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46</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3/8</w:t>
            </w: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1/4</w:t>
            </w: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March 31..........</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46 1/2</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37</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44 1/8</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20 1/8</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15 3/4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January</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47 3/8</w:t>
            </w:r>
          </w:p>
        </w:tc>
        <w:tc>
          <w:tcPr>
            <w:tcW w:w="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7/8</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June 30...........</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4"/>
              </w:rPr>
              <w:t>52</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5/8</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37</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49</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36</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7/8</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16</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3/4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April 30</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52</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5/8</w:t>
            </w: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5/8</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September 30......</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4"/>
              </w:rPr>
              <w:t>67</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61</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1/4</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3/4</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30</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1/8</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21</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3/8</w:t>
            </w:r>
          </w:p>
        </w:tc>
        <w:tc>
          <w:tcPr>
            <w:tcW w:w="1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31.............</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56</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5/8</w:t>
            </w: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1/2</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December 31.......</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4"/>
              </w:rPr>
              <w:t>66</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47</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60</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1/2</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34</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1/4</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24</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1/2</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October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81</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51</w:t>
            </w: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March 31..........</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49 3/4</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45</w:t>
            </w:r>
          </w:p>
        </w:tc>
        <w:tc>
          <w:tcPr>
            <w:tcW w:w="3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31 3/8</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25 1/4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January</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83 1/2</w:t>
            </w:r>
          </w:p>
        </w:tc>
        <w:tc>
          <w:tcPr>
            <w:tcW w:w="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73</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1/2</w:t>
            </w: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through</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through</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April 14, 1994....</w:t>
            </w:r>
          </w:p>
        </w:tc>
        <w:tc>
          <w:tcPr>
            <w:tcW w:w="1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4"/>
                <w:szCs w:val="14"/>
                <w:color w:val="auto"/>
                <w:w w:val="94"/>
              </w:rPr>
              <w:t>30</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5/8</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25</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5/8</w:t>
            </w:r>
          </w:p>
        </w:tc>
        <w:tc>
          <w:tcPr>
            <w:tcW w:w="3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5"/>
              </w:rPr>
              <w:t>3/4</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23</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7/8</w:t>
            </w:r>
          </w:p>
        </w:tc>
        <w:tc>
          <w:tcPr>
            <w:tcW w:w="1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April 14, 1994......</w:t>
            </w:r>
          </w:p>
        </w:tc>
        <w:tc>
          <w:tcPr>
            <w:tcW w:w="2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w w:val="94"/>
              </w:rPr>
              <w:t>80</w:t>
            </w:r>
          </w:p>
        </w:tc>
        <w:tc>
          <w:tcPr>
            <w:tcW w:w="3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87"/>
              </w:rPr>
              <w:t>1/4</w:t>
            </w:r>
          </w:p>
        </w:tc>
        <w:tc>
          <w:tcPr>
            <w:tcW w:w="34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87"/>
              </w:rPr>
              <w:t>5/8</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left="340" w:right="4840" w:hanging="334"/>
        <w:spacing w:after="0" w:line="243" w:lineRule="auto"/>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through fourth quarters of 1992, NAI purchased 40,500, 19,000, 35,900 and 76,200 shares of Viacom Class A Common Stock, and 35,700, 32,100, 44,100 and 139,900 shares of Viacom Class B Common Stock, in each case respectively. For the first through third quarters of 1993, NAI purchased 55,300, 121,800 and 113,100 shares of Viacom Class A Common Stock, and 47,600, 135,100 and 413,600 shares of Viacom Class B Common Stock, in each case respectively. Since the end of the third quarter of 1993, NAI has not purchased any shares of Viacom Common Stock. All purchases were made pursuant to a publicly reported buying program initiated by NAI in August 1987 which has been designed to comply with applicable securities regulations.</w:t>
      </w:r>
    </w:p>
    <w:p>
      <w:pPr>
        <w:spacing w:after="0" w:line="164" w:lineRule="exact"/>
        <w:rPr>
          <w:rFonts w:ascii="Courier New" w:cs="Courier New" w:eastAsia="Courier New" w:hAnsi="Courier New"/>
          <w:sz w:val="14"/>
          <w:szCs w:val="14"/>
          <w:color w:val="auto"/>
        </w:rPr>
      </w:pPr>
    </w:p>
    <w:p>
      <w:pPr>
        <w:ind w:left="340" w:right="4840" w:hanging="334"/>
        <w:spacing w:after="0" w:line="242" w:lineRule="auto"/>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purchased 1,119,500 shares of Paramount Common Stock in the open market between August 13 and October 30, 1992 at an average price of $42.86 and with a range of $42 1/8 to $43 3/4 per share, and it also purchased 479,600 shares of Paramount Common Stock in the open market between November 2, 1992 and January 21, 1993 at an average price of $42.34 and with range of $41 7/8 to $43 per share. None of Viacom, NAI or Sumner M. Redstone have made any purchases of Paramount Common Stock in the last two fiscal years of Paramount.</w:t>
      </w:r>
    </w:p>
    <w:p>
      <w:pPr>
        <w:spacing w:after="0" w:line="200" w:lineRule="exact"/>
        <w:rPr>
          <w:sz w:val="20"/>
          <w:szCs w:val="20"/>
          <w:color w:val="auto"/>
        </w:rPr>
      </w:pPr>
    </w:p>
    <w:p>
      <w:pPr>
        <w:spacing w:after="0" w:line="291" w:lineRule="exact"/>
        <w:rPr>
          <w:sz w:val="20"/>
          <w:szCs w:val="20"/>
          <w:color w:val="auto"/>
        </w:rPr>
      </w:pPr>
    </w:p>
    <w:p>
      <w:pPr>
        <w:ind w:right="4840" w:firstLine="418"/>
        <w:spacing w:after="0" w:line="242" w:lineRule="auto"/>
        <w:rPr>
          <w:sz w:val="20"/>
          <w:szCs w:val="20"/>
          <w:color w:val="auto"/>
        </w:rPr>
      </w:pPr>
      <w:r>
        <w:rPr>
          <w:rFonts w:ascii="Courier New" w:cs="Courier New" w:eastAsia="Courier New" w:hAnsi="Courier New"/>
          <w:sz w:val="14"/>
          <w:szCs w:val="14"/>
          <w:color w:val="auto"/>
        </w:rPr>
        <w:t>On February 4, 1994, the last trading day before the announcement of the February 4 Merger Agreement, the last sales prices of Viacom Class A Common Stock and Viacom Class B Common Stock and Paramount Common Stock, as reported on the AMEX and the NYSE Composite Transactions Tape, were 37 7/8 per share, 32 7/8 per share and 72 1/2 per share, respectively.</w:t>
      </w:r>
    </w:p>
    <w:p>
      <w:pPr>
        <w:spacing w:after="0" w:line="327" w:lineRule="exact"/>
        <w:rPr>
          <w:sz w:val="20"/>
          <w:szCs w:val="20"/>
          <w:color w:val="auto"/>
        </w:rPr>
      </w:pPr>
    </w:p>
    <w:p>
      <w:pPr>
        <w:ind w:right="4920" w:firstLine="418"/>
        <w:spacing w:after="0" w:line="242" w:lineRule="auto"/>
        <w:rPr>
          <w:sz w:val="20"/>
          <w:szCs w:val="20"/>
          <w:color w:val="auto"/>
        </w:rPr>
      </w:pPr>
      <w:r>
        <w:rPr>
          <w:rFonts w:ascii="Courier New" w:cs="Courier New" w:eastAsia="Courier New" w:hAnsi="Courier New"/>
          <w:sz w:val="14"/>
          <w:szCs w:val="14"/>
          <w:color w:val="auto"/>
        </w:rPr>
        <w:t>On January 6, 1994, the last trading day before the announcement of the Blockbuster Merger Agreement, the last sales prices of Viacom Class A Common Stock and Viacom Class B Common Stock, Blockbuster Common Stock and Paramount Common Stock, as reported on the AMEX and the NYSE Composite Transactions Tape, were $47 per share, $42 3/4 per share, $29 7/8 per share and $78 1/2 per share,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On [</w:t>
            </w: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1994, the last trading day</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before the printing of this</w:t>
            </w:r>
          </w:p>
        </w:tc>
      </w:tr>
      <w:tr>
        <w:trPr>
          <w:trHeight w:val="161"/>
        </w:trPr>
        <w:tc>
          <w:tcPr>
            <w:tcW w:w="4400" w:type="dxa"/>
            <w:vAlign w:val="bottom"/>
            <w:gridSpan w:val="4"/>
          </w:tcPr>
          <w:p>
            <w:pPr>
              <w:spacing w:after="0"/>
              <w:rPr>
                <w:sz w:val="20"/>
                <w:szCs w:val="20"/>
                <w:color w:val="auto"/>
              </w:rPr>
            </w:pPr>
            <w:r>
              <w:rPr>
                <w:rFonts w:ascii="Courier New" w:cs="Courier New" w:eastAsia="Courier New" w:hAnsi="Courier New"/>
                <w:sz w:val="14"/>
                <w:szCs w:val="14"/>
                <w:color w:val="auto"/>
              </w:rPr>
              <w:t>Proxy Statement/Prospectus, the last sales prices of</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Viacom Class A Common Stock</w:t>
            </w:r>
          </w:p>
        </w:tc>
      </w:tr>
      <w:tr>
        <w:trPr>
          <w:trHeight w:val="161"/>
        </w:trPr>
        <w:tc>
          <w:tcPr>
            <w:tcW w:w="6700" w:type="dxa"/>
            <w:vAlign w:val="bottom"/>
            <w:gridSpan w:val="6"/>
          </w:tcPr>
          <w:p>
            <w:pPr>
              <w:spacing w:after="0"/>
              <w:rPr>
                <w:sz w:val="20"/>
                <w:szCs w:val="20"/>
                <w:color w:val="auto"/>
              </w:rPr>
            </w:pPr>
            <w:r>
              <w:rPr>
                <w:rFonts w:ascii="Courier New" w:cs="Courier New" w:eastAsia="Courier New" w:hAnsi="Courier New"/>
                <w:sz w:val="14"/>
                <w:szCs w:val="14"/>
                <w:color w:val="auto"/>
              </w:rPr>
              <w:t>and Viacom Class B Common Stock, Paramount Common Stock and Blockbuster Common</w:t>
            </w:r>
          </w:p>
        </w:tc>
      </w:tr>
      <w:tr>
        <w:trPr>
          <w:trHeight w:val="161"/>
        </w:trPr>
        <w:tc>
          <w:tcPr>
            <w:tcW w:w="54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616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as reported on the AMEX and the NYSE Composite Transactions Tape, were</w:t>
            </w:r>
          </w:p>
        </w:tc>
      </w:tr>
      <w:tr>
        <w:trPr>
          <w:trHeight w:val="161"/>
        </w:trPr>
        <w:tc>
          <w:tcPr>
            <w:tcW w:w="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w w:val="99"/>
              </w:rPr>
              <w:t>] per share, $[</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 per share,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per</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share and $[</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 per</w:t>
            </w:r>
          </w:p>
        </w:tc>
      </w:tr>
      <w:tr>
        <w:trPr>
          <w:trHeight w:val="161"/>
        </w:trPr>
        <w:tc>
          <w:tcPr>
            <w:tcW w:w="54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respectively.</w:t>
            </w:r>
          </w:p>
        </w:tc>
        <w:tc>
          <w:tcPr>
            <w:tcW w:w="1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166" w:lineRule="exact"/>
        <w:rPr>
          <w:sz w:val="20"/>
          <w:szCs w:val="20"/>
          <w:color w:val="auto"/>
        </w:rPr>
      </w:pPr>
    </w:p>
    <w:p>
      <w:pPr>
        <w:ind w:right="4920" w:firstLine="418"/>
        <w:spacing w:after="0" w:line="242" w:lineRule="auto"/>
        <w:rPr>
          <w:sz w:val="20"/>
          <w:szCs w:val="20"/>
          <w:color w:val="auto"/>
        </w:rPr>
      </w:pPr>
      <w:r>
        <w:rPr>
          <w:rFonts w:ascii="Courier New" w:cs="Courier New" w:eastAsia="Courier New" w:hAnsi="Courier New"/>
          <w:sz w:val="14"/>
          <w:szCs w:val="14"/>
          <w:color w:val="auto"/>
        </w:rPr>
        <w:t>The market prices of Viacom Class A Common Stock, Viacom Class B Common Stock, Paramount Common Stock and Blockbuster Common Stock are subject to fluctuation. As a result, Viacom and Paramount stockholders are urged to obtain current market quotations.</w:t>
      </w:r>
    </w:p>
    <w:p>
      <w:pPr>
        <w:spacing w:after="0" w:line="326" w:lineRule="exact"/>
        <w:rPr>
          <w:sz w:val="20"/>
          <w:szCs w:val="20"/>
          <w:color w:val="auto"/>
        </w:rPr>
      </w:pPr>
    </w:p>
    <w:p>
      <w:pPr>
        <w:ind w:right="4840" w:firstLine="418"/>
        <w:spacing w:after="0" w:line="242" w:lineRule="auto"/>
        <w:rPr>
          <w:sz w:val="20"/>
          <w:szCs w:val="20"/>
          <w:color w:val="auto"/>
        </w:rPr>
      </w:pPr>
      <w:r>
        <w:rPr>
          <w:rFonts w:ascii="Courier New" w:cs="Courier New" w:eastAsia="Courier New" w:hAnsi="Courier New"/>
          <w:sz w:val="14"/>
          <w:szCs w:val="14"/>
          <w:color w:val="auto"/>
        </w:rPr>
        <w:t>On March 30, 1994, there were approximately 6,912 holders of record of Viacom Class A Common Stock and approximately 6,861 holders of record of Viacom Class B Common Stock. On March 31, 1994, there were approximately 24,687 holders of record of Paramount Common Stock. On February 3, 1994, there were approximately 12,747 holders of record of Blockbuster Common Stock.</w:t>
      </w:r>
    </w:p>
    <w:p>
      <w:pPr>
        <w:spacing w:after="0" w:line="32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540"/>
          </w:cols>
          <w:pgMar w:left="220" w:top="439" w:right="139" w:bottom="872" w:gutter="0" w:footer="0" w:header="0"/>
        </w:sectPr>
      </w:pPr>
    </w:p>
    <w:bookmarkStart w:id="42" w:name="page43"/>
    <w:bookmarkEnd w:id="42"/>
    <w:p>
      <w:pPr>
        <w:jc w:val="center"/>
        <w:ind w:right="3539"/>
        <w:spacing w:after="0"/>
        <w:rPr>
          <w:sz w:val="20"/>
          <w:szCs w:val="20"/>
          <w:color w:val="auto"/>
        </w:rPr>
      </w:pPr>
      <w:r>
        <w:rPr>
          <w:rFonts w:ascii="Courier New" w:cs="Courier New" w:eastAsia="Courier New" w:hAnsi="Courier New"/>
          <w:sz w:val="14"/>
          <w:szCs w:val="14"/>
          <w:color w:val="auto"/>
        </w:rPr>
        <w:t>COMPARATIVE PER SHARE DATA</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Set forth below are historical earnings (loss) before extraordinary item and cumulative effect of change in accounting principle, cash dividends declared and book value per common share data of Viacom, Paramount and Blockbuster, individually, and the respective unaudited pro forma per common share data for Viacom/Paramount and the combined company. Pro forma equivalent per share information of Paramount and Blockbuster is also presented below. Viacom/ Paramount and the combined company unaudited pro forma data gives effect to the Paramount Pro Forma Events and Pro Forma Events, respectively as if such events occurred for balance sheet purposes at the balance sheet dates and for statement of operations purposes at the beginning of the period presented. Unaudited pro forma data for the combined company was prepared based upon (i) Viacom's and Blockbuster's statement of operations and balance sheet data for the year ended or at December 31, 1993 and (ii) Paramount's statements of operations</w:t>
      </w:r>
    </w:p>
    <w:p>
      <w:pPr>
        <w:spacing w:after="0" w:line="2"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3"/>
          <w:szCs w:val="13"/>
          <w:color w:val="auto"/>
        </w:rPr>
        <w:t>and balance sheet data for the nine months ended or at January 31, 1994 and the three months ended April 30, 1993. The information set forth below should be read in conjunction with the respective audited and unaudited consolidated financial statements of Viacom, Paramount and Blockbuster, including the notes thereto, and the Combined Company Unaudited Pro Forma Combined Condensed Financial Statements appearing elsewhere in this Proxy Statement/Prospectus.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40" w:type="dxa"/>
            <w:vAlign w:val="bottom"/>
          </w:tcPr>
          <w:p>
            <w:pPr>
              <w:spacing w:after="0"/>
              <w:rPr>
                <w:sz w:val="13"/>
                <w:szCs w:val="13"/>
                <w:color w:val="auto"/>
              </w:rPr>
            </w:pPr>
          </w:p>
        </w:tc>
        <w:tc>
          <w:tcPr>
            <w:tcW w:w="1840" w:type="dxa"/>
            <w:vAlign w:val="bottom"/>
            <w:gridSpan w:val="2"/>
          </w:tcPr>
          <w:p>
            <w:pPr>
              <w:jc w:val="center"/>
              <w:ind w:left="30"/>
              <w:spacing w:after="0"/>
              <w:rPr>
                <w:sz w:val="20"/>
                <w:szCs w:val="20"/>
                <w:color w:val="auto"/>
              </w:rPr>
            </w:pPr>
            <w:r>
              <w:rPr>
                <w:rFonts w:ascii="Courier New" w:cs="Courier New" w:eastAsia="Courier New" w:hAnsi="Courier New"/>
                <w:sz w:val="14"/>
                <w:szCs w:val="14"/>
                <w:color w:val="auto"/>
                <w:w w:val="99"/>
              </w:rPr>
              <w:t>NINE MONTHS ENDED</w:t>
            </w:r>
          </w:p>
        </w:tc>
        <w:tc>
          <w:tcPr>
            <w:tcW w:w="1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MONTHS ENDED</w:t>
            </w:r>
          </w:p>
        </w:tc>
      </w:tr>
      <w:tr>
        <w:trPr>
          <w:trHeight w:val="161"/>
        </w:trPr>
        <w:tc>
          <w:tcPr>
            <w:tcW w:w="5940" w:type="dxa"/>
            <w:vAlign w:val="bottom"/>
          </w:tcPr>
          <w:p>
            <w:pPr>
              <w:spacing w:after="0"/>
              <w:rPr>
                <w:sz w:val="13"/>
                <w:szCs w:val="13"/>
                <w:color w:val="auto"/>
              </w:rPr>
            </w:pPr>
          </w:p>
        </w:tc>
        <w:tc>
          <w:tcPr>
            <w:tcW w:w="1840" w:type="dxa"/>
            <w:vAlign w:val="bottom"/>
            <w:gridSpan w:val="2"/>
          </w:tcPr>
          <w:p>
            <w:pPr>
              <w:jc w:val="center"/>
              <w:ind w:left="30"/>
              <w:spacing w:after="0"/>
              <w:rPr>
                <w:sz w:val="20"/>
                <w:szCs w:val="20"/>
                <w:color w:val="auto"/>
              </w:rPr>
            </w:pPr>
            <w:r>
              <w:rPr>
                <w:rFonts w:ascii="Courier New" w:cs="Courier New" w:eastAsia="Courier New" w:hAnsi="Courier New"/>
                <w:sz w:val="14"/>
                <w:szCs w:val="14"/>
                <w:color w:val="auto"/>
                <w:w w:val="99"/>
              </w:rPr>
              <w:t>OR AT JANUARY 31,</w:t>
            </w:r>
          </w:p>
        </w:tc>
        <w:tc>
          <w:tcPr>
            <w:tcW w:w="176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OR AT APRIL 30,</w:t>
            </w:r>
          </w:p>
        </w:tc>
      </w:tr>
      <w:tr>
        <w:trPr>
          <w:trHeight w:val="161"/>
        </w:trPr>
        <w:tc>
          <w:tcPr>
            <w:tcW w:w="5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jc w:val="right"/>
              <w:ind w:right="670"/>
              <w:spacing w:after="0"/>
              <w:rPr>
                <w:sz w:val="20"/>
                <w:szCs w:val="20"/>
                <w:color w:val="auto"/>
              </w:rPr>
            </w:pPr>
            <w:r>
              <w:rPr>
                <w:rFonts w:ascii="Courier New" w:cs="Courier New" w:eastAsia="Courier New" w:hAnsi="Courier New"/>
                <w:sz w:val="14"/>
                <w:szCs w:val="14"/>
                <w:color w:val="auto"/>
                <w:w w:val="95"/>
              </w:rPr>
              <w:t>1994</w:t>
            </w:r>
          </w:p>
        </w:tc>
        <w:tc>
          <w:tcPr>
            <w:tcW w:w="720" w:type="dxa"/>
            <w:vAlign w:val="bottom"/>
          </w:tcPr>
          <w:p>
            <w:pPr>
              <w:spacing w:after="0"/>
              <w:rPr>
                <w:sz w:val="13"/>
                <w:szCs w:val="13"/>
                <w:color w:val="auto"/>
              </w:rPr>
            </w:pPr>
          </w:p>
        </w:tc>
        <w:tc>
          <w:tcPr>
            <w:tcW w:w="104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1993</w:t>
            </w:r>
          </w:p>
        </w:tc>
      </w:tr>
      <w:tr>
        <w:trPr>
          <w:trHeight w:val="161"/>
        </w:trPr>
        <w:tc>
          <w:tcPr>
            <w:tcW w:w="5940" w:type="dxa"/>
            <w:vAlign w:val="bottom"/>
          </w:tcPr>
          <w:p>
            <w:pPr>
              <w:spacing w:after="0"/>
              <w:rPr>
                <w:sz w:val="13"/>
                <w:szCs w:val="13"/>
                <w:color w:val="auto"/>
              </w:rPr>
            </w:pPr>
          </w:p>
        </w:tc>
        <w:tc>
          <w:tcPr>
            <w:tcW w:w="1840" w:type="dxa"/>
            <w:vAlign w:val="bottom"/>
            <w:gridSpan w:val="2"/>
          </w:tcPr>
          <w:p>
            <w:pPr>
              <w:jc w:val="center"/>
              <w:ind w:left="30"/>
              <w:spacing w:after="0"/>
              <w:rPr>
                <w:sz w:val="20"/>
                <w:szCs w:val="20"/>
                <w:color w:val="auto"/>
              </w:rPr>
            </w:pPr>
            <w:r>
              <w:rPr>
                <w:rFonts w:ascii="Courier New" w:cs="Courier New" w:eastAsia="Courier New" w:hAnsi="Courier New"/>
                <w:sz w:val="14"/>
                <w:szCs w:val="14"/>
                <w:color w:val="auto"/>
                <w:w w:val="98"/>
              </w:rPr>
              <w:t>---------------------</w:t>
            </w:r>
          </w:p>
        </w:tc>
        <w:tc>
          <w:tcPr>
            <w:tcW w:w="17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r>
      <w:tr>
        <w:trPr>
          <w:trHeight w:val="322"/>
        </w:trPr>
        <w:tc>
          <w:tcPr>
            <w:tcW w:w="5940" w:type="dxa"/>
            <w:vAlign w:val="bottom"/>
          </w:tcPr>
          <w:p>
            <w:pPr>
              <w:spacing w:after="0"/>
              <w:rPr>
                <w:sz w:val="20"/>
                <w:szCs w:val="20"/>
                <w:color w:val="auto"/>
              </w:rPr>
            </w:pPr>
            <w:r>
              <w:rPr>
                <w:rFonts w:ascii="Courier New" w:cs="Courier New" w:eastAsia="Courier New" w:hAnsi="Courier New"/>
                <w:sz w:val="14"/>
                <w:szCs w:val="14"/>
                <w:color w:val="auto"/>
              </w:rPr>
              <w:t>PARAMOUNT--HISTORICAL:</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Earnings (loss) per share before extraordinary item and cumulative</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 principle..............................</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1.50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(0.08)</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0.60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0.20</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34.35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33.01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100" w:type="dxa"/>
            <w:vAlign w:val="bottom"/>
            <w:gridSpan w:val="4"/>
          </w:tcPr>
          <w:p>
            <w:pPr>
              <w:jc w:val="right"/>
              <w:ind w:right="10"/>
              <w:spacing w:after="0"/>
              <w:rPr>
                <w:sz w:val="20"/>
                <w:szCs w:val="20"/>
                <w:color w:val="auto"/>
              </w:rPr>
            </w:pPr>
            <w:r>
              <w:rPr>
                <w:rFonts w:ascii="Courier New" w:cs="Courier New" w:eastAsia="Courier New" w:hAnsi="Courier New"/>
                <w:sz w:val="14"/>
                <w:szCs w:val="14"/>
                <w:color w:val="auto"/>
              </w:rPr>
              <w:t>YEAR ENDED OR AT DECEMBER 31, 1993</w:t>
            </w:r>
          </w:p>
        </w:tc>
      </w:tr>
      <w:tr>
        <w:trPr>
          <w:trHeight w:val="161"/>
        </w:trPr>
        <w:tc>
          <w:tcPr>
            <w:tcW w:w="9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BLOCKBUSTER</w:t>
            </w:r>
          </w:p>
        </w:tc>
        <w:tc>
          <w:tcPr>
            <w:tcW w:w="5440" w:type="dxa"/>
            <w:vAlign w:val="bottom"/>
          </w:tcPr>
          <w:p>
            <w:pPr>
              <w:spacing w:after="0"/>
              <w:rPr>
                <w:sz w:val="20"/>
                <w:szCs w:val="20"/>
                <w:color w:val="auto"/>
              </w:rPr>
            </w:pPr>
            <w:r>
              <w:rPr>
                <w:rFonts w:ascii="Courier New" w:cs="Courier New" w:eastAsia="Courier New" w:hAnsi="Courier New"/>
                <w:sz w:val="14"/>
                <w:szCs w:val="14"/>
                <w:color w:val="auto"/>
              </w:rPr>
              <w:t>--HISTORICAL:</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before extraordinary item and cumulative effect of</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principle--assuming full dilution.....................</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1.10</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0.095</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8.58</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VIACOM--HISTORICAL:</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before extraordinary item and cumulative effect of</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1.30</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share(a)................................</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7.60</w:t>
            </w:r>
          </w:p>
        </w:tc>
      </w:tr>
      <w:tr>
        <w:trPr>
          <w:trHeight w:val="161"/>
        </w:trPr>
        <w:tc>
          <w:tcPr>
            <w:tcW w:w="9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VIACOM/PARAMOUNT</w:t>
            </w:r>
          </w:p>
        </w:tc>
        <w:tc>
          <w:tcPr>
            <w:tcW w:w="15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COMBINED COMPANY</w:t>
            </w:r>
          </w:p>
        </w:tc>
      </w:tr>
      <w:tr>
        <w:trPr>
          <w:trHeight w:val="161"/>
        </w:trPr>
        <w:tc>
          <w:tcPr>
            <w:tcW w:w="9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92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5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attributable to common stock before extraordinary item</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cumulative effect of change in accounting principle..................</w:t>
            </w:r>
          </w:p>
        </w:tc>
        <w:tc>
          <w:tcPr>
            <w:tcW w:w="6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(0.39)</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0.17</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share(a)................................</w:t>
            </w:r>
          </w:p>
        </w:tc>
        <w:tc>
          <w:tcPr>
            <w:tcW w:w="6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3"/>
                <w:szCs w:val="13"/>
                <w:color w:val="auto"/>
              </w:rPr>
            </w:pPr>
          </w:p>
        </w:tc>
        <w:tc>
          <w:tcPr>
            <w:tcW w:w="9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w:t>
            </w:r>
          </w:p>
        </w:tc>
        <w:tc>
          <w:tcPr>
            <w:tcW w:w="6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25.54</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25.96</w:t>
            </w:r>
          </w:p>
        </w:tc>
      </w:tr>
      <w:tr>
        <w:trPr>
          <w:trHeight w:val="161"/>
        </w:trPr>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PARAMOUNT--</w:t>
            </w:r>
          </w:p>
        </w:tc>
        <w:tc>
          <w:tcPr>
            <w:tcW w:w="5440" w:type="dxa"/>
            <w:vAlign w:val="bottom"/>
          </w:tcPr>
          <w:p>
            <w:pPr>
              <w:spacing w:after="0"/>
              <w:rPr>
                <w:sz w:val="20"/>
                <w:szCs w:val="20"/>
                <w:color w:val="auto"/>
              </w:rPr>
            </w:pPr>
            <w:r>
              <w:rPr>
                <w:rFonts w:ascii="Courier New" w:cs="Courier New" w:eastAsia="Courier New" w:hAnsi="Courier New"/>
                <w:sz w:val="14"/>
                <w:szCs w:val="14"/>
                <w:color w:val="auto"/>
              </w:rPr>
              <w:t>PRO FORMA EQUIVALENT PER SHARE INFORMATION:</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attributable to common stock before extraordinary item</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cumulative effect of change in accounting principle(b)...............</w:t>
            </w:r>
          </w:p>
        </w:tc>
        <w:tc>
          <w:tcPr>
            <w:tcW w:w="6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(0.18)</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0.08</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6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3"/>
                <w:szCs w:val="13"/>
                <w:color w:val="auto"/>
              </w:rPr>
            </w:pPr>
          </w:p>
        </w:tc>
        <w:tc>
          <w:tcPr>
            <w:tcW w:w="9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share(b).............................................</w:t>
            </w:r>
          </w:p>
        </w:tc>
        <w:tc>
          <w:tcPr>
            <w:tcW w:w="6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11.75</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11.94</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Equivalent market value(c).................................................</w:t>
            </w:r>
          </w:p>
        </w:tc>
        <w:tc>
          <w:tcPr>
            <w:tcW w:w="6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80.50</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80.50</w:t>
            </w:r>
          </w:p>
        </w:tc>
      </w:tr>
      <w:tr>
        <w:trPr>
          <w:trHeight w:val="161"/>
        </w:trPr>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BLOCKBUSTER</w:t>
            </w:r>
          </w:p>
        </w:tc>
        <w:tc>
          <w:tcPr>
            <w:tcW w:w="5440" w:type="dxa"/>
            <w:vAlign w:val="bottom"/>
          </w:tcPr>
          <w:p>
            <w:pPr>
              <w:spacing w:after="0"/>
              <w:rPr>
                <w:sz w:val="20"/>
                <w:szCs w:val="20"/>
                <w:color w:val="auto"/>
              </w:rPr>
            </w:pPr>
            <w:r>
              <w:rPr>
                <w:rFonts w:ascii="Courier New" w:cs="Courier New" w:eastAsia="Courier New" w:hAnsi="Courier New"/>
                <w:sz w:val="14"/>
                <w:szCs w:val="14"/>
                <w:color w:val="auto"/>
              </w:rPr>
              <w:t>--PRO FORMA EQUIVALENT PER SHARE INFORMATION:</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attributable to common stock before extraordinary item</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6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cumulative effect of change in accounting principle(d)...............</w:t>
            </w:r>
          </w:p>
        </w:tc>
        <w:tc>
          <w:tcPr>
            <w:tcW w:w="680" w:type="dxa"/>
            <w:vAlign w:val="bottom"/>
          </w:tcPr>
          <w:p>
            <w:pPr>
              <w:spacing w:after="0"/>
              <w:rPr>
                <w:sz w:val="13"/>
                <w:szCs w:val="13"/>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0.11</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680" w:type="dxa"/>
            <w:vAlign w:val="bottom"/>
          </w:tcPr>
          <w:p>
            <w:pPr>
              <w:spacing w:after="0"/>
              <w:rPr>
                <w:sz w:val="13"/>
                <w:szCs w:val="13"/>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spacing w:after="0"/>
              <w:rPr>
                <w:sz w:val="13"/>
                <w:szCs w:val="13"/>
                <w:color w:val="auto"/>
              </w:rPr>
            </w:pPr>
          </w:p>
        </w:tc>
        <w:tc>
          <w:tcPr>
            <w:tcW w:w="9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share(d).............................................</w:t>
            </w:r>
          </w:p>
        </w:tc>
        <w:tc>
          <w:tcPr>
            <w:tcW w:w="680" w:type="dxa"/>
            <w:vAlign w:val="bottom"/>
          </w:tcPr>
          <w:p>
            <w:pPr>
              <w:spacing w:after="0"/>
              <w:rPr>
                <w:sz w:val="13"/>
                <w:szCs w:val="13"/>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17.81</w:t>
            </w:r>
          </w:p>
        </w:tc>
      </w:tr>
      <w:tr>
        <w:trPr>
          <w:trHeight w:val="161"/>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Equivalent market value(e).................................................</w:t>
            </w:r>
          </w:p>
        </w:tc>
        <w:tc>
          <w:tcPr>
            <w:tcW w:w="680" w:type="dxa"/>
            <w:vAlign w:val="bottom"/>
          </w:tcPr>
          <w:p>
            <w:pPr>
              <w:spacing w:after="0"/>
              <w:rPr>
                <w:sz w:val="13"/>
                <w:szCs w:val="13"/>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22.65</w:t>
            </w:r>
          </w:p>
        </w:tc>
      </w:tr>
    </w:tbl>
    <w:p>
      <w:pPr>
        <w:spacing w:after="0" w:line="324"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(Footnotes on following page)</w:t>
      </w:r>
    </w:p>
    <w:p>
      <w:pPr>
        <w:spacing w:after="0" w:line="32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39"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(Footnotes for preceding page)</w:t>
      </w:r>
    </w:p>
    <w:p>
      <w:pPr>
        <w:spacing w:after="0" w:line="163" w:lineRule="exact"/>
        <w:rPr>
          <w:sz w:val="20"/>
          <w:szCs w:val="20"/>
          <w:color w:val="auto"/>
        </w:rPr>
      </w:pPr>
    </w:p>
    <w:p>
      <w:pPr>
        <w:ind w:left="180" w:hanging="174"/>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8" w:lineRule="exact"/>
        <w:rPr>
          <w:rFonts w:ascii="Courier New" w:cs="Courier New" w:eastAsia="Courier New" w:hAnsi="Courier New"/>
          <w:sz w:val="14"/>
          <w:szCs w:val="14"/>
          <w:color w:val="auto"/>
        </w:rPr>
      </w:pPr>
    </w:p>
    <w:p>
      <w:pPr>
        <w:ind w:left="920" w:right="199" w:hanging="412"/>
        <w:spacing w:after="0" w:line="241" w:lineRule="auto"/>
        <w:tabs>
          <w:tab w:leader="none" w:pos="9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 declared per common share does not reflect actual Viacom Preferred Stock dividend payments of $12.8 million or assumed Viacom/Paramount or combined company payments on a pro forma basis of $90 million or $60 million, respectively, for the year ended December 31, 1993.</w:t>
      </w:r>
    </w:p>
    <w:p>
      <w:pPr>
        <w:spacing w:after="0" w:line="4" w:lineRule="exact"/>
        <w:rPr>
          <w:rFonts w:ascii="Courier New" w:cs="Courier New" w:eastAsia="Courier New" w:hAnsi="Courier New"/>
          <w:sz w:val="14"/>
          <w:szCs w:val="14"/>
          <w:color w:val="auto"/>
        </w:rPr>
      </w:pPr>
    </w:p>
    <w:p>
      <w:pPr>
        <w:ind w:left="920" w:right="199" w:hanging="412"/>
        <w:spacing w:after="0" w:line="242" w:lineRule="auto"/>
        <w:tabs>
          <w:tab w:leader="none" w:pos="9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pro forma per share amounts were calculated assuming the issuance of 0.93065 of a share of Viacom Class B Common Stock in exchange for each of the remaining 60.3 million shares of Paramount Common Stock outstanding (other than shares held in the treasury of Paramount or owned by Viacom or any direct or indirect wholly owned subsidiary of Paramount or Viacom) after consummation of the Offer. This results in stockholders of Paramount receiving approximately 0.46 of a share of the combined company in exchange for each share of Paramount Common Stock. This factor of 0.46 is applied to the pro forma earnings and book</w:t>
      </w:r>
    </w:p>
    <w:p>
      <w:pPr>
        <w:spacing w:after="0" w:line="3"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value per common share amounts.</w:t>
      </w:r>
    </w:p>
    <w:p>
      <w:pPr>
        <w:spacing w:after="0" w:line="4" w:lineRule="exact"/>
        <w:rPr>
          <w:rFonts w:ascii="Courier New" w:cs="Courier New" w:eastAsia="Courier New" w:hAnsi="Courier New"/>
          <w:sz w:val="14"/>
          <w:szCs w:val="14"/>
          <w:color w:val="auto"/>
        </w:rPr>
      </w:pPr>
    </w:p>
    <w:p>
      <w:pPr>
        <w:ind w:left="920" w:right="279" w:hanging="412"/>
        <w:spacing w:after="0" w:line="243" w:lineRule="auto"/>
        <w:tabs>
          <w:tab w:leader="none" w:pos="9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equivalent market value was calculated by (i) applying the approximate 0.46 exchange ratio to the closing price of the Viacom Class B Common Stock reported on the AMEX Composite Transaction Tape on March 4, 1994 and (ii) adding to such amount (x) cash paid pursuant to the Offer and (y) $17.50 principal amount of Viacom Merger Debentures, 0.93065 of a CVR, 0.5 of a Viacom Three-Year Warrant and 0.3 of a Viacom Five-Year Warrant to be issued by Viacom as part of the Paramount Merger Consideration for each share remaining of Paramount Common Stock outstanding at the Paramount Effective Time. The consideration described in the foregoing clauses (x) and (y) represents $68.08 of the equivalent market value. The estimated trading values as of March 4, 1994 ascribed for illustrative purposes only, and based upon various assumptions and projections, per CVR, Viacom Three-Year Warrant and Viacom Five-Year Warrant by Viacom's financial advisor, were approximately $10, $2 and $3, respectively.</w:t>
      </w:r>
    </w:p>
    <w:p>
      <w:pPr>
        <w:spacing w:after="0" w:line="3" w:lineRule="exact"/>
        <w:rPr>
          <w:rFonts w:ascii="Courier New" w:cs="Courier New" w:eastAsia="Courier New" w:hAnsi="Courier New"/>
          <w:sz w:val="14"/>
          <w:szCs w:val="14"/>
          <w:color w:val="auto"/>
        </w:rPr>
      </w:pPr>
    </w:p>
    <w:p>
      <w:pPr>
        <w:ind w:left="920" w:right="439" w:hanging="412"/>
        <w:spacing w:after="0" w:line="242" w:lineRule="auto"/>
        <w:tabs>
          <w:tab w:leader="none" w:pos="9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 pro forma per share amounts were calculated assuming the issuance of 0.08 of a share of Viacom Class A Common Stock and 0.60615 of a share of Viacom Class B Common Stock in exchange for each of the approximately 247.5 million shares of Blockbuster Common Stock outstanding as of December 31, 1993 (other than shares owned by Viacom or any direct or indirect wholly owned subsidiary of Blockbuster or Viacom) in accordance with the Blockbuster Merger Agreement. This exchange results in stockholders of Blockbuster receiving approximately 0.69 of a share of the combined company in exchange for each share of Blockbuster Common Stock. This factor of 0.69 is applied to the combined company pro forma earnings and book value per common share amounts.</w:t>
      </w:r>
    </w:p>
    <w:p>
      <w:pPr>
        <w:spacing w:after="0" w:line="7" w:lineRule="exact"/>
        <w:rPr>
          <w:rFonts w:ascii="Courier New" w:cs="Courier New" w:eastAsia="Courier New" w:hAnsi="Courier New"/>
          <w:sz w:val="14"/>
          <w:szCs w:val="14"/>
          <w:color w:val="auto"/>
        </w:rPr>
      </w:pPr>
    </w:p>
    <w:p>
      <w:pPr>
        <w:ind w:left="920" w:right="199" w:hanging="412"/>
        <w:spacing w:after="0" w:line="262" w:lineRule="auto"/>
        <w:tabs>
          <w:tab w:leader="none" w:pos="92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Blockbuster equivalent market value was calculated by (i) applying the 0.08 and 0.60615 share exchange ratios to the closing prices of the Viacom Class A Common Stock and Viacom Class B Common Stock, respectively and</w:t>
      </w:r>
    </w:p>
    <w:p>
      <w:pPr>
        <w:ind w:left="920" w:right="279" w:firstLine="6"/>
        <w:spacing w:after="0" w:line="242" w:lineRule="auto"/>
        <w:tabs>
          <w:tab w:leader="none" w:pos="1338"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applying the assumed exchange ratio of 0.13829 of a share of Viacom Class B Common Stock per VCR to the closing price of Viacom Class B Common Stock. The VCR market value described in the foregoing clause (ii) represents $3.73 of the equivalent market value. Closing prices of Viacom Class A Common Stock and Viacom Class B Common Stock were based on closing sales prices on the AMEX Composite Transactions Tape on March 4, 1994.</w:t>
      </w:r>
    </w:p>
    <w:p>
      <w:pPr>
        <w:spacing w:after="0" w:line="200" w:lineRule="exact"/>
        <w:rPr>
          <w:sz w:val="20"/>
          <w:szCs w:val="20"/>
          <w:color w:val="auto"/>
        </w:r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39" w:right="1440" w:bottom="1440" w:gutter="0" w:footer="0" w:header="0"/>
        </w:sectPr>
      </w:pPr>
    </w:p>
    <w:bookmarkStart w:id="44" w:name="page45"/>
    <w:bookmarkEnd w:id="44"/>
    <w:p>
      <w:pPr>
        <w:jc w:val="center"/>
        <w:ind w:right="3539"/>
        <w:spacing w:after="0"/>
        <w:rPr>
          <w:sz w:val="20"/>
          <w:szCs w:val="20"/>
          <w:color w:val="auto"/>
        </w:rPr>
      </w:pPr>
      <w:r>
        <w:rPr>
          <w:rFonts w:ascii="Courier New" w:cs="Courier New" w:eastAsia="Courier New" w:hAnsi="Courier New"/>
          <w:sz w:val="14"/>
          <w:szCs w:val="14"/>
          <w:color w:val="auto"/>
        </w:rPr>
        <w:t>INTRODUCTION</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This Proxy Statement/Prospectus is being furnished to stockholders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 connection with the solicitation of proxies by 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for use at the Viacom Special Meeting to be held at</w:t>
      </w:r>
    </w:p>
    <w:p>
      <w:pPr>
        <w:spacing w:after="0" w:line="2" w:lineRule="exact"/>
        <w:rPr>
          <w:sz w:val="20"/>
          <w:szCs w:val="20"/>
          <w:color w:val="auto"/>
        </w:rPr>
      </w:pPr>
    </w:p>
    <w:p>
      <w:pPr>
        <w:spacing w:after="0"/>
        <w:tabs>
          <w:tab w:leader="none" w:pos="2660" w:val="left"/>
          <w:tab w:leader="none" w:pos="6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New York, New York, on [</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4"/>
          <w:szCs w:val="14"/>
          <w:color w:val="auto"/>
        </w:rPr>
        <w:t>1994, at [</w:t>
      </w:r>
      <w:r>
        <w:rPr>
          <w:sz w:val="20"/>
          <w:szCs w:val="20"/>
          <w:color w:val="auto"/>
        </w:rPr>
        <w:tab/>
      </w:r>
      <w:r>
        <w:rPr>
          <w:rFonts w:ascii="Courier New" w:cs="Courier New" w:eastAsia="Courier New" w:hAnsi="Courier New"/>
          <w:sz w:val="13"/>
          <w:szCs w:val="13"/>
          <w:color w:val="auto"/>
        </w:rPr>
        <w:t>] a.m., New York time, and at any adjournment or postponement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This Proxy Statement/Prospectus is also being furnished to stockholders of Viacom in connection with the solicitation of proxies by the Board of Directors of Viacom for use at the Viacom Annual Meeting which is to be held immediately following the Viacom Special Meeting at the same location.</w:t>
      </w:r>
    </w:p>
    <w:p>
      <w:pPr>
        <w:spacing w:after="0" w:line="165"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This Proxy Statement/Prospectus is also being furnished to stockholders of Paramount in connection with the solicitation of proxies by the Board of Directors of Paramount for use at the Paramount Special Meeting to be held at</w:t>
      </w:r>
    </w:p>
    <w:p>
      <w:pPr>
        <w:spacing w:after="0" w:line="5" w:lineRule="exact"/>
        <w:rPr>
          <w:sz w:val="20"/>
          <w:szCs w:val="20"/>
          <w:color w:val="auto"/>
        </w:rPr>
      </w:pPr>
    </w:p>
    <w:p>
      <w:pPr>
        <w:ind w:right="3799" w:firstLine="1088"/>
        <w:spacing w:after="0" w:line="239" w:lineRule="auto"/>
        <w:rPr>
          <w:sz w:val="20"/>
          <w:szCs w:val="20"/>
          <w:color w:val="auto"/>
        </w:rPr>
      </w:pPr>
      <w:r>
        <w:rPr>
          <w:rFonts w:ascii="Courier New" w:cs="Courier New" w:eastAsia="Courier New" w:hAnsi="Courier New"/>
          <w:sz w:val="14"/>
          <w:szCs w:val="14"/>
          <w:color w:val="auto"/>
        </w:rPr>
        <w:t>, on [ ], 1994, at [ ] a.m., local time, and at any adjournment or postponement thereof.</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This Proxy Statement/Prospectus also constitutes a prospectus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respect to [56,895,733] shares of Viacom Class B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[$1,069,870,865] principal amount of Viacom Merger Debentures, [56,895,733]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CVRs, [30,567,739] Viacom Three-Year Warrants and [18,340,643] Viacom Five-Year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issuable to the holders of Paramount Common Stock in the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THIS PROXY STATEMENT/PROSPECTUS IS NOT A SOLICITATION OF PROXIES WITH RESPECT TO, NOR A PROSPECTUS RELATING TO, THE BLOCKBUSTER MERGER. IT IS ANTICIPATED THAT A SEPARATE JOINT PROXY STATEMENT/PROSPECTUS OF VIACOM AND BLOCKBUSTER RELATING TO THE BLOCKBUSTER MERGER WILL BE SENT TO STOCKHOLDERS OF VIACOM AND BLOCKBUSTER.</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BUSINESS</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Viacom's principal assets are its 100% ownership of Viacom International and its majority ownership of Paramount. Viacom International is a diversified entertainment and communications company with operations in four principal segments: Networks, Entertainment, Cable Television and Broadcasting. The principal executive offices of Viacom are located at 200 Elm Street, Dedham, Massachusetts 02026.</w:t>
      </w:r>
    </w:p>
    <w:p>
      <w:pPr>
        <w:spacing w:after="0" w:line="167"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VIACOM NETWORKS. Viacom Networks is comprised of MTV Networks ("MTVN") and Showtime Networks Inc. ("SNI").</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_____MTV Networks. MTVN operates three 24-hours-a-day, advertiser-supported,</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basic cable services in the U.S.: MTV: MUSIC TELEVISION, VH-1/VIDEO HITS ONE, and NICKELODEON/NICK AT NITE. Internationally, MTVN operates MTV EUROPE and MTV LATINO. In September 1993, MTVN launched Nickelodeon UK, a joint venture with a subsidiary of British Sky Broadcasting Limited. MTVN has licensing arrangements covering the distribution of regionally specific program services called MTV: MUSIC TELEVISION in Asia, Japan and Brazil.</w:t>
      </w:r>
    </w:p>
    <w:p>
      <w:pPr>
        <w:spacing w:after="0" w:line="167" w:lineRule="exact"/>
        <w:rPr>
          <w:sz w:val="20"/>
          <w:szCs w:val="20"/>
          <w:color w:val="auto"/>
        </w:rPr>
      </w:pPr>
    </w:p>
    <w:p>
      <w:pPr>
        <w:jc w:val="both"/>
        <w:ind w:right="3699" w:firstLine="418"/>
        <w:spacing w:after="0" w:line="262" w:lineRule="auto"/>
        <w:rPr>
          <w:sz w:val="20"/>
          <w:szCs w:val="20"/>
          <w:color w:val="auto"/>
        </w:rPr>
      </w:pPr>
      <w:r>
        <w:rPr>
          <w:rFonts w:ascii="Courier New" w:cs="Courier New" w:eastAsia="Courier New" w:hAnsi="Courier New"/>
          <w:sz w:val="13"/>
          <w:szCs w:val="13"/>
          <w:color w:val="auto"/>
        </w:rPr>
        <w:t>MTV. At December 31, 1993, MTV was licensed to approximately 52.2 million domestic cable subscribers (based on subscriber counts provided by each cable system). According to the December 1993 sample reports issued by the A.C.</w:t>
      </w:r>
    </w:p>
    <w:p>
      <w:pPr>
        <w:ind w:right="3539"/>
        <w:spacing w:after="0" w:line="243" w:lineRule="auto"/>
        <w:rPr>
          <w:sz w:val="20"/>
          <w:szCs w:val="20"/>
          <w:color w:val="auto"/>
        </w:rPr>
      </w:pPr>
      <w:r>
        <w:rPr>
          <w:rFonts w:ascii="Courier New" w:cs="Courier New" w:eastAsia="Courier New" w:hAnsi="Courier New"/>
          <w:sz w:val="14"/>
          <w:szCs w:val="14"/>
          <w:color w:val="auto"/>
        </w:rPr>
        <w:t>Nielsen Company (the "Nielsen Report"), MTV reached approximately 59 million subscriber households. In addition to music videos, MTV offers regularly scheduled youth-oriented programming such as the animated BEAVIS &amp; BUTT-HEAD SHOW and specials such as the Annual MTV Video Music Awards and the MTV Movie Awards, public affairs campaigns and series such as UNPLUGGED. MTV successfully merchandised BEAVIS &amp; BUTT-HEAD in 1993 featuring an album released by Geffen Records and a book published by a division of Simon &amp; Schuster. MTV's CHOOSE OR LOSE political awareness campaign, which included studio interviews with candidates Bill Clinton and Al Gore, extensively promoted the registration of hundreds of thousands of new young voters. MTV's UNPLUGGED features live acoustical performances by artists such as Eric Clapton, Rod Stewart and 10,000 Maniacs. MTV licenses the distribution of UNPLUGGED home video versions of these performances. MTV Productions was formed in 1993 to</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00" w:right="1440" w:bottom="1440" w:gutter="0" w:footer="0" w:header="0"/>
        </w:sectPr>
      </w:pPr>
    </w:p>
    <w:bookmarkStart w:id="45" w:name="page46"/>
    <w:bookmarkEnd w:id="45"/>
    <w:p>
      <w:pPr>
        <w:ind w:right="3799"/>
        <w:spacing w:after="0" w:line="241" w:lineRule="auto"/>
        <w:rPr>
          <w:sz w:val="20"/>
          <w:szCs w:val="20"/>
          <w:color w:val="auto"/>
        </w:rPr>
      </w:pPr>
      <w:r>
        <w:rPr>
          <w:rFonts w:ascii="Courier New" w:cs="Courier New" w:eastAsia="Courier New" w:hAnsi="Courier New"/>
          <w:sz w:val="14"/>
          <w:szCs w:val="14"/>
          <w:color w:val="auto"/>
        </w:rPr>
        <w:t>develop and produce theatrical motion pictures and television programs, including the joint development of a theatrical motion picture based on JOE'S APARTMENT with Geffen Pictures for distribution by Warner Bros.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Nickelodeon. At December 31, 1993, NICKELODEON was licensed to approximately 53.4 million cable subscribers and NICK AT NITE was licensed to approximately 53.1 million cable subscribers (based on subscriber counts provided by each cable system). According to the Nielsen Report, NICKELODEON and NICK AT NITE each reached approximately 60.9 million subscriber households. In 1993, NICKELODEON, the first network for kids, expanded its successful NICKTOONS, NICKELODEON's original animated programming, with the introduction of ROCKO'S MODERN LIFE in addition to THE REN &amp; STIMPY SHOW, DOUG and RUGRATS. NICKELODEON also exhibits, on Saturday nights, SNICK, its first prime-time block of original NICKELODEON programming. MTVN, in cooperation with MCA Inc. ("MCA"), operates NICKELODEON STUDIOS FLORIDA at Universal Studios in Orlando, Florida, which combines state-of-the-art television production facilities with interactive features that demonstrate the operation of NICKELODEON's studios from a kid's perspective. In June 1993, NICKELODEON launched NICKELODEON MAGAZINE, a bi-monthly children's magazine. In April 1993, NICKELODEON and Sony Music entered into an agreement for Sony to manufacture and distribute NICKELODEON audio and video products in the U.S. and Canada through its Sony Wonder Children's label.</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VH-1. At December 31, 1993, VH-1 was licensed to approximately 45.5 million cable subscribers (based on subscriber counts provided by each cable system). According to the Nielsen Report, VH-1 reached approximately 49.5 million subscriber households. Created in 1985 to reach viewers aged 25 to 49, VH-1 provides music and lifestyle programming. VH-1 offers programs such as original and acquired comedy programming including STAND-UP SPOTLIGHT and Gallagher specials; FT: FASHION TELEVISION; and the ONE-TO-ONE series which profiles pop artists.</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MTVN has agreements with some U.S. record companies which, in exchange for cash and advertising time, license the availability of such companies' music videos for exhibition on MTV and on MTVN's other basic cable networks; a number of other record companies provide MTVN with music videos in exchange for promotional consideration only. The agreements generally provide that the videos are available for debut by MTVN and, in some cases, that videos are subject to exclusive periods on MTV. These record companies provide a substantial portion of the music videos exhibited on MTV and VH-1. MTVN is currently in negotiations for the renewal and extension of certain of its record company agreements. Although MTVN believes that these agreements will be renewed, there can be no assurance that the terms of such renewals will be as favorable as existing arrangements.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 number of record companies have announced plans to launch music-based program services in the U.S. and internationally. For example, Telecommunications, Inc. and Bertelsman AG announced plans for a music video/home shopping channel and Sony Corp.'s Sony Music and Time Warner Inc.'s Time Warner Music Group are discussing the formation of a world wide music video program service with such other major record companies as EMI Music, a unit of Thorn EMI PLC, and Polygram.</w:t>
      </w:r>
    </w:p>
    <w:p>
      <w:pPr>
        <w:spacing w:after="0" w:line="16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Viacom International participates as a joint venturer in COMEDY CENTRAL.</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Comedy Central. Viacom International and HBO, through a 50-50 joint venture, operate COMEDY CENTRAL, a 24-hours-a-day, seven-days-a-week program service targeted to audiences ranging from the ages of 18 to 34. The format consists primarily of comedy programming, including movies, series, situation comedies, stand-up and sketch comedy, commentary, promotions, specials, game shows, talk shows and other original and acquired comedy programming. According to the Nielsen Report, COMEDY CENTRAL reached approximately 30.3 million subscriber households.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_____Showtime Networks. SNI operates three 24-hours-a-day, commercial-free,</w:t>
      </w:r>
    </w:p>
    <w:p>
      <w:pPr>
        <w:spacing w:after="0" w:line="5"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3"/>
          <w:szCs w:val="13"/>
          <w:color w:val="auto"/>
        </w:rPr>
        <w:t>premium subscription services offered to cable television operators and other distributors: SHOWTIME, offering theatrically released feature films, comedy specials, dramatic series, boxing events, family programs and original movies; THE MOVIE CHANNEL, offering feature films and related programming including film</w:t>
      </w:r>
    </w:p>
    <w:p>
      <w:pPr>
        <w:ind w:left="3260"/>
        <w:spacing w:after="0" w:line="237" w:lineRule="auto"/>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03" w:right="1440" w:bottom="1440" w:gutter="0" w:footer="0" w:header="0"/>
        </w:sectPr>
      </w:pPr>
    </w:p>
    <w:bookmarkStart w:id="46" w:name="page47"/>
    <w:bookmarkEnd w:id="46"/>
    <w:p>
      <w:pPr>
        <w:ind w:right="3699"/>
        <w:spacing w:after="0" w:line="242" w:lineRule="auto"/>
        <w:rPr>
          <w:sz w:val="20"/>
          <w:szCs w:val="20"/>
          <w:color w:val="auto"/>
        </w:rPr>
      </w:pPr>
      <w:r>
        <w:rPr>
          <w:rFonts w:ascii="Courier New" w:cs="Courier New" w:eastAsia="Courier New" w:hAnsi="Courier New"/>
          <w:sz w:val="14"/>
          <w:szCs w:val="14"/>
          <w:color w:val="auto"/>
        </w:rPr>
        <w:t>festivals; and FLIX, an added-value premium subscription service featuring movies primarily from the 1960s, '70s and '80s which was launched on August 1, 1992. As of December 31, 1993, SHOWTIME, THE MOVIE CHANNEL and FLIX in the aggregate had approximately 11.9 million subscribers.</w:t>
      </w:r>
    </w:p>
    <w:p>
      <w:pPr>
        <w:spacing w:after="0" w:line="326" w:lineRule="exact"/>
        <w:rPr>
          <w:sz w:val="20"/>
          <w:szCs w:val="20"/>
          <w:color w:val="auto"/>
        </w:rPr>
      </w:pPr>
    </w:p>
    <w:p>
      <w:pPr>
        <w:jc w:val="both"/>
        <w:ind w:right="3619" w:firstLine="418"/>
        <w:spacing w:after="0" w:line="241" w:lineRule="auto"/>
        <w:rPr>
          <w:sz w:val="20"/>
          <w:szCs w:val="20"/>
          <w:color w:val="auto"/>
        </w:rPr>
      </w:pPr>
      <w:r>
        <w:rPr>
          <w:rFonts w:ascii="Courier New" w:cs="Courier New" w:eastAsia="Courier New" w:hAnsi="Courier New"/>
          <w:sz w:val="14"/>
          <w:szCs w:val="14"/>
          <w:color w:val="auto"/>
        </w:rPr>
        <w:t>SNI also provides special events, such as sports events, and feature films to licensees on a pay-per-view basis through its operation of SET PAY PER VIEW, a division of Viacom International.</w:t>
      </w:r>
    </w:p>
    <w:p>
      <w:pPr>
        <w:spacing w:after="0" w:line="327"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Showtime Satellite Networks Inc. ("SSN"), a subsidiary of SNI, packages for distribution to home satellite dish owners (on a direct retail basis) SHOWTIME, THE MOVIE CHANNEL, FLIX, Viacom Networks' basic cable program services, ALL NEWS CHANNEL, a 24-hour satellite-delivered news service which is a joint venture between Viacom Satellite News Inc., a subsidiary of Viacom International, and Conus Communications Company Limited Partnership, a limited partnership whose managing general partner is Hubbard Broadcasting, Inc., and certain third-party program services. Also, SNI offers SHOWTIME, THE MOVIE CHANNEL and FLIX to third-party licensees for subdistribution to home satellite dish owners.</w:t>
      </w:r>
    </w:p>
    <w:p>
      <w:pPr>
        <w:spacing w:after="0" w:line="312"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addition to SNI's other motion picture licensing agreements, SNI and Sony Pictures Entertainment Inc. recently entered into a five-year agreement under which SNI has agreed to acquire the exclusive premium television rights to TriStar Pictures feature films. A continuation of SNI's previous three-year arrangement with TriStar, this new agreement includes all qualifying TriStar films theatrically released from 1994 through 1998, up to a maximum of 75 pictures.</w:t>
      </w:r>
    </w:p>
    <w:p>
      <w:pPr>
        <w:spacing w:after="0" w:line="32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SNI has also recently entered into a seven-year agreement with Metro-Goldwyn-Mayer Inc. ("MGM") under which SNI has agreed to acquire the exclusive premium television rights to MGM and United Artists feature films. The agreement includes all qualifying pictures theatrically released from September 1, 1994 through August 31, 2001, up to a maximum of 150 pictures. The agreement also calls for SNI and MGM to co-finance the production of certain exclusive original movies to be produced for a U.S. premiere on SNI's program services.</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cost of acquiring premium television rights to programming, including exclusive rights, is the principal expense of SNI. At December 31, 1993, in addition to such commitments reflected in Viacom's financial statements, SNI had commitments to acquire such rights at a cost of approximately $1.8 billion. Most of the $1.8 billion is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169" w:lineRule="exact"/>
        <w:rPr>
          <w:sz w:val="20"/>
          <w:szCs w:val="20"/>
          <w:color w:val="auto"/>
        </w:rPr>
      </w:pPr>
    </w:p>
    <w:p>
      <w:pPr>
        <w:ind w:right="3539" w:firstLine="418"/>
        <w:spacing w:after="0" w:line="265" w:lineRule="auto"/>
        <w:rPr>
          <w:sz w:val="20"/>
          <w:szCs w:val="20"/>
          <w:color w:val="auto"/>
        </w:rPr>
      </w:pPr>
      <w:r>
        <w:rPr>
          <w:rFonts w:ascii="Courier New" w:cs="Courier New" w:eastAsia="Courier New" w:hAnsi="Courier New"/>
          <w:sz w:val="13"/>
          <w:szCs w:val="13"/>
          <w:color w:val="auto"/>
        </w:rPr>
        <w:t>SNI also arranges for the development and production of original programs and motion pictures that premiere on SHOWTIME through its operation of the Showtime Entertainment Group. The Showtime Entertainment Group's activities also now include operating Viacom Pictures, a division of Viacom International, which arranges for the development and production of motion pictures that are exhibited theatrically in foreign markets and premiere domestically on SHOWTIME.</w:t>
      </w:r>
    </w:p>
    <w:p>
      <w:pPr>
        <w:spacing w:after="0" w:line="151" w:lineRule="exact"/>
        <w:rPr>
          <w:sz w:val="20"/>
          <w:szCs w:val="20"/>
          <w:color w:val="auto"/>
        </w:rPr>
      </w:pPr>
    </w:p>
    <w:p>
      <w:pPr>
        <w:ind w:right="4039" w:firstLine="418"/>
        <w:spacing w:after="0" w:line="267" w:lineRule="auto"/>
        <w:rPr>
          <w:sz w:val="20"/>
          <w:szCs w:val="20"/>
          <w:color w:val="auto"/>
        </w:rPr>
      </w:pPr>
      <w:r>
        <w:rPr>
          <w:rFonts w:ascii="Courier New" w:cs="Courier New" w:eastAsia="Courier New" w:hAnsi="Courier New"/>
          <w:sz w:val="13"/>
          <w:szCs w:val="13"/>
          <w:color w:val="auto"/>
        </w:rPr>
        <w:t>In addition to exhibiting the Showtime Entertainment Group's original programs and motion pictures on SNI's premium subscription services, SNI distributes certain Showtime Entertainment Group programming for foreign theatrical exhibition and exploitation in various other media worldwide.</w:t>
      </w:r>
    </w:p>
    <w:p>
      <w:pPr>
        <w:spacing w:after="0" w:line="149"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Viacom Networks has entered into an agreement as of August 27, 1992 with United States Satellite Broadcasting, Inc., a subsidiary of Hubbard Broadcasting, Inc., for the direct broadcast high-powered Ku-band satellite distribution ("DBS") of each of Viacom Networks' wholly owned basic cable and premium networks, expected to be offered beginning in 1994.</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ENTERTAINMENT. Viacom Entertainment is comprised of (i) Viacom Enterprises, which distributes television series such as ROSEANNE, THE COSBY SHOW, A DIFFERENT WORLD and various classic CBS network series such as I LOVE LUCY, feature films, made-for-television movies, mini-series and specials for television exhibition in various markets throughout the world, and also distributes television programs such as THE MONTEL WILLIAMS SHOW and NICK NEWS for initial United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03" w:right="1440" w:bottom="1440" w:gutter="0" w:footer="0" w:header="0"/>
        </w:sectPr>
      </w:pPr>
    </w:p>
    <w:bookmarkStart w:id="47" w:name="page48"/>
    <w:bookmarkEnd w:id="47"/>
    <w:p>
      <w:pPr>
        <w:ind w:right="3539"/>
        <w:spacing w:after="0" w:line="243" w:lineRule="auto"/>
        <w:rPr>
          <w:sz w:val="20"/>
          <w:szCs w:val="20"/>
          <w:color w:val="auto"/>
        </w:rPr>
      </w:pPr>
      <w:r>
        <w:rPr>
          <w:rFonts w:ascii="Courier New" w:cs="Courier New" w:eastAsia="Courier New" w:hAnsi="Courier New"/>
          <w:sz w:val="14"/>
          <w:szCs w:val="14"/>
          <w:color w:val="auto"/>
        </w:rPr>
        <w:t>States television exhibition on a non-network ("first run") basis and for international television exhibition; (ii) Viacom Productions, which produces television series such as MATLOCK, starring Andy Griffith, and DIAGNOSIS MURDER, starring Dick Van Dyke, and other television properties both independently and in association with others primarily for initial exhibition on United States prime time network television; (iii) Viacom New Media, which develops, produces, distributes and markets interactive software for the stand-alone and other multimedia marketplaces, and includes ICOM Simulations, Inc. (predecessor to VNM, Inc.) an interactive software development company acquired by Viacom in May 1993. Viacom New Media released an interactive horror movie on CD-ROM entitled DRACULA UNLEASHED in the fourth quarter 1993 and is in the process of developing cartridge video games based on certain MTV Networks programs, such as BEAVIS &amp; BUTT-HEAD and ROCKO'S MODERN LIFE, as well as original CD-ROM products and expects to participate in the development of interactive programming for the Viacom/AT&amp;T Castro Valley cable system project (described below); and (iv) Viacom World Wide, which explores and develops business opportunities in international markets primarily in cable and premium television. Viacom Enterprises and Viacom Productions are expected to be consolidated with Paramount's television operations during 1994.</w:t>
      </w:r>
    </w:p>
    <w:p>
      <w:pPr>
        <w:spacing w:after="0" w:line="167"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CABLE TELEVISION. Viacom Cable owns and operates cable television systems serving approximately 1,094,000 customers as of December 31, 1993 in three regions of the United States: California, the Pacific Northwest and the Midwest. Viacom Cable has constructed a fiber optic cable system in Castro Valley, California to provide more channels with significantly better picture quality, and to accommodate testing of new services including an interactive on-screen programming guide known as StarSight (in which a consolidated affiliate of Viacom International currently has a 21.4% equity interest and has the right to increase its equity interest to 35% and in which Spelling Entertainment has a 5.8% equity interest), other interactive programs with Viacom New Media, video-on-demand premium services, multiplexed premium services, and advanced interactive video and data services. Viacom has entered into an agreement with AT&amp;T to test and further develop such services. As part of Viacom's strategic relationship with NYNEX, Viacom has granted NYNEX a right of first refusal with respect to providing telephony service upgrade expertise to Viacom Cable.</w:t>
      </w:r>
    </w:p>
    <w:p>
      <w:pPr>
        <w:spacing w:after="0" w:line="31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BROADCASTING. Viacom Broadcasting owns and operates five network affiliated television stations. Viacom Broadcasting also operates 14 radio stations in six of the top eight radio markets, with duopolies in Los Angeles, Seattle and Washington, D.C. Viacom Broadcasting owns and operates the following five television properties: KMOV-TV (CBS), St. Louis, MO; WVIT-TV (NBC), Hartford-New Haven, CT; WNYT-TV (NBC), Albany, NY; KSLA-TV (CBS), Shreveport, LA; WHEC-TV (NBC), Rochester, NY and the following 14 radio stations: WLTW-FM, New York, NY; KXEZ-FM and KYSR-FM, Los Angeles, CA; WLIT-FM, Chicago, IL; WLTI-FM, Detroit, MI; WMZQ-AM/FM, WCXR-FM and WCPT-AM, Washington, D.C.; KBSG-AM/FM and KNDD-FM, Seattle, WA; KSRY-FM, San Francisco, CA; and KSRI-FM, Santa Cruz/San Jose, CA. On November 1, 1993 Viacom Broadcasting exchanged KIKK-AM/FM, Houston, TX, for Westinghouse Broadcasting Company, Inc.'s WCXR-FM and WCPT-AM, Washington, D.C., and cash. Pursuant to the consent granted by the Federal Communications Commission ("FCC") to the transfer of control of the broadcast licenses of Paramount to Viacom, Viacom has undertaken to dispose of one of its two AM stations and one of its two FM stations serving Washington, D.C.</w:t>
      </w:r>
    </w:p>
    <w:p>
      <w:pPr>
        <w:spacing w:after="0" w:line="31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STRATEGIC RELATIONSHIPS. Viacom has entered into strategic relationships with Blockbuster and NYNEX including (i) a $600 million investment by Blockbuster in the Series A Preferred Stock, (ii) a $1.2 billion investment by NYNEX in the Series B Preferred Stock and (iii) an agreement with each of Blockbuster and NYNEX to explore strategic partnership opportunities. See "Sale of Viacom Preferred Stock." In addition, on March 10, 1994 Blockbuster purchased approximately 22.7 million shares of Viacom Class B Common Stock for an aggregate purchase price of approximately $1.25 billion pursuant to the Blockbuster Subscription Agreement.</w:t>
      </w:r>
    </w:p>
    <w:p>
      <w:pPr>
        <w:spacing w:after="0" w:line="164"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REGULATORY MATTERS. The 1992 Cable Act amended the Communications Act of 1934. Rate regulations adopted in April 1993 by the FCC govern rates charged to subscribers for regulated tiers of</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03" w:right="1440" w:bottom="1440" w:gutter="0" w:footer="0" w:header="0"/>
        </w:sectPr>
      </w:pPr>
    </w:p>
    <w:bookmarkStart w:id="48" w:name="page49"/>
    <w:bookmarkEnd w:id="48"/>
    <w:p>
      <w:pPr>
        <w:ind w:right="3539"/>
        <w:spacing w:after="0" w:line="243" w:lineRule="auto"/>
        <w:rPr>
          <w:sz w:val="20"/>
          <w:szCs w:val="20"/>
          <w:color w:val="auto"/>
        </w:rPr>
      </w:pPr>
      <w:r>
        <w:rPr>
          <w:rFonts w:ascii="Courier New" w:cs="Courier New" w:eastAsia="Courier New" w:hAnsi="Courier New"/>
          <w:sz w:val="14"/>
          <w:szCs w:val="14"/>
          <w:color w:val="auto"/>
        </w:rPr>
        <w:t>cable service and became effective on September 1, 1993. On February 22, 1994, the FCC adopted additional rules (the "February 22nd Regulations") which were published by the FCC on March 30, 1994. The "benchmark" formula adopted as part of the regulations establishes an "initial permitted rate" which may be charged by cable operators for specified tiers of cable service. The regulations also establish the prices which may be charged for equipment used to receive these services. Based upon Viacom's preliminary review of the published regulations and public statements made during the FCC's February 22nd meeting and news releases issued thereafter, the February 22nd Regulations contain a new formula for determining permitted rates. The new formula may require up to approximately a 17% reduction of rates from those charged on September 30, 1992, rather than the 10% reduction required by the April 1993 regulations. The February 22nd Regulations also adopted interim standards governing "cost-of-service" proceedings pursuant to which a cable operator would be permitted to charge rates in excess of rates which it would otherwise be permitted to charge under such regulations, provided that the operator substantiates that its costs in providing services justify such rates.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Based on its implementation of the April 1993 regulations, Viacom estimates that it will recognize a reduction to revenue ranging from $27 million to $32 million on an annualized basis substantially all of which will be reflected as a reduction in earnings from operations of its cable television division. Viacom's estimated reduction does not reflect further reductions to revenue which would result from the lowering of the initial permitted rates pursuant to the February 22nd Regulations. These new and reduced initial permitted rates will apply prospectively either from May 15, 1994 or July 14, 1994, pursuant to some conditions. Until the February 22nd Regulations are more fully analyzed, it is not possible to accurately predict the effects of the interim standards governing cost-of-service proceedings; however, based on a preliminary analysis, Viacom believes it is unlikely that it will be able to utilize such proceedings so as to charge rates in excess of rates which it would otherwise be permitted to charge under the regulations. Viacom's ability to mitigate the effects of these new rate regulations by employing techniques such as the pricing and repricing of new or currently offered unregulated program services and ancillary services may also be restricted by the new regulations adopted as part of the February 22nd Regulations. No such potential mitigating factors are reflected in the estimated reductions to revenues. The stated reduction to revenues may be mitigated by higher customer growth due to lower primary service rates. Viacom also cannot predict the effect, if any, of cable system rate regulation on license fee rates payable by cable systems to program services such as those owned by Viacom.</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a recent decision by the U.S. District Court for the Eastern District of Virginia, the Court declared the restrictions contained in the Communications Act of 1934, as amended (the "Communications Act") on the provision of video programming by a telephone company in its local service area to be unconstitutional and has enjoined enforcement of those restrictions. The Court has held that this decision does not apply to geographic areas outside of its jurisdiction. An appeal of the Court's holding of the unconstitutionality of such restrictions has been filed. Several similar suits have recently been filed in different jurisdictions by regional Bell Operating Companies (including NYNEX) ("BOCs") challenging the very same restrictions. In an interpretation of the current restrictions contained in the Communications Act, the FCC in 1992 established its "Video Dial Tone" policy. The Video Dial Tone policy is being challenged in court by cable interests as violating the Communications Act. It is also being challenged by telephone interests as not being liberal enough. The policy permits in-service-area delivery of video programming by a telephone company (a "telco", as further defined below) and exempts telcos from the Communications Act's franchising requirements so long as their facilities are capable of two-way video and are used for transmission of video programming on a common carrier basis, i.e., use of the facilities must be available to all programmers and program packagers on a non-discriminatory, first-come first-served basis. Telcos are also permitted to provide to facilities users additional "enhanced" services such as video gateways, video processing services, customer premises equipment and billing and collection. These can be provided on a non-common carrier basis. There are currently pending in Congress four principal bills (in the Senate, S. 1086, the Telecommunications Infrastructure Act of 1993, and S. 1822, the Communications Act of 1994 (which is expected to</w:t>
      </w:r>
    </w:p>
    <w:p>
      <w:pPr>
        <w:spacing w:after="0" w:line="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03" w:right="1440" w:bottom="1440" w:gutter="0" w:footer="0" w:header="0"/>
        </w:sectPr>
      </w:pPr>
    </w:p>
    <w:bookmarkStart w:id="49" w:name="page50"/>
    <w:bookmarkEnd w:id="49"/>
    <w:p>
      <w:pPr>
        <w:ind w:right="3539"/>
        <w:spacing w:after="0" w:line="243" w:lineRule="auto"/>
        <w:rPr>
          <w:sz w:val="20"/>
          <w:szCs w:val="20"/>
          <w:color w:val="auto"/>
        </w:rPr>
      </w:pPr>
      <w:r>
        <w:rPr>
          <w:rFonts w:ascii="Courier New" w:cs="Courier New" w:eastAsia="Courier New" w:hAnsi="Courier New"/>
          <w:sz w:val="14"/>
          <w:szCs w:val="14"/>
          <w:color w:val="auto"/>
        </w:rPr>
        <w:t>supersede S. 1086) and in the House, H.R. 3626, the Antitrust Reform Act 1993, and H.R. 3636, the National Communications Competition and Information Infrastructure Act of 1993) which would, among other things, permit a BOC or a Regional Holding Company ("RHC", a BOC or RHC, a "telco") to offer cable service under certain stated conditions including providing safeguards and transition rules designed to protect against anti-competitive activity by the telcos and cross-subsidization of a telco's cable business by the telco's charges to its telephone customers. These bills also generally eliminate state and local entry barriers which currently either prohibit or restrict an entity's (including a cable operator's) capacity to offer telecommunications services (including telephone exchange service) in competition with telcos and to interconnect on a non-discriminatory basis with telcos and utilize certain telco facilities in order to provide service in competition with a telco. The Clinton Administration has indicated its intention to propose reform of federal telecommunications legislation, although such proposal has not been finalized.</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Modification of Final Judgment (the "MFJ") is the consent decree pursuant to which AT&amp;T was reorganized and was required to divest its local telephone service monopolies. As a result, seven regional holding companies were formed (including NYNEX) comprised of operating companies within their regions. In addition, all territory in the continental United States served by the BOCs was divided into geographical areas termed Local Access and Transport Areas ("LATAs"). The MFJ restricts the RHCs, the BOCs and their affiliates from engaging in inter-LATA telecommunications services and from manufacturing telecommunications products. As a result of NYNEX's investment in Viacom, Viacom arguably could be considered an affiliate of an RHC for MFJ purposes. As a result, Viacom transferred certain of its operations and properties to an affiliated entity which will be consolidated into Viacom for financial reporting purposes. Neither the transfer nor the operations of the affiliate as an entity separate from Viacom will have a material effect on the financial condition or the results of operations of Viacom. However, should the MFJ restrictions be modified or waived, Viacom intends to retransfer the assets and operations and any future appreciation in the value of such assets after such retransfer will be for the benefit of the holders of Viacom Common Stock.</w:t>
      </w:r>
    </w:p>
    <w:p>
      <w:pPr>
        <w:spacing w:after="0" w:line="167"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OWNERSHIP OF PARAMOUNT COMMON STOCK. On March 11, 1994, Viacom, pursuant to the terms of the Offer, completed its purchase of 61,657,432 shares of Paramount Common Stock, representing a majority of the shares of Paramount Common Stock outstanding. Pursuant to the Paramount Merger Agreement, a wholly owned subsidiary of Viacom will be merged with and into Paramount and, as a result, Paramount will become a wholly owned subsidiary of Viacom. On March 11, 1994, 10 members of Paramount's Board of Directors resigned and their positions were filled by 10 designees of Viacom. See "Management Before and After the Mergers--Executive Officers and Directors of Paramount." Effective March 15, 1994, Paramount's fiscal year was changed such that its fiscal year (consisting of eleven calendar months) will end March 31, 1994, following which Paramount's fiscal year will be the nine month period ending December 31, 1994. Thereafter, Paramount's fiscal year will be the twelve month period ending on December 31 of each year, conforming to that of Viacom. Effective March 14, 1994, the Paramount Board replaced Ernst &amp; Young with Price Waterhouse as its independent public accountants. Price Waterhouse are the independent public accountants of Viacom.</w:t>
      </w:r>
    </w:p>
    <w:p>
      <w:pPr>
        <w:spacing w:after="0" w:line="153"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BLOCKBUSTER MERGER. Viacom and Blockbuster are parties to the Blockbuster Merger Agreement. See "The Blockbuster Merger." Upon consummation of the Blockbuster Merger, the Series A Preferred Stock and the Viacom Class B Common Stock owned by Blockbuster will cease to be outstanding.</w:t>
      </w:r>
    </w:p>
    <w:p>
      <w:pPr>
        <w:spacing w:after="0" w:line="165" w:lineRule="exact"/>
        <w:rPr>
          <w:sz w:val="20"/>
          <w:szCs w:val="20"/>
          <w:color w:val="auto"/>
        </w:rPr>
      </w:pPr>
    </w:p>
    <w:p>
      <w:pPr>
        <w:ind w:right="3879" w:firstLine="418"/>
        <w:spacing w:after="0" w:line="241" w:lineRule="auto"/>
        <w:rPr>
          <w:sz w:val="20"/>
          <w:szCs w:val="20"/>
          <w:color w:val="auto"/>
        </w:rPr>
      </w:pPr>
      <w:r>
        <w:rPr>
          <w:rFonts w:ascii="Courier New" w:cs="Courier New" w:eastAsia="Courier New" w:hAnsi="Courier New"/>
          <w:sz w:val="14"/>
          <w:szCs w:val="14"/>
          <w:color w:val="auto"/>
        </w:rPr>
        <w:t>VIACOM RECENT DEVELOPMENTS. On April 4, 1994, Viacom sold its one-third partnership interest in LIFETIME to its partners The Hearst Corporation and Capital Cities/ABC Inc. for approximately $317.6 million.</w:t>
      </w:r>
    </w:p>
    <w:p>
      <w:pPr>
        <w:spacing w:after="0" w:line="166" w:lineRule="exact"/>
        <w:rPr>
          <w:sz w:val="20"/>
          <w:szCs w:val="20"/>
          <w:color w:val="auto"/>
        </w:rPr>
      </w:pPr>
    </w:p>
    <w:p>
      <w:pPr>
        <w:ind w:right="3959" w:firstLine="418"/>
        <w:spacing w:after="0" w:line="239" w:lineRule="auto"/>
        <w:rPr>
          <w:sz w:val="20"/>
          <w:szCs w:val="20"/>
          <w:color w:val="auto"/>
        </w:rPr>
      </w:pPr>
      <w:r>
        <w:rPr>
          <w:rFonts w:ascii="Courier New" w:cs="Courier New" w:eastAsia="Courier New" w:hAnsi="Courier New"/>
          <w:sz w:val="14"/>
          <w:szCs w:val="14"/>
          <w:color w:val="auto"/>
        </w:rPr>
        <w:t>On March 29, 1994 Viacom entered into an agreement to sell KSRY-FM and KSRI-FM.</w:t>
      </w:r>
    </w:p>
    <w:p>
      <w:pPr>
        <w:spacing w:after="0" w:line="167" w:lineRule="exact"/>
        <w:rPr>
          <w:sz w:val="20"/>
          <w:szCs w:val="20"/>
          <w:color w:val="auto"/>
        </w:rPr>
      </w:pPr>
    </w:p>
    <w:p>
      <w:pPr>
        <w:ind w:right="3799" w:firstLine="418"/>
        <w:spacing w:after="0" w:line="262" w:lineRule="auto"/>
        <w:rPr>
          <w:sz w:val="20"/>
          <w:szCs w:val="20"/>
          <w:color w:val="auto"/>
        </w:rPr>
      </w:pPr>
      <w:r>
        <w:rPr>
          <w:rFonts w:ascii="Courier New" w:cs="Courier New" w:eastAsia="Courier New" w:hAnsi="Courier New"/>
          <w:sz w:val="13"/>
          <w:szCs w:val="13"/>
          <w:color w:val="auto"/>
        </w:rPr>
        <w:t>PARAMOUNT. The businesses of Paramount are entertainment and publishing. Entertainment includes the production, financing and distribution of motion pictures, television programming and prerecorded videocassettes and the operation of motion picture theaters, independent television stations,</w:t>
      </w:r>
    </w:p>
    <w:p>
      <w:pPr>
        <w:ind w:left="3260"/>
        <w:spacing w:after="0" w:line="237" w:lineRule="auto"/>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03" w:right="1440" w:bottom="1440" w:gutter="0" w:footer="0" w:header="0"/>
        </w:sectPr>
      </w:pPr>
    </w:p>
    <w:bookmarkStart w:id="50" w:name="page51"/>
    <w:bookmarkEnd w:id="50"/>
    <w:p>
      <w:pPr>
        <w:ind w:right="3799"/>
        <w:spacing w:after="0" w:line="242" w:lineRule="auto"/>
        <w:rPr>
          <w:sz w:val="20"/>
          <w:szCs w:val="20"/>
          <w:color w:val="auto"/>
        </w:rPr>
      </w:pPr>
      <w:r>
        <w:rPr>
          <w:rFonts w:ascii="Courier New" w:cs="Courier New" w:eastAsia="Courier New" w:hAnsi="Courier New"/>
          <w:sz w:val="14"/>
          <w:szCs w:val="14"/>
          <w:color w:val="auto"/>
        </w:rPr>
        <w:t>regional theme parks and Madison Square Garden. Publishing includes the publication and distribution of hardcover and paperback books for the general public, textbooks for elementary schools, high schools and colleges, and the provision of information services for business and professions.</w:t>
      </w:r>
    </w:p>
    <w:p>
      <w:pPr>
        <w:spacing w:after="0" w:line="162" w:lineRule="exact"/>
        <w:rPr>
          <w:sz w:val="20"/>
          <w:szCs w:val="20"/>
          <w:color w:val="auto"/>
        </w:rPr>
      </w:pPr>
    </w:p>
    <w:p>
      <w:pPr>
        <w:spacing w:after="0"/>
        <w:tabs>
          <w:tab w:leader="none" w:pos="1740" w:val="left"/>
          <w:tab w:leader="none" w:pos="4160" w:val="left"/>
        </w:tabs>
        <w:rPr>
          <w:sz w:val="20"/>
          <w:szCs w:val="20"/>
          <w:color w:val="auto"/>
        </w:rPr>
      </w:pPr>
      <w:r>
        <w:rPr>
          <w:rFonts w:ascii="Courier New" w:cs="Courier New" w:eastAsia="Courier New" w:hAnsi="Courier New"/>
          <w:sz w:val="14"/>
          <w:szCs w:val="14"/>
          <w:color w:val="auto"/>
        </w:rPr>
        <w:t>_____Entertainment.</w:t>
        <w:tab/>
        <w:t>Theatrical Motion Pictures.</w:t>
      </w:r>
      <w:r>
        <w:rPr>
          <w:sz w:val="20"/>
          <w:szCs w:val="20"/>
          <w:color w:val="auto"/>
        </w:rPr>
        <w:tab/>
      </w:r>
      <w:r>
        <w:rPr>
          <w:rFonts w:ascii="Courier New" w:cs="Courier New" w:eastAsia="Courier New" w:hAnsi="Courier New"/>
          <w:sz w:val="13"/>
          <w:szCs w:val="13"/>
          <w:color w:val="auto"/>
        </w:rPr>
        <w:t>Paramount Pictures produces</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and/or finances feature motion pictures for exhibition in theaters and on television and for distribution by videocassettes and video discs. Motion pictures are produced by Paramount Pictures, produced by independent producers and financed in whole or in part by Paramount Pictures, or produced by others and acquired by Paramount Pictures. Each picture is, in effect, a separate and distinct product with its financial success dependent upon many factors, among which cost and public response are of fundamental importance. In the twelve-month period ended January 31, 1994, Paramount Pictures released fifteen feature motion pictures. Paramount Pictures distributes its motion pictures for theatrical release outside the United States and Canada through United International Pictures, a company owned by Paramount Pictures, MCA and Metro-Goldwyn-Mayer Inc.</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Most motion pictures are also licensed for exhibition on television, with fees generally collected in installments. License fees are recorded as revenue in the year that the films are available for telecast, which, among other reasons, may cause substantial fluctuation in Paramount's operating results. At January 31, 1994, unrecognized revenues attributable to licensing of completed films from Paramount Pictures' license agreements were $575 million.</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Paramount Pictures has an exclusive pay television license agreement with HBO which includes new Paramount Pictures' motion pictures released theatrically through December 1997. Paramount Pictures also licenses its motion pictures to home and hotel/motel pay-per-view, airlines, schools and universities. Paramount Pictures also distributes its motion pictures for pay television release outside the United States and Canada through United International Pictures. In 1993, Paramount acquired a joint venture interest in HBO Pacific Partners, C.V. and granted to it a license to carry Paramount Pictures' motion pictures on pay television in Singapore, Thailand, the Philippines and other territories through 1999. Paramount Pictures has approximately 900 motion pictures in its library. United International Pictures and United Cinemas International (as described below) are the subject of various governmental inquiries by the Commission of the European Community and the Monopolies and Mergers Commission of the United Kingdom. Such inquiries are not expected to have a material effect on the business of Paramount.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Television Programs. Paramount Pictures is engaged in the production and distribution of series, mini-series, specials and made-for-television movies for network television, first-run syndication, pay and basic cable, videocassettes and video discs, and live television programming. The receipt and recognition of revenues for license fees for completed television programming in syndication is similar to that of feature films exhibited on television and, consequently, operating results are subject to substantial fluctuation. At January 31, 1994, the unrecognized revenues from such television license agreements were $198 million. Certain programs are licensed in exchange for cash and/or advertising time which Paramount Pictures retains and sells through its wholly owned affiliate, Premier Advertiser Sales. Premier Advertiser Sales also sells advertising time in programming distributed by third parties. Paramount Pictures' foreign television revenues include the licensing of series, mini-series and specials made for U.S. television and theatrical and made-for-television movies that are part of its television library. In addition, foreign television revenues also include revenues derived from distribution of television product acquired from independent producers.</w:t>
      </w:r>
    </w:p>
    <w:p>
      <w:pPr>
        <w:spacing w:after="0" w:line="32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Home Video. Paramount Pictures sells videocassettes for the home video market, featuring its motion picture and television program library, acquisitions from third parties and programs made originally for the home video market. It also licenses this product for distribution on video disc. Paramount Pictures distributes its home video products outside the United States and Canada through Cinema International B.V., a joint venture with MCA.</w:t>
      </w:r>
    </w:p>
    <w:p>
      <w:pPr>
        <w:spacing w:after="0" w:line="328"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Theatrical Exhibition. Famous Players operates 462 screens in 114 theaters throughout Canada. Cinamerica, a joint venture with Time Warner Inc. ("Time Warner"), includes Mann and Festival</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03" w:right="1440" w:bottom="1440" w:gutter="0" w:footer="0" w:header="0"/>
        </w:sectPr>
      </w:pPr>
    </w:p>
    <w:bookmarkStart w:id="51" w:name="page52"/>
    <w:bookmarkEnd w:id="51"/>
    <w:p>
      <w:pPr>
        <w:ind w:right="3619"/>
        <w:spacing w:after="0" w:line="242" w:lineRule="auto"/>
        <w:rPr>
          <w:sz w:val="20"/>
          <w:szCs w:val="20"/>
          <w:color w:val="auto"/>
        </w:rPr>
      </w:pPr>
      <w:r>
        <w:rPr>
          <w:rFonts w:ascii="Courier New" w:cs="Courier New" w:eastAsia="Courier New" w:hAnsi="Courier New"/>
          <w:sz w:val="14"/>
          <w:szCs w:val="14"/>
          <w:color w:val="auto"/>
        </w:rPr>
        <w:t>Theaters and operates 341 screens in 66 theaters in California, Colorado, Arizona and Alaska. United Cinemas International, a joint venture with MCA, operates 235 screens in 25 theaters in the United Kingdom and Ireland, 42 screens in three theaters in Germany and 76 screens in 25 theaters in Spain. United Cinemas International plans to construct and operate additional theaters in the United Kingdom, Germany, Austria and Spain. It also manages, in six countries, 31 screens in 17 theaters which are owned by Cinema International Corporation, a joint venture with MCA.</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Television Broadcasting and Cable Television Networks. PSG owns and operates seven television stations: WTXF(TV), Philadelphia; KRRT(TV), San Antonio; WLFL(TV), Raleigh/Durham; WDCA-TV, Washington, D.C.; KTXA(TV), Dallas; KTXH(TV), Houston; and WKBD(TV), Detroit. Paramount and MCA jointly own USA Networks, which operates two national advertiser-supported basic cable television networks, USA Network and the Sci-Fi Channel. USA Network is one of the largest of its kind in the United States, reaching approximately 62.5 million households.</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Theme Parks. Paramount Parks owns and operates five regional theme parks: Paramount's Carowinds, in Charlotte, North Carolina; Paramount's Great America, in Santa Clara, California; Paramount's Kings Dominion, located near Richmond, Virginia; Paramount's Kings Island, located near Cincinnati, Ohio; and Paramount Canada's Wonderland, located near Toronto, Ontario. In May 1993, Paramount Parks acquired the 80% interest in Paramount Canada's Wonderland which it did not previously own. The majority of the theme parks' operating income is generated from May through September.</w:t>
      </w:r>
    </w:p>
    <w:p>
      <w:pPr>
        <w:spacing w:after="0" w:line="330"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Madison Square Garden. Madison Square Garden's activities include the operation of the Madison Square Garden Arena, which seats approximately 20,000 people, and The Paramount, a theater which seats approximately 5,600 people, the New York Knickerbockers Basketball Club of the National Basketball Association and the New York Rangers Hockey Club of the National Hockey League. It also supplies and distributes television programming for cable systems principally in New York, New Jersey and Connecticut through the Madison Square Garden Network. Its programming includes its own sporting events and rights to the New York Yankees baseball games through the year 2000. In addition, Madison Square Garden produces, promotes and/or presents live entertainment, which includes television event production of the Miss Universe, Miss USA and Miss Teen USA pageants and auto thrill shows through SRO Motorsports.</w:t>
      </w:r>
    </w:p>
    <w:p>
      <w:pPr>
        <w:spacing w:after="0" w:line="32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4"/>
          <w:szCs w:val="14"/>
          <w:color w:val="auto"/>
        </w:rPr>
        <w:t>_____Publishing.</w:t>
      </w:r>
      <w:r>
        <w:rPr>
          <w:sz w:val="20"/>
          <w:szCs w:val="20"/>
          <w:color w:val="auto"/>
        </w:rPr>
        <w:tab/>
      </w:r>
      <w:r>
        <w:rPr>
          <w:rFonts w:ascii="Courier New" w:cs="Courier New" w:eastAsia="Courier New" w:hAnsi="Courier New"/>
          <w:sz w:val="13"/>
          <w:szCs w:val="13"/>
          <w:color w:val="auto"/>
        </w:rPr>
        <w:t>Paramount Publishing includes well-known imprints such as</w:t>
      </w:r>
    </w:p>
    <w:p>
      <w:pPr>
        <w:spacing w:after="0" w:line="5"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4"/>
          <w:szCs w:val="14"/>
          <w:color w:val="auto"/>
        </w:rPr>
        <w:t>Simon &amp; Schuster, Pocket Books, Prentice Hall, Silver Burdett Ginn and Computer Curriculum Corporation, among others.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Educational Publishing. Paramount Publishing's Elementary, Secondary and Higher Education groups publish elementary, secondary and college textbooks and related materials, computer-based educational products, audiovisual products and vocational and technical materials under such imprints as "Prentice Hall," "Silver Burdett Ginn," "Allyn &amp; Bacon," "Globe Fearon," "Modern Curriculum Press," "Coronet/MTI Film &amp; Video," "Computer Curriculum Corporation," "Simon &amp; Schuster Workplace Resources," "Academic Reference," "Regents/PH," "American Teaching Aids," "Judy/Instructo," "Ginn Press," "Alemany" and "Cambridge."</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Consumer Publishing. Paramount Publishing's Consumer group publishes and distributes hardcover, trade paperback and mass market books and audio tapes. It publishes its hardcover trade books principally under the "Simon &amp; Schuster," "Pocket Books," "Poseidon Press," "Little Simon," "Simon &amp; Schuster Books for Young Readers," "Green Tiger" and "Julian Messner" imprints; its trade paperback books under the "Fireside" and "Touchstone" imprints; and its mass market paperbacks under the "Pocket Books," "Pocket Star," "Archway," "Washington Square Press" and "Minstrel" imprints. Audio cassettes are sold under the imprints "Audio Works" and "Sound Ideas." Books of other publishing companies, including "Harlequin" and "Silhouette" romance novels, books published under the imprints of "Baen," "Meadowbrook," "Picture Book Studios" and "Rabbit Ears," and audio cassettes under the "Nightingale Conant Audio" imprint are also distributed.</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03" w:right="1440" w:bottom="1440" w:gutter="0" w:footer="0" w:header="0"/>
        </w:sectPr>
      </w:pPr>
    </w:p>
    <w:bookmarkStart w:id="52" w:name="page53"/>
    <w:bookmarkEnd w:id="52"/>
    <w:p>
      <w:pPr>
        <w:ind w:right="3539" w:firstLine="418"/>
        <w:spacing w:after="0" w:line="242" w:lineRule="auto"/>
        <w:rPr>
          <w:sz w:val="20"/>
          <w:szCs w:val="20"/>
          <w:color w:val="auto"/>
        </w:rPr>
      </w:pPr>
      <w:r>
        <w:rPr>
          <w:rFonts w:ascii="Courier New" w:cs="Courier New" w:eastAsia="Courier New" w:hAnsi="Courier New"/>
          <w:sz w:val="14"/>
          <w:szCs w:val="14"/>
          <w:color w:val="auto"/>
        </w:rPr>
        <w:t>The Consumer group also publishes or distributes consumer information and special-interest books, including "Prentice Hall" reference books; "Arco" college entrance and civil service test preparation material; "J.K. Lasser" tax guides; "Webster's New World" and "Harrap's" bilingual dictionaries; travel books under the "Frommer's," "American Express," "Baedeker" and "Mobil" imprints; cookbooks under the "Betty Crocker" imprint; gardening books under the "Burpee" and "Horticulture" imprints; maps under the "Gousha" imprint; and "Monarch Notes" study guides.</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Business, Technical and Professional. Paramount Publishing's Business, Technical and Professional group publishes books, newsletters and software for a variety of professional groups, including lawyers, accountants, tax professionals, business executives and the medical community. These materials are published under the "Prentice Hall," "Bureau of Business Practice," "Parker," "Appleton &amp; Lange" and "New York Institute of Finance" imprints. It publishes Prentice Hall Computer Publishing computer reference books under the "Que," "Brady," "Sams," "New Riders," "Alpha Books" and "Hayden" imprints.</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International. The international operations include publishing in Canada, the United Kingdom, Australia, Brazil, Mexico, Singapore, Japan and India primarily under the "Prentice Hall" and "Simon &amp; Schuster" imprints as well as distribution of Paramount Publishing's products worldwide. Paramount Publishing also publishes German language computer books and software in Germany under the "Markt &amp; Technik" imprint.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_____Paramount Recent Developments. In February 1994, Paramount completed the</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acquisition of Macmillan Publishing Company and certain other publishing assets of Macmillan, Inc. for approximately $553 million. Macmillan Publishing, which includes such imprints as "Macmillan" and "Scribner's", publishes books and materials through five divisions--College, Children's Books, Adult Trade, Reference and The Free Press, a publisher of scholarly and professional materials--as well as Jossey-Bass, a publisher of books and periodicals for select professionals.</w:t>
      </w:r>
    </w:p>
    <w:p>
      <w:pPr>
        <w:spacing w:after="0" w:line="168"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Provisions in certain consent decrees entered into by the television networks which prohibited the networks from acquiring financial interests and syndication rights in television programming by non-network suppliers such as Paramount Pictures were recently vacated by a federal district court. Accordingly, subject to certain restrictions imposed by the FCC, the networks will be able to negotiate with program suppliers to acquire financial interests and syndication rights in television programs that air on the networks.</w:t>
      </w:r>
    </w:p>
    <w:p>
      <w:pPr>
        <w:spacing w:after="0" w:line="153"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Paramount and BHC Communications, Inc., which is majority owned by Chris-Craft Industries, Inc., are forming a joint venture to be known as the Paramount Television Network which will provide prime-time television programming primarily to broadcast affiliates nationwide in competition with the three major networks and the Fox Broadcasting Network. The network is expected to begin operations in January 1995.</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Under the joint venture agreement for USA Networks between subsidiaries of Paramount and MCA, such subsidiaries and certain of their affiliates are restricted, subject to certain exceptions and unless the other party consents, from engaging outside of USA Networks in the business of providing to cable television systems national, video, advertiser-supported, basic cable entertainment networks or providing national video entertainment programming services to cable television systems and/or other entities on a pay-per-view basis. Although Viacom and Paramount do not believe that these restrictions were violated by the consummation of the Offer, there can be no assurance that MCA might not seek damages or other relief in connection with the consummation of the Offer or the Paramount Merger or the business activities that may be engaged in thereafter.</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924" w:right="1440" w:bottom="1440" w:gutter="0" w:footer="0" w:header="0"/>
        </w:sectPr>
      </w:pPr>
    </w:p>
    <w:bookmarkStart w:id="53" w:name="page54"/>
    <w:bookmarkEnd w:id="53"/>
    <w:p>
      <w:pPr>
        <w:ind w:left="2860"/>
        <w:spacing w:after="0"/>
        <w:rPr>
          <w:sz w:val="20"/>
          <w:szCs w:val="20"/>
          <w:color w:val="auto"/>
        </w:rPr>
      </w:pPr>
      <w:r>
        <w:rPr>
          <w:rFonts w:ascii="Courier New" w:cs="Courier New" w:eastAsia="Courier New" w:hAnsi="Courier New"/>
          <w:sz w:val="14"/>
          <w:szCs w:val="14"/>
          <w:color w:val="auto"/>
        </w:rPr>
        <w:t>THE MEETINGS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MEETINGS</w:t>
      </w:r>
    </w:p>
    <w:p>
      <w:pPr>
        <w:spacing w:after="0" w:line="32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Viacom. At the Viacom Special Meeting, holders of Viacom Class A Common Stock will consider and vote upon approval of the Paramount Merger Agreement (including the issuance of the Paramount Merger Consideration) and the Viacom Charter Amendments. The Viacom Charter Amendments will only be considered and voted upon to the extent such matters have not been previously approved by the holders of Viacom Class A Common Stock. Such stockholders will also consider and vote upon such other matters as may properly be brought before the Viacom Special Meeting.</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ON FEBRUARY 1, 1994, THE BOARD OF DIRECTORS OF VIACOM UNANIMOUSLY APPROVED THE FEBRUARY 4 MERGER AGREEMENT AND RECOMMENDED A VOTE FOR APPROVAL OF THE FEBRUARY 4 MERGER AGREEMENT (INCLUDING THE ISSUANCE OF THE PARAMOUNT MERGER CONSIDERATION) AND THE VIACOM CHARTER AMENDMENTS. [ON APRIL [ ], 1994, THE BOARD OF DIRECTORS OF VIACOM UNANIMOUSLY APPROVED CERTAIN AMENDMENTS TO THE FEBRUARY 4 MERGER AGREEMENT WHICH ARE EMBODIED IN THE PARAMOUNT MERGER AGREEMENT.]</w:t>
      </w:r>
    </w:p>
    <w:p>
      <w:pPr>
        <w:spacing w:after="0" w:line="168" w:lineRule="exact"/>
        <w:rPr>
          <w:sz w:val="20"/>
          <w:szCs w:val="20"/>
          <w:color w:val="auto"/>
        </w:rPr>
      </w:pPr>
    </w:p>
    <w:p>
      <w:pPr>
        <w:jc w:val="both"/>
        <w:ind w:right="3699" w:firstLine="418"/>
        <w:spacing w:after="0" w:line="242" w:lineRule="auto"/>
        <w:rPr>
          <w:sz w:val="20"/>
          <w:szCs w:val="20"/>
          <w:color w:val="auto"/>
        </w:rPr>
      </w:pPr>
      <w:r>
        <w:rPr>
          <w:rFonts w:ascii="Courier New" w:cs="Courier New" w:eastAsia="Courier New" w:hAnsi="Courier New"/>
          <w:sz w:val="14"/>
          <w:szCs w:val="14"/>
          <w:color w:val="auto"/>
        </w:rPr>
        <w:t>At the Viacom Annual Meeting, holders of Viacom Class A Common Stock will consider and vote upon the Viacom Annual Meeting Proposals. Such stockholders will also consider and vote upon such other matters as may properly be brought before the Viacom Annual Meeting.</w:t>
      </w:r>
    </w:p>
    <w:p>
      <w:pPr>
        <w:spacing w:after="0" w:line="165"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THE BOARD OF DIRECTORS OF VIACOM RECOMMENDS A VOTE FOR APPROVAL OF THE VIACOM ANNUAL MEETING PROPOSALS, INCLUDING THE SLATE OF DIRECTORS NOMINATED BY THE VIACOM BOARD OF DIRECTORS.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Paramount. At the Paramount Special Meeting, holders of Paramount Common Stock will consider and vote upon a proposal to approve and adopt the Paramount Merger Agreement and such other matters as may properly be brought before the meeting.</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FEBRUARY 4, 1994, THE BOARD OF DIRECTORS OF PARAMOUNT UNANIMOUSLY APPROVED THE FEBRUARY 4 MERGER AGREEMENT AND RECOMMENDED A VOTE FOR APPROVAL AND ADOPTION OF THE FEBRUARY 4 MERGER AGREEMENT. [ON APRIL [ ], 1994, THE RECONSTITUTED BOARD OF DIRECTORS OF PARAMOUNT UNANIMOUSLY APPROVED CERTAIN AMENDMENTS TO THE FEBRUARY 4 MERGER AGREEMENT WHICH ARE EMBODIED IN THE PARAMOUNT MERGER AGREEMENT.]</w:t>
      </w:r>
    </w:p>
    <w:p>
      <w:pPr>
        <w:spacing w:after="0" w:line="167"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THIS PROXY STATEMENT/PROSPECTUS IS NOT A SOLICITATION OF PROXIES WITH RESPECT TO, NOR A PROSPECTUS RELATING TO, THE BLOCKBUSTER MERGER. IT IS ANTICIPATED THAT A SEPARATE JOINT PROXY STATEMENT/PROSPECTUS OF VIACOM AND BLOCKBUSTER RELATING TO THE BLOCKBUSTER MERGER WILL BE SENT TO STOCKHOLDERS OF VIACOM AND BLOCKBUSTER.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REQUIRED</w:t>
      </w:r>
    </w:p>
    <w:p>
      <w:pPr>
        <w:spacing w:after="0" w:line="166"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Viacom. Each share of Viacom Class A Common Stock is entitled to one vote. Except as required by Delaware law, holders of Viacom Class B Common Stock are not entitled to vote on any matter.</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Viacom Class A Common Stock is required to approve the Viacom Charter Amendments. Because approval of the Viacom Charter Amendments requires the affirmative vote of such holders, abstentions and broker non-votes will have the same effect as votes against the Viacom Charter Amendments.</w:t>
      </w:r>
    </w:p>
    <w:p>
      <w:pPr>
        <w:spacing w:after="0" w:line="166" w:lineRule="exact"/>
        <w:rPr>
          <w:sz w:val="20"/>
          <w:szCs w:val="20"/>
          <w:color w:val="auto"/>
        </w:rPr>
      </w:pPr>
    </w:p>
    <w:p>
      <w:pPr>
        <w:ind w:right="3699" w:firstLine="418"/>
        <w:spacing w:after="0" w:line="265" w:lineRule="auto"/>
        <w:rPr>
          <w:sz w:val="20"/>
          <w:szCs w:val="20"/>
          <w:color w:val="auto"/>
        </w:rPr>
      </w:pPr>
      <w:r>
        <w:rPr>
          <w:rFonts w:ascii="Courier New" w:cs="Courier New" w:eastAsia="Courier New" w:hAnsi="Courier New"/>
          <w:sz w:val="13"/>
          <w:szCs w:val="13"/>
          <w:color w:val="auto"/>
        </w:rPr>
        <w:t>The affirmative vote of the holders of a majority of the shares of Viacom Class A Common Stock present in person or represented by proxy is required for approval of the Paramount Merger Agreement and the Viacom Annual Meeting Proposals. Abstentions will have the same effect as a vote against such proposals. Broker non-votes will have no such effect and will not be counted.</w:t>
      </w:r>
    </w:p>
    <w:p>
      <w:pPr>
        <w:spacing w:after="0" w:line="152"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NAI, of which Sumner M. Redstone is the beneficial owner of a controlling interest, owned approximately 85% of the Viacom Class A Common Stock and 52% of the Viacom Class B Common Stock as of April 1, 1994. NAI has agreed to vote all of its shares of Viacom Class A Common Stock in favor of the Paramount Merger Agreement pursuant to the terms of the Paramount Voting Agreement, a copy of which is attached as Annex II. See "Special Factors--Paramount Voting Agreement." Such</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39" w:right="1440" w:bottom="1440" w:gutter="0" w:footer="0" w:header="0"/>
        </w:sectPr>
      </w:pPr>
    </w:p>
    <w:bookmarkStart w:id="54" w:name="page55"/>
    <w:bookmarkEnd w:id="54"/>
    <w:p>
      <w:pPr>
        <w:ind w:right="3799"/>
        <w:spacing w:after="0" w:line="242" w:lineRule="auto"/>
        <w:rPr>
          <w:sz w:val="20"/>
          <w:szCs w:val="20"/>
          <w:color w:val="auto"/>
        </w:rPr>
      </w:pPr>
      <w:r>
        <w:rPr>
          <w:rFonts w:ascii="Courier New" w:cs="Courier New" w:eastAsia="Courier New" w:hAnsi="Courier New"/>
          <w:sz w:val="14"/>
          <w:szCs w:val="14"/>
          <w:color w:val="auto"/>
        </w:rPr>
        <w:t>action by NAI in accordance with the Paramount Voting Agreement would be sufficient to approve the Paramount Merger Agreement and related transactions without any action on the part of any other holder of Viacom Class A Common Stock.</w:t>
      </w:r>
    </w:p>
    <w:p>
      <w:pPr>
        <w:spacing w:after="0" w:line="165"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NAI has advised Viacom that it intends to vote all of its shares in favor of the Viacom Annual Meeting Proposals (including the slate of directors nominated by the Viacom Board of Directors) and in favor of each of the Viacom Charter Amendments; such action by NAI is sufficient to approve such proposals without any action on the part of any other holder of Viacom Class A Common Stock.</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Paramount. The affirmative vote of the holders of a majority of the outstanding shares of Paramount Common Stock entitled to vote thereon is required to approve and adopt the Paramount Merger Agreement. Each share of Paramount Common Stock is entitled to one vote. Because approval of the Paramount Merger Agreement requires the vote of a majority of the outstanding shares of Paramount Common Stock, abstentions and broker non-votes will have the same effect as votes against the Paramount Merger Agreement. As Viacom has acquired a majority of the outstanding shares of Paramount Common Stock pursuant to the Offer, Viacom has sufficient voting power to approve the Paramount Merger Agreement, even if no other stockholder of Paramount votes in favor of the Paramount Merger Agreement.</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At March 31, 1994, Paramount's current directors and executive officers may be deemed to be beneficial owners of approximately 2,253,380 shares of Paramount Common Stock, or approximately 1.84% of the then outstanding shares of Paramount Common Stock. See "Security Ownership of Certain Beneficial Owners and Management."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OF PROXIES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Shares represented by properly executed proxies received in time for the Special Meetings and the Viacom Annual Meeting, as the case may be, will be voted at such meetings in the manner specified by the holders thereof. Proxies which are properly executed but which do not contain voting instructions will be voted (i) in the case of proxies for Viacom Class A Common Stock, in favor of the Paramount Merger Agreement (including the issuance of the Paramount Merger Consideration) and the Viacom Charter Amendments, at the Viacom Special Meeting, and in favor of the Viacom Annual Meeting Proposals (including the slate of directors nominated by the Viacom Board of Directors), at the Viacom Annual Meeting, or (ii) in the case of proxies for Paramount Common Stock, in favor of approval and adoption of the Paramount Merger Agreement.</w:t>
      </w:r>
    </w:p>
    <w:p>
      <w:pPr>
        <w:spacing w:after="0" w:line="164" w:lineRule="exact"/>
        <w:rPr>
          <w:sz w:val="20"/>
          <w:szCs w:val="20"/>
          <w:color w:val="auto"/>
        </w:rPr>
      </w:pPr>
    </w:p>
    <w:p>
      <w:pPr>
        <w:ind w:right="3539" w:firstLine="418"/>
        <w:spacing w:after="0" w:line="267" w:lineRule="auto"/>
        <w:rPr>
          <w:sz w:val="20"/>
          <w:szCs w:val="20"/>
          <w:color w:val="auto"/>
        </w:rPr>
      </w:pPr>
      <w:r>
        <w:rPr>
          <w:rFonts w:ascii="Courier New" w:cs="Courier New" w:eastAsia="Courier New" w:hAnsi="Courier New"/>
          <w:sz w:val="13"/>
          <w:szCs w:val="13"/>
          <w:color w:val="auto"/>
        </w:rPr>
        <w:t>It is not expected that any matter other than those referred to herein will be brought before either of the Special Meetings or the Viacom Annual Meeting. If, however, other matters are properly presented, the persons named as proxies will vote in accordance with their judgment with respect to such matters.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REVOCABILITY OF PROXIES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grant of a proxy on the enclosed Viacom or Paramount form does not preclude a stockholder from voting in person. A stockholder may revoke a proxy at any time prior to its exercise by submitting a new proxy at a later date, by filing with the Secretary of Viacom (in the case of a Viacom stockholder) or the Secretary of Paramount (in the case of a Paramount stockholder) a duly executed revocation of proxy bearing a later date or by voting in person at the meeting. Attendance at the relevant Special Meeting or the Viacom Annual Meeting will not of itself constitute revocation of a proxy.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STOCK ENTITLED TO VOTE; QUORUM</w:t>
      </w:r>
    </w:p>
    <w:p>
      <w:pPr>
        <w:spacing w:after="0" w:line="166"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Viacom. Only holders of record of Viacom Class A Common Stock and Viacom Class B Common Stock at the close of business on [ ], 1994 will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receive notice of the Viacom Special Meeting and the Viacom Annual</w:t>
      </w:r>
    </w:p>
    <w:p>
      <w:pPr>
        <w:spacing w:after="0" w:line="320"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Meeting, and only holders of record of Viacom Class A Common Stock on the close of business on [ ], 1994 will be entitled to vote on the matters to 39</w:t>
      </w:r>
    </w:p>
    <w:p>
      <w:pPr>
        <w:sectPr>
          <w:pgSz w:w="11900" w:h="16838" w:orient="portrait"/>
          <w:cols w:equalWidth="0" w:num="1">
            <w:col w:w="10239"/>
          </w:cols>
          <w:pgMar w:left="220" w:top="60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be voted on at such meetings. As of this record date, Viacom had outstanding</w:t>
      </w:r>
    </w:p>
    <w:p>
      <w:pPr>
        <w:spacing w:after="0" w:line="5" w:lineRule="exact"/>
        <w:rPr>
          <w:sz w:val="20"/>
          <w:szCs w:val="20"/>
          <w:color w:val="auto"/>
        </w:rPr>
      </w:pPr>
    </w:p>
    <w:p>
      <w:pPr>
        <w:ind w:right="3699"/>
        <w:spacing w:after="0" w:line="239" w:lineRule="auto"/>
        <w:rPr>
          <w:sz w:val="20"/>
          <w:szCs w:val="20"/>
          <w:color w:val="auto"/>
        </w:rPr>
      </w:pPr>
      <w:r>
        <w:rPr>
          <w:rFonts w:ascii="Courier New" w:cs="Courier New" w:eastAsia="Courier New" w:hAnsi="Courier New"/>
          <w:sz w:val="14"/>
          <w:szCs w:val="14"/>
          <w:color w:val="auto"/>
        </w:rPr>
        <w:t>[ ] shares of Viacom Class A Common Stock and [ ] shares of Viacom Class B Common Stock.</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Shares representing a majority of the voting power of the outstanding shares of Viacom Class A Common Stock entitled to vote must be represented in person or by proxy at the Viacom Special Meeting and the Viacom Annual Meeting in order for a quorum to be present with respect to the Viacom Class A Common Stock for purposes of approving the matters to be voted on at such meetings. Abstentions and broker non-votes are counted for the purposes of establishing a quorum. As NAI has agreed to vote its shares of Viacom Class A Common Stock in favor of the Paramount Merger and related transactions pursuant to the Paramount Voting Agreement and, as NAI has announced its intention to vote at the Viacom Annual Meeting, the presence of the requisite quorums at the Viacom Special Meeting and the Viacom Annual Meeting is assured. Holders of Viacom Class B Common Stock are not entitled to vote on any of the matters to be voted on at the Viacom Special Meeting or the Viacom Annual Meeting.</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Only stockholders of record of Paramount at the close of</w:t>
      </w:r>
    </w:p>
    <w:p>
      <w:pPr>
        <w:spacing w:after="0" w:line="5"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business on [ ], 1994 will be entitled to receive notice of the Paramount Special Meeting, and only holders of record of Paramount Common Stock at that time will be entitled to vote at the Paramount Special Meeting. As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80" w:type="dxa"/>
            <w:vAlign w:val="bottom"/>
            <w:gridSpan w:val="3"/>
          </w:tcPr>
          <w:p>
            <w:pPr>
              <w:spacing w:after="0"/>
              <w:rPr>
                <w:sz w:val="20"/>
                <w:szCs w:val="20"/>
                <w:color w:val="auto"/>
              </w:rPr>
            </w:pPr>
            <w:r>
              <w:rPr>
                <w:rFonts w:ascii="Courier New" w:cs="Courier New" w:eastAsia="Courier New" w:hAnsi="Courier New"/>
                <w:sz w:val="14"/>
                <w:szCs w:val="14"/>
                <w:color w:val="auto"/>
              </w:rPr>
              <w:t>this record date, Paramount had outstanding [</w:t>
            </w:r>
          </w:p>
        </w:tc>
        <w:tc>
          <w:tcPr>
            <w:tcW w:w="242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 shares of Paramount</w:t>
            </w:r>
          </w:p>
        </w:tc>
      </w:tr>
      <w:tr>
        <w:trPr>
          <w:trHeight w:val="161"/>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Common Stock, exclusive of shares held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its treasury. A majority</w:t>
            </w:r>
          </w:p>
        </w:tc>
        <w:tc>
          <w:tcPr>
            <w:tcW w:w="1140" w:type="dxa"/>
            <w:vAlign w:val="bottom"/>
          </w:tcPr>
          <w:p>
            <w:pPr>
              <w:ind w:left="60"/>
              <w:spacing w:after="0"/>
              <w:rPr>
                <w:sz w:val="20"/>
                <w:szCs w:val="20"/>
                <w:color w:val="auto"/>
              </w:rPr>
            </w:pPr>
            <w:r>
              <w:rPr>
                <w:rFonts w:ascii="Courier New" w:cs="Courier New" w:eastAsia="Courier New" w:hAnsi="Courier New"/>
                <w:sz w:val="14"/>
                <w:szCs w:val="14"/>
                <w:color w:val="auto"/>
              </w:rPr>
              <w:t>of the</w:t>
            </w:r>
          </w:p>
        </w:tc>
      </w:tr>
      <w:tr>
        <w:trPr>
          <w:trHeight w:val="161"/>
        </w:trPr>
        <w:tc>
          <w:tcPr>
            <w:tcW w:w="3220" w:type="dxa"/>
            <w:vAlign w:val="bottom"/>
          </w:tcPr>
          <w:p>
            <w:pPr>
              <w:spacing w:after="0"/>
              <w:rPr>
                <w:sz w:val="20"/>
                <w:szCs w:val="20"/>
                <w:color w:val="auto"/>
              </w:rPr>
            </w:pPr>
            <w:r>
              <w:rPr>
                <w:rFonts w:ascii="Courier New" w:cs="Courier New" w:eastAsia="Courier New" w:hAnsi="Courier New"/>
                <w:sz w:val="14"/>
                <w:szCs w:val="14"/>
                <w:color w:val="auto"/>
              </w:rPr>
              <w:t>outstanding shares of Paramount Common</w:t>
            </w:r>
          </w:p>
        </w:tc>
        <w:tc>
          <w:tcPr>
            <w:tcW w:w="348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99"/>
              </w:rPr>
              <w:t>Stock must be represented in person or by</w:t>
            </w:r>
          </w:p>
        </w:tc>
      </w:tr>
      <w:tr>
        <w:trPr>
          <w:trHeight w:val="161"/>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proxy at the Paramount Special Meeting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order for a quorum to be</w:t>
            </w:r>
          </w:p>
        </w:tc>
        <w:tc>
          <w:tcPr>
            <w:tcW w:w="1140" w:type="dxa"/>
            <w:vAlign w:val="bottom"/>
          </w:tcPr>
          <w:p>
            <w:pPr>
              <w:ind w:left="60"/>
              <w:spacing w:after="0"/>
              <w:rPr>
                <w:sz w:val="20"/>
                <w:szCs w:val="20"/>
                <w:color w:val="auto"/>
              </w:rPr>
            </w:pPr>
            <w:r>
              <w:rPr>
                <w:rFonts w:ascii="Courier New" w:cs="Courier New" w:eastAsia="Courier New" w:hAnsi="Courier New"/>
                <w:sz w:val="14"/>
                <w:szCs w:val="14"/>
                <w:color w:val="auto"/>
              </w:rPr>
              <w:t>present.</w:t>
            </w:r>
          </w:p>
        </w:tc>
      </w:tr>
    </w:tbl>
    <w:p>
      <w:pPr>
        <w:spacing w:after="0" w:line="5"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4"/>
          <w:szCs w:val="14"/>
          <w:color w:val="auto"/>
        </w:rPr>
        <w:t>Abstentions and broker non-votes are counted for the purposes of establishing a quorum.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Paramount. In the event the Paramount Merger is consummated, record holders of Paramount Common Stock will be entitled to appraisal rights under Section 262 of the DGCL because such persons hold stock of a constituent corporation in the Paramount Merger and such holders are required by the terms of the Paramount Merger Agreement to accept for such stock consideration other than shares of the corporation resulting from the Paramount Merger. Dissenting stockholders will have the right to obtain a cash payment for the "fair value" of their shares (excluding any element of value arising from the accomplishment or expectation of the Paramount Merger). Such "fair value" would be determined in judicial proceedings, the result of which cannot be predicted. In order to exercise appraisal rights, dissenting stockholders must comply with the procedural requirements of Section 262 of the DGCL, a description of which is provided in "Dissenting Stockholders' Rights of Appraisal" and the full text of which is attached to this Proxy Statement/Prospectus as Annex V. Failure to take any of the steps required under Section 262 of the DGCL on a timely basis may result in the loss of appraisal rights. Except as set forth above, stockholders of Paramount will have no appraisal rights in connection with the Paramount Merger.</w:t>
      </w:r>
    </w:p>
    <w:p>
      <w:pPr>
        <w:spacing w:after="0" w:line="314"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Viacom. Stockholders of Viacom will have no appraisal rights in connection with the Paramount Merger.</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Each of Viacom and Paramount will bear the cost of the solicitation of proxies from its own stockholders, except that Viacom and Paramount will share equally the cost of printing this Proxy Statement/Prospectus. In addition to solicitation by mail, the directors, officers and employees of each company and its subsidiaries may solicit proxies from stockholders of such company by telephone or telegram or in person. Arrangements will also be made with brokerage houses and other custodians,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00" w:right="1440" w:bottom="1440" w:gutter="0" w:footer="0" w:header="0"/>
        </w:sectPr>
      </w:pPr>
    </w:p>
    <w:bookmarkStart w:id="56" w:name="page57"/>
    <w:bookmarkEnd w:id="56"/>
    <w:p>
      <w:pPr>
        <w:ind w:right="3879"/>
        <w:spacing w:after="0" w:line="242" w:lineRule="auto"/>
        <w:rPr>
          <w:sz w:val="20"/>
          <w:szCs w:val="20"/>
          <w:color w:val="auto"/>
        </w:rPr>
      </w:pPr>
      <w:r>
        <w:rPr>
          <w:rFonts w:ascii="Courier New" w:cs="Courier New" w:eastAsia="Courier New" w:hAnsi="Courier New"/>
          <w:sz w:val="14"/>
          <w:szCs w:val="14"/>
          <w:color w:val="auto"/>
        </w:rPr>
        <w:t>nominees and fiduciaries for the forwarding of solicitation material to the beneficial owners of stock held of record by such persons, and Viacom and Paramount will reimburse such custodians, nominees and fiduciaries for their reasonable out-of-pocket expenses in connection therewith.</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STOCKHOLDERS SHOULD NOT SEND STOCK CERTIFICATES WITH THEIR PROXY CARDS.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SPECIAL FACTORS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PARAMOUNT MERGER</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For several years, Sumner M. Redstone, Chairman of the Board of Directors of Viacom, and Martin S. Davis, Chairman of the Board and Chief Executive Officer of Paramount, held discussions from time to time concerning the possibility of a business combination. These discussions were preliminary and inconclusive.</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On April 20, 1993, at the invitation of Robert Greenhill (the Chief Executive Officer of Smith Barney), Messrs. Redstone and Davis met with Mr. Greenhill and agreed to explore once again the possibility of combining the two companies.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From April to late June 1993, the two companies engaged in preliminary discussions concerning certain possible terms of a business combination, the discussions involving at various times Messrs. Redstone, Davis and Greenhill, Philippe P. Dauman, Senior Vice President and General Counsel of Viacom, and Donald Oresman, Executive Vice President and General Counsel of Paramount. These discussions were also inconclusive.</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During the week of June 28, Messrs. Redstone and Davis decided to renew discussions. On July 1, 1993, Viacom and Paramount executed and exchanged confidentiality agreements in anticipation of exchanging confidential information and conducting due diligence (however, no such information was exchanged until the week of September 6, 1993). Discussions between the parties continued, and on July 6, 1993, a meeting was held, including Messrs. Dauman, Oresman and Greenhill and Felix Rohatyn of Lazard Freres. Viacom's representatives expressed a willingness to negotiate a transaction based upon consideration payable to Paramount's stockholders valued at $63 per share, conditioned upon Paramount's willingness to grant to Viacom an option to acquire from Paramount shares, representing up to 20% of Paramount's then outstanding shares, at an exercise price of the then current market price of Paramount's Common Stock, and pay to Viacom a fee in an amount to be negotiated, plus expenses, in the event the transaction did not close. In addition, Viacom proposed that the parties should explore entering into other business transactions, including possible joint venture arrangements, simultaneously with entering into a merger agreement. Discussions were terminated on July 7, 1993, due to the parties' belief that they would be unable to reach agreement on certain significant terms, including the consideration to be received by Paramount stockholders, the consideration which would be payable to Viacom if the transaction did not close and the proposed joint venture arrangements between the parties, as outlined above.</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August 20, 1993, Mr. Greenhill arranged for Messrs. Davis and Redstone to meet later that day. At the end of this meeting they agreed to authorize their respective senior managements and advisors to again explore terms upon which the parties might reach agreement on a business combination. However, discussions terminated on August 25, 1993, primarily due to disagreement over the consideration to be offered to Paramount stockholders in the combination and Viacom's insistence on an option on 20% of Paramount's stock at market and a termination fee in the amount of $150 million, plus expenses.</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 series of discussions began again in early September. On September 7, 1993, Messrs. Dauman and Oresman and the companies' respective financial and legal advisors met, and following that meeting Messrs. Redstone and Davis met to review the status of the discussions between the companies. On the basis of that review, Messrs. Redstone and Davis agreed to direct their respective senior managements</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42" w:right="1440" w:bottom="1440" w:gutter="0" w:footer="0" w:header="0"/>
        </w:sectPr>
      </w:pPr>
    </w:p>
    <w:bookmarkStart w:id="57" w:name="page58"/>
    <w:bookmarkEnd w:id="57"/>
    <w:p>
      <w:pPr>
        <w:ind w:right="4119"/>
        <w:spacing w:after="0" w:line="276" w:lineRule="auto"/>
        <w:rPr>
          <w:sz w:val="20"/>
          <w:szCs w:val="20"/>
          <w:color w:val="auto"/>
        </w:rPr>
      </w:pPr>
      <w:r>
        <w:rPr>
          <w:rFonts w:ascii="Courier New" w:cs="Courier New" w:eastAsia="Courier New" w:hAnsi="Courier New"/>
          <w:sz w:val="13"/>
          <w:szCs w:val="13"/>
          <w:color w:val="auto"/>
        </w:rPr>
        <w:t>and advisors to conduct due diligence, exchange and negotiate transaction documentation, and otherwise seek to reach agreement on all terms.</w:t>
      </w:r>
    </w:p>
    <w:p>
      <w:pPr>
        <w:spacing w:after="0" w:line="144"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From September 8 through September 11, 1993, senior management of Viacom and Paramount, assisted by their legal and financial advisors, exchanged financial and legal due diligence materials, conducted due diligence, and negotiated a merger agreement (the "Original Merger Agreement") and a stock option agreement (the "Original Stock Option Agreement") between Paramount and Viacom and a voting agreement (the "Original Voting Agreement") between Paramount and NAI.</w:t>
      </w:r>
    </w:p>
    <w:p>
      <w:pPr>
        <w:spacing w:after="0" w:line="32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September 9, 1993, at a regularly scheduled meeting, the Paramount Board of Directors met and reviewed the status of negotiations and received an analysis of the businesses of Viacom and Paramount and an analysis of certain other merger transactions.</w:t>
      </w:r>
    </w:p>
    <w:p>
      <w:pPr>
        <w:spacing w:after="0" w:line="165"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The negotiations over the principal issues in the agreements were concluded during a meeting between Messrs. Dauman and Oresman and their respective legal advisors in New York on September 11, 1993.</w:t>
      </w:r>
    </w:p>
    <w:p>
      <w:pPr>
        <w:spacing w:after="0" w:line="327"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On September 12, 1993, the Viacom Board and the Paramount Board each met and approved the proposed transactions. Paramount and Viacom entered into certain related agreements and announced a merger of Paramount with and into Viacom (the "Original Merger"). In the Original Merger, each share of Paramount Common Stock was to be converted into the right to receive (i) 0.1 shares of Viacom Class A Common Stock, (ii) 0.9 shares of Viacom Class B Common Stock and</w:t>
      </w:r>
    </w:p>
    <w:p>
      <w:pPr>
        <w:spacing w:after="0" w:line="1" w:lineRule="exact"/>
        <w:rPr>
          <w:sz w:val="20"/>
          <w:szCs w:val="20"/>
          <w:color w:val="auto"/>
        </w:rPr>
      </w:pPr>
    </w:p>
    <w:p>
      <w:pPr>
        <w:ind w:right="3619" w:firstLine="6"/>
        <w:spacing w:after="0" w:line="267" w:lineRule="auto"/>
        <w:tabs>
          <w:tab w:leader="none" w:pos="502"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$9.10 in cash. At the meeting of the Paramount Board, Lazard Freres delivered a written opinion to the effect that as of September 12, 1993 the consideration to be received by Paramount's stockholders in the Original Merger was fair to the stockholders of Paramount from a financial point of view.</w:t>
      </w:r>
    </w:p>
    <w:p>
      <w:pPr>
        <w:spacing w:after="0" w:line="149"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By a letter to Paramount dated September 20, 1993, QVC Network, Inc. ("QVC") proposed a business combination of Paramount and QVC under which each outstanding share of Paramount Common Stock would be converted into the right to receive 0.893 of a share of QVC Common Stock and $30 in cash. Under the terms of the Original Merger Agreement, Paramount was not permitted to hold discussions with QVC until the Paramount Board could establish that (i) the proposal was not subject to any material financing contingency and (ii) that such discussions were required for the Paramount Board to comply with its fiduciary duties to the Paramount stockholders. Having made such findings, Paramount, by letter dated October 13, 1993, requested that QVC produce, as a prelude to discussions, information regarding QVC and the feasibility of its proposal. On October 20, QVC delivered to Paramount certain materials. On October 21, the day after QVC delivered these materials, QVC publicly announced that it would commence a tender offer for 51% of the shares of Paramount Common Stock at $80 per share (the "First QVC Offer") and, if successful, would propose a second-step merger (the "First QVC Second-Step Merger") in which the remaining shares would be converted into the right to receive 1.42857 shares of QVC Common Stock.</w:t>
      </w:r>
    </w:p>
    <w:p>
      <w:pPr>
        <w:spacing w:after="0" w:line="31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October 21, 1993, QVC commenced an action in the Delaware Chancery Court naming as defendants Paramount, certain of its directors and Viacom. QVC alleged causes of action for breaches of fiduciary duty against Paramount and its Board, and alleged that Viacom aided and abetted those breaches of duty. The action sought to enjoin the proposed merger between Paramount and Viacom on the ground that certain provisions of the Original Merger Agreement and the Original Stock Option Agreement were unlawful and had been entered into in breach of the Paramount directors' fiduciary duties. QVC's action was subsequently consolidated with a number of class actions brought by certain Paramount stockholders in the Delaware Chancery Court.</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After QVC's October 21 announcement, Viacom proposed to modify the Original Merger Agreement and the related agreements to increase the value of the merger consideration to $80 per share of Paramount Common Stock (based on Viacom's closing stock prices as of October 22, 1993) and to provide for the commencement by Viacom of a tender offer for 51% of the Paramount Common Stock outstanding at a price of $80 per share (the "First Viacom Offer") following which, in a second-step merger (the "First Viacom Second-Step Merger"), holders of shares of Paramount Common Stock not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03" w:right="1440" w:bottom="1440" w:gutter="0" w:footer="0" w:header="0"/>
        </w:sectPr>
      </w:pPr>
    </w:p>
    <w:bookmarkStart w:id="58" w:name="page59"/>
    <w:bookmarkEnd w:id="58"/>
    <w:p>
      <w:pPr>
        <w:ind w:right="3799"/>
        <w:spacing w:after="0" w:line="262" w:lineRule="auto"/>
        <w:rPr>
          <w:sz w:val="20"/>
          <w:szCs w:val="20"/>
          <w:color w:val="auto"/>
        </w:rPr>
      </w:pPr>
      <w:r>
        <w:rPr>
          <w:rFonts w:ascii="Courier New" w:cs="Courier New" w:eastAsia="Courier New" w:hAnsi="Courier New"/>
          <w:sz w:val="13"/>
          <w:szCs w:val="13"/>
          <w:color w:val="auto"/>
        </w:rPr>
        <w:t>acquired in the First Viacom Offer would receive (i) 0.20408 shares of Viacom Class A Common Stock, (ii) 1.08317 shares of Viacom Class B Common Stock and</w:t>
      </w:r>
    </w:p>
    <w:p>
      <w:pPr>
        <w:ind w:right="3959" w:firstLine="6"/>
        <w:spacing w:after="0" w:line="276" w:lineRule="auto"/>
        <w:tabs>
          <w:tab w:leader="none" w:pos="50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0.20408 shares of a new series of cumulative convertible exchangeable preferred stock of Viacom (the "Viacom Merger Preferred Stock").</w:t>
      </w:r>
    </w:p>
    <w:p>
      <w:pPr>
        <w:spacing w:after="0" w:line="14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Following discussions between Paramount and Viacom, at a meeting of the Paramount Board held on October 24, 1993, the Paramount Board considered (i) the events that had transpired since Paramount and Viacom entered into the Original Merger Agreement, including the First QVC Offer and the First QVC Second-Step Merger to the extent of available information, and (ii) presentations from the Paramount Board's legal and financial advisors with respect to the proposed revisions to the Original Merger Agreement, and with respect to the First QVC Offer and the First QVC Second-Step Merger to the extent of available information. The Paramount Board also received the oral opinion of Lazard Freres to the effect that as of October 24, 1993 the consideration to be received by Paramount's stockholders in the First Viacom Offer and the First Viacom Second-Step Merger, taken together, was fair to the stockholders of Paramount from a financial point of view.</w:t>
      </w:r>
    </w:p>
    <w:p>
      <w:pPr>
        <w:spacing w:after="0" w:line="165" w:lineRule="exact"/>
        <w:rPr>
          <w:sz w:val="20"/>
          <w:szCs w:val="20"/>
          <w:color w:val="auto"/>
        </w:rPr>
      </w:pPr>
    </w:p>
    <w:p>
      <w:pPr>
        <w:ind w:right="3799" w:firstLine="418"/>
        <w:spacing w:after="0" w:line="243" w:lineRule="auto"/>
        <w:rPr>
          <w:sz w:val="20"/>
          <w:szCs w:val="20"/>
          <w:color w:val="auto"/>
        </w:rPr>
      </w:pPr>
      <w:r>
        <w:rPr>
          <w:rFonts w:ascii="Courier New" w:cs="Courier New" w:eastAsia="Courier New" w:hAnsi="Courier New"/>
          <w:sz w:val="14"/>
          <w:szCs w:val="14"/>
          <w:color w:val="auto"/>
        </w:rPr>
        <w:t>The Paramount Board, by unanimous vote, (i) approved the Amended and Restated Agreement and Plan of Merger dated as of October 24, 1993 between Viacom and Paramount (the "October 24 Merger Agreement") (to provide for the revised acquisition structure and expanded termination rights in favor of Paramount), (ii) determined that the First Viacom Offer and the First Viacom Second-Step Merger were consistent with and in furtherance of the long-term business strategy of Paramount and, taken together, were fair to, and in the best interests of, Paramount's stockholders, (iii) recommended approval and adoption of the October 24 Merger Agreement and (iv) agreed to recommend that holders of Paramount Common Stock tender their shares pursuant to the First Viacom Offer.</w:t>
      </w:r>
    </w:p>
    <w:p>
      <w:pPr>
        <w:spacing w:after="0" w:line="164" w:lineRule="exact"/>
        <w:rPr>
          <w:sz w:val="20"/>
          <w:szCs w:val="20"/>
          <w:color w:val="auto"/>
        </w:rPr>
      </w:pPr>
    </w:p>
    <w:p>
      <w:pPr>
        <w:ind w:right="3799" w:firstLine="418"/>
        <w:spacing w:after="0" w:line="267" w:lineRule="auto"/>
        <w:rPr>
          <w:sz w:val="20"/>
          <w:szCs w:val="20"/>
          <w:color w:val="auto"/>
        </w:rPr>
      </w:pPr>
      <w:r>
        <w:rPr>
          <w:rFonts w:ascii="Courier New" w:cs="Courier New" w:eastAsia="Courier New" w:hAnsi="Courier New"/>
          <w:sz w:val="13"/>
          <w:szCs w:val="13"/>
          <w:color w:val="auto"/>
        </w:rPr>
        <w:t>Late the same day, Viacom's Board of Directors, by unanimous vote, (i) determined that the October 24 Merger Agreement was fair to, and in the best interests of, the stockholders of Viacom, (ii) approved the October 24 Merger Agreement and (iii) authorized the commencement of the First Viacom Offer.</w:t>
      </w:r>
    </w:p>
    <w:p>
      <w:pPr>
        <w:spacing w:after="0" w:line="149"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After the meetings, Viacom and Paramount executed the October 24 Merger Agreement.</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October 24 Merger Agreement provided that the Paramount Board would amend the Rights Agreement dated as of September 7, 1988 between Paramount and Chemical Bank, as amended (the "Rights Agreement") to permit Viacom to consummate its tender offer unless there existed a tender offer or exchange offer to acquire Paramount or a written, bona fide proposal to acquire Paramount pursuant to a merger, consolidation, share exchange, business combination, tender or exchange offer or other similar transaction and that amending the Rights Agreement would be inconsistent with the Paramount Board's satisfaction of its fiduciary duties to stockholders under applicable law.</w:t>
      </w:r>
    </w:p>
    <w:p>
      <w:pPr>
        <w:spacing w:after="0" w:line="164"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On October 25, 1993, Viacom commenced the First Viacom Offer. On October 27, 1993, QVC (together with its co-bidders, Comcast Corporation ("Comcast") and Liberty Media Corporation ("Liberty Media")) commenced the First QVC Offer.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October 28, 1993, QVC sent a letter to Paramount requesting that Paramount negotiate with QVC regarding a merger proposal. By letter dated October 29, 1993, Paramount indicated that it was prepared, as it was prior to the commencement of the First QVC Offer, to meet with QVC to discuss its proposal. On November 1, 1993, representatives of Paramount met with representatives of QVC to discuss QVC's proposal. At the meeting, QVC's representatives indicated that Paramount should not assume that there would be no further increase in the value of the consideration proposed to be paid by QVC with respect to the First QVC Offer and First QVC Second-Step Merger. However, QVC's representatives stated that any further increase in QVC's bid would be, in part, a function of the adoption by Paramount of certain auction bidding procedures requested by QVC. QVC also presented to Paramount an informational request and a form of merger agreement. In a letter to QVC dated November 1, 1993, Paramount stated that the requested auction bidding procedures were inappropriate and, in addition, their adoption by Paramount would be inconsistent with Paramount's contractual</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03" w:right="1440" w:bottom="1440" w:gutter="0" w:footer="0" w:header="0"/>
        </w:sectPr>
      </w:pPr>
    </w:p>
    <w:bookmarkStart w:id="59" w:name="page60"/>
    <w:bookmarkEnd w:id="59"/>
    <w:p>
      <w:pPr>
        <w:ind w:right="3539"/>
        <w:spacing w:after="0" w:line="262" w:lineRule="auto"/>
        <w:rPr>
          <w:sz w:val="20"/>
          <w:szCs w:val="20"/>
          <w:color w:val="auto"/>
        </w:rPr>
      </w:pPr>
      <w:r>
        <w:rPr>
          <w:rFonts w:ascii="Courier New" w:cs="Courier New" w:eastAsia="Courier New" w:hAnsi="Courier New"/>
          <w:sz w:val="13"/>
          <w:szCs w:val="13"/>
          <w:color w:val="auto"/>
        </w:rPr>
        <w:t>obligations under the October 24 Merger Agreement. Paramount's letter also referred to the provisions in the October 24 Merger Agreement (i) allowing the Paramount Board to keep the Rights Agreement in place with respect to the First Viacom Offer "if, in its view, the existence of a better alternative would make an amendment to the Rights Agreement inconsistent with its fiduciary duties" and</w:t>
      </w:r>
    </w:p>
    <w:p>
      <w:pPr>
        <w:spacing w:after="0" w:line="1" w:lineRule="exact"/>
        <w:rPr>
          <w:sz w:val="20"/>
          <w:szCs w:val="20"/>
          <w:color w:val="auto"/>
        </w:rPr>
      </w:pPr>
    </w:p>
    <w:p>
      <w:pPr>
        <w:ind w:right="3619" w:firstLine="6"/>
        <w:spacing w:after="0" w:line="242" w:lineRule="auto"/>
        <w:tabs>
          <w:tab w:leader="none" w:pos="41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permitting Paramount to terminate the October 24 Merger Agreement "if the Paramount Board determines to recommend to its stockholders another transaction in the exercise of its fiduciary duties." By letter to Paramount dated November 2, 1993, counsel for QVC expressed its displeasure at Paramount's failure to adopt QVC's requested auction bidding procedures but was silent as to whether any alternative proposal would be made by QVC.</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November 5, 1993, Viacom proposed an amendment (the "November 6 Amendment") to the October 24 Merger Agreement which provided that the per share consideration in the First Viacom Offer be increased from $80 to $85 (the "Second Viacom Offer"). In addition, the proposed amendment provided that the consideration in the First Viacom Second-Step Merger be revised by increasing the amount of the Viacom Merger Preferred Stock from 0.20408 to 0.30408 shares per share of Paramount Common Stock (the "Second Viacom Second-Step Merger"), representing an increase of $5 in the value of the liquidation preference of the Viacom Merger Preferred Stock to be paid.</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Following discussions between Paramount and Viacom with regard to the terms of this proposal, at a meeting held on November 6, 1993, the Paramount Board considered the terms of the proposed amendments and received the oral opinion of Lazard Freres that as of November 6, 1993 the consideration to be received by Paramount's stockholders in the amended Second Viacom Offer and Second Viacom Second-Step Merger, taken together, was fair to the stockholders of Paramount from a financial point of view.</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Paramount Board, by unanimous vote, (i) approved the November 6 Amendment, (ii) determined that the amended Second Viacom Offer and Second Viacom Second-Step Merger were consistent with and in the furtherance of the long-term business strategy of Paramount and, taken together, were fair to, and in the best interests of, Paramount's stockholders, (iii) recommended approval and adoption of the October 24 Merger Agreement, as amended by the November 6 Amendment, by Paramount's stockholders and (iv) agreed to recommend that holders of Paramount Common Stock tender their shares pursuant to the Second Viacom Offer.</w:t>
      </w:r>
    </w:p>
    <w:p>
      <w:pPr>
        <w:spacing w:after="0" w:line="164"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Board of Directors of Viacom also met on November 6, 1993. At such meeting, the Viacom Board of Directors, by unanimous vote, (i) determined that the October 24 Merger Agreement, as amended by the November 6 Amendment, was fair to, and in the best interests of, the stockholders of Viacom, (ii) approved the October 24 Merger Agreement, as amended by the November 6 Amendment, and</w:t>
      </w:r>
    </w:p>
    <w:p>
      <w:pPr>
        <w:spacing w:after="0" w:line="1" w:lineRule="exact"/>
        <w:rPr>
          <w:sz w:val="20"/>
          <w:szCs w:val="20"/>
          <w:color w:val="auto"/>
        </w:rPr>
      </w:pPr>
    </w:p>
    <w:p>
      <w:pPr>
        <w:ind w:right="3699" w:firstLine="6"/>
        <w:spacing w:after="0" w:line="239" w:lineRule="auto"/>
        <w:tabs>
          <w:tab w:leader="none" w:pos="50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the increase in the per share consideration to be paid in the Second Viacom Offer.</w:t>
      </w:r>
    </w:p>
    <w:p>
      <w:pPr>
        <w:spacing w:after="0" w:line="167" w:lineRule="exact"/>
        <w:rPr>
          <w:sz w:val="20"/>
          <w:szCs w:val="20"/>
          <w:color w:val="auto"/>
        </w:rPr>
      </w:pPr>
    </w:p>
    <w:p>
      <w:pPr>
        <w:ind w:right="3539" w:firstLine="418"/>
        <w:spacing w:after="0" w:line="276" w:lineRule="auto"/>
        <w:rPr>
          <w:sz w:val="20"/>
          <w:szCs w:val="20"/>
          <w:color w:val="auto"/>
        </w:rPr>
      </w:pPr>
      <w:r>
        <w:rPr>
          <w:rFonts w:ascii="Courier New" w:cs="Courier New" w:eastAsia="Courier New" w:hAnsi="Courier New"/>
          <w:sz w:val="13"/>
          <w:szCs w:val="13"/>
          <w:color w:val="auto"/>
        </w:rPr>
        <w:t>After the meetings, the November 6 Amendment was executed, and Viacom publicly announced the Second Viacom Offer and Second Viacom Second-Step Merger.</w:t>
      </w:r>
    </w:p>
    <w:p>
      <w:pPr>
        <w:spacing w:after="0" w:line="14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November 12, 1993, QVC amended the First QVC Offer to provide for the purchase of 51% of the shares of Paramount Common Stock at a price of $90 per share (the "Second QVC Offer"). QVC also stated its intention, if it acquired 51% of the shares of Paramount Common Stock pursuant to the Second QVC Offer, to effect a second-step merger on revised terms (the "Second QVC Second-Step Merger"). The revised terms of the Second QVC Second-Step Merger provided that each share of Paramount Common Stock remaining after the consummation of the Second QVC Offer would be exchanged for (i) 1.43 shares of QVC Common Stock and</w:t>
      </w:r>
    </w:p>
    <w:p>
      <w:pPr>
        <w:spacing w:after="0" w:line="8" w:lineRule="exact"/>
        <w:rPr>
          <w:sz w:val="20"/>
          <w:szCs w:val="20"/>
          <w:color w:val="auto"/>
        </w:rPr>
      </w:pPr>
    </w:p>
    <w:p>
      <w:pPr>
        <w:ind w:right="3539" w:firstLine="6"/>
        <w:spacing w:after="0" w:line="242" w:lineRule="auto"/>
        <w:tabs>
          <w:tab w:leader="none" w:pos="41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0.32 shares of a new series of cumulative convertible exchangeable preferred stock of QVC (the "QVC Merger Preferred Stock"). In addition, at this time Liberty Media terminated its participation as a co-bidder in the Second QVC Offer and BellSouth Corporation ("BellSouth") joined QVC as a co-bidder.</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03" w:right="1440" w:bottom="1440" w:gutter="0" w:footer="0" w:header="0"/>
        </w:sectPr>
      </w:pPr>
    </w:p>
    <w:bookmarkStart w:id="60" w:name="page61"/>
    <w:bookmarkEnd w:id="60"/>
    <w:p>
      <w:pPr>
        <w:ind w:right="3539" w:firstLine="418"/>
        <w:spacing w:after="0" w:line="263" w:lineRule="auto"/>
        <w:rPr>
          <w:sz w:val="20"/>
          <w:szCs w:val="20"/>
          <w:color w:val="auto"/>
        </w:rPr>
      </w:pPr>
      <w:r>
        <w:rPr>
          <w:rFonts w:ascii="Courier New" w:cs="Courier New" w:eastAsia="Courier New" w:hAnsi="Courier New"/>
          <w:sz w:val="13"/>
          <w:szCs w:val="13"/>
          <w:color w:val="auto"/>
        </w:rPr>
        <w:t>At a meeting held on November 15, 1993, the Paramount Board considered the terms of the Second QVC Offer and Second QVC Second-Step Merger, and the Second Viacom Offer and Second Viacom Second-Step Merger, with its legal and financial advisors. The Paramount Board considered, among other factors, the highly conditional nature of the Second QVC Offer and the financing and other uncertainties (including the then non-binding nature of BellSouth's commitments) with respect to QVC's ability to consummate such offer. The Paramount Board also received the written opinion of Lazard Freres that as of November 15, 1993 the consideration to be received by Paramount's stockholders in the Second Viacom Offer and the Second Viacom Second-Step Merger, taken together, were fair to the stockholders of Paramount from a financial point of view.</w:t>
      </w:r>
    </w:p>
    <w:p>
      <w:pPr>
        <w:spacing w:after="0" w:line="15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Paramount Board unanimously determined that the Second QVC Offer was not in the best interests of Paramount and its stockholders and recommended that stockholders reject the Second QVC Offer and not tender any of their shares pursuant to the Second QVC Offer.</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November 24, 1993, the Delaware Chancery Court issued a preliminary injunction (the "Preliminary Injuction") in connection with the Delaware litigation commenced by QVC and certain stockholders of Paramount prohibiting Paramount from amending the Rights Agreement to permit completion of the pending Second Viacom Offer, and denying Viacom the ability to exercise its rights pursuant to the amended stock option agreement of Viacom and Paramount (as amended, the "Amended Stock Option Agreement"). However, the Chancery Court upheld the validity of the $100 million termination fee payable to Viacom.</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Preliminary Injunction was appealed by Viacom and Paramount to the Delaware Supreme Court. On December 9, 1993, the Delaware Supreme Court issued an order (the "Order") which (i) affirmed the Preliminary Injunction and (ii) remanded the proceeding to the Delaware Chancery Court for proceedings consistent with the Order. By letter dated December 10, 1993, Paramount's attorneys advised the Delaware Chancery Court that the Paramount Board was to meet on December 13, 1993 to consider how to comply with the Order and the prior order and opinion of the Delaware Chancery Court.</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a meeting held on December 13, 1993, the Paramount Board determined that it was unable to take a position with respect to whether stockholders should accept or reject either the Second QVC Offer or the Second Viacom Offer and requested that Paramount stockholders take no action until they had been further advised of the Paramount Board's positions. The Paramount Board also adopted procedures (the "Bidding Procedures") for the purpose of considering proposals to acquire Paramount. From December 14-17, 1993, a number of letters pertaining to the Bidding Procedures, including proposals for their modification, were exchanged between Paramount's financial and legal advisors and the legal advisors of Viacom and QVC.</w:t>
      </w:r>
    </w:p>
    <w:p>
      <w:pPr>
        <w:spacing w:after="0" w:line="164" w:lineRule="exact"/>
        <w:rPr>
          <w:sz w:val="20"/>
          <w:szCs w:val="20"/>
          <w:color w:val="auto"/>
        </w:rPr>
      </w:pPr>
    </w:p>
    <w:p>
      <w:pPr>
        <w:ind w:right="3539" w:firstLine="418"/>
        <w:spacing w:after="0" w:line="267" w:lineRule="auto"/>
        <w:rPr>
          <w:sz w:val="20"/>
          <w:szCs w:val="20"/>
          <w:color w:val="auto"/>
        </w:rPr>
      </w:pPr>
      <w:r>
        <w:rPr>
          <w:rFonts w:ascii="Courier New" w:cs="Courier New" w:eastAsia="Courier New" w:hAnsi="Courier New"/>
          <w:sz w:val="13"/>
          <w:szCs w:val="13"/>
          <w:color w:val="auto"/>
        </w:rPr>
        <w:t>The Board of Directors of Viacom held a meeting on December 20, 1993. At such meeting, the Viacom Board, by unanimous vote, approved a proposed exemption agreement (the "Viacom Exemption Agreement") setting forth the Bidding Procedures to be followed by Viacom in connection with the Second Viacom Offer.</w:t>
      </w:r>
    </w:p>
    <w:p>
      <w:pPr>
        <w:spacing w:after="0" w:line="149"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Pursuant to the Bidding Procedures, on December 20, 1993, Viacom and QVC each submitted acquisition proposals to the Paramount Board. Viacom's proposal consisted of a continuation of the Second Viacom Offer and Second Viacom Second-Step Merger. QVC's proposal consisted of a revision of the Second QVC Offer to provide for the purchase of 50.1% of the outstanding Paramount shares, on a fully diluted basis, at $92 per share (the "Third QVC Offer") to be followed by a revised second-step merger (the "Third QVC Second-Step Merger") in which each remaining share would be converted into the right to receive (i) 1.43 shares of QVC Common Stock, (ii) 0.32 shares of a new series of 6% cumulative non-convertible exchangeable preferred stock (the "New QVC Merger Preferred Stock") and (iii) 0.32 ten-year warrants to purchase QVC Common Stock.</w:t>
      </w:r>
    </w:p>
    <w:p>
      <w:pPr>
        <w:spacing w:after="0" w:line="15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At a meeting held on December 21 and 22, 1993, the Paramount Board considered (i) the events that had transpired since the Paramount Board's last meeting on December 13, 1993 and (ii) presentations from the Paramount Board's legal and financial advisors with respect to each of the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03" w:right="1440" w:bottom="1440" w:gutter="0" w:footer="0" w:header="0"/>
        </w:sectPr>
      </w:pPr>
    </w:p>
    <w:bookmarkStart w:id="61" w:name="page62"/>
    <w:bookmarkEnd w:id="61"/>
    <w:p>
      <w:pPr>
        <w:ind w:right="3539"/>
        <w:spacing w:after="0" w:line="242" w:lineRule="auto"/>
        <w:rPr>
          <w:sz w:val="20"/>
          <w:szCs w:val="20"/>
          <w:color w:val="auto"/>
        </w:rPr>
      </w:pPr>
      <w:r>
        <w:rPr>
          <w:rFonts w:ascii="Courier New" w:cs="Courier New" w:eastAsia="Courier New" w:hAnsi="Courier New"/>
          <w:sz w:val="14"/>
          <w:szCs w:val="14"/>
          <w:color w:val="auto"/>
        </w:rPr>
        <w:t>proposals. The Paramount Board also received the written opinion of Lazard Freres, dated December 21, 1993, stating that as of such date the aggregate consideration payable to Paramount stockholders in the Third QVC Offer and Third QVC Second-Step Merger, taken together, (a) was fair to Paramount stockholders from a financial point of view and (b) was superior from a financial point of view to the aggregate consideration payable in the Second Viacom Offer and the Second Viacom Second-Step Merger, taken together.</w:t>
      </w:r>
    </w:p>
    <w:p>
      <w:pPr>
        <w:spacing w:after="0" w:line="168"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The Paramount Board thereupon unanimously (i) approved the terms of a merger agreement (which included a form of exemption agreement; the "QVC Merger Agreement") and a voting agreement between QVC and its principal stockholders,</w:t>
      </w:r>
    </w:p>
    <w:p>
      <w:pPr>
        <w:ind w:right="3539" w:firstLine="6"/>
        <w:spacing w:after="0" w:line="262" w:lineRule="auto"/>
        <w:tabs>
          <w:tab w:leader="none" w:pos="418"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determined that the Third QVC Offer and Third QVC Second-Step Merger, taken together, were fair to and in the best interests of Paramount's stockholders,</w:t>
      </w:r>
    </w:p>
    <w:p>
      <w:pPr>
        <w:ind w:right="3539" w:firstLine="6"/>
        <w:spacing w:after="0" w:line="242" w:lineRule="auto"/>
        <w:tabs>
          <w:tab w:leader="none" w:pos="50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recommended approval and adoption of the QVC Merger Agreement by Paramount's stockholders and (iv) recommended that holders of Paramount Common Stock tender such shares pursuant to the Third QVC Offer. The Paramount Board also (a) recommended that stockholders reject the Second Viacom Offer and not tender any of their shares pursuant to the Second Viacom Offer, (b) authorized the termination of the October 24 Merger Agreement, as amended by the November 6 Amendment, and (c) approved the terms of the Viacom Exemption Agreement (which included a form of merger agreement).</w:t>
      </w:r>
    </w:p>
    <w:p>
      <w:pPr>
        <w:spacing w:after="0" w:line="169"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The QVC Merger Agreement and the Viacom Exemption Agreement incorporated the Bidding Procedures previously adopted by the Paramount Board. In addition, the QVC Merger Agreement (as well as the form of merger agreement annexed to the Viacom Exemption Agreement) (i) permitted Paramount to terminate such agreement in order to accept a transaction that offered better value and (ii) contained no stock option, asset lock-up, termination fee, expense reimbursements or other provisions that could deter a higher offer for Paramount.</w:t>
      </w:r>
    </w:p>
    <w:p>
      <w:pPr>
        <w:spacing w:after="0" w:line="153" w:lineRule="exact"/>
        <w:rPr>
          <w:sz w:val="20"/>
          <w:szCs w:val="20"/>
          <w:color w:val="auto"/>
        </w:rPr>
      </w:pPr>
    </w:p>
    <w:p>
      <w:pPr>
        <w:ind w:right="3879" w:firstLine="418"/>
        <w:spacing w:after="0" w:line="242" w:lineRule="auto"/>
        <w:rPr>
          <w:sz w:val="20"/>
          <w:szCs w:val="20"/>
          <w:color w:val="auto"/>
        </w:rPr>
      </w:pPr>
      <w:r>
        <w:rPr>
          <w:rFonts w:ascii="Courier New" w:cs="Courier New" w:eastAsia="Courier New" w:hAnsi="Courier New"/>
          <w:sz w:val="14"/>
          <w:szCs w:val="14"/>
          <w:color w:val="auto"/>
        </w:rPr>
        <w:t>After the meeting on December 22, Paramount terminated the October 24 Merger Agreement, as amended by the November 6 Amendment, and the QVC Merger Agreement and the Viacom Exemption Agreement were executed by the respective parties.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January 6, 1994, the Viacom Board of Directors met to consider a proposal to amend and supplement the Second Viacom Offer. At such meeting, the Viacom Board of Directors (i) determined that the Second Viacom Offer, as amended as described below, was fair to and in the best interests of the stockholders of Viacom and (ii) authorized the proposed amendment and supplement to the Second Viacom Offer.</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Pursuant to the Bidding Procedures, on January 7, 1994, Viacom amended the terms of the Second Viacom Offer to provide for the purchase of 50.1% of the outstanding shares of Paramount Common Stock, on a fully diluted basis, at $105 per share (the "Third Viacom Offer") and amended the terms of the Second Viacom Second-Step Merger to provide for the exchange of (i) 0.93065 shares of Viacom Class B Common Stock and (ii) 0.30408 shares of Viacom Merger Preferred Stock for each share remaining after consummation of the Third Viacom Offer (the "Third Viacom Second-Step Merger").</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a meeting held on January 12, 1994, the Paramount Board considered presentations from its legal and financial advisors with respect to the Third Viacom Offer and Third Viacom Second-Step Merger, as well as the Third QVC Offer and Third QVC Second-Step Merger. The Paramount Board also received the written opinion of Lazard Freres, dated January 12, 1994, stating that as of such date the aggregate consideration payable to Paramount stockholders in the Third QVC Offer and Third QVC Second-Step Merger, taken together, (i) was fair to Paramount stockholders from a financial point of view and (ii) was superior from a financial point of view to the aggregate consideration payable to Paramount stockholders in the Third Viacom Offer and Third Viacom Second-Step Merger, taken together.</w:t>
      </w:r>
    </w:p>
    <w:p>
      <w:pPr>
        <w:spacing w:after="0" w:line="164"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Paramount Board unanimously (a) recommended that stockholders reject the Third Viacom Offer and not tender any of their shares pursuant to the Third Viacom Offer and (b) reaffirmed (1) its determination that the Third QVC Offer and Third QVC Second-Step Merger, taken together, were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03" w:right="1440" w:bottom="1440" w:gutter="0" w:footer="0" w:header="0"/>
        </w:sectPr>
      </w:pPr>
    </w:p>
    <w:bookmarkStart w:id="62" w:name="page63"/>
    <w:bookmarkEnd w:id="62"/>
    <w:p>
      <w:pPr>
        <w:ind w:right="3699"/>
        <w:spacing w:after="0" w:line="241" w:lineRule="auto"/>
        <w:rPr>
          <w:sz w:val="20"/>
          <w:szCs w:val="20"/>
          <w:color w:val="auto"/>
        </w:rPr>
      </w:pPr>
      <w:r>
        <w:rPr>
          <w:rFonts w:ascii="Courier New" w:cs="Courier New" w:eastAsia="Courier New" w:hAnsi="Courier New"/>
          <w:sz w:val="14"/>
          <w:szCs w:val="14"/>
          <w:color w:val="auto"/>
        </w:rPr>
        <w:t>fair to and in the best interests of Paramount's stockholders and (2) its recommendation that holders of Paramount shares tender such shares pursuant to the Third QVC Offer.</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January 17, 1994, the Viacom Board of Directors met to consider a proposed amendment and supplement to the Third Viacom Offer. The Viacom Board of Directors, at such meeting, by unanimous vote, (i) determined that the Third Viacom Offer, as amended and supplemented as described below, was fair to, and in the best interests of, the stockholders of Viacom and (ii) authorized the proposed amendment and supplement to the Third Viacom Offer.</w:t>
      </w:r>
    </w:p>
    <w:p>
      <w:pPr>
        <w:spacing w:after="0" w:line="167" w:lineRule="exact"/>
        <w:rPr>
          <w:sz w:val="20"/>
          <w:szCs w:val="20"/>
          <w:color w:val="auto"/>
        </w:rPr>
      </w:pPr>
    </w:p>
    <w:p>
      <w:pPr>
        <w:ind w:right="3699" w:firstLine="418"/>
        <w:spacing w:after="0" w:line="262" w:lineRule="auto"/>
        <w:rPr>
          <w:sz w:val="20"/>
          <w:szCs w:val="20"/>
          <w:color w:val="auto"/>
        </w:rPr>
      </w:pPr>
      <w:r>
        <w:rPr>
          <w:rFonts w:ascii="Courier New" w:cs="Courier New" w:eastAsia="Courier New" w:hAnsi="Courier New"/>
          <w:sz w:val="13"/>
          <w:szCs w:val="13"/>
          <w:color w:val="auto"/>
        </w:rPr>
        <w:t>Pursuant to the Bidding Procedures, on January 18, 1994, Viacom increased the per share purchase price in the Third Viacom Offer to $107 (the "Fourth Viacom Offer") and amended the terms of the Third Viacom Second-Step Merger to provide for the exchange of (i) 0.93065 shares of Viacom Class B Common Stock,</w:t>
      </w:r>
    </w:p>
    <w:p>
      <w:pPr>
        <w:ind w:left="420" w:hanging="414"/>
        <w:spacing w:after="0" w:line="237" w:lineRule="auto"/>
        <w:tabs>
          <w:tab w:leader="none" w:pos="4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0.30408 shares of Viacom Merger Preferred Stock, (iii) 0.93065 CVRs and</w:t>
      </w:r>
    </w:p>
    <w:p>
      <w:pPr>
        <w:spacing w:after="0" w:line="4" w:lineRule="exact"/>
        <w:rPr>
          <w:rFonts w:ascii="Courier New" w:cs="Courier New" w:eastAsia="Courier New" w:hAnsi="Courier New"/>
          <w:sz w:val="14"/>
          <w:szCs w:val="14"/>
          <w:color w:val="auto"/>
        </w:rPr>
      </w:pPr>
    </w:p>
    <w:p>
      <w:pPr>
        <w:ind w:right="3879" w:firstLine="6"/>
        <w:spacing w:after="0" w:line="241" w:lineRule="auto"/>
        <w:tabs>
          <w:tab w:leader="none" w:pos="41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Viacom Three-Year Warrants for each Paramount share remaining after consummation of the Fourth Viacom Offer (the "Fourth Viacom Second-Step Merger").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a meeting held on January 21, 1994, the Paramount Board considered presentations from its legal and financial advisors with respect to the Fourth Viacom Offer and Fourth Viacom Second-Step Merger, as well as the Third QVC Offer and Third QVC Second-Step Merger. The Paramount Board also received the written opinion of Lazard Freres dated January 21, 1994 stating that as of such date (i) the aggregate consideration payable to Paramount stockholders in the Fourth Viacom Offer and Fourth Viacom Second-Step Merger, taken together, was fair to Paramount stockholders from a financial point of view, (ii) the aggregate consideration payable to Paramount stockholders in the Third QVC Offer and Third QVC Second-Step Merger, taken together, was fair to Paramount stockholders from a financial point of view and (iii) the aggregate consideration payable to Paramount stockholders in the Fourth Viacom Offer and Fourth Viacom Second-Step Merger, taken together, was marginally superior from a financial point of view to the aggregate consideration payable to Paramount stockholders in the Third QVC Offer and Third QVC Second-Step Merger, taken together.</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Paramount Board unanimously (i) approved the terms of a new merger agreement with Viacom (the "January 21 Merger Agreement") and the Paramount Voting Agreement, (ii) determined that the Fourth Viacom Offer and Fourth Viacom Second-Step Merger, taken together, were fair to and in the best interests of Paramount's stockholders, (iii) recommended approval and adoption of the January 21 Merger Agreement by Paramount's stockholders and (iv) recommended that holders of Paramount shares tender such shares pursuant to the Fourth Viacom Offer. The Paramount Board also unanimously (a) recommended that stockholders reject the Third QVC Offer and not tender any of their shares pursuant to such offer and (b) authorized the termination of the QVC Merger Agreement.</w:t>
      </w:r>
    </w:p>
    <w:p>
      <w:pPr>
        <w:spacing w:after="0" w:line="15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After the meeting on January 21, 1994, Paramount terminated the QVC Merger Agreement and entered into the January 21 Merger Agreement, the Paramount Voting Agreement and an exemption agreement with QVC (the "QVC Exemption Agreement"), all in substantially the form previously agreed to by the respective parties on December 22, 1993.</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February 1, 1994, in anticipation of the submission on such date of final bids under the Bidding Procedures, the Board of Directors of Viacom considered a proposed amendment and supplement to the Fourth Viacom Offer pursuant to which Viacom would revise the package of securities to be issued in the Fourth Viacom Second-Step Merger. The Viacom Board of Directors received presentations from the management of Viacom, Smith Barney and its legal advisors with respect to the Fourth Viacom Offer and Fourth Viacom Second-Step Merger and the proposed amendments thereto. The Viacom Board of Directors also received the written opinion of Smith Barney that the Offer and the Paramount Merger, as revised by the proposed amendment and supplement, taken together were fair, from a financial point of view, to Viacom and its stockholders. The opinion of Smith Barney is set forth in full as Annex III of this Proxy Statement/Prospectus. See "--Opinions of Financial Advisors." The Viacom Board of Directors, by unanimous vote (with one director abstaining) (i) determined that the Offer, as amended and supplemented, was fair to, and in the best interests of, the stockholders of Viacom and (ii) authorized the Offer.</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03" w:right="1440" w:bottom="1440" w:gutter="0" w:footer="0" w:header="0"/>
        </w:sectPr>
      </w:pPr>
    </w:p>
    <w:bookmarkStart w:id="63" w:name="page64"/>
    <w:bookmarkEnd w:id="63"/>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the Bidding Procedures, on February 1, 1994, both Viacom and QVC submitted their final proposals for the acquisition of Paramount. Viacom, in proposing the Offer and the Paramount Merger, did not alter the terms of the Fourth Viacom Offer but revised the Fourth Viacom Second-Step Merger to provide for the exchange of (i) 0.93065 shares of Viacom Class B Common Stock, (ii)</w:t>
      </w:r>
    </w:p>
    <w:p>
      <w:pPr>
        <w:spacing w:after="0" w:line="5"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0.93065 CVRs, (iii) 0.5 Viacom Three-Year Warrants, (iv) 0.3 Viacom Five-Year Warrants and (v) $17.50 in principal amount of Viacom Merger Debentures for each Paramount share remaining after consummation of the Offer. QVC increased the per share purchase price in the Third QVC Offer to $104 (the "Fourth QVC Offer") and amended the terms of the Third QVC Second-Step Merger to provide for the exchange of (a) 1.2361 shares of QVC Common Stock, (b) 0.2386 shares of New QVC Merger Preferred Stock and (c) 0.32 ten-year warrants for each Paramount share remaining after consummation of the Fourth QVC Offer (the "Fourth QVC Second-Step Merger"). Both the Offer and the Fourth QVC Offer were scheduled to expire at midnight on February 14, 1994.</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a meeting held on February 4, 1994, the Paramount Board considered presentations from its legal and financial advisors with respect to the Offer and the Paramount Merger, as well as the Fourth QVC Offer and Fourth QVC Second-Step Merger. The Paramount Board also received the written opinion of Lazard Freres dated February 4, 1994 stating that as of such date (i) the Viacom Transaction Consideration was fair to Paramount stockholders from a financial point of view, (ii) the QVC Transaction Consideration was fair to Paramount stockholders from a financial point of view and (iii) the Viacom Transaction Consideration was marginally superior from a financial point of view to the QVC Transaction Consideration.</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Paramount Board unanimously (i) approved the terms of the February 4 Merger Agreement (which amended and restated the January 21 Merger Agreement to provide for the terms of the Offer and the Paramount Merger), (ii) determined that the Offer and the Paramount Merger, taken together, were fair to, and in the best interests of, Paramount's stockholders, (iii) recommended approval and adoption of the February 4 Merger Agreement and (iv) recommended that holders of shares of Paramount Common Stock tender such shares pursuant to the Offer. The Paramount Board also unanimously recommended that stockholders reject the Fourth QVC Offer and not tender any of their shares pursuant to such offer. After the meeting on February 4, 1994, Paramount entered into the February 4 Merger Agreement.</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At the request of Mr. Donald Oresman of Paramount on February 14, 1994, Lazard Freres delivered a letter, dated February 14, 1994, to Mr. Oresman advising him that, as of February 14, 1994, Lazard Freres reaffirmed its written opinion addressed to the Paramount Board, dated February 4, 1994.</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As of midnight on February 14, 1994, approximately 74.6% of the outstanding Paramount shares had been tendered pursuant to the Offer and not withdrawn while approximately 8.5% of the outstanding Paramount shares were validly tendered pursuant to the Fourth QVC Offer and not withdrawn. As a result, pursuant to the Bidding Procedures, on February 15, 1994 Viacom waived certain conditions to the Offer and extended the offer until March 1, 1994 and QVC terminated the Fourth QVC Offer.</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By unanimous written consent, effective March 1,1994 the Paramount Board approved an amendment to the Rights Agreement providing that the consummation of the Offer would not cause the rights under the Rights Agreement (the "Rights") to become exercisable. Immediately after midnight on March 1, 1994, all conditions to the Offer were deemed to have been satisfied and Viacom accepted for payment 61,657,432 of the shares of Paramount Common Stock validly tendered and not withdrawn pursuant to the Offer.</w:t>
      </w:r>
    </w:p>
    <w:p>
      <w:pPr>
        <w:spacing w:after="0" w:line="168"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[On April , 1994, the Paramount and Viacom Boards of Directors approved certain amendments to the February 4 Merger Agreement which are embodied in the</w:t>
      </w:r>
    </w:p>
    <w:p>
      <w:pPr>
        <w:ind w:right="3539"/>
        <w:spacing w:after="0" w:line="262" w:lineRule="auto"/>
        <w:rPr>
          <w:sz w:val="20"/>
          <w:szCs w:val="20"/>
          <w:color w:val="auto"/>
        </w:rPr>
      </w:pPr>
      <w:r>
        <w:rPr>
          <w:rFonts w:ascii="Courier New" w:cs="Courier New" w:eastAsia="Courier New" w:hAnsi="Courier New"/>
          <w:sz w:val="13"/>
          <w:szCs w:val="13"/>
          <w:color w:val="auto"/>
        </w:rPr>
        <w:t>Paramount Merger Agreement.] The Paramount Merger Agreement amended and restated the terms of the February 4 Merger Agreement solely to provide for a merger of a wholly owned subsidiary of Viacom into Paramount (rather than Paramount into Viacom) and to provide for the treatment of Paramount Stock Options in the</w:t>
      </w:r>
    </w:p>
    <w:p>
      <w:pPr>
        <w:ind w:left="3260"/>
        <w:spacing w:after="0" w:line="237" w:lineRule="auto"/>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03" w:right="1440" w:bottom="1440" w:gutter="0" w:footer="0" w:header="0"/>
        </w:sectPr>
      </w:pPr>
    </w:p>
    <w:bookmarkStart w:id="64" w:name="page65"/>
    <w:bookmarkEnd w:id="64"/>
    <w:p>
      <w:pPr>
        <w:ind w:right="3799"/>
        <w:spacing w:after="0" w:line="239" w:lineRule="auto"/>
        <w:rPr>
          <w:sz w:val="20"/>
          <w:szCs w:val="20"/>
          <w:color w:val="auto"/>
        </w:rPr>
      </w:pPr>
      <w:r>
        <w:rPr>
          <w:rFonts w:ascii="Courier New" w:cs="Courier New" w:eastAsia="Courier New" w:hAnsi="Courier New"/>
          <w:sz w:val="14"/>
          <w:szCs w:val="14"/>
          <w:color w:val="auto"/>
        </w:rPr>
        <w:t>Paramount Merger as described under "The Paramount Merger--Effect on Employee Benefit Stock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AND STRUCTURE OF THE PARAMOUNT MERGER</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Viacom and NAI's purpose for the Paramount Merger is to acquire beneficial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100% of the equity of Paramount for the reasons described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Paramount Merger" and "--Reasons for the Paramount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 of Directors; Fairness of the Transaction."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is structured as a merger because it ensures that Viacom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 beneficial ownership of 100% of the equity of Paramount in a single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Viacom's acquisition of the shares of Paramount Common Stock 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holders of Paramount Common Stock other than Viacom and its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enable Viacom to realize the benefits and bear the risks of complete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ownership of Paramount including the opportunity to (i) facilitate inter-company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activity between Viacom and Paramount, (ii) permit combinations of management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resources of Viacom and Paramount, including, among other things,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consolidation and rationalization of Paramount's business and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with a view to improving operations and reducing expenses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Paramount (see "--Certain Effects of the Paramount Merger; Operations 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Paramount Merger"), (iii) enable Paramount's management (or any successors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thereto) to devote itself to building long-term values for Paramount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concern that such efforts may adversely affect short-term results and the market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for Paramount Common Stock, and (iv) eliminate the need for Paramount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comply with the reporting requirements of the Exchange Act, to maintain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separately audited financial statements and to maintain its current listing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NYSE. In addition, Viacom believes that if Paramount were to continue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public stockholders, Paramount would require more management time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than it would as a wholly owned subsidiary of Viacom.</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Paramount Merger will be effected by causing a wholly owned subsidiary of Viacom to merge with and into Paramount. As a result, Paramount will be the corporation surviving the Paramount Merger and will become a wholly owned subsidiary of Viacom after the Paramount Effective Time.</w:t>
      </w:r>
    </w:p>
    <w:p>
      <w:pPr>
        <w:spacing w:after="0" w:line="165"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4"/>
          <w:szCs w:val="14"/>
          <w:color w:val="auto"/>
        </w:rPr>
        <w:t>REASONS FOR THE PARAMOUNT MERGER; RECOMMENDATIONS OF THE BOARD OF DIRECTORS; FAIRNESS OF THE TRANSACTION</w:t>
      </w:r>
    </w:p>
    <w:p>
      <w:pPr>
        <w:spacing w:after="0" w:line="167"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Viacom. At the meetings of the Viacom Board of Directors described above in "--Background of the Paramount Merger," the Viacom Board received presentations from Viacom's management regarding the business and prospects of Paramount. The Viacom Board also received further presentations regarding, and reviewed the terms of, the February 4 Merger Agreement, as amended, and the Offer, as amended and supplemented, with members of Viacom's management and its financial and legal advisors. In making its determination set forth below, the Viacom Board reviewed with Smith Barney its financial analyses, with a view to understanding the bases of its analyses and opinions, and reviewed and discussed with management the results of management's due diligence investigations, the business opportunities created by a combined Viacom-Paramount and risks associated with the transactions. By a unanimous vote (with one director abstaining) of directors at a special meeting of the Board of Directors of Viacom held on February 1, 1994, the Viacom Board of Directors determined that the Offer and the Paramount Merger, taken together, are fair to and in the best interests of Viacom and its stockholders, approved the Offer and the Paramount Merger and resolved to recommend that the stockholders of Viacom vote FOR approval of the February 4 Merger Agreement and related transactions.</w:t>
      </w:r>
    </w:p>
    <w:p>
      <w:pPr>
        <w:spacing w:after="0" w:line="314" w:lineRule="exact"/>
        <w:rPr>
          <w:sz w:val="20"/>
          <w:szCs w:val="20"/>
          <w:color w:val="auto"/>
        </w:rPr>
      </w:pPr>
    </w:p>
    <w:p>
      <w:pPr>
        <w:ind w:right="3699" w:firstLine="418"/>
        <w:spacing w:after="0" w:line="276" w:lineRule="auto"/>
        <w:rPr>
          <w:sz w:val="20"/>
          <w:szCs w:val="20"/>
          <w:color w:val="auto"/>
        </w:rPr>
      </w:pPr>
      <w:r>
        <w:rPr>
          <w:rFonts w:ascii="Courier New" w:cs="Courier New" w:eastAsia="Courier New" w:hAnsi="Courier New"/>
          <w:sz w:val="13"/>
          <w:szCs w:val="13"/>
          <w:color w:val="auto"/>
        </w:rPr>
        <w:t>In reaching its conclusion to enter into the February 4 Merger Agreement, the Viacom Board of Directors considered the following material factors:</w:t>
      </w:r>
    </w:p>
    <w:p>
      <w:pPr>
        <w:spacing w:after="0" w:line="144" w:lineRule="exact"/>
        <w:rPr>
          <w:sz w:val="20"/>
          <w:szCs w:val="20"/>
          <w:color w:val="auto"/>
        </w:rPr>
      </w:pPr>
    </w:p>
    <w:p>
      <w:pPr>
        <w:ind w:left="420" w:right="3619" w:firstLine="423"/>
        <w:spacing w:after="0" w:line="269" w:lineRule="auto"/>
        <w:tabs>
          <w:tab w:leader="none" w:pos="1089"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fact that Paramount and Viacom have businesses that are highly complementary to each other and the fact that such businesses consist of many well-known entertainment and media franchises; in particular, that:</w:t>
      </w:r>
    </w:p>
    <w:p>
      <w:pPr>
        <w:spacing w:after="0" w:line="148" w:lineRule="exact"/>
        <w:rPr>
          <w:sz w:val="20"/>
          <w:szCs w:val="20"/>
          <w:color w:val="auto"/>
        </w:rPr>
      </w:pPr>
    </w:p>
    <w:p>
      <w:pPr>
        <w:ind w:left="680" w:right="3699" w:firstLine="414"/>
        <w:spacing w:after="0" w:line="241" w:lineRule="auto"/>
        <w:tabs>
          <w:tab w:leader="none" w:pos="126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combination of Paramount and Viacom will bring together the creative talent, intellectual property, managerial resources and trademarks of Paramount and Viacom;</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03" w:right="1440" w:bottom="1440" w:gutter="0" w:footer="0" w:header="0"/>
        </w:sectPr>
      </w:pPr>
    </w:p>
    <w:bookmarkStart w:id="65" w:name="page66"/>
    <w:bookmarkEnd w:id="65"/>
    <w:p>
      <w:pPr>
        <w:ind w:left="680" w:right="3799" w:firstLine="414"/>
        <w:spacing w:after="0" w:line="239" w:lineRule="auto"/>
        <w:tabs>
          <w:tab w:leader="none" w:pos="126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would add enhanced and complementary distribution capabilities;</w:t>
      </w:r>
    </w:p>
    <w:p>
      <w:pPr>
        <w:spacing w:after="0" w:line="167" w:lineRule="exact"/>
        <w:rPr>
          <w:sz w:val="20"/>
          <w:szCs w:val="20"/>
          <w:color w:val="auto"/>
        </w:rPr>
      </w:pPr>
    </w:p>
    <w:p>
      <w:pPr>
        <w:ind w:left="680" w:right="3879" w:firstLine="414"/>
        <w:spacing w:after="0" w:line="241" w:lineRule="auto"/>
        <w:tabs>
          <w:tab w:leader="none" w:pos="126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combination of Paramount with Viacom would be able to penetrate markets and achieve business goals that would otherwise be more difficult to achieve; and</w:t>
      </w:r>
    </w:p>
    <w:p>
      <w:pPr>
        <w:spacing w:after="0" w:line="166" w:lineRule="exact"/>
        <w:rPr>
          <w:sz w:val="20"/>
          <w:szCs w:val="20"/>
          <w:color w:val="auto"/>
        </w:rPr>
      </w:pPr>
    </w:p>
    <w:p>
      <w:pPr>
        <w:ind w:left="680" w:right="3799" w:firstLine="414"/>
        <w:spacing w:after="0" w:line="265" w:lineRule="auto"/>
        <w:tabs>
          <w:tab w:leader="none" w:pos="1266" w:val="left"/>
        </w:tabs>
        <w:numPr>
          <w:ilvl w:val="1"/>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all of the foregoing, combining Paramount with Viacom would create a company better positioned than each of the companies would be separately to adapt and benefit from technological and other developments in the distribution and form of entertainment programming and to successfully meet competitive challenges;</w:t>
      </w:r>
    </w:p>
    <w:p>
      <w:pPr>
        <w:spacing w:after="0" w:line="152" w:lineRule="exact"/>
        <w:rPr>
          <w:rFonts w:ascii="Courier New" w:cs="Courier New" w:eastAsia="Courier New" w:hAnsi="Courier New"/>
          <w:sz w:val="13"/>
          <w:szCs w:val="13"/>
          <w:color w:val="auto"/>
        </w:rPr>
      </w:pPr>
    </w:p>
    <w:p>
      <w:pPr>
        <w:ind w:left="420" w:right="3619" w:firstLine="423"/>
        <w:spacing w:after="0" w:line="242" w:lineRule="auto"/>
        <w:tabs>
          <w:tab w:leader="none" w:pos="10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proposed transaction including the terms of the securities to be issued in the Paramount Merger, and the fact that the Viacom Board believes that for the reasons discussed in paragraphs 1, 3, 4 and 5, the prospects for earnings before interest, taxes, depreciation and amortization and earnings per share will be enhanced by the Paramount Merger;</w:t>
      </w:r>
    </w:p>
    <w:p>
      <w:pPr>
        <w:spacing w:after="0" w:line="166" w:lineRule="exact"/>
        <w:rPr>
          <w:rFonts w:ascii="Courier New" w:cs="Courier New" w:eastAsia="Courier New" w:hAnsi="Courier New"/>
          <w:sz w:val="14"/>
          <w:szCs w:val="14"/>
          <w:color w:val="auto"/>
        </w:rPr>
      </w:pPr>
    </w:p>
    <w:p>
      <w:pPr>
        <w:ind w:left="420" w:right="3699" w:firstLine="423"/>
        <w:spacing w:after="0" w:line="242" w:lineRule="auto"/>
        <w:tabs>
          <w:tab w:leader="none" w:pos="10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condition of a combined Viacom and Paramount, the impact of the Paramount Merger on the ability of the resultant entity to pursue further growth through acquisition or the development of new or complementary businesses and the anticipated ability of a combined Viacom and Paramount to meet its financial obligations;</w:t>
      </w:r>
    </w:p>
    <w:p>
      <w:pPr>
        <w:spacing w:after="0" w:line="165" w:lineRule="exact"/>
        <w:rPr>
          <w:rFonts w:ascii="Courier New" w:cs="Courier New" w:eastAsia="Courier New" w:hAnsi="Courier New"/>
          <w:sz w:val="14"/>
          <w:szCs w:val="14"/>
          <w:color w:val="auto"/>
        </w:rPr>
      </w:pPr>
    </w:p>
    <w:p>
      <w:pPr>
        <w:ind w:left="420" w:right="3619" w:firstLine="423"/>
        <w:spacing w:after="0" w:line="242" w:lineRule="auto"/>
        <w:tabs>
          <w:tab w:leader="none" w:pos="10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Viacom and Paramount are each pursuing international business strategies and that the combination is expected to result in a strongly enhanced international presence and to enable the sharing of knowledge of international markets;</w:t>
      </w:r>
    </w:p>
    <w:p>
      <w:pPr>
        <w:spacing w:after="0" w:line="164" w:lineRule="exact"/>
        <w:rPr>
          <w:rFonts w:ascii="Courier New" w:cs="Courier New" w:eastAsia="Courier New" w:hAnsi="Courier New"/>
          <w:sz w:val="14"/>
          <w:szCs w:val="14"/>
          <w:color w:val="auto"/>
        </w:rPr>
      </w:pPr>
    </w:p>
    <w:p>
      <w:pPr>
        <w:ind w:left="420" w:right="3539" w:firstLine="423"/>
        <w:spacing w:after="0" w:line="243" w:lineRule="auto"/>
        <w:tabs>
          <w:tab w:leader="none" w:pos="10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combination of Paramount and Viacom is expected to result in significant opportunities for increased revenues from (i) cross-promotion and utilization of Viacom's and Paramount's well-known brand names, such as using Viacom's Showtime, MTV and Nickelodeon brands to enhance Paramount's live entertainment businesses, (ii) the utilization of distribution capabilities of each company to distribute products of the other (for example, the distribution of Paramount's theatrical motion picture library on an existing or new cable network of Viacom or the development of a broadcast network) and (iii) the development of new businesses based upon the management and creative skills of a combined Viacom and Paramount (for example, the development of retail stores based on the combined characters and trademarks of Viacom and Paramount); and the fact that Viacom and Paramount could achieve cost reductions through the combination of similar businesses and economies of scale;</w:t>
      </w:r>
    </w:p>
    <w:p>
      <w:pPr>
        <w:spacing w:after="0" w:line="165" w:lineRule="exact"/>
        <w:rPr>
          <w:rFonts w:ascii="Courier New" w:cs="Courier New" w:eastAsia="Courier New" w:hAnsi="Courier New"/>
          <w:sz w:val="14"/>
          <w:szCs w:val="14"/>
          <w:color w:val="auto"/>
        </w:rPr>
      </w:pPr>
    </w:p>
    <w:p>
      <w:pPr>
        <w:ind w:left="420" w:right="3539" w:firstLine="423"/>
        <w:spacing w:after="0" w:line="264" w:lineRule="auto"/>
        <w:tabs>
          <w:tab w:leader="none" w:pos="1089"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Smith Barney's opinion to the effect that, as of February 1, 1994, the proposed financial terms of the Offer and the Paramount Merger were fair, from a financial point of view, to Viacom and its stockholders, whether or not the Blockbuster Merger is consummated (in this respect, while the Viacom Board of Directors did not explicitly adopt Smith Barney's financial analyses, the Viacom Board of Directors took such analyses into account in its overall evaluation of the Offer and Paramount Merger); and</w:t>
      </w:r>
    </w:p>
    <w:p>
      <w:pPr>
        <w:spacing w:after="0" w:line="153" w:lineRule="exact"/>
        <w:rPr>
          <w:rFonts w:ascii="Courier New" w:cs="Courier New" w:eastAsia="Courier New" w:hAnsi="Courier New"/>
          <w:sz w:val="13"/>
          <w:szCs w:val="13"/>
          <w:color w:val="auto"/>
        </w:rPr>
      </w:pPr>
    </w:p>
    <w:p>
      <w:pPr>
        <w:ind w:left="420" w:right="3539" w:firstLine="423"/>
        <w:spacing w:after="0" w:line="243" w:lineRule="auto"/>
        <w:tabs>
          <w:tab w:leader="none" w:pos="10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NAI is the owner of approximately 85% of the outstanding voting stock of Viacom; the fact that, as a result of the proposed Paramount Merger, NAI would continue to hold approximately 85% of the outstanding voting stock of Viacom and as a result of the proposed Mergers, NAI would continue to hold approximately 61% of the outstanding voting stock of the combined company; and the fact that the Paramount Merger Consideration consists of no shares of Viacom Class A Common Stock. In this regard, the Viacom Board of Directors also noted that the economic interests of NAI and Viacom's public stockholders are aligned in connection with the Offer and the Paramount Merger.</w:t>
      </w:r>
    </w:p>
    <w:p>
      <w:pPr>
        <w:spacing w:after="0" w:line="164" w:lineRule="exact"/>
        <w:rPr>
          <w:rFonts w:ascii="Courier New" w:cs="Courier New" w:eastAsia="Courier New" w:hAnsi="Courier New"/>
          <w:sz w:val="14"/>
          <w:szCs w:val="14"/>
          <w:color w:val="auto"/>
        </w:rPr>
      </w:pPr>
    </w:p>
    <w:p>
      <w:pPr>
        <w:ind w:left="420" w:right="3959" w:firstLine="423"/>
        <w:spacing w:after="0" w:line="239" w:lineRule="auto"/>
        <w:tabs>
          <w:tab w:leader="none" w:pos="10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risks associated with the proposed transaction, as set forth under "Certain Considerations."</w:t>
      </w:r>
    </w:p>
    <w:p>
      <w:pPr>
        <w:spacing w:after="0" w:line="167"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The Viacom Board considered that the combination of Viacom and Paramount with Blockbuster would provide additional business opportunities of the kind specified above. However, the Viacom Board</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03" w:right="1440" w:bottom="1440" w:gutter="0" w:footer="0" w:header="0"/>
        </w:sectPr>
      </w:pPr>
    </w:p>
    <w:bookmarkStart w:id="66" w:name="page67"/>
    <w:bookmarkEnd w:id="66"/>
    <w:p>
      <w:pPr>
        <w:ind w:right="3539"/>
        <w:spacing w:after="0" w:line="241" w:lineRule="auto"/>
        <w:rPr>
          <w:sz w:val="20"/>
          <w:szCs w:val="20"/>
          <w:color w:val="auto"/>
        </w:rPr>
      </w:pPr>
      <w:r>
        <w:rPr>
          <w:rFonts w:ascii="Courier New" w:cs="Courier New" w:eastAsia="Courier New" w:hAnsi="Courier New"/>
          <w:sz w:val="14"/>
          <w:szCs w:val="14"/>
          <w:color w:val="auto"/>
        </w:rPr>
        <w:t>concluded that, even without Blockbuster, the combination of Viacom with Paramount could be financed on a reasonable basis and would result in all of the benefits described above.</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In view of the wide variety of factors considered by the Viacom Board, the Viacom Board did not find it practicable to quantify or otherwise attempt to assign relative weights to the specific factors considered in making its determination. However, as a general matter, the Viacom Board believed that the factors discussed in paragraphs 1, 2, 4, 5 and 6 supported its decision to approve the Offer and the Paramount Merger and outweighed the risks associated therewith referred to in paragraph 8.</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Viacom believes that the consideration paid in the Offer and the Paramount Merger, taken together, is fair to the stockholders of Paramount. Viacom's belief is based upon the fact that the terms of the Offer and the February 4 Merger Agreement were the product of arm's length negotiations between Viacom, Paramount and their respective financial and legal advisors and were approved by the Paramount Board at a time when none of Viacom, NAI or Sumner M. Redstone (or any of their affiliates) was a member of the Paramount Board; that the Paramount Board received a fairness opinion from Lazard Freres; and that the terms of the Offer and Paramount Merger were agreed to following an extensive public bidding process.</w:t>
      </w:r>
    </w:p>
    <w:p>
      <w:pPr>
        <w:spacing w:after="0" w:line="164"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[On April [ ], 1994, the Viacom Board approved certain amendments to the February 4 Merger Agreement which are embodied in the Paramount Merger Agreement.]</w:t>
      </w:r>
    </w:p>
    <w:p>
      <w:pPr>
        <w:spacing w:after="0" w:line="166"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THE BOARD OF DIRECTORS OF VIACOM RECOMMENDS THAT HOLDERS OF VIACOM CLASS A COMMON STOCK VOTE FOR APPROVAL OF THE PARAMOUNT MERGER AGREEMENT AND RELATED TRANSACTIONS.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Paramount. At its February 4, 1994 meeting, the Paramount Board considered presentations from its legal and financial advisors with respect to the Offer and the Paramount Merger, as well as the Fourth QVC Offer and the Fourth QVC Second-Step Merger. It unanimously (i) approved the terms of the February 4 Merger Agreement and authorized its execution and delivery, (ii) determined that the Offer and the Paramount Merger, taken together, were fair to, and in the best interests of, Paramount's stockholders, (iii) recommended approval and adoption of the February 4 Merger Agreement by Paramount's stockholders and (iv) recommended that holders of shares of Paramount Common Stock tender their shares pursuant to the Offer. The Paramount Board also unanimously recommended that stockholders reject the Fourth QVC Offer and not tender any of their shares pursuant to the Fourth QVC Offer.</w:t>
      </w:r>
    </w:p>
    <w:p>
      <w:pPr>
        <w:spacing w:after="0" w:line="165"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The Paramount Board, in reaching its conclusions, gave consideration to a number of factors, including, without limitation, the following:</w:t>
      </w:r>
    </w:p>
    <w:p>
      <w:pPr>
        <w:spacing w:after="0" w:line="167" w:lineRule="exact"/>
        <w:rPr>
          <w:sz w:val="20"/>
          <w:szCs w:val="20"/>
          <w:color w:val="auto"/>
        </w:rPr>
      </w:pPr>
    </w:p>
    <w:p>
      <w:pPr>
        <w:ind w:left="420" w:right="3539" w:firstLine="423"/>
        <w:spacing w:after="0" w:line="242" w:lineRule="auto"/>
        <w:tabs>
          <w:tab w:leader="none" w:pos="11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presentation by Lazard Freres to the Paramount Board and its written opinion dated February 4, 1994 stating that as of such date (a) the Viacom Transaction Consideration was fair to Paramount stockholders from a financial point of view, (b) the QVC Transaction Consideration was fair to Paramount stockholders from a financial point of view and (c) the Viacom Transaction Consideration was marginally superior to the QVC Transaction Consideration from a financial point of view;</w:t>
      </w:r>
    </w:p>
    <w:p>
      <w:pPr>
        <w:spacing w:after="0" w:line="167" w:lineRule="exact"/>
        <w:rPr>
          <w:rFonts w:ascii="Courier New" w:cs="Courier New" w:eastAsia="Courier New" w:hAnsi="Courier New"/>
          <w:sz w:val="14"/>
          <w:szCs w:val="14"/>
          <w:color w:val="auto"/>
        </w:rPr>
      </w:pPr>
    </w:p>
    <w:p>
      <w:pPr>
        <w:ind w:left="420" w:right="3539" w:firstLine="423"/>
        <w:spacing w:after="0" w:line="243" w:lineRule="auto"/>
        <w:tabs>
          <w:tab w:leader="none" w:pos="125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Paramount Board's determination, taking into account Lazard Freres' presentation and written opinion, that the Offer and the Paramount Merger, taken together, represented the best value available under the circumstances to Paramount stockholders. This determination was also based upon the Paramount Board's view that the Viacom Transaction Consideration has a more certain value than the QVC Transaction Consideration because (a) the Viacom Transaction Consideration contains a larger percentage of cash and securities readily susceptible to valuation than the QVC Transaction Consideration and (b) the CVRs to be issued in the Paramount Merger would afford a degree of value assurance protection to Paramount stockholders with respect to the Viacom Class B Common Stock to be issued in the Paramount Merger;</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03" w:right="1440" w:bottom="1440" w:gutter="0" w:footer="0" w:header="0"/>
        </w:sectPr>
      </w:pPr>
    </w:p>
    <w:bookmarkStart w:id="67" w:name="page68"/>
    <w:bookmarkEnd w:id="67"/>
    <w:p>
      <w:pPr>
        <w:ind w:left="420" w:right="3879" w:firstLine="423"/>
        <w:spacing w:after="0" w:line="239" w:lineRule="auto"/>
        <w:tabs>
          <w:tab w:leader="none" w:pos="13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provisions of the February 4 Merger Agreement, including the following:</w:t>
      </w:r>
    </w:p>
    <w:p>
      <w:pPr>
        <w:spacing w:after="0" w:line="166" w:lineRule="exact"/>
        <w:rPr>
          <w:rFonts w:ascii="Courier New" w:cs="Courier New" w:eastAsia="Courier New" w:hAnsi="Courier New"/>
          <w:sz w:val="14"/>
          <w:szCs w:val="14"/>
          <w:color w:val="auto"/>
        </w:rPr>
      </w:pPr>
    </w:p>
    <w:p>
      <w:pPr>
        <w:ind w:left="680" w:right="3799" w:firstLine="414"/>
        <w:spacing w:after="0" w:line="242" w:lineRule="auto"/>
        <w:tabs>
          <w:tab w:leader="none" w:pos="1433"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bidding procedures incorporated in the February 4 Merger Agreement (and in the QVC Exemption Agreement) that were designed to remove the coercive element from any offer by QVC or Viacom and to provide stockholders with a meaningful choice between a tender offer from QVC or Viacom;</w:t>
      </w:r>
    </w:p>
    <w:p>
      <w:pPr>
        <w:spacing w:after="0" w:line="165" w:lineRule="exact"/>
        <w:rPr>
          <w:rFonts w:ascii="Courier New" w:cs="Courier New" w:eastAsia="Courier New" w:hAnsi="Courier New"/>
          <w:sz w:val="14"/>
          <w:szCs w:val="14"/>
          <w:color w:val="auto"/>
        </w:rPr>
      </w:pPr>
    </w:p>
    <w:p>
      <w:pPr>
        <w:ind w:left="680" w:right="3619" w:firstLine="414"/>
        <w:spacing w:after="0" w:line="276" w:lineRule="auto"/>
        <w:tabs>
          <w:tab w:leader="none" w:pos="1433" w:val="left"/>
        </w:tabs>
        <w:numPr>
          <w:ilvl w:val="1"/>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Paramount's right to terminate the February 4 Merger Agreement in order to accept a transaction that offers better value; and</w:t>
      </w:r>
    </w:p>
    <w:p>
      <w:pPr>
        <w:spacing w:after="0" w:line="143" w:lineRule="exact"/>
        <w:rPr>
          <w:rFonts w:ascii="Courier New" w:cs="Courier New" w:eastAsia="Courier New" w:hAnsi="Courier New"/>
          <w:sz w:val="13"/>
          <w:szCs w:val="13"/>
          <w:color w:val="auto"/>
        </w:rPr>
      </w:pPr>
    </w:p>
    <w:p>
      <w:pPr>
        <w:ind w:left="680" w:right="3879" w:firstLine="414"/>
        <w:spacing w:after="0" w:line="241" w:lineRule="auto"/>
        <w:tabs>
          <w:tab w:leader="none" w:pos="1433"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stock option, asset lock-up, termination fee, expense reimbursements or other provisions that could deter a higher offer for Paramount; and</w:t>
      </w:r>
    </w:p>
    <w:p>
      <w:pPr>
        <w:spacing w:after="0" w:line="166" w:lineRule="exact"/>
        <w:rPr>
          <w:sz w:val="20"/>
          <w:szCs w:val="20"/>
          <w:color w:val="auto"/>
        </w:rPr>
      </w:pPr>
    </w:p>
    <w:p>
      <w:pPr>
        <w:ind w:left="420" w:right="3539" w:firstLine="423"/>
        <w:spacing w:after="0" w:line="269" w:lineRule="auto"/>
        <w:tabs>
          <w:tab w:leader="none" w:pos="1257"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conditions to the Offer and the Paramount Board's determination that all such conditions had been satisfied or could reasonably be expected to be satisfied by the expiration date of the Offer.</w:t>
      </w:r>
    </w:p>
    <w:p>
      <w:pPr>
        <w:spacing w:after="0" w:line="148" w:lineRule="exact"/>
        <w:rPr>
          <w:sz w:val="20"/>
          <w:szCs w:val="20"/>
          <w:color w:val="auto"/>
        </w:rPr>
      </w:pPr>
    </w:p>
    <w:p>
      <w:pPr>
        <w:ind w:right="3799" w:firstLine="418"/>
        <w:spacing w:after="0" w:line="241" w:lineRule="auto"/>
        <w:rPr>
          <w:sz w:val="20"/>
          <w:szCs w:val="20"/>
          <w:color w:val="auto"/>
        </w:rPr>
      </w:pPr>
      <w:r>
        <w:rPr>
          <w:rFonts w:ascii="Courier New" w:cs="Courier New" w:eastAsia="Courier New" w:hAnsi="Courier New"/>
          <w:sz w:val="14"/>
          <w:szCs w:val="14"/>
          <w:color w:val="auto"/>
        </w:rPr>
        <w:t>[On April [ ], 1994, the reconstituted Paramount Board approved certain amendments to the February 4 Merger Agreement which are embodied in the Paramount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FINANCIAL ADVISORS</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Smith Barney has delivered its written opinion to the Viacom Board that as of February 1, 1994, the financial terms of the Offer and the Paramount Merger, taken together, were fair, from a financial point of view, to Viacom and its stockholders, whether or not the Blockbuster Merger is consummated. VIACOM STOCKHOLDERS ARE URGED TO READ THIS OPINION IN ITS ENTIRETY FOR ASSUMPTIONS MADE, MATTERS CONSIDERED AND LIMITS OF REVIEW BY SMITH BARNEY. Smith Barney did not make or seek to obtain an appraisal of Viacom's, Paramount's or Blockbuster's assets in rendering its opinion. No limitations were imposed by the Viacom Board upon Smith Barney with respect to the investigations made or procedures followed by it in rendering its opinion.</w:t>
      </w:r>
    </w:p>
    <w:p>
      <w:pPr>
        <w:spacing w:after="0" w:line="164"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Copies of the February 1, 1994 opinion of Smith Barney and related written presentation to the Viacom Board have been filed as exhibits to the Schedule</w:t>
      </w:r>
    </w:p>
    <w:p>
      <w:pPr>
        <w:ind w:right="3539"/>
        <w:spacing w:after="0" w:line="242" w:lineRule="auto"/>
        <w:rPr>
          <w:sz w:val="20"/>
          <w:szCs w:val="20"/>
          <w:color w:val="auto"/>
        </w:rPr>
      </w:pPr>
      <w:r>
        <w:rPr>
          <w:rFonts w:ascii="Courier New" w:cs="Courier New" w:eastAsia="Courier New" w:hAnsi="Courier New"/>
          <w:sz w:val="14"/>
          <w:szCs w:val="14"/>
          <w:color w:val="auto"/>
        </w:rPr>
        <w:t>13E-3 filed with the Commission with respect to the Paramount Merger and may be inspected and copied, and obtained by mail, from the Commission as set forth in "Available Information" and will be made available for inspection and copying at the principal executive offices of Viacom International at 1515 Broadway, New York, New York 10036 during regular business hours by any interested public stockholder of Paramount or his or her representative who has been so designated in writing.</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FULL TEXT OF THE OPINION OF SMITH BARNEY, WHICH SETS FORTH ASSUMPTIONS MADE, MATTERS CONSIDERED AND LIMITS ON THE REVIEW UNDERTAKEN BY SMITH BARNEY, IS ALSO ATTACHED HERETO AS ANNEX III TO THIS PROXY STATEMENT/PROSPECTUS. SMITH BARNEY'S OPINION IS DIRECTED ONLY TO THE FINANCIAL TERMS OF THE OFFER AND PARAMOUNT MERGER AND DOES NOT CONSTITUTE A RECOMMENDATION TO ANY VIACOM STOCKHOLDER AS TO HOW SUCH STOCKHOLDER SHOULD VOTE AT THE VIACOM SPECIAL MEETING. THE SUMMARY OF THE OPINION OF SMITH BARNEY SET FORTH IN THIS PROXY STATEMENT/PROSPECTUS IS QUALIFIED IN ITS ENTIRETY BY REFERENCE TO THE FULL TEXT OF SUCH OPINION.</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arriving at its opinion, Smith Barney (i) reviewed the Offer; (ii) reviewed the January 21 Merger Agreement in the form presented to the Viacom Board; (iii) met with certain senior officers of Viacom, Blockbuster and Paramount to discuss the business, operations, assets, financial condition and prospects of their respective companies; (iv) examined certain publicly available business and financial information relating to Viacom, Blockbuster and Paramount, and certain financial forecasts and other data for Viacom, Blockbuster and Paramount which were provided to Smith Barney by the senior management of Viacom, Blockbuster and Paramount, respectively, which are not publicly available; (v) took into account certain long-term strategic benefits of the Paramount Merger and the Blockbuster Merger, both operational and financial, that were described to Smith Barney by Viacom, Blockbuster and Paramount senior management; and (vi) reviewed the financial terms of the Offer and the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03" w:right="1440" w:bottom="1440" w:gutter="0" w:footer="0" w:header="0"/>
        </w:sectPr>
      </w:pPr>
    </w:p>
    <w:bookmarkStart w:id="68" w:name="page69"/>
    <w:bookmarkEnd w:id="68"/>
    <w:p>
      <w:pPr>
        <w:ind w:right="3539"/>
        <w:spacing w:after="0" w:line="243" w:lineRule="auto"/>
        <w:rPr>
          <w:sz w:val="20"/>
          <w:szCs w:val="20"/>
          <w:color w:val="auto"/>
        </w:rPr>
      </w:pPr>
      <w:r>
        <w:rPr>
          <w:rFonts w:ascii="Courier New" w:cs="Courier New" w:eastAsia="Courier New" w:hAnsi="Courier New"/>
          <w:sz w:val="14"/>
          <w:szCs w:val="14"/>
          <w:color w:val="auto"/>
        </w:rPr>
        <w:t>Paramount Merger as set forth in the revised Offer to Purchase of Viacom used in connection with the Offer and of the Blockbuster Merger as set forth in the Blockbuster Merger Agreement, in relation to, among other things, current and historical market prices and trading volumes of Viacom Common Stock, Paramount Common Stock and Blockbuster Common Stock; the earnings and book value per share of each of Viacom, Paramount and Blockbuster; and the capitalization and financial condition of each of Viacom, Paramount and Blockbuster. Smith Barney also considered, to the extent publicly available, the financial terms of certain other business combination transactions which Smith Barney considered relevant in evaluating the Offer and Paramount Merger and the Blockbuster Merger and analyzed certain financial, stock market and other publicly available information relating to the businesses of other companies that they considered relevant in evaluating Viacom, Blockbuster and Paramount. Smith Barney also evaluated the pro forma financial impact of the Offer and Paramount Merger and of the Blockbuster Merger on Viacom. In addition to the foregoing, Smith Barney conducted such other analyses and examinations and considered such other financial, economic and market criteria as it deemed necessary in arriving at its opinion.</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arriving at its opinion, Smith Barney relied, without independent verification, upon the accuracy and completeness of all financial and other information publicly available or furnished to or otherwise discussed with it. With respect to financial forecasts and other information provided to or otherwise discussed with it, Smith Barney assumed that such forecasts and other information were reasonably prepared on bases reflecting the best currently available estimates and judgments of the respective senior managements of Viacom, Blockbuster and Paramount as to the expected future financial performance of Viacom, Blockbuster and Paramount. Smith Barney also relied upon the views of the management of Viacom, Paramount and Blockbuster in assuming that certain long-term strategic benefits, both operational and financial, will result from each of the Offer, the Paramount Merger and the Blockbuster Merger. Smith Barney expressed no opinion as to what the value of the Paramount Merger Consideration will be when issued to Paramount stockholders pursuant to the Paramount Merger or the price at which the Paramount Merger Consideration will trade subsequent to the Paramount Merger. Smith Barney has not made or been provided with an independent evaluation or appraisal of the assets or liabilities (contingent or otherwise) of Viacom, Blockbuster or Paramount nor have they made any physical inspection of the properties or assets of Viacom, Blockbuster or Paramount. Smith Barney's opinion was based upon financial, stock market and other conditions and circumstances existing and disclosed to it as of the date of its opinion.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1994 Viacom Board Presentation</w:t>
      </w:r>
    </w:p>
    <w:p>
      <w:pPr>
        <w:spacing w:after="0" w:line="166" w:lineRule="exact"/>
        <w:rPr>
          <w:sz w:val="20"/>
          <w:szCs w:val="20"/>
          <w:color w:val="auto"/>
        </w:rPr>
      </w:pPr>
    </w:p>
    <w:p>
      <w:pPr>
        <w:ind w:right="3799" w:firstLine="418"/>
        <w:spacing w:after="0" w:line="262" w:lineRule="auto"/>
        <w:rPr>
          <w:sz w:val="20"/>
          <w:szCs w:val="20"/>
          <w:color w:val="auto"/>
        </w:rPr>
      </w:pPr>
      <w:r>
        <w:rPr>
          <w:rFonts w:ascii="Courier New" w:cs="Courier New" w:eastAsia="Courier New" w:hAnsi="Courier New"/>
          <w:sz w:val="13"/>
          <w:szCs w:val="13"/>
          <w:color w:val="auto"/>
        </w:rPr>
        <w:t>At the February 1, 1994 meeting of the Viacom Board of Directors, Smith Barney presented information and materials relating to the following matters:</w:t>
      </w:r>
    </w:p>
    <w:p>
      <w:pPr>
        <w:jc w:val="both"/>
        <w:ind w:right="3539" w:firstLine="6"/>
        <w:spacing w:after="0" w:line="242" w:lineRule="auto"/>
        <w:tabs>
          <w:tab w:leader="none" w:pos="33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Offer and Paramount Merger, (ii) the pro forma impact to Viacom of two different business combination scenarios (a combined Viacom and Paramount and a combined Viacom, Paramount and Blockbuster), and (iii) quantitative analysis relating to the foregoing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__The Offer and the Paramount Merger</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Transaction Overview</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Smith Barney presented to the Viacom Board a summary of the Offer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including the following:</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An overview of the key elements of the Offer and the Paramount Merger.</w:t>
      </w:r>
    </w:p>
    <w:p>
      <w:pPr>
        <w:spacing w:after="0" w:line="166" w:lineRule="exact"/>
        <w:rPr>
          <w:sz w:val="20"/>
          <w:szCs w:val="20"/>
          <w:color w:val="auto"/>
        </w:rPr>
      </w:pPr>
    </w:p>
    <w:p>
      <w:pPr>
        <w:ind w:right="3879" w:firstLine="424"/>
        <w:spacing w:after="0" w:line="239" w:lineRule="auto"/>
        <w:tabs>
          <w:tab w:leader="none" w:pos="58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the per share consideration at face value and trading value of the Fourth Viacom Offer and the Offer.</w:t>
      </w:r>
    </w:p>
    <w:p>
      <w:pPr>
        <w:spacing w:after="0" w:line="167" w:lineRule="exact"/>
        <w:rPr>
          <w:sz w:val="20"/>
          <w:szCs w:val="20"/>
          <w:color w:val="auto"/>
        </w:rPr>
      </w:pPr>
    </w:p>
    <w:p>
      <w:pPr>
        <w:ind w:right="3959" w:firstLine="424"/>
        <w:spacing w:after="0" w:line="239" w:lineRule="auto"/>
        <w:tabs>
          <w:tab w:leader="none" w:pos="58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overview of the aggregate consideration at face value and trading value of the Offer.</w:t>
      </w:r>
    </w:p>
    <w:p>
      <w:pPr>
        <w:spacing w:after="0" w:line="167" w:lineRule="exact"/>
        <w:rPr>
          <w:sz w:val="20"/>
          <w:szCs w:val="20"/>
          <w:color w:val="auto"/>
        </w:rPr>
      </w:pPr>
    </w:p>
    <w:p>
      <w:pPr>
        <w:jc w:val="center"/>
        <w:ind w:left="3260" w:right="4379" w:hanging="2836"/>
        <w:spacing w:after="0" w:line="483" w:lineRule="auto"/>
        <w:tabs>
          <w:tab w:leader="none" w:pos="58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the sources of financing for the Paramount Merger. 53</w:t>
      </w:r>
    </w:p>
    <w:p>
      <w:pPr>
        <w:sectPr>
          <w:pgSz w:w="11900" w:h="16838" w:orient="portrait"/>
          <w:cols w:equalWidth="0" w:num="1">
            <w:col w:w="10239"/>
          </w:cols>
          <w:pgMar w:left="220" w:top="603" w:right="1440" w:bottom="1440" w:gutter="0" w:footer="0" w:header="0"/>
        </w:sectPr>
      </w:pPr>
    </w:p>
    <w:bookmarkStart w:id="69" w:name="page70"/>
    <w:bookmarkEnd w:id="69"/>
    <w:p>
      <w:pPr>
        <w:ind w:left="180"/>
        <w:spacing w:after="0"/>
        <w:rPr>
          <w:sz w:val="20"/>
          <w:szCs w:val="20"/>
          <w:color w:val="auto"/>
        </w:rPr>
      </w:pPr>
      <w:r>
        <w:rPr>
          <w:rFonts w:ascii="Courier New" w:cs="Courier New" w:eastAsia="Courier New" w:hAnsi="Courier New"/>
          <w:sz w:val="14"/>
          <w:szCs w:val="14"/>
          <w:color w:val="auto"/>
        </w:rPr>
        <w:t>Viacom Merger Debentures</w:t>
      </w:r>
    </w:p>
    <w:p>
      <w:pPr>
        <w:spacing w:after="0" w:line="166" w:lineRule="exact"/>
        <w:rPr>
          <w:sz w:val="20"/>
          <w:szCs w:val="20"/>
          <w:color w:val="auto"/>
        </w:rPr>
      </w:pPr>
    </w:p>
    <w:p>
      <w:pPr>
        <w:ind w:right="4039" w:firstLine="424"/>
        <w:spacing w:after="0" w:line="239" w:lineRule="auto"/>
        <w:tabs>
          <w:tab w:leader="none" w:pos="58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list of the terms of the Viacom Merger Debentures and the advantages of their use in the Paramount Merger.</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Valuation Analyses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Smith Barney also reviewed with the Viacom Board various analyses relating to the valuation of Paramount which reflected the significant changes that occurred in the valuation being placed on the entertainment companies since Viacom and Paramount announced the Original Merger in September 1993.</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Public and Precedent Private Market Breakdown</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Smith Barney reviewed with the Viacom Board the public and private market breakdown analysis of Paramount. Based on the comparable company and selected transaction analyses discussed below, Smith Barney explained to the Viacom Board that this analysis consisted of the valuation of each of Paramount's significant component business segments, which valuation consists of an analysis of the multiples at which companies in lines of businesses comparable to such Paramount business segments trade in the public market. The two industries Smith Barney analyzed were the entertainment and publishing industries, however, such analyses were extended into more specific segments of these industries. The entertainment industry was divided into the film/entertainment, movie theaters, cable programming and broadcasting segments. The publishing industry was segmented into educational, consumer and professional publishing. The combination of the selected comparable company and selected comparable transactions analyses generated an equity value range of approximately $6.5 billion to $11.2 billion per share.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Analysis of Public Trading Valuation of Selected Comparable Companies.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Smith Barney presented to the Viacom Board an analysis of the public trading valuation of selected comparable companies, including share price, market value, adjusted market value, multiples of market value and multiples of adjusted market value. Smith Barney also discussed a five-year estimated earnings per share growth for such selected comparable companies. All earnings per share figures for the Comparable Companies were based on the consensus net income estimates of selected investment banking firms and all earnings per share estimates for Viacom and Paramount were based on internal estimates.</w:t>
      </w:r>
    </w:p>
    <w:p>
      <w:pPr>
        <w:spacing w:after="0" w:line="169"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Such comparable companies that Smith Barney examined included A.H. Belo Corporation, Ackerly Communications, Inc., Capital Cities/ABC, Inc., Carmike Cinemas, Inc., CBS Inc., Cineplex Odeon Corporation, Clear Channel Communications, Inc., Gaylord Entertainment Co., Granite Broadcasting Corporation, Harcourt General, Inc., Heritage Media Corporation, Houghton Mifflin Company, International Family Entertainment, Inc., John Wiley &amp; Sons, Inc., King World Productions, Inc., Liberty Media Corporation, Marvel Entertainment Group, Inc., McGraw Hill, Inc., Multimedia, Inc., New Line Cinema Corporation, New Corporation Limited, Outlet Communications, Inc., Park Communications Inc., Plenum Publishing Corporation, Reader's Digest Association, Inc., Scholastic Corporations, Scripps Howard Broadcasting Co., The Walt Disney Company, Thomas Nelson, Inc., Time Warner, Inc., Turner Broadcasting System, Inc., United Television, Inc., Waverly, Inc. and Western Publishing Group, Inc.</w:t>
      </w:r>
    </w:p>
    <w:p>
      <w:pPr>
        <w:spacing w:after="0" w:line="316"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Smith Barney compared market values as multiples to, among other things, latest 12 months after-tax cash flow, book value, and estimated calendar 1993 and 1994 net income for both the entertainment and publishing industries. The respective multiples of the entertainment comparable companies were between the following ranges: (i) latest 12 months after tax cash flow: 5.6x to 67.6x (with a mean of 16.0x and a median of 13.7x); (ii) book value: 1.0x to 12.7x (with a mean of 5.3x and a median of 3.9x): (iii) estimated 1993 calendar net income: 14.7x to 74.5x (with a mean of 26.0x and a median of 22.4x); and (iv) estimated calendar 1994 net income: 13.5x to 46.4x (with a mean of 20.9x and a median of</w:t>
      </w:r>
    </w:p>
    <w:p>
      <w:pPr>
        <w:ind w:left="3260"/>
        <w:spacing w:after="0" w:line="238" w:lineRule="auto"/>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00" w:right="1440" w:bottom="1440" w:gutter="0" w:footer="0" w:header="0"/>
        </w:sectPr>
      </w:pPr>
    </w:p>
    <w:bookmarkStart w:id="70" w:name="page71"/>
    <w:bookmarkEnd w:id="70"/>
    <w:p>
      <w:pPr>
        <w:ind w:right="3619"/>
        <w:spacing w:after="0" w:line="262" w:lineRule="auto"/>
        <w:rPr>
          <w:sz w:val="20"/>
          <w:szCs w:val="20"/>
          <w:color w:val="auto"/>
        </w:rPr>
      </w:pPr>
      <w:r>
        <w:rPr>
          <w:rFonts w:ascii="Courier New" w:cs="Courier New" w:eastAsia="Courier New" w:hAnsi="Courier New"/>
          <w:sz w:val="13"/>
          <w:szCs w:val="13"/>
          <w:color w:val="auto"/>
        </w:rPr>
        <w:t>19.1x). The respective multiples of the publishing comparable companies were between the following ranges: (i) latest 12 months after tax cash flow: 6.3x to 44.6x (with a mean of 17.0x and a median of 11.4x); (ii) book value: 1.8x to</w:t>
      </w:r>
    </w:p>
    <w:p>
      <w:pPr>
        <w:ind w:right="3799"/>
        <w:spacing w:after="0" w:line="262" w:lineRule="auto"/>
        <w:rPr>
          <w:sz w:val="20"/>
          <w:szCs w:val="20"/>
          <w:color w:val="auto"/>
        </w:rPr>
      </w:pPr>
      <w:r>
        <w:rPr>
          <w:rFonts w:ascii="Courier New" w:cs="Courier New" w:eastAsia="Courier New" w:hAnsi="Courier New"/>
          <w:sz w:val="13"/>
          <w:szCs w:val="13"/>
          <w:color w:val="auto"/>
        </w:rPr>
        <w:t>21.3x (with a mean of 5.1x and median of 3.4x); (iii) estimated 1993 calendar net income: 16.1x to 44.0x) (with a mean of 23.3x and a median of 20.6x); and</w:t>
      </w:r>
    </w:p>
    <w:p>
      <w:pPr>
        <w:ind w:right="3799" w:firstLine="6"/>
        <w:spacing w:after="0" w:line="239" w:lineRule="auto"/>
        <w:tabs>
          <w:tab w:leader="none" w:pos="41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calendar 1994 net income: 11.7x to 32.7x (with a mean of 19.2x and a median of 17.5x).</w:t>
      </w:r>
    </w:p>
    <w:p>
      <w:pPr>
        <w:spacing w:after="0" w:line="167"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Smith Barney compared adjusted market capitalization to, among other things, historical net revenues; EBITDA and EBIT of the comparable companies. The entertainment comparable companies for the respective multiples were between the following ranges: (i) latest 12 months net revenue: 1.0x to 5.4x (with a mean of 2.8x and a median of 2.4x); (ii) latest 12 months EBITDA: 6.9x to 31.6x (with a mean of 12.1x and a median of 9.9x); and (iii) latest 12 months EBIT:</w:t>
      </w:r>
    </w:p>
    <w:p>
      <w:pPr>
        <w:spacing w:after="0" w:line="1"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7.4x to 41.4x (with a mean of 18.2x and a median of 15.2x). The publishing comparable companies for the respective multiples were between the following ranges: (i) latest 12 months net revenue: 0.6x to 20.0x (with a mean of 3.6x and a median of 1.5x); (ii) latest 12 months EBITDA: 5.3x to 25.1x (with a mean of 12.2x and a median of 10.7x); and (iii) latest 12 months EBIT: 6.7x to 34.4x (with a mean of 18.3x and a median of 16.1x).</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Smith Barney also presented an analysis of operating statistics of the comparable companies including, among other things, operating margins (in relation to EBITDA, EBIT and after tax cash flow), three year historical revenue growth, three year average EBITDA and EBIT margins, and debt to capitalization ratios, in each case as compared to Paramount.</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Analysis of Selected Transactions.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Smith Barney analyzed, among other things, the purchase prices as multiples of net income and book value of the selected mergers and acquisitions and transaction value as a multiple of revenues, EBITDA and total assets of the selected mergers and acquisitions and compared these multiples with the multiples of Paramount's performance implied by the Paramount merger consideration. As set forth above under "Analysis of Public Trading Valuation of Selected Comparable Companies," the analysis consisted of the valuation of each of Paramount's significant component segments business, including the entertainment and publishing industries.</w:t>
      </w:r>
    </w:p>
    <w:p>
      <w:pPr>
        <w:spacing w:after="0" w:line="164"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Such comparable transactions that Smith Barney reviewed included the acquisition by Turner Broadcasting System, Inc. of New Line Cinema Corporation, the acquisition by Turner Broadcasting System, Inc. of Castle Rock Entertainment, the acquisition by Matsushita Acquisition Corporation of MCA Inc., the acquisition by Sony USA Inc. of Columbia Pictures Entertainment Inc., the acquisition by Time Inc. of Warner Communications Inc., the acquisition by McGraw Hill, Inc. of Macmillan-McGraw Hill School Publishing Co. and the acquisition by General Cinema Corp. of Harcourt Brace Jovanovich, Inc.</w:t>
      </w:r>
    </w:p>
    <w:p>
      <w:pPr>
        <w:spacing w:after="0" w:line="152"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multiples of net income and book value for the entertainment selected transactions were between the following ranges: (i) latest 12 months net income: 27.3x to 49.9x (with a mean of 43.1x and a median of 28.4x); and (ii) book value: 1.7x to 11.2x (with a mean of 7.8x and a median of 4.3x). The multiples of revenues, EBITDA and total assets for the entertainment selected transactions were between the following ranges: (i) revenues: 0.9x to 9.9x (with a mean of 2.9x and a median of 1.9x); (ii) EBITDA: 9.3x to 21.1x (with a mean of 14.5x and</w:t>
      </w:r>
    </w:p>
    <w:p>
      <w:pPr>
        <w:spacing w:after="0" w:line="1"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3"/>
          <w:szCs w:val="13"/>
          <w:color w:val="auto"/>
        </w:rPr>
        <w:t>a median of 13.3x; and (iii) total assets: 0.7x to 3.3x (with a mean of 1.6x and a median of 1.1x). The multiples of net income and book value for the publishing selected transactions were between the following ranges: (i) latest 12 months net income: 13.8x to 56.9x (with a mean of 31.2x and a median of 29.4x); and</w:t>
      </w:r>
    </w:p>
    <w:p>
      <w:pPr>
        <w:spacing w:after="0" w:line="1" w:lineRule="exact"/>
        <w:rPr>
          <w:sz w:val="20"/>
          <w:szCs w:val="20"/>
          <w:color w:val="auto"/>
        </w:rPr>
      </w:pPr>
    </w:p>
    <w:p>
      <w:pPr>
        <w:ind w:right="3539" w:firstLine="6"/>
        <w:spacing w:after="0" w:line="242" w:lineRule="auto"/>
        <w:tabs>
          <w:tab w:leader="none" w:pos="41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 value: 5.0x to 11.2x (with a mean of 7.3x and a median of 7.0x). The multiples of revenues, EBITDA and total assets for the publishing selected transactions were between the following ranges: (i) revenues: 1.1x to 2.7x (with a mean and a median of 2.0x); (ii) EBITDA: 6.2x to 14.8x (with a mean of 10.3x and a median of 10.0x); and (iii) total assets: 0.5x to 6.6x (with a mean of 2.7x and a median of 2.1x).</w:t>
      </w:r>
    </w:p>
    <w:p>
      <w:pPr>
        <w:spacing w:after="0" w:line="167" w:lineRule="exact"/>
        <w:rPr>
          <w:sz w:val="20"/>
          <w:szCs w:val="20"/>
          <w:color w:val="auto"/>
        </w:rPr>
      </w:pPr>
    </w:p>
    <w:p>
      <w:pPr>
        <w:ind w:right="3959" w:firstLine="418"/>
        <w:spacing w:after="0" w:line="241" w:lineRule="auto"/>
        <w:rPr>
          <w:sz w:val="20"/>
          <w:szCs w:val="20"/>
          <w:color w:val="auto"/>
        </w:rPr>
      </w:pPr>
      <w:r>
        <w:rPr>
          <w:rFonts w:ascii="Courier New" w:cs="Courier New" w:eastAsia="Courier New" w:hAnsi="Courier New"/>
          <w:sz w:val="14"/>
          <w:szCs w:val="14"/>
          <w:color w:val="auto"/>
        </w:rPr>
        <w:t>No company, transaction or business used in the comparable company and selected merger and acquisition transactions analyses as a comparison is identical to Viacom or Paramount or the</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442" w:right="1440" w:bottom="1440" w:gutter="0" w:footer="0" w:header="0"/>
        </w:sectPr>
      </w:pPr>
    </w:p>
    <w:bookmarkStart w:id="71" w:name="page72"/>
    <w:bookmarkEnd w:id="71"/>
    <w:p>
      <w:pPr>
        <w:ind w:right="3619"/>
        <w:spacing w:after="0" w:line="242" w:lineRule="auto"/>
        <w:rPr>
          <w:sz w:val="20"/>
          <w:szCs w:val="20"/>
          <w:color w:val="auto"/>
        </w:rPr>
      </w:pPr>
      <w:r>
        <w:rPr>
          <w:rFonts w:ascii="Courier New" w:cs="Courier New" w:eastAsia="Courier New" w:hAnsi="Courier New"/>
          <w:sz w:val="14"/>
          <w:szCs w:val="14"/>
          <w:color w:val="auto"/>
        </w:rPr>
        <w:t>Viacom/Paramount merger. Accordingly, an analysis of the results of the foregoing is not entirely mathematical; rather, it involves complex considerations and judgments concerning differences in financial and operating characteristics and other factors that can affect the acquisition or public trading value of the comparable companies or the business segment or company to which they are being compared.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Discounted Cash Flow Analysis</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Smith Barney discussed with the Viacom Board its updated DCF analysis of Paramount, identifying the difficulty of preparing long term forecasts with respect to Paramount's business due to the "hit driven" nature of the business. Smith Barney also reviewed with the Viacom Board certain projections contained in the DCF analysis and the assumptions underlying such projections. In its DCF analysis, Smith Barney applied discount rates ranging between 10% and 12%, and applied terminal value multiples ranging between 14 x and 16 x EBITDA. This analysis generated an equity value range of approximately $9.0 billion to $11.0 billion.</w:t>
      </w:r>
    </w:p>
    <w:p>
      <w:pPr>
        <w:spacing w:after="0" w:line="164"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Smith Barney noted that each of the foregoing analyses may be subject to change depending upon the availability of new information which may have the effect of changing the ascribed valuation per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__Pro Forma Impact</w:t>
      </w:r>
    </w:p>
    <w:p>
      <w:pPr>
        <w:spacing w:after="0" w:line="166"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Smith Barney presented to the Viacom Board information concerning the pro forma impact of the Paramount Merger, including the following:</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 CVR Liability</w:t>
      </w:r>
    </w:p>
    <w:p>
      <w:pPr>
        <w:spacing w:after="0" w:line="166" w:lineRule="exact"/>
        <w:rPr>
          <w:sz w:val="20"/>
          <w:szCs w:val="20"/>
          <w:color w:val="auto"/>
        </w:rPr>
      </w:pPr>
    </w:p>
    <w:p>
      <w:pPr>
        <w:ind w:right="3699" w:firstLine="424"/>
        <w:spacing w:after="0" w:line="242" w:lineRule="auto"/>
        <w:tabs>
          <w:tab w:leader="none" w:pos="58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summary of the impact of the Paramount Merger, assuming no payment under the CVRs (with and without giving effect to the Blockbuster Merger), on Viacom's pro forma stock price and cash flow per share, estimated for the years 1994 to 1996, and the ratios of debt to EBITDA and EBITDA to net interest and preferred dividend requirements, estimated for the years 1993 to 1996.</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CVR Liability</w:t>
      </w:r>
    </w:p>
    <w:p>
      <w:pPr>
        <w:spacing w:after="0" w:line="166" w:lineRule="exact"/>
        <w:rPr>
          <w:sz w:val="20"/>
          <w:szCs w:val="20"/>
          <w:color w:val="auto"/>
        </w:rPr>
      </w:pPr>
    </w:p>
    <w:p>
      <w:pPr>
        <w:ind w:right="3539" w:firstLine="424"/>
        <w:spacing w:after="0" w:line="242" w:lineRule="auto"/>
        <w:tabs>
          <w:tab w:leader="none" w:pos="58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summary of the impact of the Fourth Viacom Offer, assuming a $10 per share CVR payment and of the impact of the Paramount Merger to Viacom (with and without giving effect to the Blockbuster Merger) and assuming $12 and $7 per share CVR payments on Viacom's pro forma stock price and cash flow per share for the years 1994 to 1996, and the ratios of debt to EBITDA and EBITDA to net interest and preferred dividends for the years 1993 to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__Quantitative Analysis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Combined Company</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Smith Barney presented to the Viacom Board an analysis of the Paramount Merger (assuming consummation of the Blockbuster Merger (assuming the exercise of VCRs resulting in a weighted average Class B exchange ratio of 0.66544), the expiration of the CVRs without liability and the exercise of the Viacom Warrants), that included:</w:t>
      </w:r>
    </w:p>
    <w:p>
      <w:pPr>
        <w:spacing w:after="0" w:line="166" w:lineRule="exact"/>
        <w:rPr>
          <w:sz w:val="20"/>
          <w:szCs w:val="20"/>
          <w:color w:val="auto"/>
        </w:rPr>
      </w:pPr>
    </w:p>
    <w:p>
      <w:pPr>
        <w:ind w:right="3539" w:firstLine="424"/>
        <w:spacing w:after="0" w:line="242" w:lineRule="auto"/>
        <w:tabs>
          <w:tab w:leader="none" w:pos="58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convertible preferred stock and convertible debt as part of the consideration in the Paramount Merger.</w:t>
      </w:r>
    </w:p>
    <w:p>
      <w:pPr>
        <w:spacing w:after="0" w:line="167" w:lineRule="exact"/>
        <w:rPr>
          <w:sz w:val="20"/>
          <w:szCs w:val="20"/>
          <w:color w:val="auto"/>
        </w:rPr>
      </w:pPr>
    </w:p>
    <w:p>
      <w:pPr>
        <w:ind w:right="3619" w:firstLine="424"/>
        <w:spacing w:after="0" w:line="262" w:lineRule="auto"/>
        <w:tabs>
          <w:tab w:leader="none" w:pos="586" w:val="left"/>
        </w:tabs>
        <w:numPr>
          <w:ilvl w:val="0"/>
          <w:numId w:val="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analysis of the pro forma impact of the Paramount Merger to Viacom (with and without giving effect to the impact on Viacom of the sale of convertible preferred stock to NYNEX and Blockbuster if the Offer and Paramount Merger were not consummated), Paramount and Blockbuster on stand-alone bases, including with respect to estimated 1994 revenue, cash flow and net income,</w:t>
      </w:r>
    </w:p>
    <w:p>
      <w:pPr>
        <w:ind w:left="3260"/>
        <w:spacing w:after="0" w:line="237" w:lineRule="auto"/>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03" w:right="1440" w:bottom="1440" w:gutter="0" w:footer="0" w:header="0"/>
        </w:sectPr>
      </w:pPr>
    </w:p>
    <w:bookmarkStart w:id="72" w:name="page73"/>
    <w:bookmarkEnd w:id="72"/>
    <w:p>
      <w:pPr>
        <w:ind w:right="3539"/>
        <w:spacing w:after="0" w:line="243" w:lineRule="auto"/>
        <w:rPr>
          <w:sz w:val="20"/>
          <w:szCs w:val="20"/>
          <w:color w:val="auto"/>
        </w:rPr>
      </w:pPr>
      <w:r>
        <w:rPr>
          <w:rFonts w:ascii="Courier New" w:cs="Courier New" w:eastAsia="Courier New" w:hAnsi="Courier New"/>
          <w:sz w:val="14"/>
          <w:szCs w:val="14"/>
          <w:color w:val="auto"/>
        </w:rPr>
        <w:t>estimated 1993 and 1994 leverage and estimated earnings per share, cash flow per share and EBITDA for 1993, 1994 and 1995. Smith Barney noted that the 1993 pro forma EBITDA for the Paramount Merger and the Blockbuster Merger was $1,471 million (assuming no impact of potential synergies, which are considered to be substantial), the 1993 pro forma combined total debt was $9,763 million (includes Viacom Merger Debentures issued to Paramount stockholders as part of the Paramount Merger Consideration but does not include Viacom Preferred Stock issued to NYNEX), and the 1993 pro forma combined total cash was $784 million (includes estimated deductions for transactions fees).</w:t>
      </w:r>
    </w:p>
    <w:p>
      <w:pPr>
        <w:spacing w:after="0" w:line="164" w:lineRule="exact"/>
        <w:rPr>
          <w:sz w:val="20"/>
          <w:szCs w:val="20"/>
          <w:color w:val="auto"/>
        </w:rPr>
      </w:pPr>
    </w:p>
    <w:p>
      <w:pPr>
        <w:ind w:right="3539" w:firstLine="424"/>
        <w:spacing w:after="0" w:line="242" w:lineRule="auto"/>
        <w:tabs>
          <w:tab w:leader="none" w:pos="58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combined company's compliance with certain bank covenants and an analysis of relative ratios of debt to EBITDA, debt and preferred stock to EBITDA, EBITDA to net interest and EBITDA to net interest and preferred dividends.</w:t>
      </w:r>
    </w:p>
    <w:p>
      <w:pPr>
        <w:spacing w:after="0" w:line="165" w:lineRule="exact"/>
        <w:rPr>
          <w:sz w:val="20"/>
          <w:szCs w:val="20"/>
          <w:color w:val="auto"/>
        </w:rPr>
      </w:pPr>
    </w:p>
    <w:p>
      <w:pPr>
        <w:ind w:right="3959" w:firstLine="424"/>
        <w:spacing w:after="0" w:line="269" w:lineRule="auto"/>
        <w:tabs>
          <w:tab w:leader="none" w:pos="586"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analysis of the share ownership of Viacom by Viacom's management, Paramount stockholders, and Blockbuster stockholders and NYNEX, both on stand-alone bases and pro forma giving effect to the Paramount Merger.</w:t>
      </w:r>
    </w:p>
    <w:p>
      <w:pPr>
        <w:spacing w:after="0" w:line="148" w:lineRule="exact"/>
        <w:rPr>
          <w:sz w:val="20"/>
          <w:szCs w:val="20"/>
          <w:color w:val="auto"/>
        </w:rPr>
      </w:pPr>
    </w:p>
    <w:p>
      <w:pPr>
        <w:ind w:right="3619" w:firstLine="424"/>
        <w:spacing w:after="0" w:line="241" w:lineRule="auto"/>
        <w:tabs>
          <w:tab w:leader="none" w:pos="58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estimated 1993 through 2003 Viacom implied pro forma stock prices, assuming consummation of the Blockbuster Merger and the Offer and the Paramount Merger.</w:t>
      </w:r>
    </w:p>
    <w:p>
      <w:pPr>
        <w:spacing w:after="0" w:line="166" w:lineRule="exact"/>
        <w:rPr>
          <w:sz w:val="20"/>
          <w:szCs w:val="20"/>
          <w:color w:val="auto"/>
        </w:rPr>
      </w:pPr>
    </w:p>
    <w:p>
      <w:pPr>
        <w:ind w:right="3619" w:firstLine="424"/>
        <w:spacing w:after="0" w:line="241" w:lineRule="auto"/>
        <w:tabs>
          <w:tab w:leader="none" w:pos="58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refinancings of existing debt and new borrowings by Viacom, Paramount and Blockbuster, on stand-alone bases and pro forma giving effect to the Offer and the Paramount Merger, both actual and estimated.</w:t>
      </w:r>
    </w:p>
    <w:p>
      <w:pPr>
        <w:spacing w:after="0" w:line="166" w:lineRule="exact"/>
        <w:rPr>
          <w:sz w:val="20"/>
          <w:szCs w:val="20"/>
          <w:color w:val="auto"/>
        </w:rPr>
      </w:pPr>
    </w:p>
    <w:p>
      <w:pPr>
        <w:ind w:right="3539" w:firstLine="424"/>
        <w:spacing w:after="0" w:line="242" w:lineRule="auto"/>
        <w:tabs>
          <w:tab w:leader="none" w:pos="58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estimated 1993 and 1994 pro forma combined income statement comparison of Viacom both on stand-alone bases with and without giving effect to the conversion of Viacom Preferred Stock, and pro forma giving effect to the Blockbuster Merger and the Offer and the Paramount Merger, as well as a pro forma combined income statement of the combined company for the years 1994 to 2003.</w:t>
      </w:r>
    </w:p>
    <w:p>
      <w:pPr>
        <w:spacing w:after="0" w:line="167" w:lineRule="exact"/>
        <w:rPr>
          <w:sz w:val="20"/>
          <w:szCs w:val="20"/>
          <w:color w:val="auto"/>
        </w:rPr>
      </w:pPr>
    </w:p>
    <w:p>
      <w:pPr>
        <w:ind w:right="3539" w:firstLine="424"/>
        <w:spacing w:after="0" w:line="242" w:lineRule="auto"/>
        <w:tabs>
          <w:tab w:leader="none" w:pos="58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Viacom Preferred Stock, and with pro forma earnings per share giving effect to the Blockbuster Merger and the Paramount Merger, as well as an earnings per share dilution analysis for the combined company for the years 1994 to 2003.</w:t>
      </w:r>
    </w:p>
    <w:p>
      <w:pPr>
        <w:spacing w:after="0" w:line="166" w:lineRule="exact"/>
        <w:rPr>
          <w:sz w:val="20"/>
          <w:szCs w:val="20"/>
          <w:color w:val="auto"/>
        </w:rPr>
      </w:pPr>
    </w:p>
    <w:p>
      <w:pPr>
        <w:ind w:right="3539" w:firstLine="424"/>
        <w:spacing w:after="0" w:line="265" w:lineRule="auto"/>
        <w:tabs>
          <w:tab w:leader="none" w:pos="586"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comparison of estimated 1993 and 1994 cash flow of Viacom both on stand-alone bases with and without giving effect to the conversion of Viacom Preferred Stock, and with pro forma cash flow giving effect to the Blockbuster Merger and the Offer and the Paramount Merger, as well as a cash flow dilution/accretion analysis for the combined company for the years 1994 to 2003.</w:t>
      </w:r>
    </w:p>
    <w:p>
      <w:pPr>
        <w:spacing w:after="0" w:line="152" w:lineRule="exact"/>
        <w:rPr>
          <w:sz w:val="20"/>
          <w:szCs w:val="20"/>
          <w:color w:val="auto"/>
        </w:rPr>
      </w:pPr>
    </w:p>
    <w:p>
      <w:pPr>
        <w:jc w:val="both"/>
        <w:ind w:right="3699" w:firstLine="424"/>
        <w:spacing w:after="0" w:line="241" w:lineRule="auto"/>
        <w:tabs>
          <w:tab w:leader="none" w:pos="58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EBITDA analysis (including projected synergies), income tax calculation and pro forma combined cash flow statement and a debt amortization schedule, all estimated for the years 1993 to 2003.</w:t>
      </w:r>
    </w:p>
    <w:p>
      <w:pPr>
        <w:spacing w:after="0" w:line="166" w:lineRule="exact"/>
        <w:rPr>
          <w:sz w:val="20"/>
          <w:szCs w:val="20"/>
          <w:color w:val="auto"/>
        </w:rPr>
      </w:pPr>
    </w:p>
    <w:p>
      <w:pPr>
        <w:ind w:right="3879" w:firstLine="424"/>
        <w:spacing w:after="0" w:line="241" w:lineRule="auto"/>
        <w:tabs>
          <w:tab w:leader="none" w:pos="58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interest expense table of the estimated combined company, estimated for the years 1994 to 2003, and a pro forma balance sheet for the combined company.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Viacom/Paramount</w:t>
      </w:r>
    </w:p>
    <w:p>
      <w:pPr>
        <w:spacing w:after="0" w:line="16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Smith Barney presented to the Viacom Board an analysis of the Paramount Merger (assuming the expiration of the CVRs without liability and the exercise of the Viacom Warrants), that included:</w:t>
      </w:r>
    </w:p>
    <w:p>
      <w:pPr>
        <w:spacing w:after="0" w:line="166" w:lineRule="exact"/>
        <w:rPr>
          <w:sz w:val="20"/>
          <w:szCs w:val="20"/>
          <w:color w:val="auto"/>
        </w:rPr>
      </w:pPr>
    </w:p>
    <w:p>
      <w:pPr>
        <w:ind w:right="3539" w:firstLine="424"/>
        <w:spacing w:after="0" w:line="242" w:lineRule="auto"/>
        <w:tabs>
          <w:tab w:leader="none" w:pos="58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convertible preferred stock and convertible debt as part of the consideration in the Paramount Merger.</w:t>
      </w:r>
    </w:p>
    <w:p>
      <w:pPr>
        <w:spacing w:after="0" w:line="167" w:lineRule="exact"/>
        <w:rPr>
          <w:sz w:val="20"/>
          <w:szCs w:val="20"/>
          <w:color w:val="auto"/>
        </w:rPr>
      </w:pPr>
    </w:p>
    <w:p>
      <w:pPr>
        <w:ind w:right="3619" w:firstLine="424"/>
        <w:spacing w:after="0" w:line="242" w:lineRule="auto"/>
        <w:tabs>
          <w:tab w:leader="none" w:pos="58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pro forma impact of the Paramount Merger to Viacom (with and without giving effect to the impact on Viacom of the sale of Viacom Preferred Stock to NYNEX and Blockbuster if the Offer and Paramount Merger were not consummated), Paramount and Blockbuster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03" w:right="1440" w:bottom="1440" w:gutter="0" w:footer="0" w:header="0"/>
        </w:sectPr>
      </w:pPr>
    </w:p>
    <w:bookmarkStart w:id="73" w:name="page74"/>
    <w:bookmarkEnd w:id="73"/>
    <w:p>
      <w:pPr>
        <w:ind w:right="3539"/>
        <w:spacing w:after="0" w:line="243" w:lineRule="auto"/>
        <w:rPr>
          <w:sz w:val="20"/>
          <w:szCs w:val="20"/>
          <w:color w:val="auto"/>
        </w:rPr>
      </w:pPr>
      <w:r>
        <w:rPr>
          <w:rFonts w:ascii="Courier New" w:cs="Courier New" w:eastAsia="Courier New" w:hAnsi="Courier New"/>
          <w:sz w:val="14"/>
          <w:szCs w:val="14"/>
          <w:color w:val="auto"/>
        </w:rPr>
        <w:t>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 Merger was $1,015 million (assuming no impact of potential synergies, which are considered to be substantial), the 1993 pro forma combined total debt was $6,949 million (does not include Series C Preferred Stock potentially issued to Paramount stockholders as part of the Paramount Merger Consideration and Viacom Preferred Stock issued to NYNEX and Blockbuster), and the 1993 pro forma combined total cash was $494 million (includes estimated deductions for merger transactions fees).</w:t>
      </w:r>
    </w:p>
    <w:p>
      <w:pPr>
        <w:spacing w:after="0" w:line="164" w:lineRule="exact"/>
        <w:rPr>
          <w:sz w:val="20"/>
          <w:szCs w:val="20"/>
          <w:color w:val="auto"/>
        </w:rPr>
      </w:pPr>
    </w:p>
    <w:p>
      <w:pPr>
        <w:ind w:right="3539" w:firstLine="424"/>
        <w:spacing w:after="0" w:line="242" w:lineRule="auto"/>
        <w:tabs>
          <w:tab w:leader="none" w:pos="58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Viacom/Paramount entity's compliance with certain bank covenants and an analysis of relative ratios of debt to EBITDA, debt and preferred stock to EBITDA, EBITDA to net interest and EBITDA to net interest and preferred dividends.</w:t>
      </w:r>
    </w:p>
    <w:p>
      <w:pPr>
        <w:spacing w:after="0" w:line="165" w:lineRule="exact"/>
        <w:rPr>
          <w:sz w:val="20"/>
          <w:szCs w:val="20"/>
          <w:color w:val="auto"/>
        </w:rPr>
      </w:pPr>
    </w:p>
    <w:p>
      <w:pPr>
        <w:ind w:right="3959" w:firstLine="424"/>
        <w:spacing w:after="0" w:line="269" w:lineRule="auto"/>
        <w:tabs>
          <w:tab w:leader="none" w:pos="586"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analysis of the share ownership of Viacom by Viacom's management, Paramount stockholders, and Blockbuster stockholders and NYNEX, both on stand-alone bases and pro forma giving effect to the Paramount Merger.</w:t>
      </w:r>
    </w:p>
    <w:p>
      <w:pPr>
        <w:spacing w:after="0" w:line="148" w:lineRule="exact"/>
        <w:rPr>
          <w:sz w:val="20"/>
          <w:szCs w:val="20"/>
          <w:color w:val="auto"/>
        </w:rPr>
      </w:pPr>
    </w:p>
    <w:p>
      <w:pPr>
        <w:ind w:right="3699" w:firstLine="424"/>
        <w:spacing w:after="0" w:line="276" w:lineRule="auto"/>
        <w:tabs>
          <w:tab w:leader="none" w:pos="586"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analysis of the estimated 1993 through 2003 Viacom implied pro forma stock prices, assuming the use of Viacom Warrants in the Paramount Merger.</w:t>
      </w:r>
    </w:p>
    <w:p>
      <w:pPr>
        <w:spacing w:after="0" w:line="144" w:lineRule="exact"/>
        <w:rPr>
          <w:sz w:val="20"/>
          <w:szCs w:val="20"/>
          <w:color w:val="auto"/>
        </w:rPr>
      </w:pPr>
    </w:p>
    <w:p>
      <w:pPr>
        <w:ind w:right="3539" w:firstLine="424"/>
        <w:spacing w:after="0" w:line="241" w:lineRule="auto"/>
        <w:tabs>
          <w:tab w:leader="none" w:pos="58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refinancings of existing debt and new borrowings by Viacom and Paramount, on stand-alone bases and pro forma giving effect to the Paramount Merger both actual and estimated.</w:t>
      </w:r>
    </w:p>
    <w:p>
      <w:pPr>
        <w:spacing w:after="0" w:line="166" w:lineRule="exact"/>
        <w:rPr>
          <w:sz w:val="20"/>
          <w:szCs w:val="20"/>
          <w:color w:val="auto"/>
        </w:rPr>
      </w:pPr>
    </w:p>
    <w:p>
      <w:pPr>
        <w:ind w:right="3539" w:firstLine="424"/>
        <w:spacing w:after="0" w:line="242" w:lineRule="auto"/>
        <w:tabs>
          <w:tab w:leader="none" w:pos="58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estimated 1993 and 1994 pro forma combined income statement comparison of Viacom both on stand-alone bases with and without giving effect to the conversion of the Viacom Preferred Stock, and pro forma giving effect to the Paramount Merger, as well as a pro forma combined income statement of the Viacom/Paramount entity for the years 1994 to 2003.</w:t>
      </w:r>
    </w:p>
    <w:p>
      <w:pPr>
        <w:spacing w:after="0" w:line="166" w:lineRule="exact"/>
        <w:rPr>
          <w:sz w:val="20"/>
          <w:szCs w:val="20"/>
          <w:color w:val="auto"/>
        </w:rPr>
      </w:pPr>
    </w:p>
    <w:p>
      <w:pPr>
        <w:ind w:right="3539" w:firstLine="424"/>
        <w:spacing w:after="0" w:line="242" w:lineRule="auto"/>
        <w:tabs>
          <w:tab w:leader="none" w:pos="58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the Viacom Preferred Stock, and with pro forma earnings per share giving effect to the Paramount Merger, as well as an earnings per share dilution analysis for the Viacom/Paramount entity for the years 1994 to 2003.</w:t>
      </w:r>
    </w:p>
    <w:p>
      <w:pPr>
        <w:spacing w:after="0" w:line="166" w:lineRule="exact"/>
        <w:rPr>
          <w:sz w:val="20"/>
          <w:szCs w:val="20"/>
          <w:color w:val="auto"/>
        </w:rPr>
      </w:pPr>
    </w:p>
    <w:p>
      <w:pPr>
        <w:ind w:right="3539" w:firstLine="424"/>
        <w:spacing w:after="0" w:line="242" w:lineRule="auto"/>
        <w:tabs>
          <w:tab w:leader="none" w:pos="58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cash flow of Viacom both on stand-alone bases with and without giving effect to the conversion of the Viacom Preferred Stock, and with pro forma cash flow giving effect to the Paramount Merger, as well as a cash flow dilution/accretion analysis for the Viacom/Paramount entity for the years 1994 to 2003.</w:t>
      </w:r>
    </w:p>
    <w:p>
      <w:pPr>
        <w:spacing w:after="0" w:line="166" w:lineRule="exact"/>
        <w:rPr>
          <w:sz w:val="20"/>
          <w:szCs w:val="20"/>
          <w:color w:val="auto"/>
        </w:rPr>
      </w:pPr>
    </w:p>
    <w:p>
      <w:pPr>
        <w:jc w:val="both"/>
        <w:ind w:right="3699" w:firstLine="424"/>
        <w:spacing w:after="0" w:line="241" w:lineRule="auto"/>
        <w:tabs>
          <w:tab w:leader="none" w:pos="58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EBITDA analysis (including projected synergies), income tax calculation and pro forma combined cash flow statement and a debt amortization schedule, all estimated for the years 1993 to 2003.</w:t>
      </w:r>
    </w:p>
    <w:p>
      <w:pPr>
        <w:spacing w:after="0" w:line="166" w:lineRule="exact"/>
        <w:rPr>
          <w:sz w:val="20"/>
          <w:szCs w:val="20"/>
          <w:color w:val="auto"/>
        </w:rPr>
      </w:pPr>
    </w:p>
    <w:p>
      <w:pPr>
        <w:ind w:right="3619" w:firstLine="424"/>
        <w:spacing w:after="0" w:line="241" w:lineRule="auto"/>
        <w:tabs>
          <w:tab w:leader="none" w:pos="58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interest expense table of the estimated Viacom/Paramount entity, estimated for the years 1994 to 2003, and a pro forma balance sheet for the Viacom/Paramount entity.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Combined Company</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Smith Barney presented to the Viacom Board an analysis of the Paramount Merger assuming consummation of the Blockbuster Merger (assuming the exercise of VCRs resulting in a weighted average Class B exchange ratio of 0.66544), liability per CVR of $12 per share and the exercise of the Viacom Warrants (although the occurrence of the exercise of the Viacom Warrants as well as liability under the CVRs and the exercise of VCRs resulting in an increased overall Class B exchange ratio would take place only under limited circumstances, these assumptions were utilized to provide a conservative analysis to the Viacom Board). The Smith Barney presentation included:</w:t>
      </w:r>
    </w:p>
    <w:p>
      <w:pPr>
        <w:spacing w:after="0" w:line="164" w:lineRule="exact"/>
        <w:rPr>
          <w:sz w:val="20"/>
          <w:szCs w:val="20"/>
          <w:color w:val="auto"/>
        </w:rPr>
      </w:pPr>
    </w:p>
    <w:p>
      <w:pPr>
        <w:ind w:right="3699" w:firstLine="424"/>
        <w:spacing w:after="0" w:line="241" w:lineRule="auto"/>
        <w:tabs>
          <w:tab w:leader="none" w:pos="58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in the per share</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03" w:right="1440" w:bottom="1440" w:gutter="0" w:footer="0" w:header="0"/>
        </w:sectPr>
      </w:pPr>
    </w:p>
    <w:bookmarkStart w:id="74" w:name="page75"/>
    <w:bookmarkEnd w:id="74"/>
    <w:p>
      <w:pPr>
        <w:ind w:right="3539"/>
        <w:spacing w:after="0" w:line="242" w:lineRule="auto"/>
        <w:rPr>
          <w:sz w:val="20"/>
          <w:szCs w:val="20"/>
          <w:color w:val="auto"/>
        </w:rPr>
      </w:pPr>
      <w:r>
        <w:rPr>
          <w:rFonts w:ascii="Courier New" w:cs="Courier New" w:eastAsia="Courier New" w:hAnsi="Courier New"/>
          <w:sz w:val="14"/>
          <w:szCs w:val="14"/>
          <w:color w:val="auto"/>
        </w:rPr>
        <w:t>consideration to be paid to Paramount stockholders and the Paramount Merger. Smith Barney also discussed the impact of the use of convertible preferred stock, convertible debt and contingent value rights as part of the consideration in the Paramount Merger.</w:t>
      </w:r>
    </w:p>
    <w:p>
      <w:pPr>
        <w:spacing w:after="0" w:line="165" w:lineRule="exact"/>
        <w:rPr>
          <w:sz w:val="20"/>
          <w:szCs w:val="20"/>
          <w:color w:val="auto"/>
        </w:rPr>
      </w:pPr>
    </w:p>
    <w:p>
      <w:pPr>
        <w:ind w:right="3539" w:firstLine="424"/>
        <w:spacing w:after="0" w:line="243" w:lineRule="auto"/>
        <w:tabs>
          <w:tab w:leader="none" w:pos="58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pro forma impact of the Paramount Merger to Viacom (with and without giving effect to the impact on Viacom of the sale of Viacom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 Merger and the Blockbuster Merger was $1,471 million (assuming no impact of potential synergies, which are considered to be substantial), the 1993 pro forma combined total debt was $10,448 million (includes Viacom Merger Debentures issued to Paramount stockholders as part of the Paramount Merger Consideration but does not include Viacom Preferred Stock issued to NYNEX), and the 1993 pro forma combined total cash was $784 million (includes estimated deductions for merger transactions fees).</w:t>
      </w:r>
    </w:p>
    <w:p>
      <w:pPr>
        <w:spacing w:after="0" w:line="165" w:lineRule="exact"/>
        <w:rPr>
          <w:sz w:val="20"/>
          <w:szCs w:val="20"/>
          <w:color w:val="auto"/>
        </w:rPr>
      </w:pPr>
    </w:p>
    <w:p>
      <w:pPr>
        <w:ind w:right="3539" w:firstLine="424"/>
        <w:spacing w:after="0" w:line="242" w:lineRule="auto"/>
        <w:tabs>
          <w:tab w:leader="none" w:pos="58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combined company's compliance with certain bank covenants and an analysis of relative ratios debt to EBITDA, debt and preferred stock to EBITDA, EBITDA to net interest and EBITDA to net interest and preferred dividends.</w:t>
      </w:r>
    </w:p>
    <w:p>
      <w:pPr>
        <w:spacing w:after="0" w:line="165" w:lineRule="exact"/>
        <w:rPr>
          <w:sz w:val="20"/>
          <w:szCs w:val="20"/>
          <w:color w:val="auto"/>
        </w:rPr>
      </w:pPr>
    </w:p>
    <w:p>
      <w:pPr>
        <w:ind w:right="3959" w:firstLine="424"/>
        <w:spacing w:after="0" w:line="269" w:lineRule="auto"/>
        <w:tabs>
          <w:tab w:leader="none" w:pos="586"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analysis of the share ownership of Viacom by Viacom's management, Paramount stockholders, and Blockbuster stockholders and NYNEX, both on stand-alone bases and pro forma giving effect to the Paramount Merger.</w:t>
      </w:r>
    </w:p>
    <w:p>
      <w:pPr>
        <w:spacing w:after="0" w:line="148" w:lineRule="exact"/>
        <w:rPr>
          <w:sz w:val="20"/>
          <w:szCs w:val="20"/>
          <w:color w:val="auto"/>
        </w:rPr>
      </w:pPr>
    </w:p>
    <w:p>
      <w:pPr>
        <w:ind w:right="3619" w:firstLine="424"/>
        <w:spacing w:after="0" w:line="241" w:lineRule="auto"/>
        <w:tabs>
          <w:tab w:leader="none" w:pos="58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estimated 1993 through 2003 Viacom implied pro forma stock prices, assuming consummation of the Blockbuster Merger and the Paramount Merger.</w:t>
      </w:r>
    </w:p>
    <w:p>
      <w:pPr>
        <w:spacing w:after="0" w:line="166" w:lineRule="exact"/>
        <w:rPr>
          <w:sz w:val="20"/>
          <w:szCs w:val="20"/>
          <w:color w:val="auto"/>
        </w:rPr>
      </w:pPr>
    </w:p>
    <w:p>
      <w:pPr>
        <w:ind w:right="3619" w:firstLine="424"/>
        <w:spacing w:after="0" w:line="241" w:lineRule="auto"/>
        <w:tabs>
          <w:tab w:leader="none" w:pos="586"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refinancings of existing debt and new borrowings by Viacom, Paramount and Blockbuster, on stand-alone bases and pro forma giving effect to the Paramount Merger, both actual and estimated.</w:t>
      </w:r>
    </w:p>
    <w:p>
      <w:pPr>
        <w:spacing w:after="0" w:line="166" w:lineRule="exact"/>
        <w:rPr>
          <w:sz w:val="20"/>
          <w:szCs w:val="20"/>
          <w:color w:val="auto"/>
        </w:rPr>
      </w:pPr>
    </w:p>
    <w:p>
      <w:pPr>
        <w:ind w:right="3539" w:firstLine="424"/>
        <w:spacing w:after="0" w:line="242" w:lineRule="auto"/>
        <w:tabs>
          <w:tab w:leader="none" w:pos="586"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estimated 1993 and 1994 pro forma combined income statement comparison of Viacom both on stand-alone bases with and without giving effect to the conversion of Viacom Preferred Stock, and pro forma giving effect to the Blockbuster Merger and the Paramount Merger, as well as a pro forma combined income statement of the combined company for the years 1994 to 2003.</w:t>
      </w:r>
    </w:p>
    <w:p>
      <w:pPr>
        <w:spacing w:after="0" w:line="166" w:lineRule="exact"/>
        <w:rPr>
          <w:sz w:val="20"/>
          <w:szCs w:val="20"/>
          <w:color w:val="auto"/>
        </w:rPr>
      </w:pPr>
    </w:p>
    <w:p>
      <w:pPr>
        <w:ind w:right="3539" w:firstLine="424"/>
        <w:spacing w:after="0" w:line="242" w:lineRule="auto"/>
        <w:tabs>
          <w:tab w:leader="none" w:pos="58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the Viacom Preferred Stock, and with pro forma earnings per share giving effect to the Blockbuster Merger and the Paramount Merger, as well as an earnings per share dilution analysis for the combined company for the years 1994 to 2003.</w:t>
      </w:r>
    </w:p>
    <w:p>
      <w:pPr>
        <w:spacing w:after="0" w:line="166" w:lineRule="exact"/>
        <w:rPr>
          <w:sz w:val="20"/>
          <w:szCs w:val="20"/>
          <w:color w:val="auto"/>
        </w:rPr>
      </w:pPr>
    </w:p>
    <w:p>
      <w:pPr>
        <w:ind w:right="3699" w:firstLine="424"/>
        <w:spacing w:after="0" w:line="265" w:lineRule="auto"/>
        <w:tabs>
          <w:tab w:leader="none" w:pos="586"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comparison of estimated 1993 and 1994 cash flow of Viacom both on stand-alone bases with and without giving effect to the conversion of Viacom Preferred Stock, and with pro forma cash flow giving effect to the Blockbuster Merger and the Paramount Merger, as well as a cash flow dilution/accretion analysis for the combined company for the years 1994 to 2003.</w:t>
      </w:r>
    </w:p>
    <w:p>
      <w:pPr>
        <w:spacing w:after="0" w:line="152" w:lineRule="exact"/>
        <w:rPr>
          <w:sz w:val="20"/>
          <w:szCs w:val="20"/>
          <w:color w:val="auto"/>
        </w:rPr>
      </w:pPr>
    </w:p>
    <w:p>
      <w:pPr>
        <w:jc w:val="both"/>
        <w:ind w:right="3699" w:firstLine="424"/>
        <w:spacing w:after="0" w:line="241" w:lineRule="auto"/>
        <w:tabs>
          <w:tab w:leader="none" w:pos="58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EBITDA analysis (including projected synergies), income tax calculation and pro forma combined cash flow statement and a debt amortization schedule, all estimated for the years 1993 to 2003.</w:t>
      </w:r>
    </w:p>
    <w:p>
      <w:pPr>
        <w:spacing w:after="0" w:line="166" w:lineRule="exact"/>
        <w:rPr>
          <w:sz w:val="20"/>
          <w:szCs w:val="20"/>
          <w:color w:val="auto"/>
        </w:rPr>
      </w:pPr>
    </w:p>
    <w:p>
      <w:pPr>
        <w:ind w:right="3879" w:firstLine="424"/>
        <w:spacing w:after="0" w:line="241" w:lineRule="auto"/>
        <w:tabs>
          <w:tab w:leader="none" w:pos="58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interest expense table of the estimated combined company, estimated for the years 1994 to 2003, and a pro forma balance sheet for the combined company.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Viacom/Paramount</w:t>
      </w:r>
    </w:p>
    <w:p>
      <w:pPr>
        <w:spacing w:after="0" w:line="166" w:lineRule="exact"/>
        <w:rPr>
          <w:sz w:val="20"/>
          <w:szCs w:val="20"/>
          <w:color w:val="auto"/>
        </w:rPr>
      </w:pPr>
    </w:p>
    <w:p>
      <w:pPr>
        <w:ind w:right="3879" w:firstLine="418"/>
        <w:spacing w:after="0" w:line="241" w:lineRule="auto"/>
        <w:rPr>
          <w:sz w:val="20"/>
          <w:szCs w:val="20"/>
          <w:color w:val="auto"/>
        </w:rPr>
      </w:pPr>
      <w:r>
        <w:rPr>
          <w:rFonts w:ascii="Courier New" w:cs="Courier New" w:eastAsia="Courier New" w:hAnsi="Courier New"/>
          <w:sz w:val="14"/>
          <w:szCs w:val="14"/>
          <w:color w:val="auto"/>
        </w:rPr>
        <w:t>Smith Barney presented to the Viacom Board an analysis of the Paramount Merger, assuming liability per CVR of $12 per share and the exercise of the Viacom Warrants (although the occurrence of</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03" w:right="1440" w:bottom="1440" w:gutter="0" w:footer="0" w:header="0"/>
        </w:sectPr>
      </w:pPr>
    </w:p>
    <w:bookmarkStart w:id="75" w:name="page76"/>
    <w:bookmarkEnd w:id="75"/>
    <w:p>
      <w:pPr>
        <w:ind w:right="3699"/>
        <w:spacing w:after="0" w:line="242" w:lineRule="auto"/>
        <w:rPr>
          <w:sz w:val="20"/>
          <w:szCs w:val="20"/>
          <w:color w:val="auto"/>
        </w:rPr>
      </w:pPr>
      <w:r>
        <w:rPr>
          <w:rFonts w:ascii="Courier New" w:cs="Courier New" w:eastAsia="Courier New" w:hAnsi="Courier New"/>
          <w:sz w:val="14"/>
          <w:szCs w:val="14"/>
          <w:color w:val="auto"/>
        </w:rPr>
        <w:t>both the exercise of the Viacom Warrants and payment under the CVRs would take place only under limited circumstances, these assumptions were utilized to provide a conservative analysis to the Viacom Board). The Smith Barney presentation included:</w:t>
      </w:r>
    </w:p>
    <w:p>
      <w:pPr>
        <w:spacing w:after="0" w:line="165" w:lineRule="exact"/>
        <w:rPr>
          <w:sz w:val="20"/>
          <w:szCs w:val="20"/>
          <w:color w:val="auto"/>
        </w:rPr>
      </w:pPr>
    </w:p>
    <w:p>
      <w:pPr>
        <w:ind w:right="3539" w:firstLine="424"/>
        <w:spacing w:after="0" w:line="242" w:lineRule="auto"/>
        <w:tabs>
          <w:tab w:leader="none" w:pos="58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 amount of securities to be issued in the Paramount Merger, the source and use of funds and the per share consideration to be paid to Paramount Stockholders in the Paramount Merger. Smith Barney also discussed the impact of the use of contingent value rights, convertible debt and convertible preferred stock as part of the consideration in the Paramount Merger.</w:t>
      </w:r>
    </w:p>
    <w:p>
      <w:pPr>
        <w:spacing w:after="0" w:line="167" w:lineRule="exact"/>
        <w:rPr>
          <w:sz w:val="20"/>
          <w:szCs w:val="20"/>
          <w:color w:val="auto"/>
        </w:rPr>
      </w:pPr>
    </w:p>
    <w:p>
      <w:pPr>
        <w:ind w:right="3539" w:firstLine="424"/>
        <w:spacing w:after="0" w:line="243" w:lineRule="auto"/>
        <w:tabs>
          <w:tab w:leader="none" w:pos="58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pro forma impact of the Paramount Merger to Viacom (with and without giving effect to the impact on Viacom of the sale of convertible preferred stock to NYNEX and Blockbuster if the Offer and Paramount Merger were not consummated), Paramount and Blockbuster on stand-alone bases, including with respect to 1994 revenue, cash flow and net income, estimated 1993 and 1994 leverage and estimated earnings per share, cash flow per share and EBITDA for 1993, 1994 and 1995. Smith Barney noted that the 1993 pro forma EBITDA for the Paramount Merger was $1,015 million (assuming no impact of potential synergies, which are considered to be substantial), the 1993 pro forma combined total debt was $7,634 million (does not include Series C Preferred Stock potentially issued to Paramount stockholders as part of the Paramount Merger Consideration or Viacom Preferred Stock issued to NYNEX and Blockbuster), and the 1993 pro forma combined total cash was $494 million (includes estimated deductions for merger transactions fees).</w:t>
      </w:r>
    </w:p>
    <w:p>
      <w:pPr>
        <w:spacing w:after="0" w:line="165" w:lineRule="exact"/>
        <w:rPr>
          <w:sz w:val="20"/>
          <w:szCs w:val="20"/>
          <w:color w:val="auto"/>
        </w:rPr>
      </w:pPr>
    </w:p>
    <w:p>
      <w:pPr>
        <w:ind w:right="3539" w:firstLine="424"/>
        <w:spacing w:after="0" w:line="242" w:lineRule="auto"/>
        <w:tabs>
          <w:tab w:leader="none" w:pos="58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Viacom/Paramount entity's compliance with certain bank covenants an analysis of relative ratios of debt to EBITDA, debt and preferred stock to EBITDA, EBITDA to net interest and EBITDA to net interest and preferred dividends.</w:t>
      </w:r>
    </w:p>
    <w:p>
      <w:pPr>
        <w:spacing w:after="0" w:line="165" w:lineRule="exact"/>
        <w:rPr>
          <w:sz w:val="20"/>
          <w:szCs w:val="20"/>
          <w:color w:val="auto"/>
        </w:rPr>
      </w:pPr>
    </w:p>
    <w:p>
      <w:pPr>
        <w:ind w:right="3959" w:firstLine="424"/>
        <w:spacing w:after="0" w:line="269" w:lineRule="auto"/>
        <w:tabs>
          <w:tab w:leader="none" w:pos="586"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analysis of the share ownership of Viacom by Viacom's management, Paramount stockholders, and Blockbuster stockholders and NYNEX, both on stand-alone bases and pro forma giving effect to the Paramount Merger.</w:t>
      </w:r>
    </w:p>
    <w:p>
      <w:pPr>
        <w:spacing w:after="0" w:line="148" w:lineRule="exact"/>
        <w:rPr>
          <w:sz w:val="20"/>
          <w:szCs w:val="20"/>
          <w:color w:val="auto"/>
        </w:rPr>
      </w:pPr>
    </w:p>
    <w:p>
      <w:pPr>
        <w:ind w:right="3699" w:firstLine="424"/>
        <w:spacing w:after="0" w:line="239" w:lineRule="auto"/>
        <w:tabs>
          <w:tab w:leader="none" w:pos="58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estimated 1993 through 2003 Viacom implied pro forma stock prices, assuming the use of warrants in the Paramount Merger.</w:t>
      </w:r>
    </w:p>
    <w:p>
      <w:pPr>
        <w:spacing w:after="0" w:line="167" w:lineRule="exact"/>
        <w:rPr>
          <w:sz w:val="20"/>
          <w:szCs w:val="20"/>
          <w:color w:val="auto"/>
        </w:rPr>
      </w:pPr>
    </w:p>
    <w:p>
      <w:pPr>
        <w:ind w:right="3539" w:firstLine="424"/>
        <w:spacing w:after="0" w:line="241" w:lineRule="auto"/>
        <w:tabs>
          <w:tab w:leader="none" w:pos="58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refinancings of existing debt in new borrowings by Viacom and Paramount, on stand-alone bases and pro forma giving effect to the Paramount Merger both actual and estimated.</w:t>
      </w:r>
    </w:p>
    <w:p>
      <w:pPr>
        <w:spacing w:after="0" w:line="166" w:lineRule="exact"/>
        <w:rPr>
          <w:sz w:val="20"/>
          <w:szCs w:val="20"/>
          <w:color w:val="auto"/>
        </w:rPr>
      </w:pPr>
    </w:p>
    <w:p>
      <w:pPr>
        <w:ind w:right="3619" w:firstLine="424"/>
        <w:spacing w:after="0" w:line="242" w:lineRule="auto"/>
        <w:tabs>
          <w:tab w:leader="none" w:pos="58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estimate 1993 and 1994 pro forma combined income statement comparison of Viacom both on stand-alone bases with and without giving effect to the conversion of Viacom Preferred Stock, and pro forma giving effect to the Paramount Merger, as well as a pro forma combined income statement of the Viacom/Paramount entity for the years 1994 to 2003.</w:t>
      </w:r>
    </w:p>
    <w:p>
      <w:pPr>
        <w:spacing w:after="0" w:line="166" w:lineRule="exact"/>
        <w:rPr>
          <w:sz w:val="20"/>
          <w:szCs w:val="20"/>
          <w:color w:val="auto"/>
        </w:rPr>
      </w:pPr>
    </w:p>
    <w:p>
      <w:pPr>
        <w:ind w:right="3539" w:firstLine="424"/>
        <w:spacing w:after="0" w:line="242" w:lineRule="auto"/>
        <w:tabs>
          <w:tab w:leader="none" w:pos="586"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Viacom Preferred Stock, and with pro forma earnings per share giving effect to the Paramount Merger, as well as an earnings per share dilution analysis for the Viacom/Paramount entity for the years 1994 to 2003.</w:t>
      </w:r>
    </w:p>
    <w:p>
      <w:pPr>
        <w:spacing w:after="0" w:line="166" w:lineRule="exact"/>
        <w:rPr>
          <w:sz w:val="20"/>
          <w:szCs w:val="20"/>
          <w:color w:val="auto"/>
        </w:rPr>
      </w:pPr>
    </w:p>
    <w:p>
      <w:pPr>
        <w:ind w:right="3879" w:firstLine="424"/>
        <w:spacing w:after="0" w:line="242" w:lineRule="auto"/>
        <w:tabs>
          <w:tab w:leader="none" w:pos="58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cash flow of Viacom both on stand-alone bases with and without giving effect to the conversion of Viacom Preferred Stock, and with pro forma cash flow giving effect to the Paramount Merger, as well as a cash flow dilution/accretion analysis for the Viacom/Paramount entity for the years 1994 to 2003.</w:t>
      </w:r>
    </w:p>
    <w:p>
      <w:pPr>
        <w:spacing w:after="0" w:line="166" w:lineRule="exact"/>
        <w:rPr>
          <w:sz w:val="20"/>
          <w:szCs w:val="20"/>
          <w:color w:val="auto"/>
        </w:rPr>
      </w:pPr>
    </w:p>
    <w:p>
      <w:pPr>
        <w:jc w:val="both"/>
        <w:ind w:right="3699" w:firstLine="424"/>
        <w:spacing w:after="0" w:line="241" w:lineRule="auto"/>
        <w:tabs>
          <w:tab w:leader="none" w:pos="58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EBITDA analysis (including projected synergies), income tax calculation and pro forma combined cash flow statement and a debt amortization schedule, all estimated for the years 1993 to 2003.</w:t>
      </w:r>
    </w:p>
    <w:p>
      <w:pPr>
        <w:spacing w:after="0" w:line="166" w:lineRule="exact"/>
        <w:rPr>
          <w:sz w:val="20"/>
          <w:szCs w:val="20"/>
          <w:color w:val="auto"/>
        </w:rPr>
      </w:pPr>
    </w:p>
    <w:p>
      <w:pPr>
        <w:ind w:right="3619" w:firstLine="424"/>
        <w:spacing w:after="0" w:line="241" w:lineRule="auto"/>
        <w:tabs>
          <w:tab w:leader="none" w:pos="58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interest expense table of the estimated Viacom/Paramount entity, estimated for the years 1993 to 2003, and a pro forma balance sheet for the Viacom/Paramount entity.</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03" w:right="1440" w:bottom="1440" w:gutter="0" w:footer="0" w:header="0"/>
        </w:sectPr>
      </w:pPr>
    </w:p>
    <w:bookmarkStart w:id="76" w:name="page77"/>
    <w:bookmarkEnd w:id="76"/>
    <w:p>
      <w:pPr>
        <w:ind w:left="180"/>
        <w:spacing w:after="0"/>
        <w:rPr>
          <w:sz w:val="20"/>
          <w:szCs w:val="20"/>
          <w:color w:val="auto"/>
        </w:rPr>
      </w:pPr>
      <w:r>
        <w:rPr>
          <w:rFonts w:ascii="Courier New" w:cs="Courier New" w:eastAsia="Courier New" w:hAnsi="Courier New"/>
          <w:sz w:val="14"/>
          <w:szCs w:val="14"/>
          <w:color w:val="auto"/>
        </w:rPr>
        <w:t>QVC/Paramount</w:t>
      </w:r>
    </w:p>
    <w:p>
      <w:pPr>
        <w:spacing w:after="0" w:line="166"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Smith Barney presented to the Viacom Board an analysis of a QVC/Paramount Merger that included:</w:t>
      </w:r>
    </w:p>
    <w:p>
      <w:pPr>
        <w:spacing w:after="0" w:line="167" w:lineRule="exact"/>
        <w:rPr>
          <w:sz w:val="20"/>
          <w:szCs w:val="20"/>
          <w:color w:val="auto"/>
        </w:rPr>
      </w:pPr>
    </w:p>
    <w:p>
      <w:pPr>
        <w:ind w:right="3539" w:firstLine="424"/>
        <w:spacing w:after="0" w:line="242" w:lineRule="auto"/>
        <w:tabs>
          <w:tab w:leader="none" w:pos="58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a QVC/Paramount Merger setting forth the kind and amount of securities to be issued in a QVC/Paramount Merger, the source and use of funds and the per share consideration to be paid to Paramount stockholders in a QVC/Paramount Merger. Smith Barney also discussed the impact of the use of preferred stock with warrants as part of the consideration in the proposed QVC/Paramount Merger.</w:t>
      </w:r>
    </w:p>
    <w:p>
      <w:pPr>
        <w:spacing w:after="0" w:line="167" w:lineRule="exact"/>
        <w:rPr>
          <w:sz w:val="20"/>
          <w:szCs w:val="20"/>
          <w:color w:val="auto"/>
        </w:rPr>
      </w:pPr>
    </w:p>
    <w:p>
      <w:pPr>
        <w:ind w:right="3879" w:firstLine="424"/>
        <w:spacing w:after="0" w:line="239" w:lineRule="auto"/>
        <w:tabs>
          <w:tab w:leader="none" w:pos="58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debt structure of QVC and its additional borrowing capacity.</w:t>
      </w:r>
    </w:p>
    <w:p>
      <w:pPr>
        <w:spacing w:after="0" w:line="167" w:lineRule="exact"/>
        <w:rPr>
          <w:sz w:val="20"/>
          <w:szCs w:val="20"/>
          <w:color w:val="auto"/>
        </w:rPr>
      </w:pPr>
    </w:p>
    <w:p>
      <w:pPr>
        <w:ind w:right="3699" w:firstLine="424"/>
        <w:spacing w:after="0" w:line="239" w:lineRule="auto"/>
        <w:tabs>
          <w:tab w:leader="none" w:pos="58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combined income statement of the combined QVC and Paramount for the years 1993 to 1999 and relative leverage ratios.</w:t>
      </w:r>
    </w:p>
    <w:p>
      <w:pPr>
        <w:spacing w:after="0" w:line="167" w:lineRule="exact"/>
        <w:rPr>
          <w:sz w:val="20"/>
          <w:szCs w:val="20"/>
          <w:color w:val="auto"/>
        </w:rPr>
      </w:pPr>
    </w:p>
    <w:p>
      <w:pPr>
        <w:ind w:right="3619" w:firstLine="424"/>
        <w:spacing w:after="0" w:line="241" w:lineRule="auto"/>
        <w:tabs>
          <w:tab w:leader="none" w:pos="58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earnings per share and cash flow dilution/accretion analysis of QVC both on stand-alone bases and pro forma giving effect to a QVC/Paramount Merger for the years 1993 to 1999.</w:t>
      </w:r>
    </w:p>
    <w:p>
      <w:pPr>
        <w:spacing w:after="0" w:line="166" w:lineRule="exact"/>
        <w:rPr>
          <w:sz w:val="20"/>
          <w:szCs w:val="20"/>
          <w:color w:val="auto"/>
        </w:rPr>
      </w:pPr>
    </w:p>
    <w:p>
      <w:pPr>
        <w:ind w:right="3959" w:firstLine="424"/>
        <w:spacing w:after="0" w:line="239" w:lineRule="auto"/>
        <w:tabs>
          <w:tab w:leader="none" w:pos="586"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income tax calculation and pro forma combined cash flow statement estimated for the years 1993 to 1999.</w:t>
      </w:r>
    </w:p>
    <w:p>
      <w:pPr>
        <w:spacing w:after="0" w:line="167" w:lineRule="exact"/>
        <w:rPr>
          <w:sz w:val="20"/>
          <w:szCs w:val="20"/>
          <w:color w:val="auto"/>
        </w:rPr>
      </w:pPr>
    </w:p>
    <w:p>
      <w:pPr>
        <w:ind w:right="3959" w:firstLine="424"/>
        <w:spacing w:after="0" w:line="241" w:lineRule="auto"/>
        <w:tabs>
          <w:tab w:leader="none" w:pos="586"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debt paydown and interest expense table of the combined company, estimated for the years 1994 to 1999, and a pro forma balance sheet for the combined QVC and Paramount.</w:t>
      </w:r>
    </w:p>
    <w:p>
      <w:pPr>
        <w:spacing w:after="0" w:line="166" w:lineRule="exact"/>
        <w:rPr>
          <w:sz w:val="20"/>
          <w:szCs w:val="20"/>
          <w:color w:val="auto"/>
        </w:rPr>
      </w:pPr>
    </w:p>
    <w:p>
      <w:pPr>
        <w:ind w:right="3959" w:firstLine="424"/>
        <w:spacing w:after="0" w:line="241" w:lineRule="auto"/>
        <w:tabs>
          <w:tab w:leader="none" w:pos="58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economic and voting ownership of QVC assuming the consummation of the QVC/Paramount Merger and the conversion of the QVC convertible preferred stock.</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An analysis of the economic and voting ownership of Liberty Media.</w:t>
      </w:r>
    </w:p>
    <w:p>
      <w:pPr>
        <w:spacing w:after="0" w:line="166" w:lineRule="exact"/>
        <w:rPr>
          <w:sz w:val="20"/>
          <w:szCs w:val="20"/>
          <w:color w:val="auto"/>
        </w:rPr>
      </w:pPr>
    </w:p>
    <w:p>
      <w:pPr>
        <w:ind w:right="3619" w:firstLine="424"/>
        <w:spacing w:after="0" w:line="239" w:lineRule="auto"/>
        <w:tabs>
          <w:tab w:leader="none" w:pos="586"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QVC implied estimated pro forma stock price from 1993 through 1998, both with and without attendant synergies.</w:t>
      </w:r>
    </w:p>
    <w:p>
      <w:pPr>
        <w:spacing w:after="0" w:line="167"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In arriving at its opinions, Smith Barney performed a variety of financial analyses, the material portions of which are summarized above. The summary set forth above does not purport to be a complete description of the analyses performed by Smith Barney. In addition, Smith Barney believes that its analyses must be considered as a whole and that selecting portions of its analyses and of the factors considered by it, without considering all such factors and analyses, could create a misleading view of the process underlying its analyses set forth in its opinion. The matters considered by Smith Barney in arriving at its opinion are based on numerous macroeconomic, operating and financial assumptions with respect to industry performance, general business and economic conditions and other matters, many of which are beyond Viacom's or Paramount's control. Any estimates incorporated in the analyses performed by Smith Barney are not necessarily indicative of actual past or future results or values, which may be significantly more or less favorable than such estimates. Estimated values do not purport to be appraisals and do not necessarily reflect the prices at which businesses or companies may be sold in the future, and such estimates are inherently subject to uncertainty. Arriving at a fairness opinion is a complex process, not necessarily susceptible to partial or summary description. No company utilized as a comparison is identical to Viacom, Paramount or the business segment for which a comparison is being made. Accordingly, an analysis of comparable companies and comparable business combinations resulting from the transactions is not mathematical; rather, it involves complex considerations and judgements concerning differences in financial and operating characteristics of the comparable companies and other factors that could affect the value of the comparable companies or company to which they are being compared.</w:t>
      </w:r>
    </w:p>
    <w:p>
      <w:pPr>
        <w:spacing w:after="0" w:line="32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Viacom Board selected Smith Barney as its financial advisor because it is a nationally recognized investment banking firm and the members of senior management of Smith Barney have substantial experience in transactions similar to the Paramount Merger and are familiar with Viacom and its business. Smith Barney is an investment banking firm engaged, among other things, in the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00" w:right="1440" w:bottom="1440" w:gutter="0" w:footer="0" w:header="0"/>
        </w:sectPr>
      </w:pPr>
    </w:p>
    <w:bookmarkStart w:id="77" w:name="page78"/>
    <w:bookmarkEnd w:id="77"/>
    <w:p>
      <w:pPr>
        <w:ind w:right="3879"/>
        <w:spacing w:after="0" w:line="242" w:lineRule="auto"/>
        <w:rPr>
          <w:sz w:val="20"/>
          <w:szCs w:val="20"/>
          <w:color w:val="auto"/>
        </w:rPr>
      </w:pPr>
      <w:r>
        <w:rPr>
          <w:rFonts w:ascii="Courier New" w:cs="Courier New" w:eastAsia="Courier New" w:hAnsi="Courier New"/>
          <w:sz w:val="14"/>
          <w:szCs w:val="14"/>
          <w:color w:val="auto"/>
        </w:rPr>
        <w:t>valuation of businesses and their securities in connection with mergers and acquisitions. Smith Barney has rendered from time to time various investment banking services to Viacom, including acting as an underwriter of public offerings of certain securities of Viacom and StarSight Telecast, Inc., a company in which Viacom holds a significant interest, for which it received customary compensation.</w:t>
      </w:r>
    </w:p>
    <w:p>
      <w:pPr>
        <w:spacing w:after="0" w:line="167"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Pursuant to the terms of an engagement letter dated September 12, 1993, Viacom has paid Smith Barney a fee of $3.0 million for acting as financial advisor in connection with the Paramount Merger, including rendering its opinion. In addition, Viacom has agreed to pay Smith Barney an additional fee of $9.5 million in connection with consummation of the transaction. Whether or not the Paramount Merger is consummated, Viacom has also agreed to reimburse Smith Barney for its reasonable out-of-pocket expenses, including all reasonable fees and disbursements of counsel, and to indemnify Smith Barney and certain related persons against certain liabilities relating to or arising out of its engagement, including certain liabilities under the Federal securities laws.</w:t>
      </w:r>
    </w:p>
    <w:p>
      <w:pPr>
        <w:spacing w:after="0" w:line="15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Bear, Stearns &amp; Co. Inc. ("Bear Stearns") and Goldman, Sachs &amp; Co. have also been engaged by Viacom as financial advisors in connection with the Offer and the Paramount Merger.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Paramount. Paramount has retained Lazard Freres to act as its financial advisor in connection with the Offer and the Paramount Merger. At the meeting of the Board of Directors of Paramount held on February 4, 1994, Lazard Freres delivered its written opinion to the Board of Directors of Paramount that, as of February 4, 1994,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 PARAMOUNT STOCKHOLDERS ARE URGED TO READ THE TEXT OF THE LAZARD FRERES OPINION IN ITS ENTIRETY FOR ASSUMPTIONS MADE, MATTERS CONSIDERED AND LIMITS OF REVIEW BY LAZARD FRERES.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Copies of the February 4, 1994 opinion of Lazard Freres, the written presentation of Lazard Freres to the Board of Directors of Paramount on February 4, 1994 and the February 14, 1994 Letter (as defined below) have been filed as exhibits to the Schedule 13E-3 filed with the Commission with respect to the Paramount Merger and may be inspected and copied, and obtained by mail, from the Commission as set forth in "Available Information" and will be made available for inspection and copying at the principal executive offices of Paramount at 15 Columbus Circle, New York, New York 10023 during regular business hours by any interested public stockholder of Paramount or his or her representative who has been so designated in writing.</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 COPY OF THE FULL TEXT OF THE LAZARD FRERES OPINION WHICH SETS FORTH THE ASSUMPTIONS MADE, MATTERS CONSIDERED AND LIMITATIONS OF THE REVIEW UNDERTAKEN, IS ATTACHED AS ANNEX IV HERETO. THE SUMMARY DISCUSSION OF THE OPINION OF LAZARD FRERES SET FORTH IN THIS PROXY STATEMENT/PROSPECTUS IS QUALIFIED IN ITS ENTIRETY BY REFERENCE TO THE FULL TEXT OF SUCH OPINION. LAZARD FRERES' OPINION IS DIRECTED ONLY TO LAZARD FRERES' CONCLUSIONS FROM A FINANCIAL POINT OF VIEW AS OF FEBRUARY 4, 1994 OF THE ITEMS REFERRED TO IN SUCH OPINION, AND DOES NOT CONSTITUTE A RECOMMENDATION TO ANY STOCKHOLDER AS TO HOW SUCH STOCKHOLDER SHOULD VOTE AT THE PARAMOUNT SPECIAL MEETING.</w:t>
      </w:r>
    </w:p>
    <w:p>
      <w:pPr>
        <w:spacing w:after="0" w:line="164"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In connection with rendering its opinion to the Board of Directors of Paramount on February 4, 1994 and its delivery of the February 14, 1994 Letter, Lazard Freres, among other things: (i) reviewed the terms and conditions of (a) the amended proposal by QVC (the "Amended QVC Proposal") to acquire Paramount as set forth in Amendment Number 34 to the Tender Offer Statement on Schedule 14D-1 filed by QVC, Comcast and BellSouth with the Commission on February 1, 1994 and the QVC Exemption Agreement, including the form Agreement and Plan of Merger between QVC and Paramount attached thereto (the "Form QVC Merger Agreement"), and (b) the written proposal submitted to Paramount by Viacom on February 1, 1994 and Amendment Number 35 to the Tender Offer Statement on Schedule 14D-1 filed by Viacom, NAI, Mr. Sumner M. Redstone and Blockbuster with the Commission on February 1, 1994 (collectively, the "Amended Viacom Proposal"), and the</w:t>
      </w:r>
    </w:p>
    <w:p>
      <w:pPr>
        <w:ind w:left="32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02" w:right="1440" w:bottom="1440" w:gutter="0" w:footer="0" w:header="0"/>
        </w:sectPr>
      </w:pPr>
    </w:p>
    <w:bookmarkStart w:id="78" w:name="page79"/>
    <w:bookmarkEnd w:id="78"/>
    <w:p>
      <w:pPr>
        <w:ind w:right="3539"/>
        <w:spacing w:after="0" w:line="263" w:lineRule="auto"/>
        <w:rPr>
          <w:sz w:val="20"/>
          <w:szCs w:val="20"/>
          <w:color w:val="auto"/>
        </w:rPr>
      </w:pPr>
      <w:r>
        <w:rPr>
          <w:rFonts w:ascii="Courier New" w:cs="Courier New" w:eastAsia="Courier New" w:hAnsi="Courier New"/>
          <w:sz w:val="13"/>
          <w:szCs w:val="13"/>
          <w:color w:val="auto"/>
        </w:rPr>
        <w:t>Agreement and Plan of Merger, dated as of January 21, 1994, as amended on January 27, 1994 and as proposed as of February 4, 1994 to be amended to reflect the Amended Viacom Proposal (the "Amended Viacom Merger Agreement"), including the Form Exemption Agreement between Viacom and Paramount attached thereto; (ii) reviewed the terms and conditions of the Blockbuster Merger Agreement and the Blockbuster Subscription Agreement, analyzed the Amended Viacom Proposal, both with and without giving effect to the proposed Blockbuster Merger contemplated by the Blockbuster Merger Agreement, and observed that the proposed Blockbuster Merger is subject to the approval of the stockholders of Blockbuster; (iii) analyzed certain historical business and financial information relating to Paramount, Viacom, QVC and Blockbuster; (iv) reviewed certain financial forecasts and other data provided by Paramount, Viacom, QVC and Blockbuster relating to their respective businesses (except in the case of Paramount, financial forecasts for the then current fiscal year only, having been advised that Paramount did not prepare projections beyond the then current fiscal year);</w:t>
      </w:r>
    </w:p>
    <w:p>
      <w:pPr>
        <w:spacing w:after="0" w:line="154" w:lineRule="exact"/>
        <w:rPr>
          <w:sz w:val="20"/>
          <w:szCs w:val="20"/>
          <w:color w:val="auto"/>
        </w:rPr>
      </w:pPr>
    </w:p>
    <w:p>
      <w:pPr>
        <w:ind w:right="3539" w:firstLine="6"/>
        <w:spacing w:after="0" w:line="262" w:lineRule="auto"/>
        <w:tabs>
          <w:tab w:leader="none" w:pos="335"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reviewed public information with respect to certain public companies in lines of businesses that Lazard Freres believed to be comparable to the businesses of Paramount, Viacom, QVC and Blockbuster; (vi) reviewed the financial terms of certain recent business combinations involving companies in lines of business that Lazard Freres believed to be comparable to the businesses of Paramount, Viacom, QVC and Blockbuster, and in other industries generally;</w:t>
      </w:r>
    </w:p>
    <w:p>
      <w:pPr>
        <w:ind w:right="3619" w:firstLine="6"/>
        <w:spacing w:after="0" w:line="263" w:lineRule="auto"/>
        <w:tabs>
          <w:tab w:leader="none" w:pos="502"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reviewed the historical stock prices and trading volumes of Paramount Common Stock, Viacom Class B Common Stock, the QVC Common Stock and Blockbuster Common Stock; and (viii) reviewed the procedures for bidding set forth in the Amended Viacom Merger Agreement and the QVC Exemption Agreement, in particular noting the respective provisions therein providing for extensions of the Fourth QVC Offer or the Offer, as applicable, for 10 business days upon delivery of a Completion Certificate (referred to in the Amended Viacom Merger Agreement or the QVC Exemption Agreement, as applicable) by Viacom or QVC, as applicable. In addition, Lazard Freres conducted discussions with members of the senior management of Paramount, Viacom, QVC and Blockbuster with respect to the business and prospects of Paramount, Viacom, QVC and Blockbuster and the strategic objectives of each, and Lazard Freres conducted such other financial studies, analyses and investigations as Lazard Freres deemed appropriate.</w:t>
      </w:r>
    </w:p>
    <w:p>
      <w:pPr>
        <w:spacing w:after="0" w:line="155"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In preparing its written opinion to the Board of Directors of Paramount on February 4, 1994, its presentation to the Board of Directors of Paramount on February 4, 1994 and the February 14, 1994 Letter, Lazard Freres assumed and relied upon the accuracy and completeness of the financial and other information that was provided by Paramount, Viacom, QVC and Blockbuster, and on the representations and warranties contained in the Amended Viacom Merger Agreement and the Form QVC Merger Agreement. Lazard Freres did not independently verify such information and did not undertake an independent valuation or appraisal of any of the assets of Paramount, Viacom, QVC or Blockbuster. In addition, Lazard Freres assumed that the financial forecasts furnished to it by Paramount, Viacom, QVC and Blockbuster were reasonably prepared on a basis reflecting, as of the date of its opinion, its presentation to the Board of Directors of Paramount and the February 14, 1994 Letter, the best currently available judgments of the management of each of Paramount, Viacom, QVC and Blockbuster as to the future financial performance of Paramount, Viacom, QVC and Blockbuster, respectively. Lazard Freres also assumed that the Amended Viacom Proposal and the Amended QVC Proposal were made in compliance with the terms and conditions of the Amended Viacom Merger Agreement and the QVC Exemption Agreement, respectively. Lazard Freres' opinion as of February 4, 1994, its presentation to the Board of Directors of Paramount and the February 14, 1994 Letter were also based on economic, monetary and market conditions existing on the date of the opinion. In accordance with the Bidding Procedures established by Paramount's Board of Directors on December 13, 1993, Paramount's Board of Directors had authorized Lazard Freres to respond to inquiries with respect to Paramount from prospective bidders (in addition to QVC and Viacom) and to receive proposals from additional bidders, if any. Lazard Freres did not, however, solicit third party indications of interest in acquiring all or any part of Paramount.</w:t>
      </w:r>
    </w:p>
    <w:p>
      <w:pPr>
        <w:spacing w:after="0" w:line="325" w:lineRule="exact"/>
        <w:rPr>
          <w:sz w:val="20"/>
          <w:szCs w:val="20"/>
          <w:color w:val="auto"/>
        </w:rPr>
      </w:pPr>
    </w:p>
    <w:p>
      <w:pPr>
        <w:jc w:val="both"/>
        <w:ind w:right="3539" w:firstLine="418"/>
        <w:spacing w:after="0" w:line="241" w:lineRule="auto"/>
        <w:rPr>
          <w:sz w:val="20"/>
          <w:szCs w:val="20"/>
          <w:color w:val="auto"/>
        </w:rPr>
      </w:pPr>
      <w:r>
        <w:rPr>
          <w:rFonts w:ascii="Courier New" w:cs="Courier New" w:eastAsia="Courier New" w:hAnsi="Courier New"/>
          <w:sz w:val="14"/>
          <w:szCs w:val="14"/>
          <w:color w:val="auto"/>
        </w:rPr>
        <w:t>As part of Lazard Freres' analyses in connection with rendering its opinion on February 4, 1994 and the February 14, 1994 Letter, Lazard Freres continued to evaluate the proposed Viacom and QVC</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02" w:right="1440" w:bottom="1440" w:gutter="0" w:footer="0" w:header="0"/>
        </w:sectPr>
      </w:pPr>
    </w:p>
    <w:bookmarkStart w:id="79" w:name="page80"/>
    <w:bookmarkEnd w:id="79"/>
    <w:p>
      <w:pPr>
        <w:ind w:right="3619"/>
        <w:spacing w:after="0" w:line="243" w:lineRule="auto"/>
        <w:rPr>
          <w:sz w:val="20"/>
          <w:szCs w:val="20"/>
          <w:color w:val="auto"/>
        </w:rPr>
      </w:pPr>
      <w:r>
        <w:rPr>
          <w:rFonts w:ascii="Courier New" w:cs="Courier New" w:eastAsia="Courier New" w:hAnsi="Courier New"/>
          <w:sz w:val="14"/>
          <w:szCs w:val="14"/>
          <w:color w:val="auto"/>
        </w:rPr>
        <w:t>transactions, as it had done in the past, not only on the basis of their then current market values but also applying other financial valuation methodologies generally applicable to transactions of this type. Lazard Freres noted that these financial valuation methodologies, which are subject to certain limitations as applied to the prospective combinations, including the lack of projections for Paramount beyond the then current fiscal year and the difficulties in quantifying synergies and revenue enhancements resulting from the combinations, generally favored in varying degrees the Viacom Transaction Consideration from a financial point of view. On the basis of recent market values on the date of its opinion and the February 14, 1994 Letter, Lazard Freres observed that the QVC Transaction Consideration had a somewhat higher market valuation than the Viacom Transaction Consideration. In this connection, Lazard Freres observed the high volatility of Viacom Class B Common Stock and QVC Common Stock and that the market prices of the stocks seemed to be impacted by the perception of the marketplace as to whether QVC or Viacom would be the ultimate acquiror of Paramount.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connection with rendering its opinion and the conclusion set forth in the February 14, 1994 Letter, Lazard Freres also observed the express preference of Paramount's Board of Directors in the Bidding Procedures for cash and securities readily susceptible to valuation, such as securities with a fixed income stream, with a liquidation preference, or in the case of equity securities, securities which enjoy the benefits of a wide collar or other value assurance mechanism. In this regard, Lazard Freres noted that there was a greater percentage of cash and fixed income securities as components of the Viacom Transaction Consideration than the QVC Transaction Consideration, although the magnitude of the difference in the respective percentages between the two then current bids had decreased in comparison to the then most recent previous bids submitted by Viacom and QVC. Lazard Freres further noted the offering of the CVRs in the Amended Viacom Proposal.</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reaching its opinion on February 4, 1994 and the conclusion set forth in the February 14, 1994 Letter, Lazard Freres also noted that it took into account various factors, including its assessment of the probability of consummation of the proposed Blockbuster Merger contemplated by the Blockbuster Merger Agreement under the circumstances existing on February 4, 1994 and February 14, 1994, as applicable, and that, given the terms and conditions of the proposed Fourth QVC Offer and the Fourth QVC Second-Step Merger and the proposed Offer and the Paramount Merger and the limitations of the financial valuation methodologies referred to above, Lazard Freres had continued to view as a favorable factor an offer that contains a greater percentage of cash and securities readily susceptible to valuation.</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connection with the Amended Viacom Proposal and the Amended QVC Proposal, at the meeting of the Board of Directors of Paramount held on February 4, 1994, Lazard Freres delivered its written opinion to the Board of Directors of Paramount that, as of the date of the opinion,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4, 1994 BOARD PRESENTATION</w:t>
      </w:r>
    </w:p>
    <w:p>
      <w:pPr>
        <w:spacing w:after="0" w:line="166" w:lineRule="exact"/>
        <w:rPr>
          <w:sz w:val="20"/>
          <w:szCs w:val="20"/>
          <w:color w:val="auto"/>
        </w:rPr>
      </w:pPr>
    </w:p>
    <w:p>
      <w:pPr>
        <w:ind w:right="3699" w:firstLine="418"/>
        <w:spacing w:after="0" w:line="243" w:lineRule="auto"/>
        <w:rPr>
          <w:sz w:val="20"/>
          <w:szCs w:val="20"/>
          <w:color w:val="auto"/>
        </w:rPr>
      </w:pPr>
      <w:r>
        <w:rPr>
          <w:rFonts w:ascii="Courier New" w:cs="Courier New" w:eastAsia="Courier New" w:hAnsi="Courier New"/>
          <w:sz w:val="14"/>
          <w:szCs w:val="14"/>
          <w:color w:val="auto"/>
        </w:rPr>
        <w:t>Prior to delivering its written opinion to the Board of Directors of Paramount, Lazard Freres reviewed certain information with the Board of Directors of Paramount relating to Paramount, Viacom, Blockbuster and QVC and the financial terms of the Amended Viacom Proposal, after giving effect to the proposed Blockbuster Merger (the "Viacom-Blockbuster Proposal"), the Amended Viacom Proposal, without giving effect to the proposed Blockbuster Merger (the "Viacom Alone Proposal") and the Amended QVC Proposal (the foregoing are sometimes individually referred to herein as a "Proposal" and collectively as the "Proposals").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03" w:right="1440" w:bottom="1440" w:gutter="0" w:footer="0" w:header="0"/>
        </w:sectPr>
      </w:pPr>
    </w:p>
    <w:bookmarkStart w:id="80" w:name="page81"/>
    <w:bookmarkEnd w:id="80"/>
    <w:p>
      <w:pPr>
        <w:ind w:left="3020"/>
        <w:spacing w:after="0"/>
        <w:rPr>
          <w:sz w:val="20"/>
          <w:szCs w:val="20"/>
          <w:color w:val="auto"/>
        </w:rPr>
      </w:pPr>
      <w:r>
        <w:rPr>
          <w:rFonts w:ascii="Courier New" w:cs="Courier New" w:eastAsia="Courier New" w:hAnsi="Courier New"/>
          <w:sz w:val="14"/>
          <w:szCs w:val="14"/>
          <w:color w:val="auto"/>
        </w:rPr>
        <w:t>SUMMARY</w:t>
      </w:r>
    </w:p>
    <w:p>
      <w:pPr>
        <w:spacing w:after="0" w:line="166" w:lineRule="exact"/>
        <w:rPr>
          <w:sz w:val="20"/>
          <w:szCs w:val="20"/>
          <w:color w:val="auto"/>
        </w:rPr>
      </w:pPr>
    </w:p>
    <w:p>
      <w:pPr>
        <w:ind w:right="3699" w:firstLine="424"/>
        <w:spacing w:after="0" w:line="242" w:lineRule="auto"/>
        <w:tabs>
          <w:tab w:leader="none" w:pos="58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described their recent contacts with QVC, Viacom and Blockbuster and their respective advisors and a chronology of events since the then most recent meeting of the Board of Directors of Paramount on January 21, 1994.</w:t>
      </w:r>
    </w:p>
    <w:p>
      <w:pPr>
        <w:spacing w:after="0" w:line="165" w:lineRule="exact"/>
        <w:rPr>
          <w:sz w:val="20"/>
          <w:szCs w:val="20"/>
          <w:color w:val="auto"/>
        </w:rPr>
      </w:pPr>
    </w:p>
    <w:p>
      <w:pPr>
        <w:ind w:right="3799" w:firstLine="424"/>
        <w:spacing w:after="0" w:line="269" w:lineRule="auto"/>
        <w:tabs>
          <w:tab w:leader="none" w:pos="586"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Lazard Freres reviewed the financial terms of the Proposals and noted that Viacom's agreements with Blockbuster (including the Blockbuster Merger Agreement and the Blockbuster Subscription Agreement) had remained unchanged.</w:t>
      </w:r>
    </w:p>
    <w:p>
      <w:pPr>
        <w:spacing w:after="0" w:line="148" w:lineRule="exact"/>
        <w:rPr>
          <w:sz w:val="20"/>
          <w:szCs w:val="20"/>
          <w:color w:val="auto"/>
        </w:rPr>
      </w:pPr>
    </w:p>
    <w:p>
      <w:pPr>
        <w:ind w:right="3619" w:firstLine="424"/>
        <w:spacing w:after="0" w:line="243" w:lineRule="auto"/>
        <w:tabs>
          <w:tab w:leader="none" w:pos="58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described the changes to the respective Proposals by QVC and Viacom from their then most recent previous bids. Lazard Freres noted that QVC had increased the cash portion of its bid by approximately $750 million, while reducing the value of securities offered in the proposed Fourth QVC Second-Step Merger by a substantially equivalent amount. With respect to the Amended Viacom Proposal, Lazard Freres observed that the cash portion of its offer had remained unchanged, but the value of the securities offered in the proposed Paramount Merger had been improved. Lazard Freres described in detail the changes to, and the terms of, the various securities offered by Viacom that produced this improvement.</w:t>
      </w:r>
    </w:p>
    <w:p>
      <w:pPr>
        <w:spacing w:after="0" w:line="164" w:lineRule="exact"/>
        <w:rPr>
          <w:sz w:val="20"/>
          <w:szCs w:val="20"/>
          <w:color w:val="auto"/>
        </w:rPr>
      </w:pPr>
    </w:p>
    <w:p>
      <w:pPr>
        <w:ind w:right="3539" w:firstLine="424"/>
        <w:spacing w:after="0" w:line="243" w:lineRule="auto"/>
        <w:tabs>
          <w:tab w:leader="none" w:pos="58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reviewed graphic representations that compared the Amended QVC Proposal, the Viacom Alone Proposal and the Viacom-Blockbuster Proposal with QVC's and Viacom's then most recent previous bids and showed the value of the respective bids at various per share prices for QVC Common Stock and Viacom Class B Common Stock. The comparison of the two QVC bids showed that at stock prices for QVC Common Stock below approximately $48 per share, the then current QVC bid was slightly higher than the then most recent previous bid by QVC, while at stock prices higher than approximately $48 per share, the then most recent previous bid by QVC had a slightly higher value. However, with respect to the Amended Viacom Proposal, at all stock prices for Viacom Class B Common Stock, the then current Viacom Alone Proposal and the Viacom-Blockbuster Proposal had higher values than the then most recent previous Viacom bid, and with respect to the analysis of the Viacom-Blockbuster Proposal only, the difference was even greater, given the different securities being offered by Viacom depending upon whether the Blockbuster Merger would be consummated.</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 Lazard Freres further noted that the three-way combination of Viacom-Blockbuster/Paramount would have the strongest credit ratios of the three possible combinations, while the credit ratios for the Viacom/Paramount combination would have the weakest, given Blockbuster's substantial cash flow and relatively low level of debt and the fact that Viacom would be acquiring Blockbuster for all stock.</w:t>
      </w:r>
    </w:p>
    <w:p>
      <w:pPr>
        <w:spacing w:after="0" w:line="167" w:lineRule="exact"/>
        <w:rPr>
          <w:sz w:val="20"/>
          <w:szCs w:val="20"/>
          <w:color w:val="auto"/>
        </w:rPr>
      </w:pPr>
    </w:p>
    <w:p>
      <w:pPr>
        <w:ind w:right="3699" w:firstLine="424"/>
        <w:spacing w:after="0" w:line="242" w:lineRule="auto"/>
        <w:tabs>
          <w:tab w:leader="none" w:pos="58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noted that QVC's financing package for the Amended QVC Proposal had been altered to provide for more cash and was less favorable from QVC's standpoint compared to the financing package for the then most recent previous QVC bid, while the Viacom financing package for the Amended Viacom Proposal had remained essentially unchanged compared to the financing package for the then most recent previous Viacom bid.</w:t>
      </w:r>
    </w:p>
    <w:p>
      <w:pPr>
        <w:spacing w:after="0" w:line="167" w:lineRule="exact"/>
        <w:rPr>
          <w:sz w:val="20"/>
          <w:szCs w:val="20"/>
          <w:color w:val="auto"/>
        </w:rPr>
      </w:pPr>
    </w:p>
    <w:p>
      <w:pPr>
        <w:ind w:right="3619" w:firstLine="424"/>
        <w:spacing w:after="0" w:line="243" w:lineRule="auto"/>
        <w:tabs>
          <w:tab w:leader="none" w:pos="58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also presented an overview of its valuation of the Amended QVC Proposal, the Viacom Alone Proposal and the Viacom-Blockbuster Proposal. Lazard Freres expressly noted that its views of value were provided within a framework of Bidding Procedures adopted by Paramount (and agreed to by the bidders) that allowed the holders of Paramount Common Stock to choose between the competing Proposals. Lazard Freres discussed with the Board of Directors of Paramount that, based on the closing market prices of QVC Common Stock and Viacom Class B Common Stock for February 3, 1994, and its valuation of the non-common securities that were offered in each of the bids (which was also based on those February 3, 1994 closing prices), the Amended QVC Proposal had a value (on a per share of Paramount Common Stock basis) that was higher than the Viacom-Blockbuster Proposal and</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00" w:right="1440" w:bottom="1440" w:gutter="0" w:footer="0" w:header="0"/>
        </w:sectPr>
      </w:pPr>
    </w:p>
    <w:bookmarkStart w:id="81" w:name="page82"/>
    <w:bookmarkEnd w:id="81"/>
    <w:p>
      <w:pPr>
        <w:ind w:right="3539"/>
        <w:spacing w:after="0" w:line="242" w:lineRule="auto"/>
        <w:rPr>
          <w:sz w:val="20"/>
          <w:szCs w:val="20"/>
          <w:color w:val="auto"/>
        </w:rPr>
      </w:pPr>
      <w:r>
        <w:rPr>
          <w:rFonts w:ascii="Courier New" w:cs="Courier New" w:eastAsia="Courier New" w:hAnsi="Courier New"/>
          <w:sz w:val="14"/>
          <w:szCs w:val="14"/>
          <w:color w:val="auto"/>
        </w:rPr>
        <w:t>the Viacom Alone Proposal by $5.21 and $3.40 per share, respectively. Lazard Freres also noted that the total consideration offered in the Amended Viacom Proposal contained a greater percentage of cash and fixed income securities than the Amended QVC Proposal. As described in more detail below, Lazard Freres also analyzed the respective values of the Amended QVC Proposal, the Viacom Alone Proposal and the Viacom-Blockbuster Proposal at recent market prices for QVC Common Stock and Viacom Class B Common Stock (ranging from a one week average to a six month average prior to February 3, 1994).</w:t>
      </w:r>
    </w:p>
    <w:p>
      <w:pPr>
        <w:spacing w:after="0" w:line="169" w:lineRule="exact"/>
        <w:rPr>
          <w:sz w:val="20"/>
          <w:szCs w:val="20"/>
          <w:color w:val="auto"/>
        </w:rPr>
      </w:pPr>
    </w:p>
    <w:p>
      <w:pPr>
        <w:ind w:right="3539" w:firstLine="424"/>
        <w:spacing w:after="0" w:line="243" w:lineRule="auto"/>
        <w:tabs>
          <w:tab w:leader="none" w:pos="58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noted that by using various financial valuation methodologies (other than current and recent market values) to analyze the respective Proposals (as described in more detail below), (i) both the Amended QVC Proposal and the Amended Viacom Proposal had implied values that were lower than the values obtained by using current market value methodology to value the Proposals, and (ii) the Viacom Alone Proposal and the Viacom-Blockbuster Proposal each had a higher implied value by varying amounts than the Amended QVC Proposal (with the differences being greater for the Viacom-Blockbuster Proposal). Lazard Freres specifically noted that it believed that these financial valuation methodologies were useful but subject to various limitations, including: the absence of precise and reliable quantification of potential cost savings or revenue enhancement opportunities; the difficulty of deriving appropriate multiples for each combination; the unavailability of internal long-term projections for Paramount; and the difficulty of projecting financial results of any of the combinations, in each case, particularly in light of each bidder's strategic/merger partners.</w:t>
      </w:r>
    </w:p>
    <w:p>
      <w:pPr>
        <w:spacing w:after="0" w:line="166" w:lineRule="exact"/>
        <w:rPr>
          <w:sz w:val="20"/>
          <w:szCs w:val="20"/>
          <w:color w:val="auto"/>
        </w:rPr>
      </w:pPr>
    </w:p>
    <w:p>
      <w:pPr>
        <w:ind w:right="3539" w:firstLine="424"/>
        <w:spacing w:after="0" w:line="243" w:lineRule="auto"/>
        <w:tabs>
          <w:tab w:leader="none" w:pos="58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discussed with the Board of Directors of Paramount that the then current market prices of QVC Common Stock and Viacom Class B Common Stock may have reflected the market's perception of cost savings, revenue enhancement opportunities and the potential impact of the bidders' respective strategic/merger partners, but, reiterating what Lazard Freres had indicated previously to the Paramount Board, these current market prices may also have been influenced by the market's views as to which bidder would likely acquire Paramount, with Viacom having appeared to have been the leader on February 4, 1994, and, as Lazard Freres noted, this influence on these current market prices may have been even greater at that time given the fact that the Amended Viacom Proposal and the Amended QVC Proposal were presumably each bidder's "last and final bid."</w:t>
      </w:r>
    </w:p>
    <w:p>
      <w:pPr>
        <w:spacing w:after="0" w:line="165" w:lineRule="exact"/>
        <w:rPr>
          <w:sz w:val="20"/>
          <w:szCs w:val="20"/>
          <w:color w:val="auto"/>
        </w:rPr>
      </w:pPr>
    </w:p>
    <w:p>
      <w:pPr>
        <w:ind w:right="3539" w:firstLine="424"/>
        <w:spacing w:after="0" w:line="243" w:lineRule="auto"/>
        <w:tabs>
          <w:tab w:leader="none" w:pos="586"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also reviewed its comparisons of the Amended QVC Proposal, the Viacom Alone Proposal and the Viacom-Blockbuster Proposal using both 1993 estimated EBITDA and 1994 estimated EBITDA for each of the companies on the basis of comparable company trading multiples, discounted cash flow analysis and weighted average unaffected multiples. As noted above, each of these financial valuation methodologies produced in varying degrees, in the cases of both 1993 and 1994 estimated EBITDA, higher implied total bid values for the Viacom Alone Proposal and the Viacom-Blockbuster Proposal in comparison to the Amended QVC Proposal. This difference was greater in the case of the Viacom-Blockbuster Proposal.</w:t>
      </w:r>
    </w:p>
    <w:p>
      <w:pPr>
        <w:spacing w:after="0" w:line="164" w:lineRule="exact"/>
        <w:rPr>
          <w:sz w:val="20"/>
          <w:szCs w:val="20"/>
          <w:color w:val="auto"/>
        </w:rPr>
      </w:pPr>
    </w:p>
    <w:p>
      <w:pPr>
        <w:ind w:right="3799" w:firstLine="424"/>
        <w:spacing w:after="0" w:line="243" w:lineRule="auto"/>
        <w:tabs>
          <w:tab w:leader="none" w:pos="58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noted that in connection with its comparable company trading analysis, if the various proposed combined companies were to trade at the same multiple of EBITDA, each of the Viacom Alone Proposal and the Viacom-Blockbuster Proposal would have implied bid values higher than the Amended QVC Proposal; however, if the QVC/Paramount combined company were to trade at a higher multiple than the Viacom/Paramount or Viacom-Blockbuster/Paramount combined companies, the implied value of the Amended QVC Proposal could equal or exceed the implied values of either the Viacom Alone Proposal or the Viacom-Blockbuster Proposal.</w:t>
      </w:r>
    </w:p>
    <w:p>
      <w:pPr>
        <w:spacing w:after="0" w:line="164" w:lineRule="exact"/>
        <w:rPr>
          <w:sz w:val="20"/>
          <w:szCs w:val="20"/>
          <w:color w:val="auto"/>
        </w:rPr>
      </w:pPr>
    </w:p>
    <w:p>
      <w:pPr>
        <w:ind w:right="3539" w:firstLine="424"/>
        <w:spacing w:after="0" w:line="242" w:lineRule="auto"/>
        <w:tabs>
          <w:tab w:leader="none" w:pos="58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reviewed below, Lazard Freres discussed with the Board of Directors of Paramount that although there were arguments to support (and refute) a higher multiple for either of the proposed QVC or Viacom combinations, Lazard Freres had no reason to conclude from a financial point of view that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03" w:right="1440" w:bottom="1440" w:gutter="0" w:footer="0" w:header="0"/>
        </w:sectPr>
      </w:pPr>
    </w:p>
    <w:bookmarkStart w:id="82" w:name="page83"/>
    <w:bookmarkEnd w:id="82"/>
    <w:p>
      <w:pPr>
        <w:ind w:right="3699"/>
        <w:spacing w:after="0" w:line="242" w:lineRule="auto"/>
        <w:rPr>
          <w:sz w:val="20"/>
          <w:szCs w:val="20"/>
          <w:color w:val="auto"/>
        </w:rPr>
      </w:pPr>
      <w:r>
        <w:rPr>
          <w:rFonts w:ascii="Courier New" w:cs="Courier New" w:eastAsia="Courier New" w:hAnsi="Courier New"/>
          <w:sz w:val="14"/>
          <w:szCs w:val="14"/>
          <w:color w:val="auto"/>
        </w:rPr>
        <w:t>either of the proposed combinations should be assigned a higher multiple, and thus in most instances, Lazard Freres' analysis compared the Amended QVC Proposal, the Viacom Alone Proposal and the Viacom-Blockbuster Proposal at the same EBITDA multiples.</w:t>
      </w:r>
    </w:p>
    <w:p>
      <w:pPr>
        <w:spacing w:after="0" w:line="165" w:lineRule="exact"/>
        <w:rPr>
          <w:sz w:val="20"/>
          <w:szCs w:val="20"/>
          <w:color w:val="auto"/>
        </w:rPr>
      </w:pPr>
    </w:p>
    <w:p>
      <w:pPr>
        <w:ind w:right="3539" w:firstLine="424"/>
        <w:spacing w:after="0" w:line="243" w:lineRule="auto"/>
        <w:tabs>
          <w:tab w:leader="none" w:pos="58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also reviewed its various observations regarding the trading activity of QVC Common Stock and Viacom Class B Common Stock noting that, since September 13, 1993 (the date of the first public announcement of the Original Merger), QVC Common Stock had fallen 27% and Viacom Class B Common Stock had fallen 43%. In addition, Lazard Freres explained that it was likely that the stock price of the apparent leader for Paramount would drop and that of the apparent trailing bidder would rise, as the ultimate resolution of the bidding approached, and this phenomenon may have explained the then recent trading activity of QVC Common Stock and Viacom Class B Common Stock, with the price of QVC Common Stock rising, and the price of Viacom Class B Common Stock falling, amid various reports that the market favored Viacom's bid. Lazard Freres also noted that this phenomenon could affect the outcome of the shareholder vote of the Blockbuster stockholders on the proposed Blockbuster Merger. However, Lazard Freres commented that, rather than comparing the implied bid values on the basis of a "winning" and "losing" bid, the more relevant comparison would be to compare the implied bid values of each bid assuming that bid were the winning bid, and most importantly, Lazard Freres explained that given the bidding process, the holders of Paramount Common Stock would have the ability to choose between the Amended QVC Proposal and the Amended Viacom Proposal based on their own views of value.</w:t>
      </w:r>
    </w:p>
    <w:p>
      <w:pPr>
        <w:spacing w:after="0" w:line="167" w:lineRule="exact"/>
        <w:rPr>
          <w:sz w:val="20"/>
          <w:szCs w:val="20"/>
          <w:color w:val="auto"/>
        </w:rPr>
      </w:pPr>
    </w:p>
    <w:p>
      <w:pPr>
        <w:ind w:right="3539" w:firstLine="424"/>
        <w:spacing w:after="0" w:line="265" w:lineRule="auto"/>
        <w:tabs>
          <w:tab w:leader="none" w:pos="586"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Lazard Freres advised the Board of Directors of Paramount of the status of the proposed Blockbuster Merger, including noting that it had again confirmed with Merrill Lynch, Pierce, Fenner &amp; Smith Incorporated, Blockbuster's financial advisor, that Blockbuster had not received any expressions of interest from third parties and summarizing the anticipated timetable for the Blockbuster Merger provided to Lazard Freres by Viacom and Blockbuster.</w:t>
      </w:r>
    </w:p>
    <w:p>
      <w:pPr>
        <w:spacing w:after="0" w:line="151" w:lineRule="exact"/>
        <w:rPr>
          <w:sz w:val="20"/>
          <w:szCs w:val="20"/>
          <w:color w:val="auto"/>
        </w:rPr>
      </w:pPr>
    </w:p>
    <w:p>
      <w:pPr>
        <w:ind w:right="3539" w:firstLine="424"/>
        <w:spacing w:after="0" w:line="262" w:lineRule="auto"/>
        <w:tabs>
          <w:tab w:leader="none" w:pos="586"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addition, Lazard Freres reviewed a graphic representation of the stock price performance of QVC Common Stock, Viacom Class B Common Stock, Blockbuster Common Stock and Paramount Common Stock during the period from September 13,</w:t>
      </w:r>
    </w:p>
    <w:p>
      <w:pPr>
        <w:ind w:right="3619"/>
        <w:spacing w:after="0" w:line="241"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1993 through February 3, 1994 and the stock performance of QVC Common Stock and Viacom Class B Common Stock during the period from December 20, 1993 through February 3, 1994.</w:t>
      </w:r>
    </w:p>
    <w:p>
      <w:pPr>
        <w:spacing w:after="0" w:line="163"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PRO FORMA FINANCIAL AND CREDIT ANALYSIS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Lazard Freres reviewed its analysis of the pro forma financial statements for each of the proposed QVC/Paramount combination, proposed Viacom/Paramount combination and proposed Viacom-Blockbuster/Paramount combination using each company's estimated fiscal year 1993 data. Lazard Freres noted that pro forma 1993 EBITDA was estimated to be $756 million (12.2% margin) for the QVC/Paramount combination, $1,126 million (16.2% margin) for the Viacom/Paramount combination and $1,594 million (17.3% margin) for the Viacom-Blockbuster/Paramount combination, and due to large goodwill amortization, interest expense and preferred dividend charges, no combination would be expected to have a meaningful level of net earnings. As noted above, of the three possible combinations, Lazard Freres explained that the proposed Viacom-Blockbuster/Paramount combined company would produce the strongest credit ratios while the proposed Viacom/Paramount combined company would have the weakest. Lazard Freres explained that the Blockbuster Merger would significantly improve Viacom's credit ratios because Blockbuster has substantial cash flow and a relatively low level of debt, and Viacom would be acquiring Blockbuster in the Blockbuster Merger for all stock. Lazard Freres further commented that while there was no assurance that the Blockbuster Merger would be consummated, the parties involved had informed Lazard Freres that they expected the</w:t>
      </w:r>
    </w:p>
    <w:p>
      <w:pPr>
        <w:spacing w:after="0" w:line="15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03" w:right="1440" w:bottom="1440" w:gutter="0" w:footer="0" w:header="0"/>
        </w:sectPr>
      </w:pPr>
    </w:p>
    <w:bookmarkStart w:id="83" w:name="page84"/>
    <w:bookmarkEnd w:id="83"/>
    <w:p>
      <w:pPr>
        <w:ind w:right="3539"/>
        <w:spacing w:after="0" w:line="243" w:lineRule="auto"/>
        <w:rPr>
          <w:sz w:val="20"/>
          <w:szCs w:val="20"/>
          <w:color w:val="auto"/>
        </w:rPr>
      </w:pPr>
      <w:r>
        <w:rPr>
          <w:rFonts w:ascii="Courier New" w:cs="Courier New" w:eastAsia="Courier New" w:hAnsi="Courier New"/>
          <w:sz w:val="14"/>
          <w:szCs w:val="14"/>
          <w:color w:val="auto"/>
        </w:rPr>
        <w:t>proposed Blockbuster Merger to close in April 1994. In addition, Lazard Freres noted that Viacom had attempted to reduce the credit risk by adding the exchange feature to the Viacom Merger Debentures. Finally, Lazard Freres noted that with respect to the potential obligation of Viacom as a result of the CVRs: the maximum obligation for Viacom could be as much as approximately $1.0 billion if the CVRs were not extinguished until the third anniversary of the Paramount Merger; under the terms of the CVRs, Viacom could delay the payment of its potential obligation for up to three years; and while Viacom could satisfy its obligation under the CVRs by issuing shares of Viacom Class B Common Stock, such an issuance would dilute the then existing shareholders and, hence, could put downward pressure on Viacom's stock price.</w:t>
      </w:r>
    </w:p>
    <w:p>
      <w:pPr>
        <w:spacing w:after="0" w:line="164"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Lazard Freres also reviewed the pro forma income statements and balance sheets for each of the three possible combinations and selected credit ratios for each of them.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VALUATION ANALYSIS OF AMENDED VIACOM PROPOSAL AND AMENDED QVC PROPOSAL</w:t>
      </w:r>
    </w:p>
    <w:p>
      <w:pPr>
        <w:spacing w:after="0" w:line="166" w:lineRule="exact"/>
        <w:rPr>
          <w:sz w:val="20"/>
          <w:szCs w:val="20"/>
          <w:color w:val="auto"/>
        </w:rPr>
      </w:pPr>
    </w:p>
    <w:p>
      <w:pPr>
        <w:ind w:right="3699" w:firstLine="418"/>
        <w:spacing w:after="0" w:line="264" w:lineRule="auto"/>
        <w:rPr>
          <w:sz w:val="20"/>
          <w:szCs w:val="20"/>
          <w:color w:val="auto"/>
        </w:rPr>
      </w:pPr>
      <w:r>
        <w:rPr>
          <w:rFonts w:ascii="Courier New" w:cs="Courier New" w:eastAsia="Courier New" w:hAnsi="Courier New"/>
          <w:sz w:val="13"/>
          <w:szCs w:val="13"/>
          <w:color w:val="auto"/>
        </w:rPr>
        <w:t>Lazard Freres reviewed various analyses with respect to the valuation of the Amended Viacom Proposal and the Amended QVC Proposal and expressly noted that Lazard Freres did not factor into its analysis any combination benefits such as cost savings or revenue enhancement and expressly cautioned that given the uncertainties involved in these valuation analyses, the volatility of the stock prices of QVC and Viacom, the dynamic market conditions and the possible changes in the complexion of any of the potential combinations, none of these valuation analyses should be viewed as a reliable predictor of stock prices.</w:t>
      </w:r>
    </w:p>
    <w:p>
      <w:pPr>
        <w:spacing w:after="0" w:line="1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Current Market Analysis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Lazard Freres first reviewed its current market analysis of the equity portion (and resulting implied total consideration) of each of the Amended QVC Proposal, the Viacom Alone Proposal and the Viacom-Blockbuster Proposal pursuant to which Lazard Freres calculated these values by applying the exchange ratio of each Proposal to the then current market prices of the securities being offered. Based on the closing price of QVC Common Stock and Viacom Class B Common Stock on February 3, 1994, Lazard Freres analysis showed that the implied value of the total consideration offered in (i) the Amended QVC Proposal was $86.71 per share of Paramount Common Stock, comprised of $52.10 of cash (60.1% of total), $3.76 of New QVC Merger Preferred Stock (4.3% of total), $2.55 of the ten-year warrants to purchase QVC Common Stock (2.9% of total) and $28.30 of QVC Common Stock (32.6% of total); (ii) the Viacom Alone Proposal was $81.49 per share of Paramount Common Stock, comprised of $53.61 of cash (65.8% of total), $6.01 of Series C Preferred Stock (7.4% of total), $1.41 of Viacom Three-Year Warrants (1.7% of total), $0.84 of Viacom Five-Year Warrants (1.0% of total), $3.84 of CVR (4.7% of total) and $15.79 of Viacom Class B Common Stock (19.4% of total); and (iii) the Viacom-Blockbuster Proposal was $83.31 per share of Paramount Common Stock, comprised of $53.61 of cash (64.3% of total), $8.41 of Viacom Merger Debentures (10.1% of total), $0.82 of Viacom Three-Year Warrants (1.0% of total), $0.82 of Viacom Five-Year Warrants (1.0% of total), $3.87 of CVR (4.6% of total) and $15.79 of Viacom Class B Common Stock (19.0% of total).</w:t>
      </w:r>
    </w:p>
    <w:p>
      <w:pPr>
        <w:spacing w:after="0" w:line="31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Lazard Freres also reviewed the implied value of the total consideration offered in the Amended QVC Proposal, the Viacom Alone Proposal and the Viacom-Blockbuster Proposal based on the closing market price of QVC Common Stock and Viacom Class B Common Stock of February 1, 1994 (which was reflective of the market immediately prior to the public announcement of the Proposals): $85.91 per share for the Amended QVC Proposal, $81.61 per share for the Viacom Alone Proposal and $83.35 per share for the Viacom-Blockbuster Proposal. The relative percentages of the components of each bid were essentially identical to the percentages for the February 3, 1994 market prices. Lazard Freres observed that, using the respective closing market prices of QVC Common Stock and Viacom Class B</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03" w:right="1440" w:bottom="1440" w:gutter="0" w:footer="0" w:header="0"/>
        </w:sectPr>
      </w:pPr>
    </w:p>
    <w:bookmarkStart w:id="84" w:name="page85"/>
    <w:bookmarkEnd w:id="84"/>
    <w:p>
      <w:pPr>
        <w:ind w:right="3539"/>
        <w:spacing w:after="0" w:line="243" w:lineRule="auto"/>
        <w:rPr>
          <w:sz w:val="20"/>
          <w:szCs w:val="20"/>
          <w:color w:val="auto"/>
        </w:rPr>
      </w:pPr>
      <w:r>
        <w:rPr>
          <w:rFonts w:ascii="Courier New" w:cs="Courier New" w:eastAsia="Courier New" w:hAnsi="Courier New"/>
          <w:sz w:val="14"/>
          <w:szCs w:val="14"/>
          <w:color w:val="auto"/>
        </w:rPr>
        <w:t>Common Stock on February 3, 1994, if the price of the Viacom Class B Common Stock had remained unchanged, the price of QVC Common Stock would have to decline by 19% for the respective implied market values of the total consideration offered in the Amended QVC Proposal and the Viacom Alone Proposal to be equivalent and by 12% for the respective implied market values of the total consideration offered in the Amended QVC Proposal and the Viacom-Blockbuster Proposal to be equivalent, and, conversely, if the price of QVC Common Stock had remained unchanged, the price of Viacom Class B Common Stock would have to rise by 33% for the respective implied market values of the total consideration offered in the Amended QVC Proposal and the Viacom Alone Proposal to be equivalent and by 21% for the respective implied market values of the total consideration offered in the Amended QVC Proposal and the Viacom-Blockbuster Proposal to be equivalent.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Recent Market Value Analysis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Lazard Freres next reviewed with the Board of Directors of Paramount its recent market analysis of each Proposal by applying the exchange ratio of each Proposal to the average prices of QVC Common Stock and Viacom Class B Common Stock over various time periods from one week prior to February 4, 1994 up to six months prior to February 4, 1994. Lazard Freres noted that the implied value of the total consideration offered in the Amended QVC Proposal was higher than the value of the Viacom Alone Proposal during each period other than one, but lower than the Viacom-Blockbuster Proposal during each period other than with the one and two week averages and the six month average.</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Comparable Public Company Trading Analysis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Lazard Freres also discussed with the Board of Directors of Paramount that it performed comparable public company trading multiple analysis of each of the Proposals in which Lazard Freres applied the multiples of comparable public companies to the estimated pro forma 1993 and 1994 EBITDA for each of the three possible combinations to arrive at an implied value of the total consideration offered in each Proposal. In connection with its analysis, Lazard Freres noted that each of the pro forma QVC/Paramount, Viacom/Paramount and Viacom-Blockbuster/Paramount combinations may be perceived in the market to be a "diversified entertainment and intellectual property company" rather than a "pure-play home shopping network company" (in the case of the pro forma QVC combination) or a "pure-play cable network/programming company" (in the case of either of the pro forma Viacom combinations). Lazard Freres further noted that while there were no public companies with precisely the same mix of businesses as the pro forma combined companies, perhaps the most relevant comparable companies were Time Warner Inc. ("Time Warner"), The Walt Disney Company ("Disney") and Turner Broadcasting Systems, Inc. ("Turner"), and when Lazard Freres applied the multiples for these companies to the estimated pro forma 1993 and 1994 EBITDA for each of three possible pro forma combinations, the implied bid values of the total consideration offered in the Amended QVC Proposal, the Viacom Alone Proposal and the Viacom-Blockbuster Proposal were below the then current market values of the Proposals (based on the closing prices of QVC Common Stock and Viacom Class B Common Stock on February 3, 1994). In addition, Lazard Freres commented to the Board of Directors of Paramount that the estimated 1993 and 1994 EBITDA multiples for Time Warner, Disney and Turner that were used in its analysis were based on estimates set forth in various research analyst reports.</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Lazard Freres' analysis showed that applying Time Warner's multiples of 11.2 times 1993 estimated EBITDA and 10.4 times 1994 estimated EBITDA to the pro forma estimated 1993 and 1994 EBITDA for each of the three possible combinations, the implied common equity prices for the pro forma combined QVC/Paramount company were $18.11 per share and $19.23 per share, respectively, and the implied values of the total consideration offered in the Amended QVC Proposal were $69.58 per share and $70.27 per share, respectively; the implied common equity (i.e., Viacom Class B Common</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02" w:right="1440" w:bottom="1440" w:gutter="0" w:footer="0" w:header="0"/>
        </w:sectPr>
      </w:pPr>
    </w:p>
    <w:bookmarkStart w:id="85" w:name="page86"/>
    <w:bookmarkEnd w:id="85"/>
    <w:p>
      <w:pPr>
        <w:ind w:right="3539"/>
        <w:spacing w:after="0" w:line="262" w:lineRule="auto"/>
        <w:rPr>
          <w:sz w:val="20"/>
          <w:szCs w:val="20"/>
          <w:color w:val="auto"/>
        </w:rPr>
      </w:pPr>
      <w:r>
        <w:rPr>
          <w:rFonts w:ascii="Courier New" w:cs="Courier New" w:eastAsia="Courier New" w:hAnsi="Courier New"/>
          <w:sz w:val="13"/>
          <w:szCs w:val="13"/>
          <w:color w:val="auto"/>
        </w:rPr>
        <w:t>Stock) prices for the pro forma combined Viacom/Paramount company were $14.05 per share and $16.28 per share, respectively, and the implied values of the total consideration offered in the Viacom Alone Proposal were $72.23 per share and $73.26 per share, respectively; and the implied common equity values for the pro forma combined Viacom-Blockbuster/Paramount company were $18.35 and $24.18 per share, respectively, and the implied values of the total consideration offered in the Viacom-Blockbuster Proposal were $76.04 per share and $78.75 per share, respectively. In addition, Lazard Freres reviewed its analysis that showed that by applying Disney's multiples of 13.3 times 1993 EBITDA and 12.2 times 1994 estimated EBITDA to the pro forma estimated 1993 and 1994 EBITDA for each of the three possible combinations, the implied common equity prices for the pro forma combined QVC/Paramount company were $27.04 per share and $27.67 per share, respectively, and the implied values of the total consideration offered in the Amended QVC Proposal were $75.09 per share and $75.48 per share, respectively; the implied common equity prices for the pro forma combined Viacom/Paramount company were $25.22 per share and $26.99 per share, respectively, and the implied values of the total consideration offered in the Viacom Alone Proposal were $77.41 per share and $78.24 per share, respectively; and the implied common equity prices for the pro forma combined Viacom-Blockbuster/Paramount company were $26.59 per share and $32.88 per share, respectively, and the implied values of the total consideration offered in the Viacom-Blockbuster Proposal were $79.87 per share and $82.79 per share. Finally, Lazard Freres discussed its analysis of Turner's multiples that revealed that by applying Turner's multiples of 14.8 times 1993 estimated EBITDA and 11.9 times 1994 estimated EBITDA to the pro forma estimated 1993 and 1994 EBITDA for each of the three possible combinations, the implied common equity prices for the pro forma combined QVC/Paramount company were $33.15 per share and $26.17 per share, respectively, and the implied values of the total consideration offered in the Amended QVC Proposal were $78.86 per share and $74.55 per share, respectively; the implied common equity price for the pro forma combined Viacom/Paramount company were $32.86 per share and $25.08 per share, respectively, and the implied values of the total consideration offered in the Viacom Alone Proposal were $80.96 per share and $77.35 per share, respectively, and the implied common equity prices for the pro forma combined Viacom-Blockbuster/Paramount company were $32.23 per share and $31.33 per share, respectively, and the implied values of the total consideration offered in the Viacom-Blockbuster Proposal were $82.49 per share and $82.07 per share, respectively.</w:t>
      </w:r>
    </w:p>
    <w:p>
      <w:pPr>
        <w:spacing w:after="0" w:line="32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connection with its comparable public company trading multiple analysis, Lazard Freres reviewed with the Board of Directors of Paramount various historical and projected financial information regarding Time Warner, Disney and Turner.</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Discounted Cash Flow ("DCF") Analysis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Lazard Freres discussed with the Board of Directors of Paramount its DCF analysis of each of the Proposals. In connection with preparing its DCF analysis, Lazard Freres was provided with projections, on a stand-alone basis, for each of QVC (covering six years), Viacom (covering three years) and Blockbuster (covering four years). Lazard Freres noted that it had conducted due diligence reviews of each of QVC, Viacom and Blockbuster and found that these projections appeared to be based on reasonable assumptions, and thus Lazard Freres did not alter the operating assumptions in performing its DCF analysis. Lazard Freres explained that by using these projections, it generated a hypothetical, debt-free "long-term investment value" of each of the companies and these values were based on assumed discount rates ranging between 9% and 12% and assumed terminal value multiples ranging between 10 times and 16 times EBITDA for the final projected year of each of QVC and Viacom and assumed terminal value multiples ranging between 8 times and 14 times EBITDA for the final projected year of Blockbuster. In preparing its DCF analysis, Lazard Freres used the third projected year for each company as the final projected year. Since Paramount did not prepare projections beyond the then</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02" w:right="1440" w:bottom="1440" w:gutter="0" w:footer="0" w:header="0"/>
        </w:sectPr>
      </w:pPr>
    </w:p>
    <w:bookmarkStart w:id="86" w:name="page87"/>
    <w:bookmarkEnd w:id="86"/>
    <w:p>
      <w:pPr>
        <w:ind w:right="3539"/>
        <w:spacing w:after="0" w:line="243" w:lineRule="auto"/>
        <w:rPr>
          <w:sz w:val="20"/>
          <w:szCs w:val="20"/>
          <w:color w:val="auto"/>
        </w:rPr>
      </w:pPr>
      <w:r>
        <w:rPr>
          <w:rFonts w:ascii="Courier New" w:cs="Courier New" w:eastAsia="Courier New" w:hAnsi="Courier New"/>
          <w:sz w:val="14"/>
          <w:szCs w:val="14"/>
          <w:color w:val="auto"/>
        </w:rPr>
        <w:t>current fiscal year, Lazard Freres noted that it added the "unaffected" market capitalization of Paramount (i.e., the aggregate unaffected equity market value, plus the aggregate outstanding debt, less cash) to these discounted cash flow values for each of the three companies in order to derive an implied pro forma combined asset value for each of the three possible combinations. In order to derive an implied value for the total consideration offered in each of the Proposals, Lazard Freres explained that it used these implied pro forma combined asset values to determine the hypothetical pro forma combined equity values of each of the proposed combinations. Lazard Freres reviewed the results of its DCF analysis which showed that with a terminal value multiple of 12 times EBITDA (except in the case of Blockbuster, in which 10 times EBITDA was used) and a discount rate of 11%, the Amended QVC Proposal had an implied value of $73.68 per share, the Viacom Alone Proposal had an implied value of $76.66 per share and the Viacom-Blockbuster Proposal had an implied value of $81.84 per share and that with a terminal value multiple of 14 times EBITDA (except in the case of Blockbuster, in which 12 times EBITDA was used) and a discount rate of 10%, the Amended QVC Proposal had an implied value of $75.52 per share, the Viacom Alone Proposal had an implied value of $79.84 per share and the Viacom-Blockbuster Proposal had an implied value of $85.45 per share.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Weighted Average Multiple Analysis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Finally, Lazard Freres presented its weighted average multiple analysis of the Proposals. Lazard Freres explained that this analysis produced an implied valuation of the total consideration offered in each Proposal by first adding the "unaffected" EBITDA multiples of each bidder, including Blockbuster in the proposed three-way combination (i.e., the EBITDA multiple one month prior to the first public announcement of the proposed Paramount transactions for each company), to that of Paramount to arrive at a weighted average multiple for each pro forma combined company, and by then applying that multiple to the estimated pro forma 1993 EBITDA for each of the three proposed combined companies. With Paramount's multiple of 11.9 times estimated EBITDA, Lazard Freres noted that the combined weighted average multiple for the proposed QVC/Paramount combined company was 13.2 times estimated 1993 EBITDA, for the proposed Viacom/Paramount combined company was 14.6 times estimated 1993 EBITDA and for the proposed Viacom-Blockbuster/Paramount combined company was 14.5 times estimated 1993 EBITDA. Lazard Freres indicated that the QVC/Paramount combined multiple was lower because Paramount's EBITDA (which on an unaffected basis commanded a lower multiple) accounts for a greater proportion (about three-quarters) of the total than in the Viacom/Paramount combined company (about half) or in the Viacom-Blockbuster/Paramount combined company (about one-third). Lazard Freres explained to the Board of Directors of Paramount that the actual stock prices and trading multiples for any of the proposed combined companies may reflect the market's perception of such factors as cost savings opportunities, revenue growth opportunities, the impact of a change in management, difference in the leverage of each combination and the loss of "pure play" investment opportunity, and these possible factors were not taken into account in its analysis. Lazard Freres further noted that weighted average multiple analysis was a useful tool for further analysis because it generates pro forma stock values for each of the possible combined companies based upon pre-transaction trading multiples; however, Lazard Freres pointed out that neither the QVC Common Stock nor the Viacom Class B Common Stock had been trading at the price implied by the weighted average multiple analysis, and, in fact, both stocks were, and had been, above these theoretical levels since the proposed transactions were publicly announced. Lazard Freres presented to the Board of Directors of Paramount the results of its weighted average multiple analysis that showed that the implied value of the consideration offered for (i) the Amended QVC Proposal was $74.51 per share (with a weighted average EBITDA multiple of 13.2 times),</w:t>
      </w:r>
    </w:p>
    <w:p>
      <w:pPr>
        <w:spacing w:after="0" w:line="166" w:lineRule="exact"/>
        <w:rPr>
          <w:sz w:val="20"/>
          <w:szCs w:val="20"/>
          <w:color w:val="auto"/>
        </w:rPr>
      </w:pPr>
    </w:p>
    <w:p>
      <w:pPr>
        <w:ind w:right="3799" w:firstLine="6"/>
        <w:spacing w:after="0" w:line="269" w:lineRule="auto"/>
        <w:tabs>
          <w:tab w:leader="none" w:pos="418"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Viacom Alone Proposal was $79.36 per share (with a weighted average EBITDA multiple of 14.6 times), and (iii) the Viacom-Blockbuster proposal was $81.44 per share (with a weighted average EBITDA multiple of 14.5 times).</w:t>
      </w:r>
    </w:p>
    <w:p>
      <w:pPr>
        <w:spacing w:after="0" w:line="14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03" w:right="1440" w:bottom="1440" w:gutter="0" w:footer="0" w:header="0"/>
        </w:sectPr>
      </w:pPr>
    </w:p>
    <w:bookmarkStart w:id="87" w:name="page88"/>
    <w:bookmarkEnd w:id="87"/>
    <w:p>
      <w:pPr>
        <w:ind w:left="2260"/>
        <w:spacing w:after="0"/>
        <w:rPr>
          <w:sz w:val="20"/>
          <w:szCs w:val="20"/>
          <w:color w:val="auto"/>
        </w:rPr>
      </w:pPr>
      <w:r>
        <w:rPr>
          <w:rFonts w:ascii="Courier New" w:cs="Courier New" w:eastAsia="Courier New" w:hAnsi="Courier New"/>
          <w:sz w:val="14"/>
          <w:szCs w:val="14"/>
          <w:color w:val="auto"/>
        </w:rPr>
        <w:t>TRADING MULTIPLE ANALYSIS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Lazard Freres also discussed with the Board of Directors of Paramount that its analysis indicated that if each of the three proposed combined companies traded at the same multiple of EBITDA, the total implied value of the consideration offered in either the Viacom Alone Proposal or the Viacom-Blockbuster Proposal would be in excess of the total implied value of the consideration offered in the Amended QVC Proposal; however, if the proposed QVC/Paramount combined company were to trade at a higher multiple, the total implied value of the consideration offered in the Amended QVC Proposal would have equaled or exceeded the total implied value of the consideration offered in either the Viacom Alone Proposal or the Viacom-Blockbuster Proposal. Lazard Freres reviewed various arguments that would have supported a higher multiple for one Proposal over another Proposal, but concluded that its analysis did not provide a reasonable basis to conclude from a financial point of view whether any of the three proposed combined companies would in fact trade at a higher multiple than any of the others.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the course of its presentation at the meeting of the Board of Directors of Paramount on February 4, 1994, Lazard Freres referred to summary materials prepared by Lazard Freres that covered various items that Lazard Freres had reviewed with the Paramount Board at earlier meetings at which prior bids by QVC and Viacom were discussed. These items included a detailed overview of the proposed Blockbuster Merger (including a description of the VCRs), the terms and conditions of Blockbuster's commitment to purchase $1.25 billion of Viacom Class B Common Stock pursuant to the Blockbuster Subscription Agreement, and the "make-whole" rights offered by Viacom to Blockbuster under the Blockbuster Subscription Agreement. In addition, Lazard Freres reviewed the pro forma ownership profile of the surviving companies for each of three proposed combined companies under the Proposals.</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These summary materials prepared by Lazard Freres also presented an overview of Blockbuster's business (including a summary of Blockbuster's operations by business segment), a financial summary, a comparative analysis of Blockbuster's multiples to comparable companies, a discussion of the risk of obsolescence of Blockbuster's core video rental business and a stock ownership profile of Blockbuster.</w:t>
      </w:r>
    </w:p>
    <w:p>
      <w:pPr>
        <w:spacing w:after="0" w:line="167"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Lazard Freres had also summarized terms and conditions of the sources of bank and strategic investor equity financing for each of the Amended QVC Proposal and the Amended Viacom Proposal. Moreover, these materials included a graphic representation of the stock price performance of QVC Common Stock, Viacom Class B Common Stock, Paramount Common Stock and Blockbuster Common Stock, as well as the S&amp;P 400 Index over approximately 18-month and five-year time periods and an analysis using 1993 estimated EBITDA for each of Paramount, QVC, Blockbuster and Viacom that set forth the contribution that each company would provide to total pro forma 1993 estimated EBITDA for each of the three combined companies. This analysis showed that Paramount's business would contribute approximately 75% of the EBITDA in a merger with QVC, whereas the contribution by Viacom in the pro forma Viacom/Paramount combined company would be approximately 50% and the contributions by each of Viacom and Blockbuster would be approximately one-third in the pro forma Viacom-Blockbuster/Paramount combined company. Lazard Freres also summarized each bidder's views regarding the potential benefits that could be achieved by combining Paramount with each of them and the views of Paramount's management regarding these possible combination benefits. Finally, Lazard Freres described the results of various sensitivity analyses that it performed on the implied value of the total consideration offered in each of the Proposals that revealed that the implied values of each of the Proposals were sensitive to changes in assumed EBITDA or the assumed multiple at which the assumed EBITDA is capitalized.</w:t>
      </w:r>
    </w:p>
    <w:p>
      <w:pPr>
        <w:spacing w:after="0" w:line="325" w:lineRule="exact"/>
        <w:rPr>
          <w:sz w:val="20"/>
          <w:szCs w:val="20"/>
          <w:color w:val="auto"/>
        </w:rPr>
      </w:pPr>
    </w:p>
    <w:p>
      <w:pPr>
        <w:jc w:val="both"/>
        <w:ind w:right="3879" w:firstLine="418"/>
        <w:spacing w:after="0" w:line="241" w:lineRule="auto"/>
        <w:rPr>
          <w:sz w:val="20"/>
          <w:szCs w:val="20"/>
          <w:color w:val="auto"/>
        </w:rPr>
      </w:pPr>
      <w:r>
        <w:rPr>
          <w:rFonts w:ascii="Courier New" w:cs="Courier New" w:eastAsia="Courier New" w:hAnsi="Courier New"/>
          <w:sz w:val="14"/>
          <w:szCs w:val="14"/>
          <w:color w:val="auto"/>
        </w:rPr>
        <w:t>At the request of Mr. Donald Oresman of Paramount on February 14, 1994, Lazard Freres delivered a letter, dated February 14, 1994 (the "February 14, 1994 Letter"), to Mr. Oresman advising</w:t>
      </w:r>
    </w:p>
    <w:p>
      <w:pPr>
        <w:spacing w:after="0" w:line="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00" w:right="1440" w:bottom="1440" w:gutter="0" w:footer="0" w:header="0"/>
        </w:sectPr>
      </w:pPr>
    </w:p>
    <w:bookmarkStart w:id="88" w:name="page89"/>
    <w:bookmarkEnd w:id="88"/>
    <w:p>
      <w:pPr>
        <w:ind w:right="3619"/>
        <w:spacing w:after="0" w:line="239" w:lineRule="auto"/>
        <w:rPr>
          <w:sz w:val="20"/>
          <w:szCs w:val="20"/>
          <w:color w:val="auto"/>
        </w:rPr>
      </w:pPr>
      <w:r>
        <w:rPr>
          <w:rFonts w:ascii="Courier New" w:cs="Courier New" w:eastAsia="Courier New" w:hAnsi="Courier New"/>
          <w:sz w:val="14"/>
          <w:szCs w:val="14"/>
          <w:color w:val="auto"/>
        </w:rPr>
        <w:t>him that, as of February 14, 1994, Lazard Freres reaffirmed its written opinion addressed to the Paramount Board, dated February 4, 1994.</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OPINION OF LAZARD FRERES DATED FEBRUARY 4, 1994 (AND ANNEXED HERETO) SHOULD BE READ IN ITS ENTIRETY. THE SUMMARY OF THE FINANCIAL AND COMPARATIVE ANALYSES SET FORTH ABOVE CONTAINS INFORMATION WITH RESPECT TO ALL MATERIAL ANALYSES EMPLOYED BY LAZARD FRERES IN REACHING ITS OPINION ON FEBRUARY 4, 1994 AND ITS CONCLUSION IN THE FEBRUARY 14, 1994 LETTER BUT DOES NOT PURPORT TO BE A COMPLETE DESCRIPTION OF THE PRESENTATION OF LAZARD FRERES TO THE BOARD OF DIRECTORS OF PARAMOUNT ON FEBRUARY 4, 1994 OR THE ANALYSES CONDUCTED BY LAZARD FRERES. LAZARD FRERES BELIEVES THAT ITS ANALYSES MUST BE CONSIDERED AS A WHOLE AND THAT SELECTING PORTIONS OF ITS ANALYSES AND THE FACTORS CONSIDERED BY IT, WITHOUT CONSIDERING ALL FACTORS AND ANALYSES, COULD CREATE AN INCOMPLETE AND/OR MISLEADING VIEW OF THE PROCESS UNDERLYING ITS OPINION. THE PREPARATION OF AN OPINION IS A COMPLEX PROCESS AND IS NOT NECESSARILY SUSCEPTIBLE TO PARTIAL ANALYSIS OR SUMMARY DESCRIPTION. IN PERFORMING ITS ANALYSES, LAZARD FRERES MADE NUMEROUS ASSUMPTIONS WITH RESPECT TO INDUSTRY PERFORMANCE, GENERAL BUSINESS AND ECONOMIC CONDITIONS AND OTHER MATTERS, MANY OF WHICH ARE BEYOND THE CONTROL OF PARAMOUNT, VIACOM, QVC OR BLOCKBUSTER. ANY ESTIMATE CONTAINED IN THE ANALYSES PERFORMED BY LAZARD FRERES IS NOT NECESSARILY INDICATIVE OF ACTUAL VALUES OR ACTUAL FUTURE RESULTS, WHICH MAY BE SIGNIFICANTLY MORE OR LESS FAVORABLE THAN AS SET FORTH THEREIN. ANALYSES RELATING TO THE VALUE OF ANY BUSINESS DO NOT PURPORT TO BE APPRAISALS OR TO REFLECT THE PRICES AT WHICH ANY SUCH BUSINESS MAY ACTUALLY BE SOLD. BECAUSE SUCH ESTIMATES ARE INHERENTLY SUBJECT TO UNCERTAINTY, NONE OF PARAMOUNT, LAZARD FRERES OR ANY OTHER PERSON ASSUMES RESPONSIBILITY FOR THEIR ACCURACY.</w:t>
      </w:r>
    </w:p>
    <w:p>
      <w:pPr>
        <w:spacing w:after="0" w:line="168"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Lazard Freres is a nationally recognized investment banking firm and is continually engaged in the valuation of businesses and their securities in connection with mergers and acquisitions, negotiated underwritings, secondary distributions of listed and unlisted securities, private placements, leveraged buyouts, and valuations for estate, corporate and other purposes. Lazard Freres was selected to act as financial advisor to the Board of Directors of Paramount because of its expertise and its reputation in investment banking and mergers and acquisitions.</w:t>
      </w:r>
    </w:p>
    <w:p>
      <w:pPr>
        <w:spacing w:after="0" w:line="169" w:lineRule="exact"/>
        <w:rPr>
          <w:sz w:val="20"/>
          <w:szCs w:val="20"/>
          <w:color w:val="auto"/>
        </w:rPr>
      </w:pPr>
    </w:p>
    <w:p>
      <w:pPr>
        <w:ind w:right="3699" w:firstLine="418"/>
        <w:spacing w:after="0" w:line="263" w:lineRule="auto"/>
        <w:rPr>
          <w:sz w:val="20"/>
          <w:szCs w:val="20"/>
          <w:color w:val="auto"/>
        </w:rPr>
      </w:pPr>
      <w:r>
        <w:rPr>
          <w:rFonts w:ascii="Courier New" w:cs="Courier New" w:eastAsia="Courier New" w:hAnsi="Courier New"/>
          <w:sz w:val="13"/>
          <w:szCs w:val="13"/>
          <w:color w:val="auto"/>
        </w:rPr>
        <w:t>Pursuant to an engagement letter, dated September 12, 1993, with Lazard Freres (the "Lazard Engagement Letter"), Paramount paid Lazard Freres for its financial advisory services in connection with the Offer and the Paramount Merger (i) a fee of $3.0 million upon execution of the Viacom Merger Agreement on September 12, 1993, and (ii) an additional fee of $9.5 million upon consummation of the Offer. In addition, the Lazard Engagement Letter provides that Paramount will reimburse Lazard Freres for its reasonable out-of-pocket expenses (including fees and expenses of its legal counsel) and will indemnify Lazard Freres and certain related parties against certain liabilities arising out of the Offer and the Paramount Merger and its engagement.</w:t>
      </w:r>
    </w:p>
    <w:p>
      <w:pPr>
        <w:spacing w:after="0" w:line="15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Lazard Freres has from time to time in the past provided, and is currently providing, in matters unrelated to Paramount, financial advisory or financing services to one or more of the respective equity investors in Viacom and QVC, or persons engaged in pending transactions with one or more of such investors and has received, or expects to receive, fees for the rendering of such services. From 1985 to March 1994, Lester Pollack, a General Partner of Lazard Freres served as a director of Paramount. As of March 28, 1994, Lazard Freres and its affiliates held 6,990 shares of Paramount Common Stock (including 965 shares of Paramount Common Stock held by Mr. Pollack), 1,450 shares of Viacom Class A Common Stock, 9,260 shares of Viacom Class B Common Stock and 120 shares of Blockbuster Common Stock in customer trading and other accounts. In the ordinary course of its business, Lazard Freres and its affiliates may also actively trade in securities of Paramount, Viacom or Blockbuster for its own account and for the account of its customers and, accordingly, may at any time hold a long or short position in such securities.</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03"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INTERESTS OF CERTAIN PERSONS IN THE PARAMOUNT MERGER</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On May 25, 1993, Viacom established a Stock Option Plan (the "Plan") for Outside Directors (defined below). Pursuant to the Plan, members of the Viacom Board of Directors who are not officers or employees of Viacom or NAI or members of their immediate family ("Outside Directors") (as of May 25, 1993, George Abrams, Ken Miller and William Schwartz) received a one-time grant of stock options for 5,000 shares of Viacom Class B Common Stock with an exercise price of $45.25, the closing price of the Viacom Class B Common Stock on the AMEX on the date of grant. In addition, under the terms of the Plan, each new Outside Director, including Outside Directors of the combined company, receive a one-time grant of stock options for 5,000 shares of Viacom Class B Common Stock with an exercise price equal to the closing price of the Viacom Class B Common Stock on the AMEX on the date of such Outside Director's election or appointment to the Board. Each grant of stock options under this Plan will vest on the first anniversary of the date of grant. H. Wayne Huizenga (who holds such options for the benefit of Blockbuster), William C. Ferguson (who holds such options for the benefit of NYNEX) and Frederic V. Salerno (who holds such options for the benefit of NYNEX) each received a one-time grant of stock options for 5,000 shares of Viacom Class B Common Stock with an exercise price set at the closing price of the Viacom Class B Common Stock on the date of the grant as set out below. The Plan and all outstanding grants are subject to stockholder approval at the next annual stockholder meeting of Viacom or the combined company.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NAME</w:t>
            </w:r>
          </w:p>
        </w:tc>
        <w:tc>
          <w:tcPr>
            <w:tcW w:w="5360" w:type="dxa"/>
            <w:vAlign w:val="bottom"/>
          </w:tcPr>
          <w:p>
            <w:pPr>
              <w:spacing w:after="0"/>
              <w:rPr>
                <w:sz w:val="13"/>
                <w:szCs w:val="13"/>
                <w:color w:val="auto"/>
              </w:rPr>
            </w:pPr>
          </w:p>
        </w:tc>
        <w:tc>
          <w:tcPr>
            <w:tcW w:w="1880" w:type="dxa"/>
            <w:vAlign w:val="bottom"/>
          </w:tcPr>
          <w:p>
            <w:pPr>
              <w:ind w:left="500"/>
              <w:spacing w:after="0"/>
              <w:rPr>
                <w:sz w:val="20"/>
                <w:szCs w:val="20"/>
                <w:color w:val="auto"/>
              </w:rPr>
            </w:pPr>
            <w:r>
              <w:rPr>
                <w:rFonts w:ascii="Courier New" w:cs="Courier New" w:eastAsia="Courier New" w:hAnsi="Courier New"/>
                <w:sz w:val="14"/>
                <w:szCs w:val="14"/>
                <w:color w:val="auto"/>
              </w:rPr>
              <w:t>DATE OF GRANT</w:t>
            </w:r>
          </w:p>
        </w:tc>
        <w:tc>
          <w:tcPr>
            <w:tcW w:w="2140" w:type="dxa"/>
            <w:vAlign w:val="bottom"/>
            <w:gridSpan w:val="2"/>
          </w:tcPr>
          <w:p>
            <w:pPr>
              <w:jc w:val="right"/>
              <w:ind w:right="610"/>
              <w:spacing w:after="0"/>
              <w:rPr>
                <w:sz w:val="20"/>
                <w:szCs w:val="20"/>
                <w:color w:val="auto"/>
              </w:rPr>
            </w:pPr>
            <w:r>
              <w:rPr>
                <w:rFonts w:ascii="Courier New" w:cs="Courier New" w:eastAsia="Courier New" w:hAnsi="Courier New"/>
                <w:sz w:val="14"/>
                <w:szCs w:val="14"/>
                <w:color w:val="auto"/>
              </w:rPr>
              <w:t>EXERCISE PRICE</w:t>
            </w:r>
          </w:p>
        </w:tc>
      </w:tr>
      <w:tr>
        <w:trPr>
          <w:trHeight w:val="161"/>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0"/>
              </w:rPr>
              <w:t>- - - - -------------------------------------------------------------------------</w:t>
            </w: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H. Wayne Huizenga,</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1"/>
        </w:trPr>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for the</w:t>
            </w:r>
          </w:p>
        </w:tc>
        <w:tc>
          <w:tcPr>
            <w:tcW w:w="5360" w:type="dxa"/>
            <w:vAlign w:val="bottom"/>
          </w:tcPr>
          <w:p>
            <w:pPr>
              <w:spacing w:after="0"/>
              <w:rPr>
                <w:sz w:val="20"/>
                <w:szCs w:val="20"/>
                <w:color w:val="auto"/>
              </w:rPr>
            </w:pPr>
            <w:r>
              <w:rPr>
                <w:rFonts w:ascii="Courier New" w:cs="Courier New" w:eastAsia="Courier New" w:hAnsi="Courier New"/>
                <w:sz w:val="14"/>
                <w:szCs w:val="14"/>
                <w:color w:val="auto"/>
              </w:rPr>
              <w:t>benefit of Blockbuster.........................................</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October 22, 1993</w:t>
            </w:r>
          </w:p>
        </w:tc>
        <w:tc>
          <w:tcPr>
            <w:tcW w:w="8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70"/>
              <w:spacing w:after="0"/>
              <w:rPr>
                <w:sz w:val="20"/>
                <w:szCs w:val="20"/>
                <w:color w:val="auto"/>
              </w:rPr>
            </w:pPr>
            <w:r>
              <w:rPr>
                <w:rFonts w:ascii="Courier New" w:cs="Courier New" w:eastAsia="Courier New" w:hAnsi="Courier New"/>
                <w:sz w:val="14"/>
                <w:szCs w:val="14"/>
                <w:color w:val="auto"/>
              </w:rPr>
              <w:t>53.25</w:t>
            </w:r>
          </w:p>
        </w:tc>
      </w:tr>
      <w:tr>
        <w:trPr>
          <w:trHeight w:val="161"/>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William C. Ferguson,</w:t>
            </w: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for the</w:t>
            </w:r>
          </w:p>
        </w:tc>
        <w:tc>
          <w:tcPr>
            <w:tcW w:w="5360" w:type="dxa"/>
            <w:vAlign w:val="bottom"/>
          </w:tcPr>
          <w:p>
            <w:pPr>
              <w:spacing w:after="0"/>
              <w:rPr>
                <w:sz w:val="20"/>
                <w:szCs w:val="20"/>
                <w:color w:val="auto"/>
              </w:rPr>
            </w:pPr>
            <w:r>
              <w:rPr>
                <w:rFonts w:ascii="Courier New" w:cs="Courier New" w:eastAsia="Courier New" w:hAnsi="Courier New"/>
                <w:sz w:val="14"/>
                <w:szCs w:val="14"/>
                <w:color w:val="auto"/>
              </w:rPr>
              <w:t>benefit of NYNEX...............................................</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November 19, 1993</w:t>
            </w:r>
          </w:p>
        </w:tc>
        <w:tc>
          <w:tcPr>
            <w:tcW w:w="8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70"/>
              <w:spacing w:after="0"/>
              <w:rPr>
                <w:sz w:val="20"/>
                <w:szCs w:val="20"/>
                <w:color w:val="auto"/>
              </w:rPr>
            </w:pPr>
            <w:r>
              <w:rPr>
                <w:rFonts w:ascii="Courier New" w:cs="Courier New" w:eastAsia="Courier New" w:hAnsi="Courier New"/>
                <w:sz w:val="14"/>
                <w:szCs w:val="14"/>
                <w:color w:val="auto"/>
              </w:rPr>
              <w:t>42.50</w:t>
            </w:r>
          </w:p>
        </w:tc>
      </w:tr>
      <w:tr>
        <w:trPr>
          <w:trHeight w:val="161"/>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Frederic V. Salerno,</w:t>
            </w: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for the</w:t>
            </w:r>
          </w:p>
        </w:tc>
        <w:tc>
          <w:tcPr>
            <w:tcW w:w="5360" w:type="dxa"/>
            <w:vAlign w:val="bottom"/>
          </w:tcPr>
          <w:p>
            <w:pPr>
              <w:spacing w:after="0"/>
              <w:rPr>
                <w:sz w:val="20"/>
                <w:szCs w:val="20"/>
                <w:color w:val="auto"/>
              </w:rPr>
            </w:pPr>
            <w:r>
              <w:rPr>
                <w:rFonts w:ascii="Courier New" w:cs="Courier New" w:eastAsia="Courier New" w:hAnsi="Courier New"/>
                <w:sz w:val="14"/>
                <w:szCs w:val="14"/>
                <w:color w:val="auto"/>
              </w:rPr>
              <w:t>benefit of NYNEX...............................................</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January 27, 1994</w:t>
            </w:r>
          </w:p>
        </w:tc>
        <w:tc>
          <w:tcPr>
            <w:tcW w:w="8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70"/>
              <w:spacing w:after="0"/>
              <w:rPr>
                <w:sz w:val="20"/>
                <w:szCs w:val="20"/>
                <w:color w:val="auto"/>
              </w:rPr>
            </w:pPr>
            <w:r>
              <w:rPr>
                <w:rFonts w:ascii="Courier New" w:cs="Courier New" w:eastAsia="Courier New" w:hAnsi="Courier New"/>
                <w:sz w:val="14"/>
                <w:szCs w:val="14"/>
                <w:color w:val="auto"/>
              </w:rPr>
              <w:t>36.75</w:t>
            </w:r>
          </w:p>
        </w:tc>
      </w:tr>
    </w:tbl>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VOTING AGREEMENT</w:t>
      </w:r>
    </w:p>
    <w:p>
      <w:pPr>
        <w:spacing w:after="0" w:line="166" w:lineRule="exact"/>
        <w:rPr>
          <w:sz w:val="20"/>
          <w:szCs w:val="20"/>
          <w:color w:val="auto"/>
        </w:rPr>
      </w:pPr>
    </w:p>
    <w:p>
      <w:pPr>
        <w:ind w:right="3959" w:firstLine="418"/>
        <w:spacing w:after="0" w:line="242" w:lineRule="auto"/>
        <w:rPr>
          <w:sz w:val="20"/>
          <w:szCs w:val="20"/>
          <w:color w:val="auto"/>
        </w:rPr>
      </w:pPr>
      <w:r>
        <w:rPr>
          <w:rFonts w:ascii="Courier New" w:cs="Courier New" w:eastAsia="Courier New" w:hAnsi="Courier New"/>
          <w:sz w:val="14"/>
          <w:szCs w:val="14"/>
          <w:color w:val="auto"/>
        </w:rPr>
        <w:t>The following is a summary of the material provisions of the Paramount Voting Agreement, which is attached as Annex II to this Proxy Statement/Prospectus and is incorporated herein by reference. The following summary does not purport to be complete and is qualified in its entirety by reference to the Paramount Voting Agreement.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Pursuant to the Paramount Voting Agreement, NAI agreed to vote the shares of Viacom Class A Common Stock held by it (a) in favor of the Paramount Merger, the Paramount Merger Agreement and the transactions contemplated by the Paramount Merger Agreement and (b) against any proposal for any recapitalization, merger, sale of assets or other business combination involving Viacom (other than the Paramount Merger) or any other action or agreement that would result in a breach of any covenant, representation or warranty or any other obligation or agreement of Viacom under the Paramount Merger Agreement or which could result in any of the conditions to Viacom's obligations under the Paramount Merger Agreement not being fulfilled.</w:t>
      </w:r>
    </w:p>
    <w:p>
      <w:pPr>
        <w:spacing w:after="0" w:line="164" w:lineRule="exact"/>
        <w:rPr>
          <w:sz w:val="20"/>
          <w:szCs w:val="20"/>
          <w:color w:val="auto"/>
        </w:rPr>
      </w:pPr>
    </w:p>
    <w:p>
      <w:pPr>
        <w:jc w:val="both"/>
        <w:ind w:right="3799" w:firstLine="418"/>
        <w:spacing w:after="0" w:line="269" w:lineRule="auto"/>
        <w:rPr>
          <w:sz w:val="20"/>
          <w:szCs w:val="20"/>
          <w:color w:val="auto"/>
        </w:rPr>
      </w:pPr>
      <w:r>
        <w:rPr>
          <w:rFonts w:ascii="Courier New" w:cs="Courier New" w:eastAsia="Courier New" w:hAnsi="Courier New"/>
          <w:sz w:val="13"/>
          <w:szCs w:val="13"/>
          <w:color w:val="auto"/>
        </w:rPr>
        <w:t>As of the date of this Proxy Statement/Prospectus, NAI owns [45,547,214] shares of Viacom Class A Common Stock, representing approximately 85% of the outstanding voting shares of capital stock of Viacom.</w:t>
      </w:r>
    </w:p>
    <w:p>
      <w:pPr>
        <w:spacing w:after="0" w:line="14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00"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following summary, based upon current law, is a general discussion of certain Federal income tax consequences of the Paramount Merger to Viacom, Paramount and Paramount stockholders assuming the Paramount Merger is consummated as contemplated herein. This summary is based upon the Internal Revenue Code of 1986, as amended (the "Code"), applicable Treasury regulations thereunder and administrative rulings and judicial authority as of the date hereof, all of which are subject to change, possibly with retroactive effect. Any such change could affect the continuing validity of this summary. This summary applies to Paramount stockholders who hold their shares of Paramount Common Stock as capital assets. This summary does not discuss all aspects of income taxation that may be relevant to a particular Paramount stockholder in light of such stockholder's specific circumstances or to certain types of stockholders subject to special treatment under the Federal income tax laws (for example, foreign persons, dealers in securities, banks and other financial institutions, insurance companies, tax-exempt organizations and stockholders who acquired shares of Paramount Common Stock pursuant to the exercise of options or otherwise as compensation or through a tax-qualified retirement plan), and it does not discuss any aspect of state, local, foreign or other tax laws. Because of the unique nature of certain instruments to be received by Paramount stockholders in the Paramount Merger, the Internal Revenue Service may take the position that the Federal income tax consequences of holding such instruments are different from those described below. No ruling has been (or will be) sought from the Internal Revenue Service as to the anticipated tax consequences of the Paramount Merger. Simpson Thacher &amp; Bartlett, counsel to Paramount, has advised Paramount and Shearman &amp; Sterling, counsel to Viacom, has advised Viacom that, in their opinions, the following discussion, insofar as it relates to matters of Federal income tax law, is a fair and accurate summary of such matters.</w:t>
      </w:r>
    </w:p>
    <w:p>
      <w:pPr>
        <w:spacing w:after="0" w:line="164" w:lineRule="exact"/>
        <w:rPr>
          <w:sz w:val="20"/>
          <w:szCs w:val="20"/>
          <w:color w:val="auto"/>
        </w:rPr>
      </w:pPr>
    </w:p>
    <w:p>
      <w:pPr>
        <w:ind w:right="3799"/>
        <w:spacing w:after="0" w:line="241" w:lineRule="auto"/>
        <w:rPr>
          <w:sz w:val="20"/>
          <w:szCs w:val="20"/>
          <w:color w:val="auto"/>
        </w:rPr>
      </w:pPr>
      <w:r>
        <w:rPr>
          <w:rFonts w:ascii="Courier New" w:cs="Courier New" w:eastAsia="Courier New" w:hAnsi="Courier New"/>
          <w:sz w:val="14"/>
          <w:szCs w:val="14"/>
          <w:color w:val="auto"/>
        </w:rPr>
        <w:t>PARAMOUNT STOCKHOLDERS SHOULD CONSULT THEIR TAX ADVISORS AS TO THE TAX CONSEQUENCES TO THEM OF THE PARAMOUNT MERGER, INCLUDING THE APPLICABILITY AND EFFECT OF FEDERAL, STATE, LOCAL AND FOREIGN INCOME AND OTHER TAX LAWS.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Paramount Merger. Exchanges of Paramount Common Stock pursuant to the Paramount Merger will be taxable transactions for Federal income tax purposes. A Paramount stockholder who exchanges Paramount Common Stock for Viacom Class B Common Stock, Viacom Merger Debentures, CVRs, Viacom Three-Year Warrants and Viacom Five-Year Warrants in the Paramount Merger will recognize capital gain or loss for Federal income tax purposes equal to the difference between such stockholder's basis in the Paramount Common Stock so exchanged and the fair market value on the date of the Paramount Merger of the Viacom Class B Common Stock, the Viacom Merger Debentures, the CVRs, the Viacom Three-Year Warrants and the Viacom Five-Year Warrants received. Such gain or loss will be long-term gain or loss if, at the time of the Paramount Merger, the Paramount Common Stock exchanged had been held for more than one year. Under current law, long-term capital gains of individuals are, under certain circumstances, taxed at lower rates than items of ordinary income (including short-term capital gains).</w:t>
      </w:r>
    </w:p>
    <w:p>
      <w:pPr>
        <w:spacing w:after="0" w:line="16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Such Paramount stockholder will have a tax basis in the Viacom Class B Common Stock, the Viacom Merger Debentures, the CVRs, the Viacom Three-Year Warrants and the Viacom Five-Year Warrants received equal to their respective fair market values on the date of the Paramount Merger. The holding period of such stockholder in the Viacom Merger Debentures will begin on the day following the date of the Paramount Merger. The holding period of such stockholder for long-term capital gains purposes in the Viacom Class B Common Stock, the CVRs, the Viacom Three-Year Warrants and the Viacom Five-Year Warrants received could depend, in part, on the characterization of the CVRs for Federal income tax purposes, as discussed below under "Ownership of CVRs--Straddle Rules."</w:t>
      </w:r>
    </w:p>
    <w:p>
      <w:pPr>
        <w:spacing w:after="0" w:line="156" w:lineRule="exact"/>
        <w:rPr>
          <w:sz w:val="20"/>
          <w:szCs w:val="20"/>
          <w:color w:val="auto"/>
        </w:rPr>
      </w:pPr>
    </w:p>
    <w:p>
      <w:pPr>
        <w:ind w:right="3539" w:firstLine="418"/>
        <w:spacing w:after="0" w:line="239" w:lineRule="auto"/>
        <w:rPr>
          <w:sz w:val="20"/>
          <w:szCs w:val="20"/>
          <w:color w:val="auto"/>
        </w:rPr>
      </w:pPr>
      <w:r>
        <w:rPr>
          <w:rFonts w:ascii="Courier New" w:cs="Courier New" w:eastAsia="Courier New" w:hAnsi="Courier New"/>
          <w:sz w:val="14"/>
          <w:szCs w:val="14"/>
          <w:color w:val="auto"/>
        </w:rPr>
        <w:t>Neither Paramount nor Viacom will recognize any gain or loss as a result of the Paramount Merger.</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00" w:right="1440" w:bottom="1440" w:gutter="0" w:footer="0" w:header="0"/>
        </w:sectPr>
      </w:pPr>
    </w:p>
    <w:bookmarkStart w:id="91" w:name="page92"/>
    <w:bookmarkEnd w:id="91"/>
    <w:p>
      <w:pPr>
        <w:ind w:right="3539" w:firstLine="418"/>
        <w:spacing w:after="0" w:line="243" w:lineRule="auto"/>
        <w:rPr>
          <w:sz w:val="20"/>
          <w:szCs w:val="20"/>
          <w:color w:val="auto"/>
        </w:rPr>
      </w:pPr>
      <w:r>
        <w:rPr>
          <w:rFonts w:ascii="Courier New" w:cs="Courier New" w:eastAsia="Courier New" w:hAnsi="Courier New"/>
          <w:sz w:val="14"/>
          <w:szCs w:val="14"/>
          <w:color w:val="auto"/>
        </w:rPr>
        <w:t>Backup Withholding. To prevent "backup withholding" of Federal income tax on payments of cash in lieu of a fractional share of Viacom Class B Common Stock, a fractional Viacom Merger Debenture, a fractional CVR, a fractional Viacom Three-Year Warrant, and a fractional Viacom Five-Year Warrant to a Paramount stockholder in the Paramount Merger, a Paramount stockholder must, unless an exception applies under the applicable law and regulations, provide the payor of such cash with such stockholder's correct taxpayer identification number ("TIN") on a Substitute Form W-9 and certify under penalties of perjury that such number is correct and that such stockholder is not subject to backup withholding. A Substitute Form W-9 will be provided to each Paramount stockholder in the letter of transmittal to be mailed to each stockholder after the Paramount Effective Time. If the correct TIN and certifications are not provided, a $50 penalty may be imposed on a Paramount stockholder by the Internal Revenue Service, and cash received by such stockholder in the Paramount Merger may be subject to backup withholding at a rate of 31%.</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Tax Considerations Regarding the Ownership of Viacom Merger Debentures, Series C Preferred Stock, Viacom Exchange Debentures, the CVRs, the Viacom Three-Year Warrants and the Viacom Five-Year Warrants. The following is a discussion of certain Federal income tax considerations regarding the ownership of the Viacom Merger Debentures, the Series C Preferred Stock, the Viacom Exchange Debentures, the CVRs, the Viacom Three-Year Warrants and the Viacom Five-Year Warrants.</w:t>
      </w:r>
    </w:p>
    <w:p>
      <w:pPr>
        <w:spacing w:after="0" w:line="168" w:lineRule="exact"/>
        <w:rPr>
          <w:sz w:val="20"/>
          <w:szCs w:val="20"/>
          <w:color w:val="auto"/>
        </w:rPr>
      </w:pPr>
    </w:p>
    <w:p>
      <w:pPr>
        <w:ind w:right="3539" w:firstLine="424"/>
        <w:spacing w:after="0" w:line="242" w:lineRule="auto"/>
        <w:tabs>
          <w:tab w:leader="none" w:pos="75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Viacom Merger Debentures. Although the proper characterization of the Viacom Merger Debentures for Federal income tax purposes is not free from doubt, Viacom intends to treat the Viacom Merger Debentures as debt instruments for such purposes, and the following discussion assumes that the Viacom Merger Debentures will be so treated. If the Viacom Merger Debentures were treated as equity for Federal income tax purposes, then the discussion of Federal income tax considerations under "Ownership of Series C Preferred Stock" generally would apply to the Viacom Merger Debentures.</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 holder of a Viacom Merger Debenture will be required to report as income for Federal income tax purposes stated interest earned on the Viacom Merger Debenture in accordance with the holder's method of tax accounting. A holder of a Viacom Merger Debenture using the accrual method of accounting for tax purposes is required to include stated interest in ordinary income as such interest accrues, while a cash-basis holder must include stated interest in income when payments are received (or made available for receipt) by such holder.</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at the time the Viacom Merger Debentures are issued the issue price of the Viacom Merger Debentures (i.e., the fair market value of the Viacom Merger Debentures as of the issue date) is less than the "stated redemption price at maturity" of the Viacom Merger Debentures, the Viacom Merger Debentures will bear "original issue discount" equal to the amount of such difference, subject to a de minimis exception. If the Viacom Merger Debentures bear "original issue discount," such discount will be includible in the income of the holder on a "yield to maturity" basis pursuant to section 1272 of the Code. Thus, the holder will be required to report income in advance of the receipt of cash in respect of such "original issue discount."</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at the time the Viacom Merger Debentures are issued or subsequently acquired the holder's basis in the Viacom Merger Debentures exceeds the amount payable at maturity with respect to such Viacom Merger Debentures, such difference may be deducted as interest, on an economic accrual basis, over the term of the Viacom Merger Debentures by the holder of such Viacom Merger Debentures, at such holder's election, pursuant to section 171 of the Code. In addition, a holder of a Viacom Merger Debenture who pays an "acquisition premium" for a Viacom Merger Debenture bearing original issue discount will be entitled to a reduction in the amount of original issue discount includible in such holder's income. Furthermore, the Code provides generally that, in the case of a holder of a Viacom Merger Debenture who purchases such Viacom Merger Debenture at a "market discount" and thereafter recognizes a gain upon a disposition of such Viacom Merger Debenture, the lesser of such</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02" w:right="1440" w:bottom="1440" w:gutter="0" w:footer="0" w:header="0"/>
        </w:sectPr>
      </w:pPr>
    </w:p>
    <w:bookmarkStart w:id="92" w:name="page93"/>
    <w:bookmarkEnd w:id="92"/>
    <w:p>
      <w:pPr>
        <w:ind w:right="3539"/>
        <w:spacing w:after="0" w:line="242" w:lineRule="auto"/>
        <w:rPr>
          <w:sz w:val="20"/>
          <w:szCs w:val="20"/>
          <w:color w:val="auto"/>
        </w:rPr>
      </w:pPr>
      <w:r>
        <w:rPr>
          <w:rFonts w:ascii="Courier New" w:cs="Courier New" w:eastAsia="Courier New" w:hAnsi="Courier New"/>
          <w:sz w:val="14"/>
          <w:szCs w:val="14"/>
          <w:color w:val="auto"/>
        </w:rPr>
        <w:t>gain or the portion of the market discount which accrued while the Viacom Merger Debenture was held by the holder will generally be treated as interest income at the time of disposition. In addition, a holder of a Viacom Merger Debenture acquired at a market discount may be required to defer the deduction of a portion of the interest paid or accrued on indebtedness incurred to purchase or carry the Viacom Merger Debenture until it is disposed of in a taxable transaction.</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If the Viacom Merger Debentures are exchanged for Series C Preferred Stock, such exchange will not be a taxable transaction. Such holder will have an aggregate tax basis in the Series C Preferred Stock received in the exchange equal to the aggregate basis in the Viacom Merger Debentures exchanged therefor. The holding period of such holder in the Series C Preferred Stock received will include the holding period of such holder in the Viacom Merger Debentures exchanged therefor.</w:t>
      </w:r>
    </w:p>
    <w:p>
      <w:pPr>
        <w:spacing w:after="0" w:line="168" w:lineRule="exact"/>
        <w:rPr>
          <w:sz w:val="20"/>
          <w:szCs w:val="20"/>
          <w:color w:val="auto"/>
        </w:rPr>
      </w:pPr>
    </w:p>
    <w:p>
      <w:pPr>
        <w:ind w:right="3539" w:firstLine="424"/>
        <w:spacing w:after="0" w:line="242" w:lineRule="auto"/>
        <w:tabs>
          <w:tab w:leader="none" w:pos="753"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Series C Preferred Stock. Distributions paid on Series C Preferred Stock will, to the extent of Viacom's current and accumulated earnings and profits, be taxed as dividends. If the amount of a distribution on the Series C Preferred Stock exceeds the current and accumulated earnings and profits of Viacom, such excess first will be applied to reduce a holder's tax basis in such holder's Series C Preferred Stock to the extent thereof. The amount of such distribution in excess of such holder's tax basis will be treated as gain from the sale or exchange of the Series C Preferred Stock.</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addition, generally under section 305 of the Code and the Treasury regulations promulgated thereunder, if the redemption price of a preferred stock exceeds its issue price (i.e., its fair market value on the date of issuance), a portion of such excess may constitute an unreasonable redemption premium which would be considered a constructive distribution taxable as a dividend (to the extent of current and accumulated earnings and profits) included in income over the period during which such preferred stock cannot be redeemed. Accordingly, if the Series C Preferred Stock were deemed to be issued with an unreasonable redemption premium, a holder of Series C Preferred Stock would realize taxable income without the receipt of cash over the period from when the holder acquired the Series C Preferred Stock to the third anniversary of the Paramount Effective Time.</w:t>
      </w:r>
    </w:p>
    <w:p>
      <w:pPr>
        <w:spacing w:after="0" w:line="16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A corporate holder of Series C Preferred Stock generally will be entitled to the 70% corporate dividends-received deduction with respect to taxable dividends paid on such stock, provided that such corporate holder has met the requirements imposed by section 246 of the Code regarding the holding period for the Series C Preferred Stock (see the discussion regarding the possible impact of the ownership of CVRs on this requirement under "Ownership of CVRs--Corporate Dividends-Received Deduction"), is not affected by the limit on aggregate deductions under that section and is not subject to the limitation imposed by section 246A of the Code with respect to debt-financed portfolio stock, all of which conditions depend upon the particular holder's own circumstances. If a corporate holder of Series C Preferred Stock is required to include in income constructive dividends under section 305 of the Code (as described above), it is possible that such dividends, together with any cash dividends, would qualify as "extraordinary dividends" within the meaning of section 1059 of the Code. Moreover, it should be noted that, under section 1059 of the Code, a corporate holder of Series C Preferred Stock may be required to reduce its basis in such stock if it receives an "extraordinary dividend" with respect to such stock.</w:t>
      </w:r>
    </w:p>
    <w:p>
      <w:pPr>
        <w:spacing w:after="0" w:line="314"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Under the terms of the Series C Preferred Stock, Viacom may, at its option beginning on the third anniversary of the Paramount Effective Time, issue Viacom Exchange Debentures in exchange for all or part of the Series C Preferred Stock. Also, unless previously exchanged, Viacom may redeem all or part of the Series C Preferred Stock at any time after the fifth anniversary of the Paramount Effective Time. Such an exchange for Viacom Exchange Debentures or redemption of the Series C Preferred Stock will constitute a taxable transaction.</w:t>
      </w:r>
    </w:p>
    <w:p>
      <w:pPr>
        <w:spacing w:after="0" w:line="153"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Whether any such exchange or redemption of Series C Preferred Stock will be taxable to holders as a capital gain or loss or be treated as a dividend distribution to the extent of current and accumulated earnings and profits will be determined by applying the tests of section 302 of the Code to a holder's</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03" w:right="1440" w:bottom="1440" w:gutter="0" w:footer="0" w:header="0"/>
        </w:sectPr>
      </w:pPr>
    </w:p>
    <w:bookmarkStart w:id="93" w:name="page94"/>
    <w:bookmarkEnd w:id="93"/>
    <w:p>
      <w:pPr>
        <w:ind w:right="3539"/>
        <w:spacing w:after="0" w:line="243" w:lineRule="auto"/>
        <w:rPr>
          <w:sz w:val="20"/>
          <w:szCs w:val="20"/>
          <w:color w:val="auto"/>
        </w:rPr>
      </w:pPr>
      <w:r>
        <w:rPr>
          <w:rFonts w:ascii="Courier New" w:cs="Courier New" w:eastAsia="Courier New" w:hAnsi="Courier New"/>
          <w:sz w:val="14"/>
          <w:szCs w:val="14"/>
          <w:color w:val="auto"/>
        </w:rPr>
        <w:t>particular circumstances. Capital gain or loss treatment will apply if the exchange or redemption completely terminates the holder's actual and constructive stock interest in Viacom or if the exchange or redemption is not essentially equivalent to a dividend with respect to such holder. A holder whose relative actual and constructive stock interest is minimal and who exercises no control over corporate affairs generally will be entitled to capital gain or loss treatment if an exchange or redemption results in a reduction in such holder's actual and constructive stock interest. Corporate holders of Series C Preferred Stock should note that, if the exchange or redemption is not pro rata as to all holders and is taxable as a dividend, such dividend will be an "extraordinary dividend" for purposes of section 1059 of the Code (see the second immediately preceding paragraph).</w:t>
      </w:r>
    </w:p>
    <w:p>
      <w:pPr>
        <w:spacing w:after="0" w:line="165" w:lineRule="exact"/>
        <w:rPr>
          <w:sz w:val="20"/>
          <w:szCs w:val="20"/>
          <w:color w:val="auto"/>
        </w:rPr>
      </w:pPr>
    </w:p>
    <w:p>
      <w:pPr>
        <w:ind w:right="3539" w:firstLine="424"/>
        <w:spacing w:after="0" w:line="242" w:lineRule="auto"/>
        <w:tabs>
          <w:tab w:leader="none" w:pos="753"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Viacom Exchange Debentures. A holder of a Viacom Exchange Debenture will be required to report as income for Federal income tax purposes stated interest earned on the Viacom Exchange Debenture in accordance with the holder's method of tax accounting. A holder of a Viacom Exchange Debenture using the accrual method of accounting for tax purposes is required to include stated interest in ordinary income as such interest accrues, while a cash-basis holder must include stated interest in income when payments are received (or made available for receipt) by such holder.</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at the time the Series C Preferred Stock is exchanged for Viacom Exchange Debentures the issue price of the Viacom Exchange Debentures (i.e., the fair market value of the Viacom Exchange Debentures if they are publicly traded upon their issuance, or otherwise of the Series C Preferred Stock, as of the issue date) is less than the "stated redemption price at maturity" of the Viacom Exchange Debentures, the Viacom Exchange Debentures will bear "original issue discount" equal to the amount of such difference, subject to a de minimis exception. If the Viacom Exchange Debentures bear "original issue discount," such discount will be includible in the income of the holder on a "yield to maturity" basis pursuant to section 1272 of the Code. Thus, the holder will be required to report income in advance of the receipt of cash in respect of such "original issue discount."</w:t>
      </w:r>
    </w:p>
    <w:p>
      <w:pPr>
        <w:spacing w:after="0" w:line="16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If at the time the Viacom Exchange Debentures are issued or subsequently acquired the holder's basis in the Viacom Exchange Debentures exceeds the amount payable at maturity with respect to such Viacom Exchange Debentures, such difference may be deducted as interest, on an economic accrual basis, over the term of the Viacom Exchange Debentures by the holder of such Viacom Exchange Debentures, at such holder's election, pursuant to section 171 of the Code. In addition, a holder of a Viacom Exchange Debenture who pays an "acquisition premium" for a Viacom Exchange Debenture bearing original issue discount will be entitled to a reduction in the amount of original issue discount includible in such holder's income. Furthermore, the Code provides generally that, in the case of a holder of a Viacom Exchange Debenture who purchases such Viacom Exchange Debenture at a "market discount" and thereafter recognizes a gain upon a disposition of such Viacom Debenture, the lesser of such gain or the portion of the market discount which accrued while the Viacom Exchange Debenture was held by the holder will generally be treated as interest income at the time of disposition. In addition, a holder of a Viacom Exchange Debenture acquired at a market discount may be required to defer the deduction of a portion of the interest paid or accrued on indebtedness incurred to purchase or carry the Viacom Exchange Debenture until it is disposed of in a taxable transaction.</w:t>
      </w:r>
    </w:p>
    <w:p>
      <w:pPr>
        <w:spacing w:after="0" w:line="313" w:lineRule="exact"/>
        <w:rPr>
          <w:sz w:val="20"/>
          <w:szCs w:val="20"/>
          <w:color w:val="auto"/>
        </w:rPr>
      </w:pPr>
    </w:p>
    <w:p>
      <w:pPr>
        <w:ind w:right="3539" w:firstLine="424"/>
        <w:spacing w:after="0" w:line="243" w:lineRule="auto"/>
        <w:tabs>
          <w:tab w:leader="none" w:pos="753"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CVRs. The Federal income tax consequences resulting from the maturity, lapse, or disposition of the CVRs received by a Paramount stockholder in the Paramount Merger (an "Initial CVR Holder") will depend upon how the CVRs are characterized for Federal income tax purposes. Although no court has addressed the proper characterization of the CVRs for Federal income tax purposes, the Internal Revenue Service has taken the position that rights which were in many respects similar to the CVRs should be treated as cash settlement put options for Federal income tax purposes. It also is possible that the CVRs might be treated as debt instruments for Federal income tax purposes. The following discussion examines the Federal income tax consequences if the CVRs were treated as cash settlement put options or as debt instruments. It should be noted, however, that the</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03" w:right="1440" w:bottom="1440" w:gutter="0" w:footer="0" w:header="0"/>
        </w:sectPr>
      </w:pPr>
    </w:p>
    <w:bookmarkStart w:id="94" w:name="page95"/>
    <w:bookmarkEnd w:id="94"/>
    <w:p>
      <w:pPr>
        <w:ind w:right="3539"/>
        <w:spacing w:after="0" w:line="241" w:lineRule="auto"/>
        <w:rPr>
          <w:sz w:val="20"/>
          <w:szCs w:val="20"/>
          <w:color w:val="auto"/>
        </w:rPr>
      </w:pPr>
      <w:r>
        <w:rPr>
          <w:rFonts w:ascii="Courier New" w:cs="Courier New" w:eastAsia="Courier New" w:hAnsi="Courier New"/>
          <w:sz w:val="14"/>
          <w:szCs w:val="14"/>
          <w:color w:val="auto"/>
        </w:rPr>
        <w:t>CVRs might be treated in some other manner, and that subsequent legislation, regulations, court decisions and revenue rulings could affect the Federal income tax treatment of the CVRs.</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Treatment of the CVRs as Cash Settlement Put Options. If the CVRs were treated as cash settlement put options, an Initial CVR Holder would realize capital gain or loss upon the lapse, payment at maturity or sale or exchange of such holder's CVRs in an amount equal to the difference between the amount realized, if any, and such holder's tax basis for CVRs. Upon payment at maturity, the amount realized would be the cash or the fair market value of the Viacom securities received in satisfaction of the CVRs. However, some or all of any loss so realized might be deferred, or an Initial CVR Holder's holding period might be adjusted, under the straddle rules described below.</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Straddle Rules. Section 1092 of the Code provides special rules concerning the recognition of losses and the determination of holding periods with respect to positions that are part of a "straddle." The term "straddle" means offsetting positions with respect to personal property. The term "position" means an interest (including an option) in personal property. For this purpose, "personal property" includes stock only if such stock is part of a straddle where one of the offsetting positions is either an option with respect to such stock or substantially identical stock or securities or, under regulations which have been proposed but have not yet been finalized, a position with respect to substantially similar or related property (other than stock) (for example, a debt instrument). Positions are treated as "offsetting" where the risk of loss from holding one position is substantially diminished by reason of holding another position.</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It is possible that the holding of CVRs and the Viacom Class A Common Stock, the Viacom Class B Common Stock or another security of Viacom (e.g., the Viacom Three-Year Warrants, the Viacom Five-Year Warrants or another class of Viacom security) by an Initial CVR Holder (regardless of whether the holder acquired any such shares of Viacom Common Stock or other security of Viacom in the Paramount Merger or otherwise) would be a straddle if the CVRs were treated as cash settlement put options. It should be noted that the Code directs the Secretary of the Treasury to issue regulations prescribing the method for determining the portion of a position that is subject to the straddle rules when the size of the position exceeds the size of the offsetting position. No such regulations have been issued to date.</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holding the CVRs and Viacom Common Stock or another security of Viacom were treated as a straddle, then any loss realized in a taxable year by an Initial CVR Holder upon a sale or other disposition (including retirement) of either the CVRs or Viacom Common Stock or another security of Viacom would be recognized only to the extent it exceeds the unrecognized gain (as of the end of such year) with respect to the retained position. The unrecognized portion of such loss would be deferred and would be treated as a loss incurred in a later taxable year, the recognition of which would continue to be subject to the straddle rules.</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addition, if the CVRs and Viacom Common Stock or another security of Viacom were treated as a straddle, special rules would apply to determine whether capital gain or loss upon the disposition of such stock or security and the CVRs would be treated as long term or short term. If an Initial CVR Holder would not have a long-term holding period (i.e., a holding period of more than one year) for Viacom Common Stock or another security of Viacom when such holder receives a CVR that is part of a straddle including such stock or security, then such holder's holding period for any such stock or security before the acquisition of the CVR would be disregarded, and instead his holding period for any such stock or security and the CVR would begin only upon the disposition, if any, of the other. As a result of this rule, any capital gain or loss recognized upon the disposition of any such share or the disposition of the CVR, whichever occurred first, would be short term, and any capital gain or loss recognized upon the disposition of the second position would be long term or short term, depending on whether a long-term holding period would have been acquired commencing with the disposition of the first position.</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03" w:right="1440" w:bottom="1440" w:gutter="0" w:footer="0" w:header="0"/>
        </w:sectPr>
      </w:pPr>
    </w:p>
    <w:bookmarkStart w:id="95" w:name="page96"/>
    <w:bookmarkEnd w:id="95"/>
    <w:p>
      <w:pPr>
        <w:ind w:right="3539" w:firstLine="418"/>
        <w:spacing w:after="0" w:line="243" w:lineRule="auto"/>
        <w:rPr>
          <w:sz w:val="20"/>
          <w:szCs w:val="20"/>
          <w:color w:val="auto"/>
        </w:rPr>
      </w:pPr>
      <w:r>
        <w:rPr>
          <w:rFonts w:ascii="Courier New" w:cs="Courier New" w:eastAsia="Courier New" w:hAnsi="Courier New"/>
          <w:sz w:val="14"/>
          <w:szCs w:val="14"/>
          <w:color w:val="auto"/>
        </w:rPr>
        <w:t>If an Initial CVR Holder were treated as having held Viacom Common Stock or another security of Viacom for more than one year when such holder receives a CVR that is part of a straddle including such stock or security, then such holder would retain the long-term holding period for such stock or security. Thus, any capital gain or loss recognized by the Initial CVR Holder on the disposition of such stock or security would be long term. The Initial CVR Holder's holding period for the CVR for purposes of determining the term of any capital gain will begin only when (if ever) such holder disposes of such stock or security. However, any capital loss recognized by the Initial CVR Holder upon maturity, or upon an earlier termination or disposition of the CVR, would be treated as long term, regardless of the holder's holding period for the CVR.</w:t>
      </w:r>
    </w:p>
    <w:p>
      <w:pPr>
        <w:spacing w:after="0" w:line="164"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Section 263(g) of the Code disallows a deduction for interest and carrying charges allocable to a position that is a part of a straddle and requires such amounts to be added to the tax basis of such position.</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Treatment of the CVRs as Debt Instruments. The following discussion of the treatment of the CVRs as debt instruments is based principally on sections 1271 through 1275 of the Code and certain proposed Treasury regulations regarding contingent-payment obligations (the "Proposed Regulations") under the original issue discount provisions of the Code. The application of these Code provisions and the Proposed Regulations to the CVRs cannot be predicted with certainty without further guidance from the Internal Revenue Service, because they do not specifically contemplate a debt instrument as to which all of the payments are contingent, such as the CVRs would be if they were treated as debt. Further, there can be no assurance that the ultimate Federal income tax treatment under final Treasury regulations would not differ materially from the discussion below. For example, the Internal Revenue Service issued revised proposed Treasury regulations in January 1993, which were withdrawn shortly thereafter, that would have provided for different Federal income tax treatment of the CVRs as debt instruments from that discussed below.</w:t>
      </w:r>
    </w:p>
    <w:p>
      <w:pPr>
        <w:spacing w:after="0" w:line="166"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If the CVRs are treated as debt obligations, no interest income (including in the form of original issue discount) should accrue to an Initial CVR Holder prior to maturity. At maturity, the amount of cash or the portion of the fair market value of the Viacom security, if any, received by an Initial CVR Holder pursuant to a CVR equal to the "issue price" of the CVR (i.e., the holder's tax basis in the CVR) should be treated as a payment of principal, and any excess amount of cash or fair market value should be treated as ordinary interest income. If the amount of cash or the fair market value of the Viacom security received by an Initial CVR Holder pursuant to a CVR was less than the issue price, or if no cash or Viacom security was received at maturity, the Initial CVR Holder should recognize a capital loss equal to the amount by which the holder's tax basis in the CVR exceeded the amount of cash or the fair market value of the Viacom security, if any, received by the holder.</w:t>
      </w:r>
    </w:p>
    <w:p>
      <w:pPr>
        <w:spacing w:after="0" w:line="155"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If an Initial CVR Holder sold or otherwise disposed of a CVR prior to maturity, the holder should recognize ordinary income to the extent that the amount realized on such sale or disposition exceeded the holder's tax basis in the CVR. If the amount realized was less than the tax basis, the holder should recognize a short-term capital loss equal to the difference.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Corporate Dividends-Received Deduction. If the CVRs were treated as cash settlement put options, it appears that a corporate Initial CVR Holder's holding period for Viacom Class B Common Stock for purposes of the dividends-received deduction under section 243 to 246 of the Code would not include any days on which it holds a CVR. This treatment might render such Initial CVR Holder ineligible for the dividends-received deduction in respect of dividend income on Viacom Class B Common Stock. If the CVRs were treated as debt instruments, proposed Treasury regulations also would treat the CVRs as having the same effect on the dividends-received deduction with respect to Viacom Class B Common Stock. In addition, the CVRs also might have the same effect on the dividends-received deduction with respect to Viacom Class A Common Stock or another class of Viacom stock held by an Initial CVR Holder if any such stock and Viacom Class B Common Stock are "substantially identical stock" for this purpose or, if they are not, if the holding of CVRs and Viacom</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03" w:right="1440" w:bottom="1440" w:gutter="0" w:footer="0" w:header="0"/>
        </w:sectPr>
      </w:pPr>
    </w:p>
    <w:bookmarkStart w:id="96" w:name="page97"/>
    <w:bookmarkEnd w:id="96"/>
    <w:p>
      <w:pPr>
        <w:ind w:right="3959"/>
        <w:spacing w:after="0" w:line="276" w:lineRule="auto"/>
        <w:rPr>
          <w:sz w:val="20"/>
          <w:szCs w:val="20"/>
          <w:color w:val="auto"/>
        </w:rPr>
      </w:pPr>
      <w:r>
        <w:rPr>
          <w:rFonts w:ascii="Courier New" w:cs="Courier New" w:eastAsia="Courier New" w:hAnsi="Courier New"/>
          <w:sz w:val="13"/>
          <w:szCs w:val="13"/>
          <w:color w:val="auto"/>
        </w:rPr>
        <w:t>Class A Common Stock or another class of Viacom stock would be treated as diminishing such holder's risk of loss under proposed Treasury regulations.</w:t>
      </w:r>
    </w:p>
    <w:p>
      <w:pPr>
        <w:spacing w:after="0" w:line="14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Treatment of Capital Losses. For Federal income tax purposes,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of individuals may be offset against capital gains and, to the extent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losses exceed capital gains, against up to $3,000 of ordinary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for a married individual filing a separate return). Capital losses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may only be offset against capital gains. Capital losses not used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the year recognized may, within certain limitations, be carried over to other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taxable years.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An Initial CVR Holder should note that, if the CVRs were treated as cash settlement put options, any gain on the CVRs would be treated as capital gain which could be offset by any corresponding capital loss on the Initial CVR Holder's Viacom Class A Common Stock, Viacom Class B Common Stock or another Viacom security if such stock or security was sold and such loss was realized. However, the ordinary income that the CVRs may generate if they were treated as debt instruments could not be offset for Federal income tax purposes by any such capital loss (except to the extent discussed in the preceding paragraph with respect to individuals). An initial CVR Holder should be aware that, if the value of CVRs decrease, this issue will not arise since any loss on the CVRs will be treated as capital loss regardless of whether the CVRs are treated as cash settlement put options or debt obligations.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As the use of capital losses by an Initial CVR Holder will depend upon multiple factors, including such holder's particular circumstances, and upon the issue of whether the CVRs are treated as cash settlement put options or debt instruments for Federal income tax purposes, Initial CVR Holders should consult their tax advisors regarding the use of capital losses.</w:t>
      </w:r>
    </w:p>
    <w:p>
      <w:pPr>
        <w:spacing w:after="0" w:line="166" w:lineRule="exact"/>
        <w:rPr>
          <w:sz w:val="20"/>
          <w:szCs w:val="20"/>
          <w:color w:val="auto"/>
        </w:rPr>
      </w:pPr>
    </w:p>
    <w:p>
      <w:pPr>
        <w:ind w:right="3539" w:firstLine="424"/>
        <w:spacing w:after="0" w:line="263" w:lineRule="auto"/>
        <w:tabs>
          <w:tab w:leader="none" w:pos="753" w:val="left"/>
        </w:tabs>
        <w:numPr>
          <w:ilvl w:val="0"/>
          <w:numId w:val="1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Ownership of the Viacom Three-Year and Five-Year Warrants. If a holder exercises a Viacom Three-Year Warrant or Viacom Five-Year Warrant solely by the delivery of cash, the holder will not recognize gain or loss on the exercise, except with respect to cash, if any, received in lieu of a fractional share of Viacom Class B Common Stock. The tax basis of the Viacom Class B Common Stock acquired (including a fractional share deemed acquired) as a result of such exercise of a Viacom Three-Year Warrant or Viacom Five-Year Warrant will equal the sum of (i) the holder's tax basis in the Viacom Three-Year Warrant or Viacom Five-Year Warrant exercised and (ii) the exercise price. The holding period for such Viacom Class B Common Stock will commence upon the date of exercise.</w:t>
      </w:r>
    </w:p>
    <w:p>
      <w:pPr>
        <w:spacing w:after="0" w:line="156"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It is not clear whether the delivery of Series C Preferred Stock or Viacom Exchange Debentures to pay the exercise price on the exercise of a Viacom Five-Year Warrant will be considered a taxable disposition of such Series C Preferred Stock or Viacom Exchange Debentures or will qualify generally as a tax-free exchange. If the delivery by a holder qualifies as a taxable disposition of Series C Preferred Stock or Viacom Exchange Debentures, the holder will recognize (1) gain or loss equal to the difference, if any, between</w:t>
      </w:r>
    </w:p>
    <w:p>
      <w:pPr>
        <w:spacing w:after="0" w:line="1" w:lineRule="exact"/>
        <w:rPr>
          <w:sz w:val="20"/>
          <w:szCs w:val="20"/>
          <w:color w:val="auto"/>
        </w:rPr>
      </w:pPr>
    </w:p>
    <w:p>
      <w:pPr>
        <w:ind w:right="3539" w:firstLine="6"/>
        <w:spacing w:after="0" w:line="243" w:lineRule="auto"/>
        <w:tabs>
          <w:tab w:leader="none" w:pos="33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which will equal the liquidation preference of the Series C Preferred Stock or the principal amount of the Viacom Exchange Debentures so delivered and (ii) the holder's tax basis in them, plus (2) gain or loss with respect to cash, if any, received in lieu of a fractional share of Viacom Class B Common Stock. The tax basis of the Viacom Class B Common Stock acquired (including a fractional share deemed acquired) as a result of such exercise of a Viacom Five-Year Warrant will equal the sum of (i) the holder's tax basis in the Viacom Five-Year Warrant exercised and (ii) the exercise price. The holding period for such Viacom Class B Common Stock will commence upon the date of exercise.</w:t>
      </w:r>
    </w:p>
    <w:p>
      <w:pPr>
        <w:spacing w:after="0" w:line="164"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If the delivery of Series C Preferred Stock or Viacom Exchange Debentures by a holder qualifies generally as a tax-free exchange, no gain or loss will be recognized by the holder, except (1) with respect to cash, if any, received in lieu of a fractional share of Viacom Class B Common Stock, and (2) as to a cash-basis holder, ordinary income equal to the lesser of (i) the amount of accrued interest not previously includible in income by the holder on Viacom Exchange Debentures so delivered or (ii) the excess of the fair market value of the Viacom Class B Common Stock acquired (including a fractional share deemed acquired) by the holder over the principal amount of such Viacom Exchange Debentures.</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02" w:right="1440" w:bottom="1440" w:gutter="0" w:footer="0" w:header="0"/>
        </w:sectPr>
      </w:pPr>
    </w:p>
    <w:bookmarkStart w:id="97" w:name="page98"/>
    <w:bookmarkEnd w:id="97"/>
    <w:p>
      <w:pPr>
        <w:ind w:right="3619"/>
        <w:spacing w:after="0" w:line="262" w:lineRule="auto"/>
        <w:rPr>
          <w:sz w:val="20"/>
          <w:szCs w:val="20"/>
          <w:color w:val="auto"/>
        </w:rPr>
      </w:pPr>
      <w:r>
        <w:rPr>
          <w:rFonts w:ascii="Courier New" w:cs="Courier New" w:eastAsia="Courier New" w:hAnsi="Courier New"/>
          <w:sz w:val="13"/>
          <w:szCs w:val="13"/>
          <w:color w:val="auto"/>
        </w:rPr>
        <w:t>Except as discussed in the following sentence, the tax basis for the Viacom Class B Common Stock acquired (including a fractional share deemed acquired) as a result of such exercise of a Viacom Five-Year Warrant should equal the sum of</w:t>
      </w:r>
    </w:p>
    <w:p>
      <w:pPr>
        <w:ind w:right="3619" w:firstLine="6"/>
        <w:spacing w:after="0" w:line="243" w:lineRule="auto"/>
        <w:tabs>
          <w:tab w:leader="none" w:pos="33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tax basis for the Series C Preferred Stock or Viacom Exchange Debentures so delivered (less the tax basis, if any, for such Viacom Exchange Debentures attributable to any original issue discount thereon previously includible in income by the holder) and (ii) the holder's tax basis for the Warrant, and the holding period for such Viacom Class B Common Stock will include the holding period of such Series C Preferred Stock or Viacom Exchange Debentures. The tax basis for the Viacom Class B Common Stock, if any, deemed acquired by the holder in exchange for any original issue discount or accrued interest previously or then includible in income by the holder on Viacom Exchange Debentures so delivered should equal the fair market value of such Viacom Class B Common Stock at the time of the exchange, and the holding period for such Viacom Class B Common Stock should commence on the day after the exchange.</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 holder's receipt of cash lieu of a fractional share of Viacom Class B Common Stock upon an exercise of a Viacom Three-Year Warrant or Viacom Five-Year Warrant generally will result in the recognition of capital gain or loss equal to the difference, if any, between the cash received and the holder's tax basis in the Viacom Class B Common Stock acquired upon such exercise allocable to such fractional share.</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In general, the sale or exchange of a Viacom Three-Year or Five-Year Warrant will result in a capital gain or loss, if any, equal to the difference between the amount realized from such sale or exchange and the holder's tax basis in the Viacom Three-Year or Five-Year Warrant. The expiration of a Viacom Three-Year or Five-Year Warrant will result in a capital loss to the holder thereof equal to the holder's tax basis therein.</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Under the terms of each of the Viacom Three-Year and Five-Year Warrants, the number of shares of Viacom Class B Common Stock that may be acquired upon exercise of a Viacom Three-Year or Five-Year Warrant will be adjusted upon the happening of certain events. Section 305(c) of the Code and the Treasury regulations thereunder provide that, if such adjustments result in a constructive increase in a holder's proportionate interest in Viacom's earnings and profits or assets, such increase will be treated as a deemed distribution to the holder taxable under the dividend provisions of section 301 of the Code.</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FEDERAL INCOME TAX CONSEQUENCES SET FORTH ABOVE ARE BASED UPON PRESENT LAW, ARE FOR GENERAL INFORMATION ONLY AND DO NOT PURPORT TO BE A COMPLETE ANALYSIS OR LISTING OF ALL POTENTIAL TAX EFFECTS WHICH MAY APPLY TO A PARAMOUNT STOCKHOLDER. THE TAX EFFECTS AS APPLICABLE TO A PARTICULAR PARAMOUNT STOCKHOLDER MAY BE DIFFERENT FROM THE TAX EFFECTS AS APPLICABLE TO OTHER PARAMOUNT STOCKHOLDERS, INCLUDING THE APPLICATION AND EFFECT OF STATE, LOCAL AND OTHER TAX LAWS, AND THUS PARAMOUNT STOCKHOLDERS ARE URGED TO CONSULT THEIR OWN TAX ADVISORS.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TRANSFER TAXES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New York State Real Property Transfer Gains Tax, the New York State Real Estate Transfer Tax, and the New York City Real Property Transfer Tax (collectively, the "Real Estate Transfer Taxes") apply to the transfer or acquisition, directly or indirectly, of controlling interests in an entity which owns interests in real property located in New York State or New York City, as the case may be. The Offer and the Paramount Merger will result in the transfer of controlling interests in entities which own New York State or New York City real property for purposes of the Real Estate Transfer Taxes. Although any Real Estate Transfer Taxes could be imposed directly on the Paramount stockholders, Viacom and Paramount will complete and file any necessary tax returns and will pay all Real Estate Transfer Taxes that are imposed as a result of the Offer and the Paramount Merger. Upon receipt of the consideration for either the Offer or the Paramount Merger, each Paramount stockholder will be</w:t>
      </w:r>
    </w:p>
    <w:p>
      <w:pPr>
        <w:ind w:left="32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03" w:right="1440" w:bottom="1440" w:gutter="0" w:footer="0" w:header="0"/>
        </w:sectPr>
      </w:pPr>
    </w:p>
    <w:bookmarkStart w:id="98" w:name="page99"/>
    <w:bookmarkEnd w:id="98"/>
    <w:p>
      <w:pPr>
        <w:ind w:right="3619"/>
        <w:spacing w:after="0" w:line="239" w:lineRule="auto"/>
        <w:rPr>
          <w:sz w:val="20"/>
          <w:szCs w:val="20"/>
          <w:color w:val="auto"/>
        </w:rPr>
      </w:pPr>
      <w:r>
        <w:rPr>
          <w:rFonts w:ascii="Courier New" w:cs="Courier New" w:eastAsia="Courier New" w:hAnsi="Courier New"/>
          <w:sz w:val="14"/>
          <w:szCs w:val="14"/>
          <w:color w:val="auto"/>
        </w:rPr>
        <w:t>deemed to have agreed to be bound by the Real Estate Transfer Tax returns filed by Viacom and Paramount.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EFFECTS OF THE PARAMOUNT MERGER; OPERATIONS AFTER THE PARAMOUNT MERGER</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As a result of the Paramount Merger, there will be no public market for Paramount Common Stock. Upon consummation of the Paramount Merger, the Paramount Common Stock will cease to be quoted on the NYSE, the registration of the Paramount Common Stock under the Exchange Act will be terminated and such stock will no longer constitute "margin securities" under the rules of the Board of Governors of the Federal Reserve System. See "Exchange Act Registration and Trading of the Paramount Common Stock."</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Viacom is considering various plans to restructure Paramount and its subsidiaries following the Paramount Merger in order to, among other things, simplify Paramount's corporate structure, improve operating efficiencies, save expenses and make cash flow from operating subsidiaries more available to Viacom. While engaged in this process, Viacom has identified substantial amounts of redundancies in corporate overhead and is currently in the process of implementing overhead reductions, including personnel reductions. Viacom expects to take additional steps in this regard prior to and following the Paramount Merger.</w:t>
      </w:r>
    </w:p>
    <w:p>
      <w:pPr>
        <w:spacing w:after="0" w:line="164"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Except for the Mergers and except as otherwise described in this Proxy Statement/Prospectus, none of Sumner M. Redstone, NAI, Viacom or Paramount have any present plans or proposals which relate to or would result in (i) an extraordinary corporate transaction, such as a merger, reorganization or liquidation involving Paramount or any of its subsidiaries, (ii) a sale or transfer of a material amount of assets of Paramount or any of its subsidiaries,</w:t>
      </w:r>
    </w:p>
    <w:p>
      <w:pPr>
        <w:spacing w:after="0" w:line="1" w:lineRule="exact"/>
        <w:rPr>
          <w:sz w:val="20"/>
          <w:szCs w:val="20"/>
          <w:color w:val="auto"/>
        </w:rPr>
      </w:pPr>
    </w:p>
    <w:p>
      <w:pPr>
        <w:ind w:right="3539" w:firstLine="6"/>
        <w:spacing w:after="0" w:line="242" w:lineRule="auto"/>
        <w:tabs>
          <w:tab w:leader="none" w:pos="50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present dividend rate or policy or indebtedness or capitalization of Paramount or (iv) any other material change in Paramount's corporate structure or business. See "Financing of the Offer," "Certain Considerations" and "Financial Matters After the Mergers."</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PARAMOUNT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discussion in this Proxy Statement/Prospectus of the Paramount Merger and the description of the Paramount Merger's principal terms are subject to and qualified in their entirety by reference to the Paramount Merger Agreement, a copy of which is attached to this Proxy Statement/Prospectus as Annex I and which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OFFER</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the Offer, on March 11, 1994 Viacom completed its purchase of a majority of the shares of Paramount Common Stock at a price of $107 per share net to the seller in cash, or aggregate cash consideration of approximately $6.6 billion.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CONSIDERATION</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the Paramount Effective Time, each outstanding share of Paramount Common Stock issued and outstanding immediately prior to the Paramount Effective Time (other than shares of Paramount Common Stock held by Paramount, Viacom or any direct or indirect wholly owned subsidiary of Viacom or of Paramount and by holders who shall have demanded and perfected appraisal rights under the DGCL) will be converted into the right to receive (i) 0.93065 of a share of Viacom Class B Common Stock, (ii) $17.50 principal amount of the Viacom Merger Debentures, (iii) 0.93065 of a CVR, (iv) 0.5 of a Viacom Three-Year Warrant and (v) 0.3 of a Viacom Five-Year Warrant.</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02" w:right="1440" w:bottom="1440" w:gutter="0" w:footer="0" w:header="0"/>
        </w:sectPr>
      </w:pPr>
    </w:p>
    <w:bookmarkStart w:id="99" w:name="page100"/>
    <w:bookmarkEnd w:id="99"/>
    <w:p>
      <w:pPr>
        <w:ind w:right="3619" w:firstLine="418"/>
        <w:spacing w:after="0" w:line="242" w:lineRule="auto"/>
        <w:rPr>
          <w:sz w:val="20"/>
          <w:szCs w:val="20"/>
          <w:color w:val="auto"/>
        </w:rPr>
      </w:pPr>
      <w:r>
        <w:rPr>
          <w:rFonts w:ascii="Courier New" w:cs="Courier New" w:eastAsia="Courier New" w:hAnsi="Courier New"/>
          <w:sz w:val="14"/>
          <w:szCs w:val="14"/>
          <w:color w:val="auto"/>
        </w:rPr>
        <w:t>The Viacom Merger Debentures will bear interest (unless exchanged for Series C Preferred Stock as described below) at a rate of 8% per annum from the Paramount Effective Time, payable semi-annually beginning January 1, 1995, will have a maturity of 12 years from the Paramount Effective Time, will be redeemable, at the option of Viacom, in whole or in part, at declining redemption premiums after the fifth anniversary of the Paramount Effective Time and will be subordinated in right of payment to all senior indebtedness of Viacom.</w:t>
      </w:r>
    </w:p>
    <w:p>
      <w:pPr>
        <w:spacing w:after="0" w:line="169"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Viacom Merger Debentures will be exchangeable, at the option of Viacom, in whole but not in part, on or after the earlier of (i) January 1, 1995, but only if the Blockbuster Merger has not been consummated by such date and (ii) the acquisition by a third party of beneficial ownership of a majority of the then outstanding voting securities of Blockbuster, into the Series C Preferred Stock at the rate of one share of Series C Preferred Stock for each $50 in principal amount of Viacom Merger Debentures exchanged. The Series C Preferred Stock, if issued, (i) would accrue dividends from the date of issuance at a rate of 5% per annum until the tenth anniversary of the Paramount Effective Time and 10% per annum thereafter, (ii) would have a liquidation preference of $50 per share, (iii) would be redeemable at the option of Viacom in whole or in part at declining redemption premiums after the fifth anniversary of the Paramount Effective Time and (iv) would be exchangeable in whole or in part at the option of Viacom into the Viacom Exchange Debentures after the third anniversary of the Paramount Effective Time. The Viacom Exchange Debentures would be subordinated obligations of Viacom, would bear interest at the rate of 5% per annum until the tenth anniversary of the Paramount Effective Time and 10% per annum thereafter, would be redeemable at the option of Viacom, in whole or in part, at declining redemption premiums after the fifth anniversary of the Paramount Effective Time, and would mature on the twentieth anniversary of the Paramount Effective Time.</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Each whole CVR will represent the right, on the first anniversary of the Paramount Effective Time, to receive, in cash or securities (at the option of Viacom), the amount by which the average trading value of Viacom Class B Common Stock is less than a minimum price of $48 per share. Viacom will have the right, in its sole discretion, to extend the payment and measurement dates of the CVR by one year, in which case the minimum price will increase to $51 per share, and a further one-year extension right which, if exercised by Viacom, would increase the minimum price to $55 per share. The average trading value will be based upon market prices during the 60 trading days ending on the last day of the relevant period and is subject to a floor of (i) $36 per share if Viacom does not exercise its extension rights, (ii) $37 per share if Viacom extends the payment and measurement dates of the CVR by one year or (iii) $38 per share if Viacom exercises its further one-year extension right.</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breing payable with respect to the CVRs.</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Each whole Viacom Three-Year Warrant will entitle the holder thereof to purchase one share of Viacom Class B Common Stock at any time prior to the third anniversary of the Paramount Effective Time at a price of $60, payable in cash. Each whole Viacom Five-Year Warrant will entitle the holder thereof to purchase one share of Viacom Class B Common Stock at any time prior to the fifth anniversary of the Paramount Effective Time at a price of $70, payable in cash or by exchanging, if issued, either Series C Preferred Stock with an equivalent liquidation preference or an equivalent principal amount of Viacom Exchange Debentures. The terms of the Viacom Warrants will include customary anti-dilution (with respect to stock splits, stock dividends, reverse stock splits or other similar subdivisions or combinations of stock) and other provisions.</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03" w:right="1440" w:bottom="1440" w:gutter="0" w:footer="0" w:header="0"/>
        </w:sectPr>
      </w:pPr>
    </w:p>
    <w:bookmarkStart w:id="100" w:name="page101"/>
    <w:bookmarkEnd w:id="100"/>
    <w:p>
      <w:pPr>
        <w:ind w:right="3539" w:firstLine="418"/>
        <w:spacing w:after="0" w:line="242" w:lineRule="auto"/>
        <w:rPr>
          <w:sz w:val="20"/>
          <w:szCs w:val="20"/>
          <w:color w:val="auto"/>
        </w:rPr>
      </w:pPr>
      <w:r>
        <w:rPr>
          <w:rFonts w:ascii="Courier New" w:cs="Courier New" w:eastAsia="Courier New" w:hAnsi="Courier New"/>
          <w:sz w:val="14"/>
          <w:szCs w:val="14"/>
          <w:color w:val="auto"/>
        </w:rPr>
        <w:t>Due to a lack of an existing market for the CVRs and Viacom Warrants, it is impracticable to determine an actual value for the CVRs and Viacom Warrants at this time. While the CVRs and Viacom Warrants will be listed for trading on the AMEX, there are no assurances that a liquid public market reflecting the fundamental value of the CVRs and Viacom Warrants will develop.</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For a more detailed description of the Paramount Merger Consideration, see "Description of Viacom Capital Stock" and "Description of Viacom Debentures." For a description of the provisions with respect to fractional shares see "Certain Provisions of the Paramount Merger Agreement-- Procedure for Exchange of Paramount Certificates." Any shares of Paramount Common Stock held by Paramount, Viacom or any direct or indirect wholly owned subsidiary of Paramount or Viacom will be cancelled.</w:t>
      </w:r>
    </w:p>
    <w:p>
      <w:pPr>
        <w:spacing w:after="0" w:line="168" w:lineRule="exact"/>
        <w:rPr>
          <w:sz w:val="20"/>
          <w:szCs w:val="20"/>
          <w:color w:val="auto"/>
        </w:rPr>
      </w:pPr>
    </w:p>
    <w:p>
      <w:pPr>
        <w:ind w:right="3879" w:firstLine="418"/>
        <w:spacing w:after="0" w:line="269" w:lineRule="auto"/>
        <w:rPr>
          <w:sz w:val="20"/>
          <w:szCs w:val="20"/>
          <w:color w:val="auto"/>
        </w:rPr>
      </w:pPr>
      <w:r>
        <w:rPr>
          <w:rFonts w:ascii="Courier New" w:cs="Courier New" w:eastAsia="Courier New" w:hAnsi="Courier New"/>
          <w:sz w:val="13"/>
          <w:szCs w:val="13"/>
          <w:color w:val="auto"/>
        </w:rPr>
        <w:t>The financial terms of the Paramount Merger were determined through negotiations between Viacom and Paramount, each of which was advised with respect to such negotiations by its respective legal and financial advisors.</w:t>
      </w:r>
    </w:p>
    <w:p>
      <w:pPr>
        <w:spacing w:after="0" w:line="148"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Any shares of Viacom Class B Common Stock, Viacom Merger Debentures, CVRs, Viacom Three-Year Warrants, or Viacom Five-Year Warrants issued in connection with the Paramount Merger, or shares of Series C Preferred Stock issued upon the exchange (if any) of Viacom Merger Debentures, Viacom Exchange Debentures issued upon the exchange (if any) of shares of Series C Preferred Stock, securities issued pursuant to the CVRs, or shares of Viacom Class B Common Stock issued upon exercise of the Viacom Three-Year Warrants or Viacom Five-Year Warrants, to residents of Canada may be subject to certain resale restrictions, including that they may be required to be resold outside of Canada or pursuant to an available exemption under applicable Canadian securities laws.</w:t>
      </w:r>
    </w:p>
    <w:p>
      <w:pPr>
        <w:spacing w:after="0" w:line="15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No fractional securities will be issued in connection with the Paramount Merger. In lieu of any such fractional shares each holder of Paramount Common Stock will be paid an amount in cash as described under "Certain Provisions of the Paramount Merger Agreement--Procedure for Exchange of Paramount Certificates."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EFFECTIVE TIME</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Paramount Merger will become effective upon the filing of a Certificate of Merger with the Secretary of State of the State of Delaware or such later time as is specified in such certificate a form of which is attached as Annex VI. Such filing will be made as promptly as practicable after satisfaction or waiver of the conditions to the Paramount Merger unless another date is agreed to by Paramount and Viacom. The Paramount Merger Agreement may be terminated by either party if, among other reasons, the Paramount Merger shall not have been consummated on or before July 31, 1994; provided, however, that the Paramount Merger Agreement may be extended by written notice of either Viacom or Paramount to a date not later than September 30, 1994, if the Paramount Merger shall not have been consummated as a direct result of Viacom or Paramount having failed by July 31, 1994, to receive all required regulatory approvals or consents with respect to the Paramount Merger. See "Certain Provisions of the Paramount Merger Agreement--Termination" and "Certain Provisions of the Paramount Merger Agreement--Conditions to Consummation of the Paramount Merger."</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It is a condition to the Paramount Merger that the shares of Viacom Class B Common Stock, the Viacom Merger Debentures, the CVRs and the Viacom Warrants to be issued in the Paramount Merger as Paramount Merger Consideration be authorized for listing on the AMEX, subject to official notice of issuance. Viacom will file an application to list such securities on the AMEX, subject to official notice of issuance. The shares of Viacom Class B Common Stock are traded on the AMEX under the symbol "VIAB" and the Viacom Debentures, CVRs, Viacom Three-Year Warrants and Viacom Five-Year Warrants will be traded under</w:t>
      </w:r>
    </w:p>
    <w:p>
      <w:pPr>
        <w:spacing w:after="0" w:line="5" w:lineRule="exact"/>
        <w:rPr>
          <w:sz w:val="20"/>
          <w:szCs w:val="20"/>
          <w:color w:val="auto"/>
        </w:rPr>
      </w:pPr>
    </w:p>
    <w:p>
      <w:pPr>
        <w:spacing w:after="0"/>
        <w:tabs>
          <w:tab w:leader="none" w:pos="1500" w:val="left"/>
          <w:tab w:leader="none" w:pos="2240" w:val="left"/>
          <w:tab w:leader="none" w:pos="3000" w:val="left"/>
          <w:tab w:leader="none" w:pos="4000" w:val="left"/>
        </w:tabs>
        <w:rPr>
          <w:sz w:val="20"/>
          <w:szCs w:val="20"/>
          <w:color w:val="auto"/>
        </w:rPr>
      </w:pPr>
      <w:r>
        <w:rPr>
          <w:rFonts w:ascii="Courier New" w:cs="Courier New" w:eastAsia="Courier New" w:hAnsi="Courier New"/>
          <w:sz w:val="14"/>
          <w:szCs w:val="14"/>
          <w:color w:val="auto"/>
        </w:rPr>
        <w:t>the symbols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and "</w:t>
      </w:r>
      <w:r>
        <w:rPr>
          <w:sz w:val="20"/>
          <w:szCs w:val="20"/>
          <w:color w:val="auto"/>
        </w:rPr>
        <w:tab/>
      </w:r>
      <w:r>
        <w:rPr>
          <w:rFonts w:ascii="Courier New" w:cs="Courier New" w:eastAsia="Courier New" w:hAnsi="Courier New"/>
          <w:sz w:val="13"/>
          <w:szCs w:val="13"/>
          <w:color w:val="auto"/>
        </w:rPr>
        <w:t>", respectively.</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03" w:right="1440" w:bottom="1440" w:gutter="0" w:footer="0" w:header="0"/>
        </w:sectPr>
      </w:pPr>
    </w:p>
    <w:bookmarkStart w:id="101" w:name="page102"/>
    <w:bookmarkEnd w:id="101"/>
    <w:p>
      <w:pPr>
        <w:ind w:right="4000" w:firstLine="418"/>
        <w:spacing w:after="0" w:line="241" w:lineRule="auto"/>
        <w:rPr>
          <w:sz w:val="20"/>
          <w:szCs w:val="20"/>
          <w:color w:val="auto"/>
        </w:rPr>
      </w:pPr>
      <w:r>
        <w:rPr>
          <w:rFonts w:ascii="Courier New" w:cs="Courier New" w:eastAsia="Courier New" w:hAnsi="Courier New"/>
          <w:sz w:val="14"/>
          <w:szCs w:val="14"/>
          <w:color w:val="auto"/>
        </w:rPr>
        <w:t>Viacom has also agreed to use its reasonable best efforts to cause the Series C Preferred Stock and the Viacom Exchange Debentures to be approved for listing on the AMEX prior to the issuance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THE TRANSACTION</w:t>
      </w:r>
    </w:p>
    <w:p>
      <w:pPr>
        <w:spacing w:after="0" w:line="166" w:lineRule="exact"/>
        <w:rPr>
          <w:sz w:val="20"/>
          <w:szCs w:val="20"/>
          <w:color w:val="auto"/>
        </w:rPr>
      </w:pPr>
    </w:p>
    <w:p>
      <w:pPr>
        <w:ind w:right="4260" w:firstLine="418"/>
        <w:spacing w:after="0" w:line="241" w:lineRule="auto"/>
        <w:rPr>
          <w:sz w:val="20"/>
          <w:szCs w:val="20"/>
          <w:color w:val="auto"/>
        </w:rPr>
      </w:pPr>
      <w:r>
        <w:rPr>
          <w:rFonts w:ascii="Courier New" w:cs="Courier New" w:eastAsia="Courier New" w:hAnsi="Courier New"/>
          <w:sz w:val="14"/>
          <w:szCs w:val="14"/>
          <w:color w:val="auto"/>
        </w:rPr>
        <w:t>It is estimated that, if the Paramount Merger is consummated, expenses incurred in connection with the Offer and the Paramount Merger will be approximately as follows:</w:t>
      </w:r>
    </w:p>
    <w:p>
      <w:pPr>
        <w:sectPr>
          <w:pgSz w:w="11900" w:h="16838" w:orient="portrait"/>
          <w:cols w:equalWidth="0" w:num="1">
            <w:col w:w="10540"/>
          </w:cols>
          <w:pgMar w:left="220" w:top="603" w:right="11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left="6620"/>
        <w:spacing w:after="0"/>
        <w:rPr>
          <w:sz w:val="20"/>
          <w:szCs w:val="20"/>
          <w:color w:val="auto"/>
        </w:rPr>
      </w:pPr>
      <w:r>
        <w:rPr>
          <w:rFonts w:ascii="Courier New" w:cs="Courier New" w:eastAsia="Courier New" w:hAnsi="Courier New"/>
          <w:sz w:val="14"/>
          <w:szCs w:val="14"/>
          <w:color w:val="auto"/>
        </w:rPr>
        <w:t>PARAMOUNT</w:t>
      </w:r>
    </w:p>
    <w:p>
      <w:pPr>
        <w:spacing w:after="0" w:line="5" w:lineRule="exact"/>
        <w:rPr>
          <w:sz w:val="20"/>
          <w:szCs w:val="20"/>
          <w:color w:val="auto"/>
        </w:rPr>
      </w:pPr>
    </w:p>
    <w:p>
      <w:pPr>
        <w:jc w:val="center"/>
        <w:ind w:left="6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VIACOM, NAI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SUMNER M.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75" w:lineRule="exact"/>
        <w:rPr>
          <w:sz w:val="20"/>
          <w:szCs w:val="20"/>
          <w:color w:val="auto"/>
        </w:rPr>
      </w:pPr>
    </w:p>
    <w:p>
      <w:pPr>
        <w:sectPr>
          <w:pgSz w:w="11900" w:h="16838" w:orient="portrait"/>
          <w:cols w:equalWidth="0" w:num="2">
            <w:col w:w="7700" w:space="180"/>
            <w:col w:w="2660"/>
          </w:cols>
          <w:pgMar w:left="220" w:top="603" w:right="1139"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Financial advisory fees......................................................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Commission filing fees.......................................................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Legal fees...................................................................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Accounting fees..............................................................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Printing costs...............................................................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Proxy solicitation, distribution and Paying Agent fees.......................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Blue Sky fees................................................................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Miscellaneous................................................................</w:t>
      </w:r>
    </w:p>
    <w:p>
      <w:pPr>
        <w:sectPr>
          <w:pgSz w:w="11900" w:h="16838" w:orient="portrait"/>
          <w:cols w:equalWidth="0" w:num="1">
            <w:col w:w="10540"/>
          </w:cols>
          <w:pgMar w:left="220" w:top="603" w:right="1139" w:bottom="1440" w:gutter="0" w:footer="0" w:header="0"/>
          <w:type w:val="continuous"/>
        </w:sectPr>
      </w:pPr>
    </w:p>
    <w:p>
      <w:pPr>
        <w:spacing w:after="0" w:line="14" w:lineRule="exact"/>
        <w:rPr>
          <w:sz w:val="20"/>
          <w:szCs w:val="20"/>
          <w:color w:val="auto"/>
        </w:rPr>
      </w:pPr>
    </w:p>
    <w:p>
      <w:pPr>
        <w:ind w:left="6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4" w:lineRule="exact"/>
        <w:rPr>
          <w:sz w:val="20"/>
          <w:szCs w:val="20"/>
          <w:color w:val="auto"/>
        </w:rPr>
      </w:pPr>
    </w:p>
    <w:p>
      <w:pPr>
        <w:sectPr>
          <w:pgSz w:w="11900" w:h="16838" w:orient="portrait"/>
          <w:cols w:equalWidth="0" w:num="2">
            <w:col w:w="7700" w:space="180"/>
            <w:col w:w="2660"/>
          </w:cols>
          <w:pgMar w:left="220" w:top="603" w:right="1139" w:bottom="1440" w:gutter="0" w:footer="0" w:header="0"/>
          <w:type w:val="continuous"/>
        </w:sectPr>
      </w:pPr>
    </w:p>
    <w:p>
      <w:pPr>
        <w:ind w:left="1100"/>
        <w:spacing w:after="0"/>
        <w:rPr>
          <w:sz w:val="20"/>
          <w:szCs w:val="20"/>
          <w:color w:val="auto"/>
        </w:rPr>
      </w:pPr>
      <w:r>
        <w:rPr>
          <w:rFonts w:ascii="Courier New" w:cs="Courier New" w:eastAsia="Courier New" w:hAnsi="Courier New"/>
          <w:sz w:val="13"/>
          <w:szCs w:val="13"/>
          <w:color w:val="auto"/>
        </w:rPr>
        <w:t>Total...........................................................</w:t>
      </w:r>
    </w:p>
    <w:p>
      <w:pPr>
        <w:sectPr>
          <w:pgSz w:w="11900" w:h="16838" w:orient="portrait"/>
          <w:cols w:equalWidth="0" w:num="1">
            <w:col w:w="10540"/>
          </w:cols>
          <w:pgMar w:left="220" w:top="603" w:right="1139" w:bottom="1440" w:gutter="0" w:footer="0" w:header="0"/>
          <w:type w:val="continuous"/>
        </w:sectPr>
      </w:pPr>
    </w:p>
    <w:p>
      <w:pPr>
        <w:spacing w:after="0" w:line="14" w:lineRule="exact"/>
        <w:rPr>
          <w:sz w:val="20"/>
          <w:szCs w:val="20"/>
          <w:color w:val="auto"/>
        </w:rPr>
      </w:pPr>
    </w:p>
    <w:p>
      <w:pPr>
        <w:ind w:left="6620"/>
        <w:spacing w:after="0"/>
        <w:rPr>
          <w:sz w:val="20"/>
          <w:szCs w:val="20"/>
          <w:color w:val="auto"/>
        </w:rPr>
      </w:pPr>
      <w:r>
        <w:rPr>
          <w:rFonts w:ascii="Courier New" w:cs="Courier New" w:eastAsia="Courier New" w:hAnsi="Courier New"/>
          <w:sz w:val="13"/>
          <w:szCs w:val="13"/>
          <w:color w:val="auto"/>
        </w:rPr>
        <w:t>-------------</w:t>
      </w:r>
    </w:p>
    <w:p>
      <w:pPr>
        <w:spacing w:after="0" w:line="14" w:lineRule="exact"/>
        <w:rPr>
          <w:sz w:val="20"/>
          <w:szCs w:val="20"/>
          <w:color w:val="auto"/>
        </w:rPr>
      </w:pPr>
    </w:p>
    <w:p>
      <w:pPr>
        <w:ind w:left="6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both"/>
        <w:ind w:right="1000"/>
        <w:spacing w:after="0" w:line="276" w:lineRule="auto"/>
        <w:rPr>
          <w:sz w:val="20"/>
          <w:szCs w:val="20"/>
          <w:color w:val="auto"/>
        </w:rPr>
      </w:pPr>
      <w:r>
        <w:rPr>
          <w:rFonts w:ascii="Courier New" w:cs="Courier New" w:eastAsia="Courier New" w:hAnsi="Courier New"/>
          <w:sz w:val="13"/>
          <w:szCs w:val="13"/>
          <w:color w:val="auto"/>
        </w:rPr>
        <w:t>-------------------- --------------------</w:t>
      </w:r>
    </w:p>
    <w:p>
      <w:pPr>
        <w:spacing w:after="0" w:line="200" w:lineRule="exact"/>
        <w:rPr>
          <w:sz w:val="20"/>
          <w:szCs w:val="20"/>
          <w:color w:val="auto"/>
        </w:rPr>
      </w:pPr>
    </w:p>
    <w:p>
      <w:pPr>
        <w:sectPr>
          <w:pgSz w:w="11900" w:h="16838" w:orient="portrait"/>
          <w:cols w:equalWidth="0" w:num="2">
            <w:col w:w="7700" w:space="180"/>
            <w:col w:w="2660"/>
          </w:cols>
          <w:pgMar w:left="220" w:top="603" w:right="1139" w:bottom="1440" w:gutter="0" w:footer="0" w:header="0"/>
          <w:type w:val="continuous"/>
        </w:sectPr>
      </w:pPr>
    </w:p>
    <w:p>
      <w:pPr>
        <w:spacing w:after="0" w:line="105" w:lineRule="exact"/>
        <w:rPr>
          <w:sz w:val="20"/>
          <w:szCs w:val="20"/>
          <w:color w:val="auto"/>
        </w:rPr>
      </w:pPr>
    </w:p>
    <w:p>
      <w:pPr>
        <w:ind w:right="3920" w:firstLine="418"/>
        <w:spacing w:after="0" w:line="242" w:lineRule="auto"/>
        <w:rPr>
          <w:sz w:val="20"/>
          <w:szCs w:val="20"/>
          <w:color w:val="auto"/>
        </w:rPr>
      </w:pPr>
      <w:r>
        <w:rPr>
          <w:rFonts w:ascii="Courier New" w:cs="Courier New" w:eastAsia="Courier New" w:hAnsi="Courier New"/>
          <w:sz w:val="14"/>
          <w:szCs w:val="14"/>
          <w:color w:val="auto"/>
        </w:rPr>
        <w:t>All costs and expenses incurred in connection with the Paramount Merger Agreement and the transactions contemplated thereby will be paid by the party incurring such expenses, except that expenses incurred in connection with printing, filing and mailing this Proxy Statement/Prospectus and all Commission and other regulatory filing fees in connection therewith will be shared equally by Viacom and Paramount.</w:t>
      </w:r>
    </w:p>
    <w:p>
      <w:pPr>
        <w:spacing w:after="0" w:line="167" w:lineRule="exact"/>
        <w:rPr>
          <w:sz w:val="20"/>
          <w:szCs w:val="20"/>
          <w:color w:val="auto"/>
        </w:rPr>
      </w:pPr>
    </w:p>
    <w:p>
      <w:pPr>
        <w:ind w:right="3920"/>
        <w:spacing w:after="0" w:line="239" w:lineRule="auto"/>
        <w:rPr>
          <w:sz w:val="20"/>
          <w:szCs w:val="20"/>
          <w:color w:val="auto"/>
        </w:rPr>
      </w:pPr>
      <w:r>
        <w:rPr>
          <w:rFonts w:ascii="Courier New" w:cs="Courier New" w:eastAsia="Courier New" w:hAnsi="Courier New"/>
          <w:sz w:val="14"/>
          <w:szCs w:val="14"/>
          <w:color w:val="auto"/>
        </w:rPr>
        <w:t>OWNERSHIP OF VIACOM COMMON STOCK IMMEDIATELY AFTER THE PARAMOUNT MERGER AND THE MERGERS</w:t>
      </w:r>
    </w:p>
    <w:p>
      <w:pPr>
        <w:spacing w:after="0" w:line="16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PERCENTAGE OWNERSHIP OF VIACOM COMMON STOCK*</w:t>
      </w:r>
    </w:p>
    <w:p>
      <w:pPr>
        <w:sectPr>
          <w:pgSz w:w="11900" w:h="16838" w:orient="portrait"/>
          <w:cols w:equalWidth="0" w:num="1">
            <w:col w:w="10540"/>
          </w:cols>
          <w:pgMar w:left="220" w:top="603" w:right="1139" w:bottom="1440" w:gutter="0" w:footer="0" w:header="0"/>
          <w:type w:val="continuous"/>
        </w:sectPr>
      </w:pPr>
    </w:p>
    <w:p>
      <w:pPr>
        <w:spacing w:after="0" w:line="324"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FOLLOWING CONSUMMATION OF</w:t>
      </w:r>
    </w:p>
    <w:p>
      <w:pPr>
        <w:spacing w:after="0" w:line="2" w:lineRule="exact"/>
        <w:rPr>
          <w:sz w:val="20"/>
          <w:szCs w:val="20"/>
          <w:color w:val="auto"/>
        </w:rPr>
      </w:pPr>
    </w:p>
    <w:p>
      <w:pPr>
        <w:ind w:left="4940"/>
        <w:spacing w:after="0"/>
        <w:rPr>
          <w:sz w:val="20"/>
          <w:szCs w:val="20"/>
          <w:color w:val="auto"/>
        </w:rPr>
      </w:pPr>
      <w:r>
        <w:rPr>
          <w:rFonts w:ascii="Courier New" w:cs="Courier New" w:eastAsia="Courier New" w:hAnsi="Courier New"/>
          <w:sz w:val="14"/>
          <w:szCs w:val="14"/>
          <w:color w:val="auto"/>
        </w:rPr>
        <w:t>THE PARAMOUNT MERGER**</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440"/>
        <w:spacing w:after="0"/>
        <w:tabs>
          <w:tab w:leader="none" w:pos="6340" w:val="left"/>
        </w:tabs>
        <w:rPr>
          <w:sz w:val="20"/>
          <w:szCs w:val="20"/>
          <w:color w:val="auto"/>
        </w:rPr>
      </w:pPr>
      <w:r>
        <w:rPr>
          <w:rFonts w:ascii="Courier New" w:cs="Courier New" w:eastAsia="Courier New" w:hAnsi="Courier New"/>
          <w:sz w:val="14"/>
          <w:szCs w:val="14"/>
          <w:color w:val="auto"/>
        </w:rPr>
        <w:t>VIACOM CLASS A</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ind w:left="4520"/>
        <w:spacing w:after="0"/>
        <w:tabs>
          <w:tab w:leader="none" w:pos="610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3"/>
          <w:szCs w:val="13"/>
          <w:color w:val="auto"/>
        </w:rPr>
        <w:t>COMMON STOCK</w:t>
      </w:r>
    </w:p>
    <w:p>
      <w:pPr>
        <w:spacing w:after="0" w:line="5" w:lineRule="exact"/>
        <w:rPr>
          <w:sz w:val="20"/>
          <w:szCs w:val="20"/>
          <w:color w:val="auto"/>
        </w:rPr>
      </w:pPr>
    </w:p>
    <w:p>
      <w:pPr>
        <w:ind w:left="4360"/>
        <w:spacing w:after="0"/>
        <w:tabs>
          <w:tab w:leader="none" w:pos="592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FOLLOWING CONSUMMATION OF</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THE 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80"/>
        <w:spacing w:after="0"/>
        <w:tabs>
          <w:tab w:leader="none" w:pos="1980" w:val="left"/>
        </w:tabs>
        <w:rPr>
          <w:sz w:val="20"/>
          <w:szCs w:val="20"/>
          <w:color w:val="auto"/>
        </w:rPr>
      </w:pPr>
      <w:r>
        <w:rPr>
          <w:rFonts w:ascii="Courier New" w:cs="Courier New" w:eastAsia="Courier New" w:hAnsi="Courier New"/>
          <w:sz w:val="14"/>
          <w:szCs w:val="14"/>
          <w:color w:val="auto"/>
        </w:rPr>
        <w:t>VIACOM CLASS A</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ind w:left="160"/>
        <w:spacing w:after="0"/>
        <w:tabs>
          <w:tab w:leader="none" w:pos="174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3"/>
          <w:szCs w:val="13"/>
          <w:color w:val="auto"/>
        </w:rPr>
        <w:t>COMMON STOCK</w:t>
      </w:r>
    </w:p>
    <w:p>
      <w:pPr>
        <w:spacing w:after="0" w:line="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63" w:lineRule="exact"/>
        <w:rPr>
          <w:sz w:val="20"/>
          <w:szCs w:val="20"/>
          <w:color w:val="auto"/>
        </w:rPr>
      </w:pPr>
    </w:p>
    <w:p>
      <w:pPr>
        <w:sectPr>
          <w:pgSz w:w="11900" w:h="16838" w:orient="portrait"/>
          <w:cols w:equalWidth="0" w:num="2">
            <w:col w:w="7360" w:space="180"/>
            <w:col w:w="3000"/>
          </w:cols>
          <w:pgMar w:left="220" w:top="603" w:right="11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85.2%</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46.0%</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62.1%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24.8%</w:t>
      </w:r>
    </w:p>
    <w:p>
      <w:pPr>
        <w:spacing w:after="0" w:line="5" w:lineRule="exact"/>
        <w:rPr>
          <w:sz w:val="20"/>
          <w:szCs w:val="20"/>
          <w:color w:val="auto"/>
        </w:rPr>
      </w:pPr>
    </w:p>
    <w:p>
      <w:pPr>
        <w:sectPr>
          <w:pgSz w:w="11900" w:h="16838" w:orient="portrait"/>
          <w:cols w:equalWidth="0" w:num="5">
            <w:col w:w="4380" w:space="720"/>
            <w:col w:w="880" w:space="720"/>
            <w:col w:w="780" w:space="720"/>
            <w:col w:w="880" w:space="720"/>
            <w:col w:w="740"/>
          </w:cols>
          <w:pgMar w:left="220" w:top="603" w:right="1139"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Pre-Merger(s) stockholders of Viacom (other than</w:t>
      </w:r>
    </w:p>
    <w:p>
      <w:pPr>
        <w:sectPr>
          <w:pgSz w:w="11900" w:h="16838" w:orient="portrait"/>
          <w:cols w:equalWidth="0" w:num="1">
            <w:col w:w="10540"/>
          </w:cols>
          <w:pgMar w:left="220" w:top="603" w:right="11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Former stockholders of Blockbuster................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Former stockholders of Paramount..................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25.6%</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27.1%</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w:t>
      </w:r>
    </w:p>
    <w:p>
      <w:pPr>
        <w:spacing w:after="0" w:line="200" w:lineRule="exact"/>
        <w:rPr>
          <w:sz w:val="20"/>
          <w:szCs w:val="20"/>
          <w:color w:val="auto"/>
        </w:rPr>
      </w:pPr>
    </w:p>
    <w:p>
      <w:pPr>
        <w:sectPr>
          <w:pgSz w:w="11900" w:h="16838" w:orient="portrait"/>
          <w:cols w:equalWidth="0" w:num="5">
            <w:col w:w="4380" w:space="720"/>
            <w:col w:w="880" w:space="720"/>
            <w:col w:w="780" w:space="720"/>
            <w:col w:w="880" w:space="720"/>
            <w:col w:w="740"/>
          </w:cols>
          <w:pgMar w:left="220" w:top="603" w:right="11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540"/>
          </w:cols>
          <w:pgMar w:left="220" w:top="603" w:right="1139" w:bottom="1440" w:gutter="0" w:footer="0" w:header="0"/>
          <w:type w:val="continuous"/>
        </w:sectPr>
      </w:pPr>
    </w:p>
    <w:p>
      <w:pPr>
        <w:spacing w:after="0" w:line="166" w:lineRule="exact"/>
        <w:rPr>
          <w:sz w:val="20"/>
          <w:szCs w:val="20"/>
          <w:color w:val="auto"/>
        </w:rPr>
      </w:pPr>
    </w:p>
    <w:p>
      <w:pPr>
        <w:jc w:val="both"/>
        <w:ind w:left="260" w:right="3840" w:hanging="166"/>
        <w:spacing w:after="0" w:line="242" w:lineRule="auto"/>
        <w:rPr>
          <w:sz w:val="20"/>
          <w:szCs w:val="20"/>
          <w:color w:val="auto"/>
        </w:rPr>
      </w:pPr>
      <w:r>
        <w:rPr>
          <w:rFonts w:ascii="Courier New" w:cs="Courier New" w:eastAsia="Courier New" w:hAnsi="Courier New"/>
          <w:sz w:val="14"/>
          <w:szCs w:val="14"/>
          <w:color w:val="auto"/>
        </w:rPr>
        <w:t>* All percentages of ownership of common stock shown above in this section are calculated based on the number of shares of the relevant class or classes of stock outstanding as of March 31, 1994. Percentages of ownership do not give effect to potential dilution related to employee or director stock options or warrants, Viacom Preferred Stock, VCRs, CVRs and Viacom Warrants.</w:t>
      </w:r>
    </w:p>
    <w:p>
      <w:pPr>
        <w:spacing w:after="0" w:line="166" w:lineRule="exact"/>
        <w:rPr>
          <w:sz w:val="20"/>
          <w:szCs w:val="20"/>
          <w:color w:val="auto"/>
        </w:rPr>
      </w:pPr>
    </w:p>
    <w:p>
      <w:pPr>
        <w:ind w:left="260" w:right="4260" w:hanging="250"/>
        <w:spacing w:after="0" w:line="276" w:lineRule="auto"/>
        <w:rPr>
          <w:sz w:val="20"/>
          <w:szCs w:val="20"/>
          <w:color w:val="auto"/>
        </w:rPr>
      </w:pPr>
      <w:r>
        <w:rPr>
          <w:rFonts w:ascii="Courier New" w:cs="Courier New" w:eastAsia="Courier New" w:hAnsi="Courier New"/>
          <w:sz w:val="13"/>
          <w:szCs w:val="13"/>
          <w:color w:val="auto"/>
        </w:rPr>
        <w:t>** All percentages of ownership of common stock shown in this column are calculated assuming the Blockbuster Merger has not yet been consummated.</w:t>
      </w:r>
    </w:p>
    <w:p>
      <w:pPr>
        <w:spacing w:after="0" w:line="14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540"/>
          </w:cols>
          <w:pgMar w:left="220" w:top="603" w:right="1139" w:bottom="1440" w:gutter="0" w:footer="0" w:header="0"/>
          <w:type w:val="continuous"/>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EFFECT ON EMPLOYEE BENEFIT STOCK PLANS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Assumption of Paramount Stock Options. The Paramount Merger Agreement amended the February 4 Merger Agreement to modify the treatment of outstanding options to purchase shares of Paramount Common Stock granted under Paramount's employee stock option plans ("Paramount Stock Options"). In general, the principal effect of such amendment was to adjust the terms of the Paramount Stock Options outstanding at the Paramount Effective Time so that the holders of such options receive additional value, based upon the price per share paid in the Offer, with respect to one half of the Paramount Common Stock subject to such options. Pursuant to the Paramount Merger Agreement, at the Paramount Effective Time, Paramount's obligations with respect to Paramount Stock Options will be assumed by Viacom. The Paramount Stock Options will continue to have the same terms and conditions as in effect immediately prior to the Paramount Effective Time, except that such Paramount Stock Options will be exercisable for</w:t>
      </w:r>
    </w:p>
    <w:p>
      <w:pPr>
        <w:spacing w:after="0" w:line="2" w:lineRule="exact"/>
        <w:rPr>
          <w:sz w:val="20"/>
          <w:szCs w:val="20"/>
          <w:color w:val="auto"/>
        </w:rPr>
      </w:pPr>
    </w:p>
    <w:p>
      <w:pPr>
        <w:ind w:right="3539" w:firstLine="6"/>
        <w:spacing w:after="0" w:line="262" w:lineRule="auto"/>
        <w:tabs>
          <w:tab w:leader="none" w:pos="335"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number of whole shares of Viacom Class B Common Stock equal to the product of the number of shares of Paramount Common Stock covered by such Paramount Stock Option immediately prior to the Effective Time (the "Paramount Option Shares") multiplied by 0.5 and multiplied further by 0.93065, rounded up to the nearest whole number of shares of Viacom Class B Common Stock, (ii) that number of whole CVRs equal to the product of the number of Paramount Option Shares multiplied by 0.5 and multiplied further by 0.93065, rounded up to the nearest whole number of CVRs, provided that, if the option holder has not exercised his or her Paramount Stock Option prior to the maturity of the CVRs, then the CVRs described above shall be replaced by that number of shares of Viacom Class B Common Stock equal in value to the amount by which the "Target Price" exceeds the greater of the "Current Market Value" and the "Minimum Price" all as defined in "Description of Viacom Capital Stocks--CVRs," on the applicable maturity date multiplied by the number of such CVRs, rounded up to the nearest whole number of shares, (iii) that number of whole Viacom Three-Year Warrants equal to the product of the number of Paramount Option Shares multiplied by 0.5 and multiplied further by 0.5 and rounded up to the nearest whole number of Viacom Three-Year Warrants, provided that, if the option holder has not exercised his or her Paramount Stock Option prior to the third anniversary of the Paramount Effective Time, then the Viacom Three-Year Warrants described above shall be replaced by that number of shares of Viacom Class B Common Stock equal in value to the fair market value of such Viacom Three-Year Warrants (as determined by reference to the average trading price for the five-day trading period immediately prior to the third anniversary of the Paramount Effective Time, if available, or, if not available, in the reasonable judgment of the Viacom Board), rounded up to the nearest whole number of shares,</w:t>
      </w:r>
    </w:p>
    <w:p>
      <w:pPr>
        <w:spacing w:after="0" w:line="164" w:lineRule="exact"/>
        <w:rPr>
          <w:rFonts w:ascii="Courier New" w:cs="Courier New" w:eastAsia="Courier New" w:hAnsi="Courier New"/>
          <w:sz w:val="13"/>
          <w:szCs w:val="13"/>
          <w:color w:val="auto"/>
        </w:rPr>
      </w:pPr>
    </w:p>
    <w:p>
      <w:pPr>
        <w:ind w:right="3539" w:firstLine="6"/>
        <w:spacing w:after="0" w:line="243" w:lineRule="auto"/>
        <w:tabs>
          <w:tab w:leader="none" w:pos="41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Viacom Five-Year Warrants equal to the product of the number of Paramount Option Shares multiplied by 0.5 and multiplied further by 0.3 and rounded up to the nearest whole number of Viacom Five-Year Warrants, provided that, if the option holder has not exercised his or her Paramount Stock Option prior to the fifth anniversary of the Paramount Effective Time, then the Viacom Five-Year Warrants described above shall be replaced by that number of shares of Viacom Class B Common Stock equal in value to the fair market value of such Viacom Five-Year Warrants (as determined by reference to the average trading price for the five-day trading period immediately prior to the fifth anniversary of the Paramount Effective Time, if available, or if not available, in the reasonable judgment of the Viacom Board), rounded up to the nearest whole number of shares, (v) that (A) principal amount of whole Viacom Merger Debentures equal to the product of the number of shares of Paramount Common Stock covered by such Paramount Stock Option immediately prior to the Paramount Effective Time multiplied by 0.5 and multiplied further by $17.50 plus an amount in cash (without interest), rounded to the nearest cent, determined by multiplying (x) the fair market value of one Viacom Merger Debenture, as determined by reference to a five-day average trading price, if available, or if not available, in the reasonable judgment of the Viacom Board by (y) the fractional interest in a Viacom Merger Debenture to which such option holder would otherwise be entitled or (B) if issued, that number of whole shares of Series C Preferred Stock equal to the product of the number of shares of Paramount Common Stock covered by such Paramount Stock Option immediately prior to the Paramount Effective Time multiplied by 0.5 and multiplied further by .35 and rounded up to the nearest whole number of</w:t>
      </w:r>
    </w:p>
    <w:p>
      <w:pPr>
        <w:spacing w:after="0" w:line="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00"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shares of Series C Preferred Stock or (C) if issued, that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whole Viacom Exchange Debentures equal to the product of the number of shares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 covered by such Paramount Stock Option immediately prior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Paramount Effective Time multiplied by 0.5 and multiplied further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$17.50 plus an amount in cash (without interest), rounded to the nearest 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by multiplying (x) the fair market value of one Viacom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 as determined by reference to a five-day average trading price, if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or if not available, in the reasonable judgment of the Viacom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(y) the fractional interest in a Viacom Exchange Debenture to which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holder would otherwise be entitled, and (vi) that number of whole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Class B Common Stock equal to the result of the number of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Shares multiplied by 0.5 and multiplied further by $107, with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being divided by the First Year Anniversary Average Trading Price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defined below) and rounded up to the nearest whole number, provided that, if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holder exercises his or her Paramount Stock Options prior to the first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Paramount Effective Time, then the whole shares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shall be replaced by a right to receive such shares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anniversary of the Paramount Effective Time. In addition, pursuant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Agreement, Viacom agrees to provide each holder of a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not less than ten days' advance notice of any involuntary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termination of employment (other than by reason of death or disability) in order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permit such holder to exercise his or her then exercisable Paramount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during such ten-day period. As used above, the "First Year Anniversary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Trading Price" means the average closing price on the AMEX (or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 exchange on which such shares are then listed) for a share of Viacom Class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Common Stock during the 30 consecutive trading days immediately preceding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anniversary of the Paramount Effective Time. The Paramount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requires Viacom to reserve for issuance the shares underlying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Paramount Stock Options and to promptly issue to each holder of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Stock Options evidence of the assumption thereof.</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Other Effects of the Paramount Merger. Where permitted under the terms of any Paramount benefit plan or employment agreement, the Paramount Merger Agreement requires that the Paramount Board approve the transactions contemplated by the Paramount Merger Agreement prior to the Paramount Effective Time so that the transactions contemplated by the Paramount Merger Agreement do not accelerate or trigger changes to benefits or the terms of any such plan or agreement. The Paramount Merger Agreement also provides that Paramount will not terminate its annual or long-term performance plans prior to the Paramount Effective Time, and will delay the establishment of future performance targets under its annual plan and the implementation of a new performance cycle under its long-term plan until Paramount and Viacom review the terms of such plans after the Paramount Effective Time. Pursuant to the Paramount Merger Agreement and where permitted under the terms of any Viacom benefit plan or employment agreement, Viacom also will insure that the transactions contemplated by the Paramount Merger Agreement will not accelerate or trigger changes to benefits or the terms of any such plan or agreement.</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00" w:right="1440" w:bottom="1440" w:gutter="0" w:footer="0" w:header="0"/>
        </w:sectPr>
      </w:pPr>
    </w:p>
    <w:bookmarkStart w:id="104" w:name="page105"/>
    <w:bookmarkEnd w:id="104"/>
    <w:p>
      <w:pPr>
        <w:ind w:left="2440"/>
        <w:spacing w:after="0"/>
        <w:rPr>
          <w:sz w:val="20"/>
          <w:szCs w:val="20"/>
          <w:color w:val="auto"/>
        </w:rPr>
      </w:pPr>
      <w:r>
        <w:rPr>
          <w:rFonts w:ascii="Courier New" w:cs="Courier New" w:eastAsia="Courier New" w:hAnsi="Courier New"/>
          <w:sz w:val="14"/>
          <w:szCs w:val="14"/>
          <w:color w:val="auto"/>
        </w:rPr>
        <w:t>FINANCING OF THE OFFER</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The total amount of funds required by Viacom to consummate the Offer and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 related fees and expenses was approximately $6.7 billion. The Offer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financed by (i) $1.8 billion from the sale of Viacom Preferred Stock (see "Sale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Preferred Stock"), proceeds of which are reflected as cash and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on Viacom's balance sheet as of December 31, 1993, (ii) $1.25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 from the sale of Viacom Class B Common Stock to Blockbuster and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$3.7 billion from the Credit Agreement dated as of November 19, 1993, as amended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January 4, 1994 and as further amended as of February 15, 1994, among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the Banks named therein (the "Banks"), and The Bank of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Citibank, N.A. and Morgan Guaranty Trust Company of New York, as Managing Agents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so amended, the "Credit Agreement"). After the Blockbuster Merger,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A Preferred Stock and the Viacom Class B Common Stock owned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will cease to be outstanding and bank facilities used by Viacom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will be repaid or refinanced as described below. The following is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the principal terms of the bank agreements of Viacom and Blockbuster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have been filed with the Commission under the Exchange Act and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herein. Such summary does not purport to be complete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is subject to and qualified in its entirety by reference to such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The Credit Agreement provides that, in order to pay for the Offer and related expenses, up to $3.7 billion may be borrowed, repaid and reborrowed until November 18, 1994, at which time all amounts outstanding will become due and payable.</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Credit Agreement provides that Viacom may elect to borrow at either the Base Rate or the Eurodollar Rate, subject to certain limitations. The "Base Rate" will be the higher of (i) Citibank, N.A.'s Base Rate and (ii) the Federal Funds Rate plus 0.50%. The "Eurodollar Rate" will be the London Interbank Offered Rate plus (i) 0.9375%, until Viacom's senior unsecured long-term debt is rated by Standard &amp; Poor's Corporation ("S&amp;P") or Moody's Investors Service, Inc. ("Moody's"), and (ii) thereafter, a variable rate ranging from 0.2500% to 0.9375% dependent on the senior unsecured long-term debt ratings assigned to Viacom. The Eurodollar Rate is available for one, two, three or six month borrowings. Interest on Base Rate borrowings will be payable quarterly in arrears. Interest on Eurodollar Rate borrowings will be payable in arrears (i) at the end of each applicable interest period and (ii) in the case of a period longer than three months, every three months.</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Credit Agreement provides that Viacom will pay each of the Banks a facility fee on such Bank's commitment in effect from time to time (whether or not utilized) from November 19, 1993 until November 18, 1994 payable quarterly in arrears, at the rate of (i) 0.3750% per annum, until Viacom's senior unsecured long-term debt is rated by S&amp;P or Moody's and (ii) thereafter, a variable rate ranging from 0.1000% to 0.3750% dependent on the senior unsecured long-term debt ratings assigned to Viacom.</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Credit Agreement contains representations, warranties and covenants customary in facilities of this type. The Credit Agreement requires, among other things, that Viacom maintain certain financial ratios and comply with certain financial covenants.</w:t>
      </w:r>
    </w:p>
    <w:p>
      <w:pPr>
        <w:spacing w:after="0" w:line="165" w:lineRule="exact"/>
        <w:rPr>
          <w:sz w:val="20"/>
          <w:szCs w:val="20"/>
          <w:color w:val="auto"/>
        </w:rPr>
      </w:pPr>
    </w:p>
    <w:p>
      <w:pPr>
        <w:ind w:right="3959" w:firstLine="418"/>
        <w:spacing w:after="0" w:line="239" w:lineRule="auto"/>
        <w:rPr>
          <w:sz w:val="20"/>
          <w:szCs w:val="20"/>
          <w:color w:val="auto"/>
        </w:rPr>
      </w:pPr>
      <w:r>
        <w:rPr>
          <w:rFonts w:ascii="Courier New" w:cs="Courier New" w:eastAsia="Courier New" w:hAnsi="Courier New"/>
          <w:sz w:val="14"/>
          <w:szCs w:val="14"/>
          <w:color w:val="auto"/>
        </w:rPr>
        <w:t>Under the Credit Agreement, Viacom has agreed to indemnify each of the Banks and certain related persons against certain liabilities.</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Blockbuster obtained a portion of the funds necessary to purchase the shares of Viacom Class B Common Stock under the Blockbuster Subscription Agreement pursuant to a credit agreement dated as of February 15, 1994 (the "New Blockbuster Facility"), with certain banks named therein, Bank of America, as Agent, and BA Securities Inc., as Arranger, for the aggregate amount of $1 billion. The New Blockbuster Facility has a 364-day term and bears interest at Blockbuster's option at the Reference Rate or at LIBOR plus a margin ranging from 0.50% up to 1.0% (based upon Blockbuster's public debt rating) for the first six months after the initial borrowing and plus 1.25% thereafter. Under the New Blockbuster Facility, the Reference Rate is generally defined as the higher of (i) the rate of</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00" w:right="1440" w:bottom="1440" w:gutter="0" w:footer="0" w:header="0"/>
        </w:sectPr>
      </w:pPr>
    </w:p>
    <w:bookmarkStart w:id="105" w:name="page106"/>
    <w:bookmarkEnd w:id="105"/>
    <w:p>
      <w:pPr>
        <w:ind w:right="3699"/>
        <w:spacing w:after="0" w:line="242" w:lineRule="auto"/>
        <w:rPr>
          <w:sz w:val="20"/>
          <w:szCs w:val="20"/>
          <w:color w:val="auto"/>
        </w:rPr>
      </w:pPr>
      <w:r>
        <w:rPr>
          <w:rFonts w:ascii="Courier New" w:cs="Courier New" w:eastAsia="Courier New" w:hAnsi="Courier New"/>
          <w:sz w:val="14"/>
          <w:szCs w:val="14"/>
          <w:color w:val="auto"/>
        </w:rPr>
        <w:t>interest publicly announced from time to time by the Bank of America in San Francisco, California as its reference rate, or (ii) 0.5% per annum above the latest Federal Funds Rate in effect on such day. LIBOR is generally defined as the average London interbank offered rate for 1-, 2-, 3-or 6-month Eurodollar deposits.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Blockbuster obtained the remainder of such funds from its Amended and Restated Credit Agreement dated as of December 22, 1993 (the "Blockbuster Credit Agreement"), with certain banks named therein and Bank of America, for itself and as agent, pursuant to which such banks have agreed to advance Blockbuster on an unsecured basis an aggregate of $1 billion for a term of 40 months. Outstanding advances, if any, become due at the expiration of the 40-month term. The Blockbuster Credit Agreement and the New Blockbuster Facility require, among other things, that Blockbuster maintain certain financial ratios and comply with certain financial covenants. Borrowings under the Blockbuster Credit Agreement shall bear interest at either the Reference Rate, the Offshore Rate, the CD Rate or a rate submitted by any Bank presenting a Competitive Bid Offer to Blockbuster. The "Reference Rate" will be the higher of (i) the rate of interest publicly announced from time to time by the Bank of America in San Francisco, California as its Reference Rate, and (ii) 0.5% per annum above the Federal Funds Rate. The "Offshore Rate" will be the London Interbank Offered Rate plus a variable rate ranging from 0.3125% to 0.6500% depending on Blockbuster's public debt rating and outstanding borrowings under the Blockbuster Credit Agreement. The "CD Rate" will be based upon a formula of the interest rates chargeable on certificates of deposit plus a variable rate ranging from 0.4375% to 0.7750% depending on Blockbuster's public debt rating and outstandings under the Blockbuster Credit Agreement.</w:t>
      </w:r>
    </w:p>
    <w:p>
      <w:pPr>
        <w:spacing w:after="0" w:line="168"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Blockbuster Credit Agreement and the New Blockbuster Facility contain certain covenants and events of default, including a change of control default, which will require either a waiver in connection with the Blockbuster Merger or the refinancing of the indebtedness under such facilities prior to the Blockbuster Merger.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Accordingly, assuming consummation of the Blockbuster Merger, the foregoing facilities, together with other current maturities, may require Viacom to refinance up to $5.7 billion ($4.0 billion if the Blockbuster Merger is not consummated) within the next 7 months. No decision has been made concerning the method Viacom/Paramount will, or the combined company would, employ to repay such indebtedness. Such decision will be made based on Viacom/Paramount's or the combined company's review from time to time of the advisability of the particular actions, as well as on prevailing interest rates and financial and other economic conditions and such other factors as Viacom/Paramount or the combined company, as the case may be, may deem appropriate. Although Viacom expects that it will be able to refinance its indebtedness and meet its obligations without the need to sell any assets, Viacom is continuing to review opportunities for the sale of non-strategic assets as such opportunities may arise.</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02" w:right="1440" w:bottom="1440" w:gutter="0" w:footer="0" w:header="0"/>
        </w:sectPr>
      </w:pPr>
    </w:p>
    <w:bookmarkStart w:id="106" w:name="page107"/>
    <w:bookmarkEnd w:id="106"/>
    <w:p>
      <w:pPr>
        <w:ind w:left="2100"/>
        <w:spacing w:after="0"/>
        <w:rPr>
          <w:sz w:val="20"/>
          <w:szCs w:val="20"/>
          <w:color w:val="auto"/>
        </w:rPr>
      </w:pPr>
      <w:r>
        <w:rPr>
          <w:rFonts w:ascii="Courier New" w:cs="Courier New" w:eastAsia="Courier New" w:hAnsi="Courier New"/>
          <w:sz w:val="14"/>
          <w:szCs w:val="14"/>
          <w:color w:val="auto"/>
        </w:rPr>
        <w:t>SALE OF VIACOM PREFERRED STOCK</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On October 22, 1993, Blockbuster purchased $600 million of Series A Preferred Stock pursuant to an amended and restated subscription agreement (the "Blockbuster Preferred Stock Agreement") dated October 21, 1993 between Viacom and Blockbuster. On November 19, 1993, NYNEX (NYNEX and Blockbuster are hereinafter collectively referred to as the "Preferred Stock Investors") purchased $1.2 billion of Series B Preferred Stock pursuant to a subscription agreement (the "NYNEX Preferred Stock Agreement") dated October 4, 1993, as amended as of November 19, 1993, between Viacom and NYNEX. Additional terms of the Viacom Preferred Stock are described under "Description of Viacom Capital Stock--Viacom Preferred Stock."</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following description and that set forth under "Description of Viacom Capital Stock--Viacom Preferred Stock" is qualified in its entirety by reference to the respective Certificate of Designations of the Series A Preferred Stock and the Series B Preferred Stock.</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Each of the Blockbuster Preferred Stock Agreement and the NYNEX Preferred Stock Agreement provides that for so long as the Preferred Stock Investor and its affiliates beneficially own at least $300 million, based on liquidation preference, of the Viacom Preferred Stock initially purchased or the equivalent in number of shares of Viacom Preferred Stock and shares of Viacom Class B Common Stock issued on conversion of Viacom Preferred Stock, the Preferred Stock Investor will be entitled to designate one representative to the Board of Directors of Viacom. The Director designated by Blockbuster is H. Wayne Huizenga, Chairman and Chief Executive Officer of Blockbuster, and the Director designated by NYNEX is William C. Ferguson, Chairman of the Board of NYNEX. See "Management Before and After the Mergers."</w:t>
      </w:r>
    </w:p>
    <w:p>
      <w:pPr>
        <w:spacing w:after="0" w:line="164"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Each of the Blockbuster Preferred Stock Agreement and the NYNEX Preferred Stock Agreement provides the Preferred Stock Investors with registration rights with respect to the Viacom Preferred Stock and the Viacom Class B Common Stock issued upon conversion thereof and, for so long as the Preferred Stock Investor beneficially owns all of the series of Viacom Preferred Stock initially purchased by it, the right to participate in certain extraordinary dividends or distributions by Viacom on the same basis as if such Preferred Stock Investor had converted the Viacom Preferred Stock into Viacom Class B Common Stock, subject to certain adjustments being made to the terms of the Viacom Preferred Stock. The NYNEX Preferred Stock Agreement also provides for Viacom to repurchase from NYNEX the Series B Preferred Stock and Viacom Class B Common Stock issued upon conversion thereof in the event that continued beneficial ownership by NYNEX would be in violation of the MFJ. Under the MFJ, neither NYNEX nor any "affiliated enterprise," which, as of and after the purchase of the Series B Preferred Stock by NYNEX, may include Viacom and certain of its affiliates, may provide interexchange telecommunications service, interexchange access and information access services and certain other activities. See "Business."</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their agreements with Viacom, Blockbuster and NYNEX each agreed to pursue appropriate strategic partnership opportunities in the domestic and international media, entertainment, video transport and telecommunications sectors. The foregoing summaries of the material provisions of the Blockbuster Preferred Stock Agreement and the NYNEX Preferred Stock Agreement do not purport to be complete and are qualified in their entirety by reference to the Blockbuster Preferred Stock Agreement and the NYNEX Preferred Stock Agreement, respectively. The Blockbuster Preferred Stock Agreement and the NYNEX Preferred Stock Agreement have been filed with the Commission under the Exchange Act by each of Viacom and Blockbuster or NYNEX, as the case may be, and are incorporated herein by reference.</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00" w:right="1440" w:bottom="1440" w:gutter="0" w:footer="0" w:header="0"/>
        </w:sectPr>
      </w:pPr>
    </w:p>
    <w:bookmarkStart w:id="107" w:name="page108"/>
    <w:bookmarkEnd w:id="107"/>
    <w:p>
      <w:pPr>
        <w:jc w:val="center"/>
        <w:ind w:right="3539"/>
        <w:spacing w:after="0"/>
        <w:rPr>
          <w:sz w:val="20"/>
          <w:szCs w:val="20"/>
          <w:color w:val="auto"/>
        </w:rPr>
      </w:pPr>
      <w:r>
        <w:rPr>
          <w:rFonts w:ascii="Courier New" w:cs="Courier New" w:eastAsia="Courier New" w:hAnsi="Courier New"/>
          <w:sz w:val="14"/>
          <w:szCs w:val="14"/>
          <w:color w:val="auto"/>
        </w:rPr>
        <w:t>CERTAIN PROVISIONS OF THE PARAMOUNT MERGER AGREEMENT</w:t>
      </w:r>
    </w:p>
    <w:p>
      <w:pPr>
        <w:spacing w:after="0" w:line="166"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The following is a summary of the material provisions of the Paramount Merger Agreement not summarized elsewhere in this Proxy Statement/Prospectus. The Paramount Merger Agreement is attached as Annex I to this Proxy Statement/Prospectus and is incorporated herein by reference. The following summary does not purport to be complete and is qualified in its entirety by reference to the Paramount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 FOR EXCHANGE OF PARAMOUNT CERTIFICATES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As soon as reasonably practicable after the Paramount Effective Time, Viacom will instruct Paramount's transfer agent, Chemical Bank, to mail to each holder of record of a certificate or certificates which immediately prior to the Paramount Effective Time evidenced outstanding shares of Paramount Common Stock (other than Dissenting Shares) (the "Paramount Certificates") (i) a letter of transmittal and (ii) instructions to effect the surrender of the Paramount Certificates in exchange for the certificates evidencing shares of Viacom Class B Common Stock, the Viacom Merger Debentures, CVRs, Viacom Warrants and cash in lieu of fractional shares. Upon surrender of a Paramount Certificate for cancellation to the bank or trust company designated in its capacity as Exchange Agent (the "Paramount Exchange Agent") together with such letter of transmittal, duly executed, and such other customary documents as may be required pursuant to such instructions, the holder of such Paramount Certificate shall be entitled to receive in exchange therefor (i) certificates evidencing that number of whole shares of Viacom Class B Common Stock and that number of whole CVRs, Viacom Merger Debentures and Viacom Warrants which such holder has the right to receive in respect of the shares of Paramount Common Stock formerly evidenced by such Paramount Certificate, (ii) any dividends or other distributions to which such holder is entitled as described below and (iii) cash in lieu of fractional shares of Viacom Class B Common Stock and fractional CVRs, Viacom Merger Debentures and Viacom Warrants, and the Paramount Certificate so surrendered shall forthwith be cancelled. In the event of a transfer of ownership of shares of Paramount Common Stock which is not registered in the transfer records of Paramount, shares of Viacom Class B Common Stock, CVRs, Viacom Merger Debentures, Viacom Warrants and cash in lieu of fractional shares may be issued and paid to a transferee if the Paramount Certificate evidencing such shares of Paramount Common Stock is presented to the Paramount Exchange Agent, accompanied by all documents required to evidence and effect such transfer and by evidence that any applicable stock transfer taxes have been paid. Until surrendered, each Paramount Certificate shall be deemed at any time after the Paramount Effective Time to evidence only the right to receive upon such surrender the certificates evidencing Viacom Class B Common Stock, CVRs, Viacom Merger Debentures, Viacom Warrants, cash in lieu of fractional shares, any dividends and other distributions to which such holder is entitled and cash in lieu of fractional shares as described above.</w:t>
      </w:r>
    </w:p>
    <w:p>
      <w:pPr>
        <w:spacing w:after="0" w:line="333"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PARAMOUNT STOCKHOLDERS SHOULD NOT FORWARD THEIR STOCK CERTIFICATES TO THE EXCHANGE AGENT WITHOUT A LETTER OF TRANSMITTAL AND SHOULD NOT RETURN THEIR STOCK CERTIFICATES WITH THE ENCLOSED PROXY OR FORM OF ELECTION.</w:t>
      </w:r>
    </w:p>
    <w:p>
      <w:pPr>
        <w:spacing w:after="0" w:line="32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No dividends or other distributions declared or made after the Paramount Effective Time with respect to shares of Viacom Class B Common Stock and the CVRs, Viacom Merger Debentures and Viacom Warrants with a record date after the Paramount Effective Time shall be paid to the holder of any unsurrendered Paramount Certificate with respect to the shares of Viacom Class B Common Stock and the CVRs, Viacom Merger Debentures or Viacom Warrants they are entitled to receive until the holder of such Paramount Certificate shall surrender such Paramount Certificate.</w:t>
      </w:r>
    </w:p>
    <w:p>
      <w:pPr>
        <w:spacing w:after="0" w:line="16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00" w:right="1440" w:bottom="1440" w:gutter="0" w:footer="0" w:header="0"/>
        </w:sectPr>
      </w:pPr>
    </w:p>
    <w:bookmarkStart w:id="108" w:name="page109"/>
    <w:bookmarkEnd w:id="108"/>
    <w:p>
      <w:pPr>
        <w:ind w:right="3539" w:firstLine="418"/>
        <w:spacing w:after="0" w:line="242" w:lineRule="auto"/>
        <w:rPr>
          <w:sz w:val="20"/>
          <w:szCs w:val="20"/>
          <w:color w:val="auto"/>
        </w:rPr>
      </w:pPr>
      <w:r>
        <w:rPr>
          <w:rFonts w:ascii="Courier New" w:cs="Courier New" w:eastAsia="Courier New" w:hAnsi="Courier New"/>
          <w:sz w:val="14"/>
          <w:szCs w:val="14"/>
          <w:color w:val="auto"/>
        </w:rPr>
        <w:t>No fraction of a share of Viacom Class B Common Stock or fraction of a CVR, Viacom Merger Debenture or Viacom Warrant will be issued in the Paramount Merger. In lieu of any such fractional shares or fractional CVRs, Viacom Merger Debentures or Viacom Warrants, each holder of Paramount Common Stock upon surrender of a Paramount Certificate for exchange will be paid (1) an amount in cash (without interest), rounded to the nearest cent, determined by multiplying</w:t>
      </w:r>
    </w:p>
    <w:p>
      <w:pPr>
        <w:spacing w:after="0" w:line="6" w:lineRule="exact"/>
        <w:rPr>
          <w:sz w:val="20"/>
          <w:szCs w:val="20"/>
          <w:color w:val="auto"/>
        </w:rPr>
      </w:pPr>
    </w:p>
    <w:p>
      <w:pPr>
        <w:ind w:right="3539" w:firstLine="6"/>
        <w:spacing w:after="0" w:line="262" w:lineRule="auto"/>
        <w:tabs>
          <w:tab w:leader="none" w:pos="335" w:val="left"/>
        </w:tabs>
        <w:numPr>
          <w:ilvl w:val="0"/>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per share closing price on the AMEX of Viacom Class B Common Stock on the date of the Paramount Effective Time by (y) the fractional interest to which such holder would otherwise be entitled (after taking into account all shares of Paramount Common Stock then held of record by such holder) plus (2) an amount in cash (without interest), rounded to the nearest cent, determined by multiplying</w:t>
      </w:r>
    </w:p>
    <w:p>
      <w:pPr>
        <w:ind w:right="3539" w:firstLine="6"/>
        <w:spacing w:after="0" w:line="262" w:lineRule="auto"/>
        <w:tabs>
          <w:tab w:leader="none" w:pos="335" w:val="left"/>
        </w:tabs>
        <w:numPr>
          <w:ilvl w:val="0"/>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fair market value of one CVR, as determined by reference to a five-day average trading price, if available, or if not available, in the reasonable judgment of the Viacom Board by (y) the fractional interest in a CVR to which such holder would otherwise be entitled (after taking into account all shares of Paramount Common Stock then held of record by such holder) plus (3) an amount in cash (without interest) rounded to the nearest cent, determined by multiplying</w:t>
      </w:r>
    </w:p>
    <w:p>
      <w:pPr>
        <w:ind w:right="3619" w:firstLine="6"/>
        <w:spacing w:after="0" w:line="263" w:lineRule="auto"/>
        <w:tabs>
          <w:tab w:leader="none" w:pos="335"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fair market value of one Viacom Three-Year Warrant, as determined by reference to a five-day average trading price, if available, or if not available, in the reasonable judgment of the Viacom Board by (y) the fractional interest in a Viacom Three-Year Warrant to which such holder would otherwise be entitled (after taking into account all shares of Paramount Common Stock then held of record by such holder) plus (4) an amount in cash (without interest) determined as described below in respect of the fractional interest in a Viacom Merger Debenture to which such holder would otherwise be entitled (after taking into account all shares of Paramount Common Stock then held of record by such holder) plus (5) an amount in cash (without interest) rounded to the nearest cent, determined by multiplying (x) the fair market value of one Viacom Five-Year Warrant, as determined by reference to a five-day average trading price, if available, or if not available, in the reasonable judgment of the Viacom Board by (y) the fractional interest in a Viacom Five-Year Warrant to which such holder would otherwise be entitled (after taking into account all shares of Paramount Common Stock then held of record by such holder).</w:t>
      </w:r>
    </w:p>
    <w:p>
      <w:pPr>
        <w:spacing w:after="0" w:line="153"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Viacom Merger Debentures will be issued in the Paramount Merger only in principal amounts of $1,000 or integral multiples thereof. Holders of shares of Paramount Common Stock otherwise entitled to fractional amounts of Viacom Merger Debentures will be entitled to receive promptly from the Exchange Agent a cash payment in an amount equal to such holder's proportionate interest (after taking into account all shares of Paramount Common Stock then held of record by such holder) in the proceeds from the sale or sales in the open market by the Exchange Agent, on behalf of all such holders, of the aggregate fractional principal amount of Viacom Merger Debentures.</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Neither Viacom nor Paramount will be liable to any holder of shares of Paramount Common Stock for any such shares of Viacom Class B Common Stock, CVRs, Viacom Merger Debentures, Viacom Warrants (or dividends or distributions with respect thereto) or cash in respect of shares of Paramount Common Stock or cash in lieu of fractional shares of Viacom Class B Common Stock, CVRs, Viacom Merger Debentures or Viacom Warrants delivered to a public official pursuant to any applicable abandoned property, escheat or similar law.</w:t>
      </w:r>
    </w:p>
    <w:p>
      <w:pPr>
        <w:spacing w:after="0" w:line="168" w:lineRule="exact"/>
        <w:rPr>
          <w:sz w:val="20"/>
          <w:szCs w:val="20"/>
          <w:color w:val="auto"/>
        </w:rPr>
      </w:pPr>
    </w:p>
    <w:p>
      <w:pPr>
        <w:ind w:right="3539" w:firstLine="418"/>
        <w:spacing w:after="0" w:line="239" w:lineRule="auto"/>
        <w:rPr>
          <w:sz w:val="20"/>
          <w:szCs w:val="20"/>
          <w:color w:val="auto"/>
        </w:rPr>
      </w:pPr>
      <w:r>
        <w:rPr>
          <w:rFonts w:ascii="Courier New" w:cs="Courier New" w:eastAsia="Courier New" w:hAnsi="Courier New"/>
          <w:sz w:val="14"/>
          <w:szCs w:val="14"/>
          <w:color w:val="auto"/>
        </w:rPr>
        <w:t>After the Paramount Effective Time, there will be no transfers on the stock transfer books of Paramount of shares of Paramount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REPRESENTATIONS AND WARRANTIES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Paramount Merger Agreement contains various representations and warranties of Viacom and Paramount relating to, among other things, the following matters (which representations and warranties are subject, in certain cases, to specified exceptions): (i) the due organization, existence and good standing of, and similar corporate matters with respect to, each of Viacom, Paramount, the Viacom Material Subsidiaries, and the Paramount Material Subsidiaries (as such terms are defined in the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603" w:right="1440" w:bottom="1440" w:gutter="0" w:footer="0" w:header="0"/>
        </w:sectPr>
      </w:pPr>
    </w:p>
    <w:bookmarkStart w:id="109" w:name="page110"/>
    <w:bookmarkEnd w:id="109"/>
    <w:p>
      <w:pPr>
        <w:ind w:right="3699"/>
        <w:spacing w:after="0" w:line="262" w:lineRule="auto"/>
        <w:rPr>
          <w:sz w:val="20"/>
          <w:szCs w:val="20"/>
          <w:color w:val="auto"/>
        </w:rPr>
      </w:pPr>
      <w:r>
        <w:rPr>
          <w:rFonts w:ascii="Courier New" w:cs="Courier New" w:eastAsia="Courier New" w:hAnsi="Courier New"/>
          <w:sz w:val="13"/>
          <w:szCs w:val="13"/>
          <w:color w:val="auto"/>
        </w:rPr>
        <w:t>Paramount Merger Agreement); (ii) each of Viacom's and Paramount's organizational documents; (iii) each of Viacom's and Paramount's capital structure; (iv) the authorization, execution, delivery, performance by and enforceability of the Paramount Merger Agreement against Viacom and Paramount;</w:t>
      </w:r>
    </w:p>
    <w:p>
      <w:pPr>
        <w:spacing w:after="0" w:line="1" w:lineRule="exact"/>
        <w:rPr>
          <w:sz w:val="20"/>
          <w:szCs w:val="20"/>
          <w:color w:val="auto"/>
        </w:rPr>
      </w:pPr>
    </w:p>
    <w:p>
      <w:pPr>
        <w:ind w:right="3699" w:firstLine="6"/>
        <w:spacing w:after="0" w:line="262" w:lineRule="auto"/>
        <w:tabs>
          <w:tab w:leader="none" w:pos="335"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absence of any governmental or regulatory authorization, consent or approval required to consummate the Paramount Merger, other than as disclosed;</w:t>
      </w:r>
    </w:p>
    <w:p>
      <w:pPr>
        <w:ind w:right="3539" w:firstLine="6"/>
        <w:spacing w:after="0" w:line="243" w:lineRule="auto"/>
        <w:tabs>
          <w:tab w:leader="none" w:pos="41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conflict with such party's Certificate of Incorporation or By-laws, or with applicable law, or with certain contracts, other than as disclosed; (vii) required filings, permits and consents to effectuate the Paramount Merger; (viii) compliance with applicable laws; (ix) reports and other documents filed with the Commission and other regulatory authorities and the accuracy of the information contained therein; (x) the absence of certain changes or events prior to the date of the Paramount Merger Agreement having a material adverse effect on the financial condition, business or operations of Viacom and its subsidiaries or Paramount and its subsidiaries, as the case may be, except for any actions taken by Viacom in connection with the Blockbuster Merger or the Blockbuster Subscription Agreement; (xi) the absence of material pending or threatened litigation; (xii) the qualification, operation and liability under certain employee benefit plans of Viacom and its subsidiaries and Paramount and its subsidiaries, as the case may be; (xiii) the right to use all material patents, trademarks or copyrights for use in connection with the business of Viacom and its subsidiaries or Paramount and its subsidiaries, as the case may be; (xiv) certain tax matters and payment of taxes; (xv) the opinion of the respective financial advisors of Viacom and Paramount as to the fairness of the financial terms of the Offer and the Paramount Merger to their respective stockholders; (xvi) the absence of any brokerage, finder's or other fee due in connection with the Paramount Merger (except, in the case of Viacom, to Smith Barney and, in the case of Paramount, to Lazard Freres); and (xvii) the votes required by the stockholders of Viacom and Paramount to approve the transaction. In addition, Paramount represented and warranted to Viacom that all necessary action was taken to amend the Rights Agreement, so that (a) none of the transactions contemplated by the Paramount Merger Agreement will lead to (1) the exercise of the Rights, (2) Viacom or a Viacom subsidiary being deemed an "Acquiring Person" (as defined in the Rights Agreement) or (3) the "Stock Acquisition Date" (as defined in the Rights Agreement) occurring upon any such event and (b) the "Expiration Date" (as defined in the Rights Agreement) of the Rights will occur immediately prior to the Paramount Effective Time. Viacom has represented and warranted (i) that as of the date of the Paramount Merger Agreement and based on the number of issued and outstanding shares of Paramount Common Stock as of September 3, 1993 set forth in the Merger Agreement, Viacom and its affiliates beneficially owned, in the aggregate, less than 5% of the issued and outstanding shares of Paramount Common Stock, (ii) that, since September 12, 1993, neither Viacom nor, to Viacom's knowledge, its affiliates have purchased or sold shares of Viacom Class A Common Stock or Viacom Class B Common Stock and neither Viacom nor, to Viacom's knowledge, its affiliates have any knowledge of any such trading and (iii) that the representations and warranties of Viacom contained in the Blockbuster Merger Agreement are true and correct as of the date of the Paramount Merger Agreement and the date of consummation of the Offer, except as would not have a material adverse effect on the financial condition of the combined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AGREEMENT AMENDMENTS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the Paramount Merger Agreement, on March 1, 1994, Paramount amended the Rights Agreement so that the acquisition of Paramount Common Stock pursuant to the Offer or the Paramount Merger does not cause the Rights issued thereunder to become exercisable, and on January 21, 1994, Paramount amended the Rights Agreement so that the Rights will expire immediately prior to the Paramount Effective Time (the "Rights Agreement Amendments"). For a complete description of the Rights Agreement, as amended, see "Comparison of Stockholder Rights--Rights Plans."</w:t>
      </w:r>
    </w:p>
    <w:p>
      <w:pPr>
        <w:spacing w:after="0" w:line="16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602"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CONDUCT OF BUSINESSES PENDING THE PARAMOUNT MERGER</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Each of Viacom and Paramount has agreed that prior to the Paramount Effective Time, unless otherwise consented to in writing by the other party and except, in the case of Viacom, for actions taken by Viacom in order to consummate the Blockbuster Merger, the businesses of each of Paramount and Viacom and their respective subsidiaries will in all material respects be conducted in, and each of Paramount and Viacom and their respective subsidiaries will not take any material action except in, the ordinary course of business, consistent with past practice. In addition, each of Paramount and Viacom will use its reasonable best efforts to preserve substantially intact its business 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Viacom and Paramount have agreed that, except as contemplated by the Paramount Merger Agreement and for any actions taken by Viacom in order to consummate the Blockbuster Merger, neither Viacom nor Paramount nor any of their respective subsidiaries will, prior to the Paramount Effective Time, directly or indirectly do, or propose or agree to do, any of the following without the prior written consent of the other (provided that the following restrictions do not apply to any subsidiaries which Paramount or Viacom, as the case may be, do not control): (i) amend the Certificate of Incorporation or By-laws of Viacom or Paramount (except, with respect to Viacom, any amendments to its Restated Certificate of Incorporation contemplated by the Paramount Merger Agreement and the filing of the Certificate of Designation for the Series C Preferred Stock); (ii) issue, sell, pledge, dispose of, grant, encumber or authorize the issuance, sale, pledge, disposition, grant or encumbrance of (a) any shares of capital stock of any class of it or any of its subsidiaries, or any options (other than the grant of options in the ordinary course of business consistent with past practice to employees who are not executive officers of Paramount or Viacom),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any dividend reinvestment plan or by any Paramount benefit plan with an employee stock fund or employee stock ownership plan feature, consistent with applicable securities laws or the exercise of options, warrants or other similar rights or conversion of convertible preferred stock outstanding as of the date of the Paramount Merger Agreement and in accordance with the terms of such options, warrants or rights in effect on the date of the Paramount Merger Agreement or otherwise permitted to be granted pursuant to the Paramount Merger Agreement) or (b) any assets of it or any of its subsidiaries, except for sales in the ordinary course of business or which, individually, do not exceed $10 million or which, in the aggregate, do not exceed $25 million;</w:t>
      </w:r>
    </w:p>
    <w:p>
      <w:pPr>
        <w:spacing w:after="0" w:line="327" w:lineRule="exact"/>
        <w:rPr>
          <w:sz w:val="20"/>
          <w:szCs w:val="20"/>
          <w:color w:val="auto"/>
        </w:rPr>
      </w:pPr>
    </w:p>
    <w:p>
      <w:pPr>
        <w:ind w:right="3539" w:firstLine="6"/>
        <w:spacing w:after="0" w:line="243" w:lineRule="auto"/>
        <w:tabs>
          <w:tab w:leader="none" w:pos="50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capital stock, except (a) in the case of Viacom, with respect to the Viacom Preferred Stock, (b) in the case of Paramount, regular quarterly dividends in amounts not in excess of $.20 per share of Paramount Common Stock, per quarter and payable consistent with past practice; provided that, prior to the declaration of any such dividend, Paramount shall consult with Viacom as to the timing and advisability of declaring any such dividend, and (c) dividends declared and paid by a subsidiary of either Paramount or Viacom, each such dividend to be declared and paid in the ordinary course of business consistent with past practice; (iv) reclassify, combine, split, subdivide or redeem, purchase or otherwise acquire, directly or indirectly, any of its capital stock other than acquisitions by a dividend reinvestment plan or by any Paramount benefit plan with an employee stock fund or employee stock ownership plan feature, consistent with applicable securities laws; (v) (a) acquire (including, without limitation, by merger, consolidation, or acquisition of stock or assets) any corporation, partnership, other business organization or any division thereof or any assets, except for such acquisitions which, individually, do not exceed $10 million or which, in the aggregate, do not exceed $25 million; (b) incur any indebtedness for borrowed money or issue any debt securities or assume, guarantee or endorse, or otherwise as an accommodation become responsible for, the obligations of any person, or make any loans or advances, except (1) for any such indebtedness incurred by Viacom in connection with the Paramount Merger or the Offer, (2) the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600" w:right="1440" w:bottom="1440" w:gutter="0" w:footer="0" w:header="0"/>
        </w:sectPr>
      </w:pPr>
    </w:p>
    <w:bookmarkStart w:id="111" w:name="page112"/>
    <w:bookmarkEnd w:id="111"/>
    <w:p>
      <w:pPr>
        <w:ind w:right="3539"/>
        <w:spacing w:after="0" w:line="243" w:lineRule="auto"/>
        <w:rPr>
          <w:sz w:val="20"/>
          <w:szCs w:val="20"/>
          <w:color w:val="auto"/>
        </w:rPr>
      </w:pPr>
      <w:r>
        <w:rPr>
          <w:rFonts w:ascii="Courier New" w:cs="Courier New" w:eastAsia="Courier New" w:hAnsi="Courier New"/>
          <w:sz w:val="14"/>
          <w:szCs w:val="14"/>
          <w:color w:val="auto"/>
        </w:rPr>
        <w:t>refinancing of existing indebtedness, (3) borrowings under commercial paper programs in the ordinary course of business, (4) borrowings under existing bank lines of credit in the ordinary course of business, or (5) which, in the aggregate, do not exceed $25 million; or (c) enter into or amend any contract, agreement, commitment or arrangement with respect to any matter described in this clause (v); (vi) 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or (vii) take any action, other than reasonable and usual actions in the ordinary course of business and consistent with past practice, with respect to accounting policies or procedures.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CONSUMMATION OF THE PARAMOUNT MERGER</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obligations of Viacom and Paramount to consummate the Paramount Merger are subject to the satisfaction or, where legally permissible, waiver of various conditions, including (i) the effectiveness of the Registration Statement and the absence of any stop order suspending the effectiveness thereof and any proceedings for that purpose initiated by the Commission; (ii) the approval of the Paramount Merger Agreement by the requisite holders of Paramount Common Stock and the approval of the Paramount Merger Agreement and related transactions by the requisite holders of Viacom Class A Common Stock; (iii) no governmental entity having enacted, issued, promulgated, enforced or entered any statute, rule, regulation, executive order, decree, injunction or other order (whether temporary, preliminary or permanent) which is in effect and which materially restricts, prevents or prohibits consummation of the Paramount Merger or any transaction contemplated by the Paramount Merger Agreement; provided, however, that the parties have agreed to use their reasonable best efforts to cause any such decree, judgment, injunction or other order to be vacated or lifted; and (iv) the shares of Viacom Class B Common Stock and the Viacom Warrants, Viacom Merger Debentures and CVRs issuable to stockholders of Paramount in accordance with the terms of the Paramount Merger Agreement being authorized for listing on AMEX upon official notice of issuance.</w:t>
      </w:r>
    </w:p>
    <w:p>
      <w:pPr>
        <w:spacing w:after="0" w:line="313"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obligations of Paramount to effect the Paramount Merger and the other transactions contemplated by the Paramount Merger Agreement are also subject to the following conditions: (i) each of the representations and warranties of Viacom contained in the Paramount Merger Agreement being true and correct as of the Paramount Effective Time, as though made on and as of the Paramount Effective Time, except (a) for changes specifically permitted by the Paramount Merger Agreement and (b) that those representations and warranties which address matters only as of a particular date are required to remain true and correct as of such date, except in any case for such failures to be true and correct which would not, individually or in the aggregate, have a material adverse effect on Viacom and its subsidiaries, taken as a whole; (ii) Viacom having performed or complied in all material respects with all agreements and covenants required by the Paramount Merger Agreement to be performed or complied with by it on or prior to the Paramount Effective Time; (iii) since the date of the Paramount Merger Agreement, there being no change, occurrence or circumstance in the business, results of operations or financial condition of Viacom or any of its subsidiaries having or reasonably likely to have, individually or in the aggregate, a material adverse effect on the business, results of operations or financial condition of Viacom and its subsidiaries, taken as a whole; and (iv) Viacom having filed with the Secretary of State of the State of Delaware a certificate of amendment to Viacom's Restated Certificate of Incorporation pursuant to which certain amendments required by the Paramount Merger Agreement became effective (to the extent not previously voted upon and approved by the holders of Viacom Class A Common Stock).</w:t>
      </w:r>
    </w:p>
    <w:p>
      <w:pPr>
        <w:spacing w:after="0" w:line="16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60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RESTRICTIONS ON GOING PRIVATE TRANSACTIONS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From and after the Paramount Effective Time and until the tenth anniversary of the Paramount Effective Time, Viacom shall not enter into any agreement with any stockholder (a "Significant Stockholder") who beneficially owns more than 35% of the then outstanding securities entitled to vote at a meeting of the stockholders of Viacom that would constitute a Rule 13e-3 transaction under the Exchange Act (a "Going Private Transaction"), unless Viacom provides in any agreement pursuant to which such Going Private Transaction shall be effected that, as a condition to the consummation of such Going Private Transaction, (a) the holders of a majority of the shares not beneficially owned by the Significant Stockholder that are voted and present at the meeting of stockholders called to vote on such Going Private Transaction shall have voted in favor thereof and (b) a special committee of independent directors shall have</w:t>
      </w:r>
    </w:p>
    <w:p>
      <w:pPr>
        <w:spacing w:after="0" w:line="2" w:lineRule="exact"/>
        <w:rPr>
          <w:sz w:val="20"/>
          <w:szCs w:val="20"/>
          <w:color w:val="auto"/>
        </w:rPr>
      </w:pPr>
    </w:p>
    <w:p>
      <w:pPr>
        <w:ind w:right="3539" w:firstLine="6"/>
        <w:spacing w:after="0" w:line="242" w:lineRule="auto"/>
        <w:tabs>
          <w:tab w:leader="none" w:pos="33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the terms and conditions of the Going Private Transaction and shall have recommended that the stockholders vote in favor thereof and (ii) received from its financial advisor a written financial fairness opinion for inclusion in the proxy statement to be delivered to the stockholders. Such restrictions shall not apply to any Significant Stockholder if there exists another stockholder who beneficially owns a greater percentage of outstanding securities entitled to vote at the meeting than such Significant Stockholder.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 AGREEMENT</w:t>
      </w:r>
    </w:p>
    <w:p>
      <w:pPr>
        <w:spacing w:after="0" w:line="166" w:lineRule="exact"/>
        <w:rPr>
          <w:sz w:val="20"/>
          <w:szCs w:val="20"/>
          <w:color w:val="auto"/>
        </w:rPr>
      </w:pPr>
    </w:p>
    <w:p>
      <w:pPr>
        <w:ind w:right="3619" w:firstLine="418"/>
        <w:spacing w:after="0" w:line="267" w:lineRule="auto"/>
        <w:rPr>
          <w:sz w:val="20"/>
          <w:szCs w:val="20"/>
          <w:color w:val="auto"/>
        </w:rPr>
      </w:pPr>
      <w:r>
        <w:rPr>
          <w:rFonts w:ascii="Courier New" w:cs="Courier New" w:eastAsia="Courier New" w:hAnsi="Courier New"/>
          <w:sz w:val="13"/>
          <w:szCs w:val="13"/>
          <w:color w:val="auto"/>
        </w:rPr>
        <w:t>Viacom has agreed that the terms of the Blockbuster Merger Agreement shall not, without the consent of Paramount, be amended or waived in any manner that would have a material adverse effect on the value of the Paramount Merger Consideration and the consideration paid pursuant to the Offer, taken together.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INSURANCE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Viacom and Paramount have agreed in the Paramount Merger Agreement that the Certificate of Incorporation and By-laws of Paramount will contain the provisions with respect to indemnification set forth in the Restated Certificate of Incorporation and By-laws of Viacom on the date of the Paramount Merger Agreement, which provisions will not be amended, repealed or otherwise modified for a period of six years after the Paramount Effective Time in any manner that would adversely affect the rights thereunder of individuals who at any time prior to the Paramount Effective Time were directors or officers of Paramount in respect of actions or omissions occurring at or prior to the Paramount Effective Time (including, without limitation, the transactions contemplated by the Paramount Merger Agreement), unless such modification is required by law. The parties have also agreed in the Paramount Merger Agreement that after the Paramount Effective Time, Paramount will indemnify, defend and hold harmless the present and former officers and directors of Paramount (collectively, the "Indemnified Parties") against all losses, expenses, claims, damages, liabilities or amounts that are paid in settlement of, with the approval of the combined company (which approval shall not unreasonably be withheld), or otherwise in connection with any claim, action, suit, proceeding or investigation (a "Claim"), based in whole or in part on the fact that such person is or was a director or officer of Paramount and arising out of actions or omissions occurring at or prior to the Paramount Effective Time (including, without limitation, the transactions contemplated by the Paramount Merger Agreement), in each case to the full extent permitted under the DGCL. Viacom and Paramount have agreed in the Paramount Merger Agreement that Paramount will advance expenses as incurred to the fullest extent permitted by the DGCL, provided that the recipient thereof provides the undertaking to repay such advances contemplated by the DGCL. Viacom and Paramount have also agreed in the Paramount Merger Agreement that if any such claim, action or proceeding is brought against any indemnified party (whether arising prior to or after the Paramount Effective Time) after the Paramount Effective Time, Paramount will pay the reasonable fees and expenses of counsel selected by such indemnified party and will use its reasonable best efforts to assist in the vigorous defense of such matter.</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600" w:right="1440" w:bottom="1440" w:gutter="0" w:footer="0" w:header="0"/>
        </w:sectPr>
      </w:pPr>
    </w:p>
    <w:bookmarkStart w:id="113" w:name="page114"/>
    <w:bookmarkEnd w:id="113"/>
    <w:p>
      <w:pPr>
        <w:ind w:right="3539" w:firstLine="418"/>
        <w:spacing w:after="0" w:line="242" w:lineRule="auto"/>
        <w:rPr>
          <w:sz w:val="20"/>
          <w:szCs w:val="20"/>
          <w:color w:val="auto"/>
        </w:rPr>
      </w:pPr>
      <w:r>
        <w:rPr>
          <w:rFonts w:ascii="Courier New" w:cs="Courier New" w:eastAsia="Courier New" w:hAnsi="Courier New"/>
          <w:sz w:val="14"/>
          <w:szCs w:val="14"/>
          <w:color w:val="auto"/>
        </w:rPr>
        <w:t>The Paramount Merger Agreement further provides that, with respect to matters occurring prior to the Paramount Effective Time, Paramount will cause to be maintained for three years after the Paramount Effective Time the current policies of directors' and officers' liability insurance maintained by Paramount, or may substitute therefor policies of at least the same coverage, containing terms and conditions which are no less advantageous. Paramount will not be required to pay premiums for such insurance in excess of an amount equal to 200% of current annual premiums paid by Paramount for such insurance.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Paramount Merger Agreement may be terminated at any time prior to the Paramount Effective Time, whether before or after approval of the Paramount Merger Agreement by the stockholders of Paramount or the approval of the issuance of the shares of Viacom Common Stock in accordance with the Paramount Merger Agreement by the stockholders of Viacom (a) by mutual consent of Paramount and Viacom; (b) by Paramount, upon a breach by Viacom of any of its representations, warranties, covenants or agreements set forth in the Paramount Merger Agreement, or if any representation or warranty of Viacom shall have become untrue, in either case such that the conditions relating to such other party's representations, warranties, agreements or covenants would be incapable of being satisfied by July 31, 1994 (provided that in any case, a wilful breach will be deemed to cause such conditions to be incapable of being satisfied); (c) by either Viacom or Paramount, if any permanent injunction or action by any governmental entity preventing the consummation of the Paramount Merger shall have become final and nonappealable; (d) by either Viacom or Paramount, if the Paramount Merger shall not have been consummated before July 31, 1994; provided, however, that the Paramount Merger Agreement may be extended by written notice of either Viacom or Paramount to a date not later than September 30, 1994, if the Paramount Merger shall not have been consummated as a direct result of Viacom or Paramount having failed by July 31, 1994 to receive all required regulatory approvals or consents with respect to the Paramount Merger; and (e) by either Viacom or Paramount, if the Paramount Merger Agreement shall fail to receive the requisite vote for approval and adoption by the stockholders of Paramount or Viacom at their respective Special Meeting.</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the event of termination of the Paramount Merger Agreement by either Viacom or Paramount, the Paramount Merger Agreement will become void and there will be no liability or obligation on the part of Viacom or Paramount other than under certain provisions of the Paramount Merger Agreement relating to any breach of the Paramount Merger Agreement or confidential treatment of non-public information.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Under the Paramount Merger Agreement all costs and expenses, including, without limitation, fees and disbursements of counsel, financial advisors and accountants, incurred by Viacom and Paramount will be borne solely and entirely by the party which has incurred such costs and expenses; provided, however, that all costs and expenses related to printing, filing and mailing the Registration Statement and this Proxy Statement/Prospectus and all Commission and other regulatory filing fees incurred in connection with the Registration Statement and this Proxy Statement/Prospectus will be borne equally by Paramount and Viacom.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AND WAIVER</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Subject to applicable law, the Paramount Merger Agreement may be amended by action taken by or on behalf of the respective Boards of Directors of Viacom or Paramount at any time prior to the Paramount Effective Time. After approval of the Paramount Merger by the stockholders of Paramount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603" w:right="1440" w:bottom="1440" w:gutter="0" w:footer="0" w:header="0"/>
        </w:sectPr>
      </w:pPr>
    </w:p>
    <w:bookmarkStart w:id="114" w:name="page115"/>
    <w:bookmarkEnd w:id="114"/>
    <w:p>
      <w:pPr>
        <w:ind w:right="3619"/>
        <w:spacing w:after="0" w:line="241" w:lineRule="auto"/>
        <w:rPr>
          <w:sz w:val="20"/>
          <w:szCs w:val="20"/>
          <w:color w:val="auto"/>
        </w:rPr>
      </w:pPr>
      <w:r>
        <w:rPr>
          <w:rFonts w:ascii="Courier New" w:cs="Courier New" w:eastAsia="Courier New" w:hAnsi="Courier New"/>
          <w:sz w:val="14"/>
          <w:szCs w:val="14"/>
          <w:color w:val="auto"/>
        </w:rPr>
        <w:t>or Viacom, no amendment, which under applicable law may not be made without the approval of the stockholders of Paramount or Viacom, may be made without such approval.</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At any time prior to the Paramount Effective Time, either Paramount or Viacom may (i) extend the time for the performance of any of the obligations or other acts of the other party, (ii) waive any inaccuracies in the representations and warranties of the other party contained in the Paramount Merger Agreement or in any document delivered pursuant thereto and (iii) waive compliance by the other party with any of the agreements or conditions contained therein.</w:t>
      </w:r>
    </w:p>
    <w:p>
      <w:pPr>
        <w:spacing w:after="0" w:line="16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EXCHANGE ACT REGISTRATION AND TRADING</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OF THE PARAMOUNT COMMON STOCK</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Paramount Common Stock is currently registered under the Exchange Act, which requires, among other things, that Paramount furnish certain information to its stockholders and to the Commission and comply with the Commission's proxy rules in connection with meetings of stockholders. Registration of the Paramount Common Stock also makes certain provisions of the Exchange Act, such as the short-swing profit recovery provisions of Section 16(b), applicable to Paramount and its officers and directors. Registration of the Paramount Common Stock under the Exchange Act may be terminated upon the application of Paramount to the Commission if the Paramount Common Stock is not quoted through the inter-dealer quotation system of a registered national securities association and there are fewer than 300 holders of record of such class, which conditions will be satisfied upon consummation of the Paramount Merger. Paramount intends to file with the Commission a notice of termination of registration of Paramount Common Stock as soon as practicable after the Paramount Effective Time. As a result of the filing of such notice of termination, Paramount may no longer be required to file annual and quarterly reports with the Commission, comply with the proxy rules or send annual reports to stockholders. In addition, upon the effectiveness of the termination of registration, Paramount, its officers and directors and certain of its stockholders will no longer be required to make any other filing with the Commission with respect to the Paramount Common Stock. It is expected that, after the effective date of the Paramount Merger, Paramount Common Stock will cease to be traded on the NYSE.</w:t>
      </w:r>
    </w:p>
    <w:p>
      <w:pPr>
        <w:spacing w:after="0" w:line="32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602" w:right="1440" w:bottom="1440" w:gutter="0" w:footer="0" w:header="0"/>
        </w:sectPr>
      </w:pPr>
    </w:p>
    <w:bookmarkStart w:id="115" w:name="page116"/>
    <w:bookmarkEnd w:id="115"/>
    <w:p>
      <w:pPr>
        <w:ind w:left="2440"/>
        <w:spacing w:after="0"/>
        <w:rPr>
          <w:sz w:val="20"/>
          <w:szCs w:val="20"/>
          <w:color w:val="auto"/>
        </w:rPr>
      </w:pPr>
      <w:r>
        <w:rPr>
          <w:rFonts w:ascii="Courier New" w:cs="Courier New" w:eastAsia="Courier New" w:hAnsi="Courier New"/>
          <w:sz w:val="14"/>
          <w:szCs w:val="14"/>
          <w:color w:val="auto"/>
        </w:rPr>
        <w:t>THE BLOCKBUSTER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w:t>
      </w:r>
    </w:p>
    <w:p>
      <w:pPr>
        <w:spacing w:after="0" w:line="166" w:lineRule="exact"/>
        <w:rPr>
          <w:sz w:val="20"/>
          <w:szCs w:val="20"/>
          <w:color w:val="auto"/>
        </w:rPr>
      </w:pPr>
    </w:p>
    <w:p>
      <w:pPr>
        <w:ind w:right="3699" w:firstLine="418"/>
        <w:spacing w:after="0" w:line="265" w:lineRule="auto"/>
        <w:rPr>
          <w:sz w:val="20"/>
          <w:szCs w:val="20"/>
          <w:color w:val="auto"/>
        </w:rPr>
      </w:pPr>
      <w:r>
        <w:rPr>
          <w:rFonts w:ascii="Courier New" w:cs="Courier New" w:eastAsia="Courier New" w:hAnsi="Courier New"/>
          <w:sz w:val="13"/>
          <w:szCs w:val="13"/>
          <w:color w:val="auto"/>
        </w:rPr>
        <w:t>Blockbuster is an international entertainment company with businesses operating in the home video, music retailing and filmed entertainment industries. Blockbuster also has investments in other entertainment related businesses. The principal executive offices of Blockbuster are located at One Blockbuster Plaza, Fort Lauderdale, Florida 33301 (telephone: (305) 832-3000).</w:t>
      </w:r>
    </w:p>
    <w:p>
      <w:pPr>
        <w:spacing w:after="0" w:line="15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HOME VIDEO RETAILING. Blockbuster owns, operates and franchises Blockbuster Video videocassette rental and sales stores. Blockbuster believes that Blockbuster Video stores, which range in size from approximately 3,800 to 11,500 square feet, are generally larger than most videocassette rental and sales stores. Blockbuster Video stores generally carry a comprehensive selection of 7,000 to 13,000 prerecorded videocassettes, consisting of more than 5,000 titles. The proprietary computer software used in Blockbuster Video stores has been designed and developed by Blockbuster and is available only to Blockbuster-owned and franchise-owned Blockbuster Video stores and to other video stores which are to be converted to the Blockbuster Video format. Blockbuster's home video stores do not sell video hardware at retail, although video hardware is typically included in store equipment sold at wholesale to franchise owners. Blockbuster Video stores, however, offer customers a limited number of video hardware units for rental. According to a survey published in the December 1993 issue of Video Store Magazine, Blockbuster's and its franchise owners' systemwide revenue from the rental and sale of prerecorded videocassettes is greater than that of any other video specialty chain in the United States.</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Since February 1992, Blockbuster has operated video stores under the trade name "Ritz" in the United Kingdom and Austria through Cityvision. These stores average 1,100 square feet in size with, on average, approximately 3,000 prerecorded videocassettes available for rental and sale.</w:t>
      </w:r>
    </w:p>
    <w:p>
      <w:pPr>
        <w:spacing w:after="0" w:line="165"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Since acquiring all of the outstanding capital stock of Super Club from subsidiaries of Philips Electronics N.V. ("Philips") in November 1993, Blockbuster has operated video stores under the trade names "Video Towne", "Alfalfa", "Movies at Home" and "Movieland" in the United States. These stores average 6,700 square feet in size with, on average, approximately 5,000 prerecorded videocassettes available for rental and sale.</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Austria and 120 stores operating under the "Video Towne", "Alfalfa", "Movies at Home" and "Movieland" trade names. The Blockbuster Video system operates in 49 states and 9 foreign countries.</w:t>
      </w:r>
    </w:p>
    <w:p>
      <w:pPr>
        <w:spacing w:after="0" w:line="168"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MUSIC RETAILING. Through music stores operating under various trade names, including "Blockbuster Music Plus", "Sound Warehouse", "Music Plus", "Record Bar", "Tracks", "Turtle's" and "Rhythm and Views", Blockbuster is among the largest specialty retailers of prerecorded music in the United States, with 511 stores operating throughout the country as of December 31, 1993. Blockbuster is also a partner in an international joint venture with Virgin to develop music "Megastores" in continental Europe, Australia and the United States. The joint venture currently owns interests in and operates 20 "Megastores."</w:t>
      </w:r>
    </w:p>
    <w:p>
      <w:pPr>
        <w:spacing w:after="0" w:line="152"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FILMED ENTERTAINMENT. Blockbuster has interests in the filmed entertainment industry through investments in Spelling Entertainment and Republic Pictures, each of which operates in a broad range of filmed entertainment businesses, supported by an extensive library of television series, feature films, television movies, mini-series and specials. Blockbuster owns approximately 70.5% of Spelling Entertainment's outstanding shares of common stock and approximately 39% of Republic Pictures' outstanding shares of common stock, including shares subject to certain warrants, as of December 31, 1993.</w:t>
      </w:r>
    </w:p>
    <w:p>
      <w:pPr>
        <w:spacing w:after="0" w:line="15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600" w:right="1440" w:bottom="1440" w:gutter="0" w:footer="0" w:header="0"/>
        </w:sectPr>
      </w:pPr>
    </w:p>
    <w:bookmarkStart w:id="116" w:name="page117"/>
    <w:bookmarkEnd w:id="116"/>
    <w:p>
      <w:pPr>
        <w:ind w:right="3539" w:firstLine="418"/>
        <w:spacing w:after="0" w:line="269" w:lineRule="auto"/>
        <w:rPr>
          <w:sz w:val="20"/>
          <w:szCs w:val="20"/>
          <w:color w:val="auto"/>
        </w:rPr>
      </w:pPr>
      <w:r>
        <w:rPr>
          <w:rFonts w:ascii="Courier New" w:cs="Courier New" w:eastAsia="Courier New" w:hAnsi="Courier New"/>
          <w:sz w:val="13"/>
          <w:szCs w:val="13"/>
          <w:color w:val="auto"/>
        </w:rPr>
        <w:t>Spelling Entertainment and Republic Pictures have entered into an agreement pursuant to which Spelling Entertainment will acquire Republic Pictures, which transaction is expected to be consummated during the second quarter of 1994.</w:t>
      </w:r>
    </w:p>
    <w:p>
      <w:pPr>
        <w:spacing w:after="0" w:line="148"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OTHER ENTERTAINMENT. As of December 31, 1993, Blockbuster owned approximately 19.1%, of the outstanding common stock of Discovery Zone. Discovery Zone owns, operates and franchises Discovery Zone FunCenters. Blockbuster currently operates 34 Discovery Zone facilities as a franchisee of Discovery Zone and has rights to develop additional Discovery Zone facilities directly and in a joint venture with Discovery Zone.</w:t>
      </w:r>
    </w:p>
    <w:p>
      <w:pPr>
        <w:spacing w:after="0" w:line="167" w:lineRule="exact"/>
        <w:rPr>
          <w:sz w:val="20"/>
          <w:szCs w:val="20"/>
          <w:color w:val="auto"/>
        </w:rPr>
      </w:pPr>
    </w:p>
    <w:p>
      <w:pPr>
        <w:ind w:right="3539" w:firstLine="418"/>
        <w:spacing w:after="0" w:line="267" w:lineRule="auto"/>
        <w:rPr>
          <w:sz w:val="20"/>
          <w:szCs w:val="20"/>
          <w:color w:val="auto"/>
        </w:rPr>
      </w:pPr>
      <w:r>
        <w:rPr>
          <w:rFonts w:ascii="Courier New" w:cs="Courier New" w:eastAsia="Courier New" w:hAnsi="Courier New"/>
          <w:sz w:val="13"/>
          <w:szCs w:val="13"/>
          <w:color w:val="auto"/>
        </w:rPr>
        <w:t>CERTAIN RECENT DEVELOPMENTS. For a description of Blockbuster's purchase of Series A Preferred Stock see "Sale of Viacom Preferred Stock." For a description of Blockbuster's purchase of Viacom Class B Common Stock, see "--Certain Transactions Between Viacom and Blockbuster and With Their Stockholders."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TRANSACTIONS BETWEEN VIACOM AND BLOCKBUSTER AND WITH THEIR STOCKHOLDERS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Blockbuster Subscription Agreement.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March 10, 1994 Blockbuster purchased approximately 22.7 million shares of Viacom Class B Common Stock for an aggregate purchase price of approximately $1.25 billion, or $55 per share pursuant to the Blockbuster Subscription Agreement. If the Blockbuster Merger Agreement is terminated, Viacom may be obligated to make certain payments to Blockbuster or to sell certain assets to Blockbuster in the event that Viacom Class B Common Stock trades (for a specified period) at levels below $55 per share during the one year period after such termination.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Blockbuster Voting Agreement.</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Pursuant to the Blockbuster Voting Agreement, NAI has agreed to vote its shares of Viacom Class A Common Stock in favor of the Blockbuster Merger Agreement and against any competing business combination proposal. Approval of the Blockbuster Merger Agreement by the stockholders of Viacom is therefore assured.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Blockbuster Stockholders Stock Option Agreement.</w:t>
      </w:r>
    </w:p>
    <w:p>
      <w:pPr>
        <w:spacing w:after="0" w:line="166"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Pursuant to the Amended and Restated Stockholders Stock Option Agreement dated as of January 7, 1994 (the "Blockbuster Stockholders Stock Option Agreement"), among Viacom and certain stockholders of Blockbuster (the "Blockbuster Option Stockholders"), the Blockbuster Option Stockholders have granted to Viacom (i) options to purchase an aggregate of approximately 15.6 million shares of Blockbuster Common Stock (representing approximately 6.3% of the outstanding Blockbuster Common Stock as of January 7, 1994), and shares subsequently acquired by the Blockbuster Option Stockholders, at a price of $30.125 per share under certain circumstances in the event the Blockbuster Merger Agreement is terminated and (ii) proxies to vote such shares in favor of the Blockbuster Merger and against any competing business combination proposal.</w:t>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Blockbuster Proxy Agreement.</w:t>
      </w:r>
    </w:p>
    <w:p>
      <w:pPr>
        <w:spacing w:after="0" w:line="166"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Pursuant to the Amended and Restated Proxy Agreement dated as of January 7, 1994 (the "Blockbuster Proxy Agreement") among Viacom and certain stockholders of Blockbuster (the "Blockbuster Proxy Stockholders"), the Blockbuster Proxy Stockholders have granted to Viacom proxies to vote shares of Blockbuster Common Stock owned by such stockholders in favor of the Blockbuster Merger Agreement and against any competing business combination proposal, which shares, together with the shares subject to the Blockbuster Stockholders Stock Option Agreement (collectively, the "Blockbuster Proxy Shares"), represent approximately 22.3% of the outstanding shares of Blockbuster Common Stock as of January 7, 1994.</w:t>
      </w:r>
    </w:p>
    <w:p>
      <w:pPr>
        <w:spacing w:after="0" w:line="14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602"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FORM OF THE BLOCKBUSTER MERGER</w:t>
      </w:r>
    </w:p>
    <w:p>
      <w:pPr>
        <w:spacing w:after="0" w:line="166" w:lineRule="exact"/>
        <w:rPr>
          <w:sz w:val="20"/>
          <w:szCs w:val="20"/>
          <w:color w:val="auto"/>
        </w:rPr>
      </w:pPr>
    </w:p>
    <w:p>
      <w:pPr>
        <w:ind w:right="3539" w:firstLine="418"/>
        <w:spacing w:after="0" w:line="269" w:lineRule="auto"/>
        <w:rPr>
          <w:sz w:val="20"/>
          <w:szCs w:val="20"/>
          <w:color w:val="auto"/>
        </w:rPr>
      </w:pPr>
      <w:r>
        <w:rPr>
          <w:rFonts w:ascii="Courier New" w:cs="Courier New" w:eastAsia="Courier New" w:hAnsi="Courier New"/>
          <w:sz w:val="13"/>
          <w:szCs w:val="13"/>
          <w:color w:val="auto"/>
        </w:rPr>
        <w:t>If all required stockholder approvals are obtained and all other conditions to the Blockbuster Merger are satisfied or waived, then Blockbuster will be merged with and into Viacom, with Viacom being the surviving corporation.</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 CONSIDERATION</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At the Blockbuster Effective Time, each share of Blockbuster Common Stock that is issued and outstanding immediately prior to the Blockbuster Effective Time (other than shares of Blockbuster Common Stock owned by Viacom or any direct or indirect wholly owned subsidiary of Viacom or of Blockbuster and other than shares of Blockbuster Common Stock held by stockholders who shall have demanded and perfected appraisal rights, if available, under the DGCL) will be automatically converted into the right to receive (i) 0.08 of a share of Viacom Class A Common Stock, (ii) 0.60615 of a share of Viacom Class B Common Stock and</w:t>
      </w:r>
    </w:p>
    <w:p>
      <w:pPr>
        <w:spacing w:after="0" w:line="1" w:lineRule="exact"/>
        <w:rPr>
          <w:sz w:val="20"/>
          <w:szCs w:val="20"/>
          <w:color w:val="auto"/>
        </w:rPr>
      </w:pPr>
    </w:p>
    <w:p>
      <w:pPr>
        <w:ind w:right="3539" w:firstLine="6"/>
        <w:spacing w:after="0" w:line="242" w:lineRule="auto"/>
        <w:tabs>
          <w:tab w:leader="none" w:pos="50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an additional 0.13829 of a share of Viacom Class B Common Stock, with such number of shares depending on market prices of Viacom Class B Common Stock during the year following the Blockbuster Effective Time, evidenced by one VCR. No fractional securities will be issued in the Blockbuster Merger.</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VCRs represent the right to receive shares of Viacom Class B Common Stock under certain circumstances on the first anniversary of the Blockbuster Effective Time (the "VCR Conversion Date"). The number of shares of Viacom Class B Common Stock into which each VCR will convert on the VCR Conversion Date will not exceed 0.05929 of a share of Viacom Class B Common Stock if the average of the closing prices for a share of Viacom Class B Common Stock exceeds $40 per share during any 30 consecutive trading day period following the Blockbuster Effective Time and prior to the VCR Conversion Date. In the event that during any such period such average price exceeds $52 per share, the VCRs will terminate and have no value and the holders thereof will have no further rights with respect to the VCRs.</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the calculation in the above paragraph is inapplicable, the number of shares of Viacom Class B Common Stock into which the VCRs will convert will generally be based upon the value of Viacom Class B Common Stock (the "Class B Value") determined during the 90 trading day period (the "VCR Valuation Period") immediately preceding the VCR Conversion Date. The Class B Value will be equal to the average closing price of a share of Viacom Class B Common Stock during the 30 consecutive trading days in the VCR Valuation Period which yields the highest average closing price of a share of Viacom Class B Common Stock. In the event that the Class B Value is more than $40 per share but less than $48 per share, each VCR will convert into 0.05929 of a share of Viacom Class B Common Stock on the VCR Conversion Date. If the Class B Value is $40 per share or below, the number of shares of Viacom Class B Common Stock into which each VCR will convert on the VCR Conversion Date will increase ratably to the maximum of 0.13829 of a share of Viacom Class B Common Stock, which will occur if the Class B Value is $36 per share or below. If the Class B Value is $48 per share or above, the number of shares of Viacom Class B Common Stock into which the VCR will convert on the VCR Conversion Date will decrease ratably to zero, which will occur if the Class B Value is $52 per share or above.</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dollar amounts will be reduced by a percentage equal to any percentage decline in excess of 25% in the Standard &amp; Poor's 400 Index from the Blockbuster Effective Time until the VCR Conversion Date. Certain days are not included as "trading days" if the number of shares of Viacom Class B Common Stock traded on such days is below specified levels. See "Description of Viacom Capital Stock--Viacom Common Stock."</w:t>
      </w:r>
    </w:p>
    <w:p>
      <w:pPr>
        <w:spacing w:after="0" w:line="167"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Upon consummation of the Blockbuster Merger, any shares of Blockbuster Common Stock owned by Viacom or any direct or indirect wholly owned subsidiary of Blockbuster or Viacom will be cancelled.</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600" w:right="1440" w:bottom="1440" w:gutter="0" w:footer="0" w:header="0"/>
        </w:sectPr>
      </w:pPr>
    </w:p>
    <w:bookmarkStart w:id="118" w:name="page119"/>
    <w:bookmarkEnd w:id="118"/>
    <w:p>
      <w:pPr>
        <w:jc w:val="both"/>
        <w:ind w:right="3699" w:firstLine="418"/>
        <w:spacing w:after="0" w:line="241" w:lineRule="auto"/>
        <w:rPr>
          <w:sz w:val="20"/>
          <w:szCs w:val="20"/>
          <w:color w:val="auto"/>
        </w:rPr>
      </w:pPr>
      <w:r>
        <w:rPr>
          <w:rFonts w:ascii="Courier New" w:cs="Courier New" w:eastAsia="Courier New" w:hAnsi="Courier New"/>
          <w:sz w:val="14"/>
          <w:szCs w:val="14"/>
          <w:color w:val="auto"/>
        </w:rPr>
        <w:t>The Blockbuster Merger Consideration was determined through negotiations between Viacom and Blockbuster, each of which was advised with respect to such negotiations by its respective financial advisor.</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Any shares of Viacom Class A Common Stock, shares of Viacom Class B Common Stock or VCRs issued as part of the Blockbuster Merger Consideration, or shares of Viacom Class B Common Stock issued upon the maturity of the VCRs, to residents of Canada may be subject to certain resale restrictions, including that they may be required to be resold outside of Canada or pursuant to an available exemption under applicable Canadian securities 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Blockbuster Merger will constitute a reorganization within the meaning of section 368(a)(1)(A) of the Code. Neither Blockbuster nor Viacom will recognize any gain or loss as a result of the Blockbuster Merger. No ruling has been (or will be) sought from the Internal Revenue Service as to the tax consequences of the Blockbuster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 WITH RESPECT TO THE BLOCKBUSTER MERGER</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It is uncertain whether appraisal rights are available to holders of Blockbuster Common Stock under the DGCL in connection with the Blockbuster Merger. Although the VCRs evidence only the right to receive shares of Viacom Class B Common Stock under certain circumstances, the VCRs could be characterized as consideration other than shares of stock of Viacom. If the VCRs are considered to be "shares of stock" of Viacom under Section 262(b) of the DGCL, then the holders of Blockbuster Common Stock will not have appraisal rights. However, if the VCRs are not considered to be "shares of stock," then appraisal rights will be available to those stockholders of Blockbuster who meet and comply with the requirements of Section 262 of the DGCL. Stockholders of Viacom will have no appraisal rights in connection with the Blockbuster Merger.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BLOCKBUSTER WARRANTS AND EMPLOYEE STOCK OPTIONS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Blockbuster Merger Agreement provides that, at the Blockbuster Effective Time, Viacom will assume Blockbuster's obligations with respect to each outstanding stock option to purchase shares of Blockbuster Common Stock, subject to the following modification. The Blockbuster stock options assumed by Viacom will have the same terms and conditions as those of the applicable stock option plans and agreements pursuant to which the Blockbuster stock options were issued except that each Blockbuster stock option will be exercisable for (A) that number of whole shares of (i) Viacom Class A Common Stock equal to the product of the number of shares of Blockbuster Common Stock covered by such Blockbuster stock option multiplied by 0.08 and (ii) Viacom Class B Common Stock equal to the product of the number of shares of Blockbuster Common Stock covered by such Blockbuster stock option multiplied by 0.60615 and (B) that number of VCRs equal to the number of shares of Blockbuster Common Stock covered by such Blockbuster stock option (or, on or after the VCR Conversion Date, the number of shares of Viacom Class B Common Stock (if any) into which the VCRs were converted).</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January 31, 1994, an aggregate of 18,163,772 shares of Blockbuster Common Stock were subject to options granted to employees and directors of Blockbuster under various stock option plans. Such plans generally provide that the options granted thereunder become immediately exercisable in the event Blockbuster participates in a Business Combination with a Substantial Stockholder (each as defined under the Blockbuster Certificate of Incorporation). The Blockbuster Merger would constitute a Business Combination of Blockbuster with a Substantial Stockholder and, accordingly, options granted under those stock plans will become immediately exercisable upon consummation of the Blockbuster Merger. However, Viacom and Blockbuster have agreed to use their best efforts to secure from each executive of Blockbuster who enters into an employment agreement with Blockbuster an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603" w:right="1440" w:bottom="1440" w:gutter="0" w:footer="0" w:header="0"/>
        </w:sectPr>
      </w:pPr>
    </w:p>
    <w:bookmarkStart w:id="119" w:name="page120"/>
    <w:bookmarkEnd w:id="119"/>
    <w:p>
      <w:pPr>
        <w:ind w:right="3619"/>
        <w:spacing w:after="0" w:line="242" w:lineRule="auto"/>
        <w:rPr>
          <w:sz w:val="20"/>
          <w:szCs w:val="20"/>
          <w:color w:val="auto"/>
        </w:rPr>
      </w:pPr>
      <w:r>
        <w:rPr>
          <w:rFonts w:ascii="Courier New" w:cs="Courier New" w:eastAsia="Courier New" w:hAnsi="Courier New"/>
          <w:sz w:val="14"/>
          <w:szCs w:val="14"/>
          <w:color w:val="auto"/>
        </w:rPr>
        <w:t>agreement that such executive will waive such acceleration of exercisability, which waiver will lapse (resulting in the executive's options becoming immediately exercisable if they have not already done so in accordance with the applicable vesting schedule) upon a termination of the executive's employment for any reason.</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Under the Blockbuster Merger Agreement, Blockbuster has the right to adopt one or more additional stock option plans covering up to an additional 4,500,000 shares of Blockbuster Common Stock. On February 7, 1994, the Board of Directors of Blockbuster adopted, subject to stockholder approval, Blockbuster's 1994 Stock Option Plan and an amendment to Blockbuster's 1991 Non-employee Director Stock Option Plan.</w:t>
      </w:r>
    </w:p>
    <w:p>
      <w:pPr>
        <w:spacing w:after="0" w:line="167"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At March 3, 1994, 3,488,859 shares of Blockbuster Common Stock were subject to warrants held beneficially by employees or directors of Blockbuster. Warrants held by employees or directors of Blockbuster will be converted into Viacom warrants on the same terms and conditions except that each such warrant will be exercisable for (A) that number of whole shares of (i) Viacom Class A Common Stock equal to the product of the number of shares of Blockbuster Common Stock covered by such Blockbuster warrant multiplied by 0.08 and (ii) Viacom Class B Common Stock equal to the product of the number of shares of Blockbuster Common Stock covered by such Blockbuster warrant multiplied by 0.60615 and (B) that number of VCRs equal to the number of shares of Blockbuster Common Stock covered by such Blockbuster warrant (or, on or after the VCR Conversion Date, the number of shares of Viacom Class B Common Stock (if any) into which the VCRs were converted). Warrants of Blockbuster Common Stock which are not held by employees or directors of Blockbuster will be treated in accordance with their terms.</w:t>
      </w:r>
    </w:p>
    <w:p>
      <w:pPr>
        <w:spacing w:after="0" w:line="15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603" w:right="1440" w:bottom="1440" w:gutter="0" w:footer="0" w:header="0"/>
        </w:sectPr>
      </w:pPr>
    </w:p>
    <w:bookmarkStart w:id="120" w:name="page121"/>
    <w:bookmarkEnd w:id="120"/>
    <w:p>
      <w:pPr>
        <w:ind w:left="2440"/>
        <w:spacing w:after="0"/>
        <w:rPr>
          <w:sz w:val="20"/>
          <w:szCs w:val="20"/>
          <w:color w:val="auto"/>
        </w:rPr>
      </w:pPr>
      <w:r>
        <w:rPr>
          <w:rFonts w:ascii="Courier New" w:cs="Courier New" w:eastAsia="Courier New" w:hAnsi="Courier New"/>
          <w:sz w:val="14"/>
          <w:szCs w:val="14"/>
          <w:color w:val="auto"/>
        </w:rPr>
        <w:t>CERTAIN CONSIDERATIONS</w:t>
      </w:r>
    </w:p>
    <w:p>
      <w:pPr>
        <w:spacing w:after="0" w:line="166"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Stockholders of Viacom and Paramount should consider carefully all of the information contained in this Proxy Statement/Prospectus and, in particular, the following:</w:t>
      </w:r>
    </w:p>
    <w:p>
      <w:pPr>
        <w:spacing w:after="0" w:line="166" w:lineRule="exact"/>
        <w:rPr>
          <w:sz w:val="20"/>
          <w:szCs w:val="20"/>
          <w:color w:val="auto"/>
        </w:rPr>
      </w:pPr>
    </w:p>
    <w:p>
      <w:pPr>
        <w:ind w:left="420" w:right="3539" w:firstLine="418"/>
        <w:spacing w:after="0" w:line="243" w:lineRule="auto"/>
        <w:rPr>
          <w:sz w:val="20"/>
          <w:szCs w:val="20"/>
          <w:color w:val="auto"/>
        </w:rPr>
      </w:pPr>
      <w:r>
        <w:rPr>
          <w:rFonts w:ascii="Courier New" w:cs="Courier New" w:eastAsia="Courier New" w:hAnsi="Courier New"/>
          <w:sz w:val="14"/>
          <w:szCs w:val="14"/>
          <w:color w:val="auto"/>
        </w:rPr>
        <w:t>Financial Terms of the Offer and the Paramount Merger. Smith Barney has delivered its opinions to the Board of Directors of Viacom that, as of February 1, 1994 and the date of this Proxy Statement/Prospectus, the financial terms of the Offer and the Paramount Merger, taken together, were fair, from a financial point of view, to Viacom and its stockholders, whether or not the Blockbuster Merger is consummated. Lazard Freres has delivered its opinion to the Board of Directors of Paramount that, as of February 4, 1994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 However, no 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line="168" w:lineRule="exact"/>
        <w:rPr>
          <w:sz w:val="20"/>
          <w:szCs w:val="20"/>
          <w:color w:val="auto"/>
        </w:rPr>
      </w:pPr>
    </w:p>
    <w:p>
      <w:pPr>
        <w:ind w:left="420" w:right="3539" w:firstLine="418"/>
        <w:spacing w:after="0" w:line="243" w:lineRule="auto"/>
        <w:rPr>
          <w:sz w:val="20"/>
          <w:szCs w:val="20"/>
          <w:color w:val="auto"/>
        </w:rPr>
      </w:pPr>
      <w:r>
        <w:rPr>
          <w:rFonts w:ascii="Courier New" w:cs="Courier New" w:eastAsia="Courier New" w:hAnsi="Courier New"/>
          <w:sz w:val="14"/>
          <w:szCs w:val="14"/>
          <w:color w:val="auto"/>
        </w:rPr>
        <w:t>Controlling Stockholder. Immediately after completion of the Paramount Merger and before the completion of the Blockbuster Merger, NAI (in which Sumner M. Redstone beneficially owns a controlling interest) will own approximately 85% of the voting stock and 46% of the total (voting and non-voting) common stock of Viacom. Immediately after completion of the Mergers, NAI will own approximately 62% of the voting stock and approximately 25% of the total (voting and non-voting) common stock of Viacom. As such, Mr. Redstone will be in a position to control the election of the Board of Directors as well as the direction and future operations of Viacom (although certain provisions of the Paramount Merger Agreement and the Blockbuster Merger Agreement restrict the ability of certain large stockholders from engaging in going private transactions). See "The Paramount Merger--Ownership of Viacom Common Stock After the Mergers" and "Certain Provisions of the Paramount Merger Agreement--Restrictions On Going Private Transactions."</w:t>
      </w:r>
    </w:p>
    <w:p>
      <w:pPr>
        <w:spacing w:after="0" w:line="166" w:lineRule="exact"/>
        <w:rPr>
          <w:sz w:val="20"/>
          <w:szCs w:val="20"/>
          <w:color w:val="auto"/>
        </w:rPr>
      </w:pPr>
    </w:p>
    <w:p>
      <w:pPr>
        <w:ind w:left="420" w:right="3539" w:firstLine="418"/>
        <w:spacing w:after="0" w:line="243" w:lineRule="auto"/>
        <w:rPr>
          <w:sz w:val="20"/>
          <w:szCs w:val="20"/>
          <w:color w:val="auto"/>
        </w:rPr>
      </w:pPr>
      <w:r>
        <w:rPr>
          <w:rFonts w:ascii="Courier New" w:cs="Courier New" w:eastAsia="Courier New" w:hAnsi="Courier New"/>
          <w:sz w:val="14"/>
          <w:szCs w:val="14"/>
          <w:color w:val="auto"/>
        </w:rPr>
        <w:t>Total Indebtedness and Certain Refinancing. Viacom anticipates that, following the Mergers, the combined company will have outstanding total indebtedness of approximately $10.0 billion ($8.0 billion if the Blockbuster Merger is not consummated) and 5% Viacom Preferred Stock with a liquidation preference of $1.2 billion ($1.8 billion if the Blockbuster Merger is not consummated). Of such $10.0 billion, $3.7 billion was borrowed under Viacom's Credit Agreement and must be repaid by November 18, 1994. In addition, the $1.0 billion borrowed under the New Blockbuster Facility must be repaid by February 14, 1995 and both the New Blockbuster Facility and the Blockbuster Credit Agreement contain certain covenants and events of default, including a change of control default, which will require either a waiver in connection with the Blockbuster Merger or the refinancing of the indebtedness incurred under such facilities prior to the Blockbuster Merger.</w:t>
      </w:r>
    </w:p>
    <w:p>
      <w:pPr>
        <w:spacing w:after="0" w:line="165" w:lineRule="exact"/>
        <w:rPr>
          <w:sz w:val="20"/>
          <w:szCs w:val="20"/>
          <w:color w:val="auto"/>
        </w:rPr>
      </w:pPr>
    </w:p>
    <w:p>
      <w:pPr>
        <w:ind w:left="420" w:right="3539" w:firstLine="418"/>
        <w:spacing w:after="0" w:line="243" w:lineRule="auto"/>
        <w:rPr>
          <w:sz w:val="20"/>
          <w:szCs w:val="20"/>
          <w:color w:val="auto"/>
        </w:rPr>
      </w:pPr>
      <w:r>
        <w:rPr>
          <w:rFonts w:ascii="Courier New" w:cs="Courier New" w:eastAsia="Courier New" w:hAnsi="Courier New"/>
          <w:sz w:val="14"/>
          <w:szCs w:val="14"/>
          <w:color w:val="auto"/>
        </w:rPr>
        <w:t>Accordingly, assuming consummation of the Blockbuster Merger, the foregoing facilities, together with other current maturities, may require Viacom to refinance up to $5.7 billion ($4.0 billion if the Blockbuster Merger is not consummated) within the next 7 months. No decision has been made concerning the method Viacom/Paramount will, or the combined company would, employ to repay such indebtedness. Such decision will be made based on Viacom/Paramount's or the combined company's review from time to time of the advisability of the particular actions, as well as on prevailing interest rates and financial and other economic conditions and such other</w:t>
      </w:r>
    </w:p>
    <w:p>
      <w:pPr>
        <w:ind w:left="318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600" w:right="1440" w:bottom="1440" w:gutter="0" w:footer="0" w:header="0"/>
        </w:sectPr>
      </w:pPr>
    </w:p>
    <w:bookmarkStart w:id="121" w:name="page122"/>
    <w:bookmarkEnd w:id="121"/>
    <w:p>
      <w:pPr>
        <w:ind w:left="420" w:right="3619"/>
        <w:spacing w:after="0" w:line="242" w:lineRule="auto"/>
        <w:rPr>
          <w:sz w:val="20"/>
          <w:szCs w:val="20"/>
          <w:color w:val="auto"/>
        </w:rPr>
      </w:pPr>
      <w:r>
        <w:rPr>
          <w:rFonts w:ascii="Courier New" w:cs="Courier New" w:eastAsia="Courier New" w:hAnsi="Courier New"/>
          <w:sz w:val="14"/>
          <w:szCs w:val="14"/>
          <w:color w:val="auto"/>
        </w:rPr>
        <w:t>factors as Viacom/Paramount or the combined company, as the case may be, may deem appropriate. Although Viacom expects that it will be able to refinance its indebtedness and meet its obligations without the need to sell any assets, Viacom is continuing to review opportunities for the sale of non-strategic assets as such opportunities may arise.</w:t>
      </w:r>
    </w:p>
    <w:p>
      <w:pPr>
        <w:spacing w:after="0" w:line="166" w:lineRule="exact"/>
        <w:rPr>
          <w:sz w:val="20"/>
          <w:szCs w:val="20"/>
          <w:color w:val="auto"/>
        </w:rPr>
      </w:pPr>
    </w:p>
    <w:p>
      <w:pPr>
        <w:ind w:left="420" w:right="3619" w:firstLine="418"/>
        <w:spacing w:after="0" w:line="243" w:lineRule="auto"/>
        <w:rPr>
          <w:sz w:val="20"/>
          <w:szCs w:val="20"/>
          <w:color w:val="auto"/>
        </w:rPr>
      </w:pPr>
      <w:r>
        <w:rPr>
          <w:rFonts w:ascii="Courier New" w:cs="Courier New" w:eastAsia="Courier New" w:hAnsi="Courier New"/>
          <w:sz w:val="14"/>
          <w:szCs w:val="14"/>
          <w:color w:val="auto"/>
        </w:rPr>
        <w:t>Changing Competitive Environment. The entertainment and telecommunications industries of which the combined company will be a part are rapidly changing as a result of evolving distribution technologies, particularly the advent of digital compression, and related ongoing and anticipated changes to regulation of the communications industry. The future success of the combined company will be affected by such changes, the nature of which cannot be forecast with certainty. Although management believes that such technological developments are likely to enhance the value of the combined company's entertainment properties and trademarks, there can be no assurance that such developments will not limit the combined company's access to certain distribution channels or create additional competitive pressures on some or all of the combined company's businesses.</w:t>
      </w:r>
    </w:p>
    <w:p>
      <w:pPr>
        <w:spacing w:after="0" w:line="165" w:lineRule="exact"/>
        <w:rPr>
          <w:sz w:val="20"/>
          <w:szCs w:val="20"/>
          <w:color w:val="auto"/>
        </w:rPr>
      </w:pPr>
    </w:p>
    <w:p>
      <w:pPr>
        <w:ind w:left="420" w:right="3539" w:firstLine="418"/>
        <w:spacing w:after="0" w:line="243" w:lineRule="auto"/>
        <w:rPr>
          <w:sz w:val="20"/>
          <w:szCs w:val="20"/>
          <w:color w:val="auto"/>
        </w:rPr>
      </w:pPr>
      <w:r>
        <w:rPr>
          <w:rFonts w:ascii="Courier New" w:cs="Courier New" w:eastAsia="Courier New" w:hAnsi="Courier New"/>
          <w:sz w:val="14"/>
          <w:szCs w:val="14"/>
          <w:color w:val="auto"/>
        </w:rPr>
        <w:t>Combining the Companies. Viacom, Paramount and Blockbuster are large, diversified enterprises, with operations and sales worldwide. Although management of the companies believe that their respective operations are complementary and that, assuming approval by the stockholders of Blockbuster, integration of the companies will be accomplished promptly and without substantial difficulty, there can be no assurance that future results will improve as a result of the Mergers. If the Mergers are consummated, the combined company, on a pro forma basis, will be substantially more leveraged than any of Paramount, Viacom or Blockbuster immediately prior to the Mergers. See "Combined Company Unaudited Pro Forma Combined Condensed Financial Statements."</w:t>
      </w:r>
    </w:p>
    <w:p>
      <w:pPr>
        <w:spacing w:after="0" w:line="164" w:lineRule="exact"/>
        <w:rPr>
          <w:sz w:val="20"/>
          <w:szCs w:val="20"/>
          <w:color w:val="auto"/>
        </w:rPr>
      </w:pPr>
    </w:p>
    <w:p>
      <w:pPr>
        <w:ind w:left="420" w:right="3619" w:firstLine="418"/>
        <w:spacing w:after="0" w:line="243" w:lineRule="auto"/>
        <w:rPr>
          <w:sz w:val="20"/>
          <w:szCs w:val="20"/>
          <w:color w:val="auto"/>
        </w:rPr>
      </w:pPr>
      <w:r>
        <w:rPr>
          <w:rFonts w:ascii="Courier New" w:cs="Courier New" w:eastAsia="Courier New" w:hAnsi="Courier New"/>
          <w:sz w:val="14"/>
          <w:szCs w:val="14"/>
          <w:color w:val="auto"/>
        </w:rPr>
        <w:t>Consummation of the Blockbuster Merger. Although Viacom and Blockbuster have entered into the Blockbuster Merger Agreement and Viacom has the right to vote the Blockbuster Proxy Shares, representing approximately 22.3% of the outstanding shares of Blockbuster Common Stock as of January 7, 1994, the Blockbuster Merger remains subject to stockholder approval. As such, there can be no assurance that the Blockbuster Merger will be consummated. In considering the Mergers, the Viacom Board of Directors concluded that, even without Blockbuster, the combination of Viacom with Paramount could be financed on a reasonable basis and would result in all of the benefits described under "Special Factors--Reasons for the Paramount Merger; Recommendations of the Board of Directors; Fairness of the Transaction."</w:t>
      </w:r>
    </w:p>
    <w:p>
      <w:pPr>
        <w:spacing w:after="0" w:line="162"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AMENDMENTS TO THE RESTATED CERTIFICATE OF INCORPORATION OF VIACOM</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To the extent such matters have not been previously approved by the stockholders of Viacom, Viacom's Board of Directors is proposing to amend Viacom's Restated Certificate of Incorporation to (i) increase the number of shares of Viacom Class A Common Stock authorized to be issued from 100 million to 200 million, (ii) increase the number of shares of Viacom Class B Common Stock authorized to be issued from 150 million to one billion, (iii) increase the number of shares of the preferred stock of Viacom authorized to be issued from 100 million to 200 million and (iv) increase the maximum number of directors constituting the Board of Directors of Viacom from 12 to 20. The form of such amendment to the Viacom Restated Certificate of Incorporation is included in the Form of Certificate of Amendment, a copy of which is attached as Annex VII to this Proxy Statement/Prospectus.</w:t>
      </w:r>
    </w:p>
    <w:p>
      <w:pPr>
        <w:spacing w:after="0" w:line="165"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additional shares of Viacom Class A Common Stock, Viacom Class B Common Stock and preferred stock of Viacom to be authorized would be available not only to consummate the Paramount Merger, but also for possible future financing and acquisition transactions, stock dividends or splits and other corporate purposes. The additional shares of Viacom Class A Common Stock, Viacom Class B Common Stock and preferred stock of Viacom would be available for issuance without further action by the stockholders of Viacom unless such action is required by applicable law or the rules of the AMEX, on which the issued shares of Viacom Class A Common Stock and Viacom Class B Common Stock are</w:t>
      </w:r>
    </w:p>
    <w:p>
      <w:pPr>
        <w:ind w:left="3180"/>
        <w:spacing w:after="0" w:line="238" w:lineRule="auto"/>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603" w:right="1440" w:bottom="1440" w:gutter="0" w:footer="0" w:header="0"/>
        </w:sectPr>
      </w:pPr>
    </w:p>
    <w:bookmarkStart w:id="122" w:name="page123"/>
    <w:bookmarkEnd w:id="122"/>
    <w:p>
      <w:pPr>
        <w:ind w:right="3619"/>
        <w:spacing w:after="0" w:line="267" w:lineRule="auto"/>
        <w:rPr>
          <w:sz w:val="20"/>
          <w:szCs w:val="20"/>
          <w:color w:val="auto"/>
        </w:rPr>
      </w:pPr>
      <w:r>
        <w:rPr>
          <w:rFonts w:ascii="Courier New" w:cs="Courier New" w:eastAsia="Courier New" w:hAnsi="Courier New"/>
          <w:sz w:val="13"/>
          <w:szCs w:val="13"/>
          <w:color w:val="auto"/>
        </w:rPr>
        <w:t>listed. The AMEX requires stockholder approval as a prerequisite to listing shares in certain instances, including in connection with acquisition transactions where the present or potential issuance of shares could result in an increase in the number of shares of common stock outstanding by 20% or more.</w:t>
      </w:r>
    </w:p>
    <w:p>
      <w:pPr>
        <w:spacing w:after="0" w:line="14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March 31, 1994 there were 53,449,525 issued and outstanding shares of Viacom Class A Common Stock and 90,078,203 issued and outstanding shares of Viacom Class B Common Stock. As of March 31, there were 61,135,478 outstanding shares of Paramount Common Stock not owned by Viacom. Based on this number, 56,895,733 shares of Viacom Class B Common Stock will be issued in the Paramount Merger at the Paramount Effective Time. As of March 18, 1994, there were 249,049,687 shares of Blockbuster Common Stock outstanding. Based on this number, 19,923,975 shares of Viacom Class A Common Stock and 150,961,468 shares of Viacom Class B Common Stock will be issued in connection with the Blockbuster Merger at the Blockbuster Effective Time. Accordingly, 126,626,500 shares of Viacom Class A Common Stock and 702,064,596 shares of Viacom Class B Common Stock will be authorized but unissued immediately following the Mergers. For further information regarding Viacom Common Stock, see "Description of Viacom Capital Stock" and "Capitalization."</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AMENDMENT TO THE CERTIFICATE OF INCORPORATION</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AND BY-LAWS OF PARAMOUNT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Upon consummation of the Paramount Merger, the Certificate of Incorporation and By-Laws of Paramount shall be amended in their entirety to read as the Certificate of Incorporation and By-Laws of the Merger Subsidiary. The form of the proposed amendment to the Certificate of Incorporation and By-Laws of Paramount is included in the Form of Certificate of Merger for the Paramount Merger, a copy of which is attached as Annex VI to this Proxy Statement/Prospectus.</w:t>
      </w:r>
    </w:p>
    <w:p>
      <w:pPr>
        <w:spacing w:after="0" w:line="16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MANAGEMENT BEFORE AND AFTER THE MERGERS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GEORGE S. ABRAMS, Director of Viacom, Viacom International and Paramount,</w:t>
      </w:r>
    </w:p>
    <w:p>
      <w:pPr>
        <w:spacing w:after="0" w:line="5" w:lineRule="exact"/>
        <w:rPr>
          <w:sz w:val="20"/>
          <w:szCs w:val="20"/>
          <w:color w:val="auto"/>
        </w:rPr>
      </w:pPr>
    </w:p>
    <w:p>
      <w:pPr>
        <w:ind w:right="3539" w:firstLine="6"/>
        <w:spacing w:after="0" w:line="243" w:lineRule="auto"/>
        <w:tabs>
          <w:tab w:leader="none" w:pos="33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Abrams was elected a Director of Viacom and Viacom International in 1987 and of Paramount in March 1994 and is Chairman of Viacom's and Paramount's Audit Committees and a member of Viacom's and Paramount's Compensation Committees. Mr. Abrams has been associated with Winer &amp; Abrams, a law firm located in Boston, Massachusetts, for more than five years. Mr. Abrams is the former General Counsel and Staff Director of the United States Senate Judiciary Committee on Refugees. He became a Director of NAI in 1992. Mr. Abrams is also a member of the Boards of Trustees and Visiting Committees of a number of art museums, art-related organizations and educational institutions.</w:t>
      </w:r>
    </w:p>
    <w:p>
      <w:pPr>
        <w:spacing w:after="0" w:line="164"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FRANK J. BIONDI, JR., Director and President, Chief Executive Officer of Viacom, Viacom International and Paramount, 49. Mr. Biondi was elected a Director of Viacom and Viacom International in 1987 and of Paramount in March 1994 and was elected to his present position at Viacom and Viacom International in July 1987 and at Paramount in March 1994. From November 1986 to July 1987, Mr. Biondi was Chairman, Chief Executive Officer of Coca-Cola Television and, from 1985, Executive Vice President of the Entertainment Business Sector of The Coca-Cola Company. Mr. Biondi joined Home Box Office in 1978 and held various positions there until his appointment as President, Chief Executive Officer in 1983. In 1984, he was elected to the additional position of Chairman and continued to serve in such capacities until October 1984.</w:t>
      </w:r>
    </w:p>
    <w:p>
      <w:pPr>
        <w:spacing w:after="0" w:line="15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RAYMOND A. BOYCE, Senior Vice President, Corporate Relations of Viacom and Viacom International, 58. Mr. Boyce assumed his present position in 1988. Prior to that, he served as Vice President, Public Relations of the Entertainment Business Sector of The Coca-Cola Company from 1982 to 1987. In 1979, Mr. Boyce joined Columbia Pictures Industries, Inc. and served first as Director, Corporate</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603" w:right="1440" w:bottom="1440" w:gutter="0" w:footer="0" w:header="0"/>
        </w:sectPr>
      </w:pPr>
    </w:p>
    <w:bookmarkStart w:id="123" w:name="page124"/>
    <w:bookmarkEnd w:id="123"/>
    <w:p>
      <w:pPr>
        <w:jc w:val="both"/>
        <w:ind w:right="3699"/>
        <w:spacing w:after="0" w:line="276" w:lineRule="auto"/>
        <w:rPr>
          <w:sz w:val="20"/>
          <w:szCs w:val="20"/>
          <w:color w:val="auto"/>
        </w:rPr>
      </w:pPr>
      <w:r>
        <w:rPr>
          <w:rFonts w:ascii="Courier New" w:cs="Courier New" w:eastAsia="Courier New" w:hAnsi="Courier New"/>
          <w:sz w:val="13"/>
          <w:szCs w:val="13"/>
          <w:color w:val="auto"/>
        </w:rPr>
        <w:t>Communications and later as Vice President, Corporate Communications until The Coca-Cola Company's acquisition of Columbia Pictures Industries, Inc. in 1982.</w:t>
      </w:r>
    </w:p>
    <w:p>
      <w:pPr>
        <w:spacing w:after="0" w:line="14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NEIL S. BRAUN, Senior Vice President of Viacom and Viacom International,</w:t>
      </w:r>
    </w:p>
    <w:p>
      <w:pPr>
        <w:spacing w:after="0" w:line="5" w:lineRule="exact"/>
        <w:rPr>
          <w:sz w:val="20"/>
          <w:szCs w:val="20"/>
          <w:color w:val="auto"/>
        </w:rPr>
      </w:pPr>
    </w:p>
    <w:p>
      <w:pPr>
        <w:ind w:right="3539" w:firstLine="6"/>
        <w:spacing w:after="0" w:line="243" w:lineRule="auto"/>
        <w:tabs>
          <w:tab w:leader="none" w:pos="33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Braun assumed his present position in November 1987. Mr. Braun served as Chairman, Chief Executive Officer of Viacom Entertainment from July 1992 to March 1994. Prior to that, Mr. Braun served as Senior Vice President, Corporate Development and Administration of Viacom and Viacom International from November 1987 to July 1992 and from October 1989 to July 1992, he also served as Chairman of Viacom Pictures. Mr. Braun served as President, Chief Operating Officer of Imagine Films Entertainment from May 1986 until he joined Viacom. From 1982 until 1986, Mr. Braun held various positions at Home Box Office including Senior Vice President, Film Programming of HBO and Executive Vice President of HBO Video, Inc.</w:t>
      </w:r>
    </w:p>
    <w:p>
      <w:pPr>
        <w:spacing w:after="0" w:line="32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VAUGHN A. CLARKE, Vice President, Treasurer of Viacom and Viacom International, 40. Mr. Clarke assumed his present position in April 1993. Prior to that, he spent 12 years at Gannett Co., Inc., where he held various management positions, most recently as Assistant Treasurer.</w:t>
      </w:r>
    </w:p>
    <w:p>
      <w:pPr>
        <w:spacing w:after="0" w:line="32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PHILIPPE P. DAUMAN, Director and Executive Vice President, General Counsel, Chief Administrative Officer and Secretary of Viacom, Viacom International and Paramount, 40. Mr. Dauman was elected a Director of Viacom and Viacom International in 1987 and of Paramount in March 1994. He was elected to his present positions at Viacom, Viacom International and Paramount in March 1994. From February 1993 to March 1994, he served as Senior Vice President, General Counsel and Secretary of Viacom and Viacom International. Prior to that, Mr. Dauman was a partner in the law firm of Shearman &amp; Sterling in New York, which he joined in 1978. Mr. Dauman became a Director of NAI in 1992.</w:t>
      </w:r>
    </w:p>
    <w:p>
      <w:pPr>
        <w:spacing w:after="0" w:line="164"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THOMAS E. DOOLEY, Executive Vice President, Finance, Corporate Development and Communications of Viacom, Viacom International and Paramount, 37. Mr. Dooley was elected to his present position in March 1994. From July 1992 to March 1994, he served as Senior Vice President, Corporate Development of Viacom and Viacom International. From August 1993 to March 1994, he also served as President, Interactive Television of Viacom International. Prior to that, he served as Vice President, Treasurer of Viacom and Viacom International since 1987. In December 1990, he was named Vice President, Finance of Viacom and Viacom International. Mr. Dooley joined Viacom International in 1980 in the corporate finance area and held various positions in the corporate and divisional finance areas, including Director of Business Analysis from 1985 to 1986.</w:t>
      </w:r>
    </w:p>
    <w:p>
      <w:pPr>
        <w:spacing w:after="0" w:line="15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EARL H. DOPPELT, Senior Vice President, Deputy General Counsel of Viacom, Viacom International and Paramount, 40. Mr. Doppelt was elected to his present positions with Viacom and Viacom International in March 1994 and with Paramount in 1992. Mr. Doppelt has served as Deputy General Counsel of Paramount since 1985. He joined Paramount in 1983 as Associate Litigation Counsel, and in 1985 was appointed Assistant Vice President and Deputy General Counsel. In 1986, he became a Vice President of Paramount. From 1977 to 1983, Mr. Doppelt was an attorney in private practice at the law firm of Paul, Weiss, Rifkind, Wharton &amp; Garrison.</w:t>
      </w:r>
    </w:p>
    <w:p>
      <w:pPr>
        <w:spacing w:after="0" w:line="164"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WILLIAM C. FERGUSON, Director of Viacom, Viacom International and Paramount, 63. Mr. Ferguson was elected a Director of Viacom and Viacom International in 1993 and of Paramount in March 1994 and is a member of Viacom's and Paramount's Audit and Compensation Committees. Mr. Ferguson assumed his present position as Chairman of the Board and Chief Executive Officer of NYNEX in October 1989. Prior to that, he served as Vice Chairman of the Board of NYNEX from 1987 to 1989 and as President and Chief Executive Officer from June to September 1989. He has served as a Director of NYNEX since 1987. Mr. Ferguson is a Director of General Re Corporation and CPC International, Inc.</w:t>
      </w:r>
    </w:p>
    <w:p>
      <w:pPr>
        <w:spacing w:after="0" w:line="151"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MICHAEL D. FRICKLAS, Senior Vice President, Deputy General Counsel of Viacom, Viacom International and Paramount, 34. Mr. Fricklas was elected to his present position with Viacom and Viacom</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602" w:right="1440" w:bottom="1440" w:gutter="0" w:footer="0" w:header="0"/>
        </w:sectPr>
      </w:pPr>
    </w:p>
    <w:bookmarkStart w:id="124" w:name="page125"/>
    <w:bookmarkEnd w:id="124"/>
    <w:p>
      <w:pPr>
        <w:ind w:right="3539"/>
        <w:spacing w:after="0" w:line="265" w:lineRule="auto"/>
        <w:rPr>
          <w:sz w:val="20"/>
          <w:szCs w:val="20"/>
          <w:color w:val="auto"/>
        </w:rPr>
      </w:pPr>
      <w:r>
        <w:rPr>
          <w:rFonts w:ascii="Courier New" w:cs="Courier New" w:eastAsia="Courier New" w:hAnsi="Courier New"/>
          <w:sz w:val="13"/>
          <w:szCs w:val="13"/>
          <w:color w:val="auto"/>
        </w:rPr>
        <w:t>International in March 1994 and with Paramount in April 1994. From July 1993 to March 1994, he served as Vice President, Deputy General Counsel of Viacom and Viacom International. He served as Vice President, General Counsel and Secretary of Minorco (U.S.A.) Inc. from 1990 to 1993. Prior to that, Mr. Fricklas was an attorney in private practice at the law firm of Shearman &amp; Sterling.</w:t>
      </w:r>
    </w:p>
    <w:p>
      <w:pPr>
        <w:spacing w:after="0" w:line="313"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JOHN W. GODDARD, Senior Vice President of Viacom and Viacom International and President, Chief Executive Officer of Viacom Cable, 52. Mr. Goddard was elected Senior Vice President of Viacom in November 1987 and Senior Vice President of Viacom International and President, Chief Executive Officer of Viacom Cable Television in September 1983. In August 1980, Mr. Goddard was appointed President of Viacom Cable and, in September 1980, he was elected Vice President of Viacom International. From September 1978 through July 1980, Mr. Goddard was Executive Vice President, Viacom Communications. From June 1971 until September 1978, Mr. Goddard was President and General Manager of Tele-Vue Systems, a subsidiary of Viacom International.</w:t>
      </w:r>
    </w:p>
    <w:p>
      <w:pPr>
        <w:spacing w:after="0" w:line="325"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EDWARD D. HOROWITZ, Senior Vice President, Technology of Viacom and Viacom International and Chairman, Chief Executive Officer of New Media and Interactive Television, 46. Mr. Horowitz became Senior Vice President in April 1989 and served as Chairman, Chief Executive Officer of Viacom Broadcasting from July</w:t>
      </w:r>
    </w:p>
    <w:p>
      <w:pPr>
        <w:spacing w:after="0" w:line="1"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1992 to March 1994. He was elected to his present positions in March 1994. From 1974 to April 1989, Mr. Horowitz held various positions with Home Box Office, most recently as Senior Vice President, Technology and Operations. Prior to that, he held several other management positions with Home Box Office, including Senior Vice President, Network Operations and New Business Development and Vice President, Affiliate Sales.</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 WAYNE HUIZENGA, Director of Viacom, Viacom International and Paramount,</w:t>
      </w:r>
    </w:p>
    <w:p>
      <w:pPr>
        <w:spacing w:after="0" w:line="5" w:lineRule="exact"/>
        <w:rPr>
          <w:sz w:val="20"/>
          <w:szCs w:val="20"/>
          <w:color w:val="auto"/>
        </w:rPr>
      </w:pPr>
    </w:p>
    <w:p>
      <w:pPr>
        <w:ind w:right="3539" w:firstLine="6"/>
        <w:spacing w:after="0" w:line="243" w:lineRule="auto"/>
        <w:tabs>
          <w:tab w:leader="none" w:pos="33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Huizenga was elected a Director of Viacom and Viacom International in 1993 and of Paramount in March 1994 and is a member of Viacom's and Paramount's Audit and Compensation Committees. Mr. Huizenga became a Director of Blockbuster in February 1987, was elected as Chairman of the Board, Chief Executive Officer and President of Blockbuster in April 1987 and is Chairman of Blockbuster's Executive Committee. Mr. Huizenga served as President of Blockbuster until June 1988. He is a cofounder of Waste Management, Inc. (now WMX Technologies, Inc.), a waste disposal and collection company, where he served in various capacities, including President, Chief Operating Officer and a Director, until May 1984. From May 1984 to present, Mr. Huizenga has been an investor in other businesses and is the sole stockholder and Chairman of the Board of Huizenga Holdings, Inc., a holding and management company with various business interests. In connection with these business interests, Mr. Huizenga has been actively involved in strategic planning for, and executive management of, these businesses. He also has a majority ownership interest in Florida Marlins Baseball, Ltd., a Major League Baseball sports franchise, owns the Florida Panthers Hockey Club, Ltd., a National Hockey League sports franchise, and has a limited partnership interest in Miami Dolphins, Ltd., a National Football League sports franchise, and an ownership interest in Robbie Stadium Corporation and certain affiliated entities, which own and operate Joe Robbie Stadium in South Florida. Mr. Huizenga has entered into an agreement to purchase the remaining ownership interest in the Miami Dolphins. He is also a member of the Boards of Directors of Republic Pictures and Discovery Zone. Mr. Huizenga is Chairman of the Board of Directors of Spelling Entertainment.</w:t>
      </w:r>
    </w:p>
    <w:p>
      <w:pPr>
        <w:spacing w:after="0" w:line="330"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KEVIN C. LAVAN, Vice President, Controller and Chief Accounting Officer of Viacom and Viacom International, 41. Mr. Lavan was elected Vice President of Viacom and Viacom International in May 1989. He was elected Controller, Chief Accounting Officer of Viacom and Viacom International in December 1987. In December 1990, he assumed the added responsibilities of oversight of tax matters. From 1991 to 1992, he also served as Senior Vice President, Chief Financial Officer of Viacom Pictures. Mr. Lavan joined Viacom International in 1984 as Assistant Controller.</w:t>
      </w:r>
    </w:p>
    <w:p>
      <w:pPr>
        <w:spacing w:after="0" w:line="330" w:lineRule="exact"/>
        <w:rPr>
          <w:sz w:val="20"/>
          <w:szCs w:val="20"/>
          <w:color w:val="auto"/>
        </w:rPr>
      </w:pPr>
    </w:p>
    <w:p>
      <w:pPr>
        <w:ind w:right="3879" w:firstLine="418"/>
        <w:spacing w:after="0" w:line="262" w:lineRule="auto"/>
        <w:rPr>
          <w:sz w:val="20"/>
          <w:szCs w:val="20"/>
          <w:color w:val="auto"/>
        </w:rPr>
      </w:pPr>
      <w:r>
        <w:rPr>
          <w:rFonts w:ascii="Courier New" w:cs="Courier New" w:eastAsia="Courier New" w:hAnsi="Courier New"/>
          <w:sz w:val="13"/>
          <w:szCs w:val="13"/>
          <w:color w:val="auto"/>
        </w:rPr>
        <w:t>HENRY J. LEINGANG, Senior Vice President, Chief Information Officer of Viacom and Viacom International, 44. Mr. Leingang was elected to his present position in May 1993. Prior to that, he served as Vice President, Chief Information Officer when he joined Viacom in 1990. Mr. Leingang was Vice</w:t>
      </w:r>
    </w:p>
    <w:p>
      <w:pPr>
        <w:ind w:left="3180"/>
        <w:spacing w:after="0" w:line="237" w:lineRule="auto"/>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603" w:right="1440" w:bottom="1440" w:gutter="0" w:footer="0" w:header="0"/>
        </w:sectPr>
      </w:pPr>
    </w:p>
    <w:bookmarkStart w:id="125" w:name="page126"/>
    <w:bookmarkEnd w:id="125"/>
    <w:p>
      <w:pPr>
        <w:ind w:right="3619"/>
        <w:spacing w:after="0" w:line="242" w:lineRule="auto"/>
        <w:rPr>
          <w:sz w:val="20"/>
          <w:szCs w:val="20"/>
          <w:color w:val="auto"/>
        </w:rPr>
      </w:pPr>
      <w:r>
        <w:rPr>
          <w:rFonts w:ascii="Courier New" w:cs="Courier New" w:eastAsia="Courier New" w:hAnsi="Courier New"/>
          <w:sz w:val="14"/>
          <w:szCs w:val="14"/>
          <w:color w:val="auto"/>
        </w:rPr>
        <w:t>President, Information Services of the Trian Group (formerly Triangle Industries) from 1984 to 1990. From 1982 to 1984, he served as Corporate Director, MIS, and Manager, MIS Planning and Control for Interpace Corporation. Prior to that, he held positions with Touche Ross &amp; Company, McGraw-Hill Book Company and General Electric Credit Corp.</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KEN MILLER, Director of Viacom, Viacom International and Paramount, 51. Mr. Miller was elected a Director of Viacom and Viacom International in 1987 and of Paramount in March 1994 and is a member of Viacom's and Paramount's Audit and Compensation Committees. Mr. Miller has been President and Chief Executive Officer of The Lodestar Group, an investment firm, since 1988. Prior to that, Mr. Miller was Vice Chairman of Merrill Lynch Capital Markets during 1987 and a Managing Director of Merrill Lynch Capital Markets for more than the preceding five years. Mr. Miller is Chairman of the Board of Directors of Kinder-Care Learning Centers Inc. Mr. Miller is also a Director of Business Executives for National Security, Inc., a national coalition of business executives concerned with national security issues.</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BRENT D. REDSTONE, Director of Viacom, Viacom International and Paramount,</w:t>
      </w:r>
    </w:p>
    <w:p>
      <w:pPr>
        <w:spacing w:after="0" w:line="5" w:lineRule="exact"/>
        <w:rPr>
          <w:sz w:val="20"/>
          <w:szCs w:val="20"/>
          <w:color w:val="auto"/>
        </w:rPr>
      </w:pPr>
    </w:p>
    <w:p>
      <w:pPr>
        <w:ind w:right="3539" w:firstLine="6"/>
        <w:spacing w:after="0" w:line="242" w:lineRule="auto"/>
        <w:tabs>
          <w:tab w:leader="none" w:pos="33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Redstone was elected a Director of Viacom and Viacom International in 1991 and of Paramount in March 1994 and is a member of Viacom's and Paramount's Compensation Committees. Mr. Redstone was Assistant District Attorney for Suffolk County, Massachusetts from 1976 to October 1991, serving from 1988 through 1991 on the Homicide Unit responsible for the investigation and trial of homicide cases. Mr. Redstone became a Director of NAI in 1992. Mr. Redstone is the son of Sumner Redstone.</w:t>
      </w:r>
    </w:p>
    <w:p>
      <w:pPr>
        <w:spacing w:after="0" w:line="168"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SUMNER M. REDSTONE, Chairman of the Board of Viacom, Viacom International and Paramount, 70. Mr. Redstone was elected a Director of Viacom in 1986 and of Paramount in March 1994 and was elected to his present position at Viacom and Viacom International in June 1987 and at Paramount in April 1994. Mr. Redstone is Chairman of Viacom's and Paramount's Compensation Committees. Mr. Redstone is the former Chairman of the Board of the National Association of Theater Owners and is currently a member of its Executive Committee. During the Carter Administration, Mr. Redstone was appointed a member of the Presidential Advisory Committee on the Arts for the John F. Kennedy Center for the Performing Arts and, in 1984, he was appointed a Director of the Kennedy Presidential Library Foundation. Since 1982, Mr. Redstone has been a member of the faculty of Boston University Law School, where he has lectured in entertainment law. Mr. Redstone graduated from Harvard University in 1944 and received an LL.B from Harvard University School of Law in 1947. Upon graduation, Mr. Redstone served as Law Secretary with the United States Court of Appeals, and then as a Special Assistant to the United States Attorney General.</w:t>
      </w:r>
    </w:p>
    <w:p>
      <w:pPr>
        <w:spacing w:after="0" w:line="31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WILLIAM A. ROSKIN, Senior Vice President, Human Resources and Administration of Viacom and Viacom International, 51. Mr. Roskin was elected to his present position in July 1992. Prior to that, he served as Vice President, Human Resources and Administration of Viacom and Viacom International from April 1988. From May 1986 to April 1988, he was Senior Vice President, Human Resources at Coleco Industries, Inc. From 1976 to 1986, he held various executive positions at Warner Communications, serving most recently as Vice President, Industrial and Labor Relations.</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FREDERIC V. SALERNO, Director of Viacom, Viacom International and Paramount, 49. Mr. Salerno was elected a Director of Viacom and Viacom International in 1994 and of Paramount in March 1994 and is a member of Viacom's and Paramount's Audit and Compensation Committees. Mr. Salerno was appointed Vice Chairman--Finance and Business Development of NYNEX on March 1, 1994. Prior to that, Mr. Salerno was Vice Chairman of the Board of NYNEX and President of the Worldwide Services Group since 1991 and President and Chief Executive Officer of New York Telephone Company from 1987 to 1991. He has served as a Director of NYNEX since 1991. Mr. Salerno is a Director of The Bear Stearns Companies Inc.</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WILLIAM SCHWARTZ, Director of Viacom, Viacom International and Paramount,</w:t>
      </w:r>
    </w:p>
    <w:p>
      <w:pPr>
        <w:spacing w:after="0" w:line="5" w:lineRule="exact"/>
        <w:rPr>
          <w:sz w:val="20"/>
          <w:szCs w:val="20"/>
          <w:color w:val="auto"/>
        </w:rPr>
      </w:pPr>
    </w:p>
    <w:p>
      <w:pPr>
        <w:ind w:right="3619" w:firstLine="6"/>
        <w:spacing w:after="0" w:line="241" w:lineRule="auto"/>
        <w:tabs>
          <w:tab w:leader="none" w:pos="33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Schwartz was elected a Director of Viacom and Viacom International in 1987 and of Paramount in March 1994 and is a member of Viacom's and Paramount's Audit and Compensation Committees. Mr. Schwartz</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603" w:right="1440" w:bottom="1440" w:gutter="0" w:footer="0" w:header="0"/>
        </w:sectPr>
      </w:pPr>
    </w:p>
    <w:bookmarkStart w:id="126" w:name="page127"/>
    <w:bookmarkEnd w:id="126"/>
    <w:p>
      <w:pPr>
        <w:ind w:right="3619"/>
        <w:spacing w:after="0" w:line="243" w:lineRule="auto"/>
        <w:rPr>
          <w:sz w:val="20"/>
          <w:szCs w:val="20"/>
          <w:color w:val="auto"/>
        </w:rPr>
      </w:pPr>
      <w:r>
        <w:rPr>
          <w:rFonts w:ascii="Courier New" w:cs="Courier New" w:eastAsia="Courier New" w:hAnsi="Courier New"/>
          <w:sz w:val="14"/>
          <w:szCs w:val="14"/>
          <w:color w:val="auto"/>
        </w:rPr>
        <w:t>was appointed Vice President for Academic Affairs (the chief academic officer) of Yeshiva University in 1992 and has served as University Professor of Law at Yeshiva University and the Cardozo School of Law since 1991. He has been of Counsel to Cadwalader, Wickersham &amp; Taft since 1988. Mr. Schwartz was Dean of the Boston University School of Law from 1980 to 1988, a professor of law at Boston University from 1955 to 1991 and Director of the Feder Center for Estate Planning at Boston University School of Law from 1988 to 1991. He has served as Chairman of the Board of Directors of UST Corporation since 1993. He previously served as Vice Chairman of UST Corporation from 1985 and as a director of UST Corporation for more than five years. Mr. Schwartz is a trustee of several educational and charitable organizations and an honorary member of the National College of Probate Judges. He served as Chairman of the Boston Mayor's Special Commission on Police Procedures and was formerly a member of the Legal Advisory Board of the NYSE.</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GEORGE S. SMITH, JR., Senior Vice President, Chief Financial Officer of Viacom, Viacom International and Paramount, 45. Mr. Smith was elected to his present position with Viacom and Viacom International in November 1987 and with Paramount in April 1994. In May 1985, Mr. Smith was elected Vice President, Controller of Viacom International. From 1983 until May 1985, he served as Vice President, Finance and Administration of Viacom Broadcasting and from 1981 until 1983, he served as Controller of Viacom Radio. Mr. Smith joined Viacom International in 1977 in the Corporate Treasurer's office and until 1981 served in various financial planning capacities.</w:t>
      </w:r>
    </w:p>
    <w:p>
      <w:pPr>
        <w:spacing w:after="0" w:line="164"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MARK M. WEINSTEIN, Senior Vice President, Government Affairs of Viacom and Viacom International, 51. Mr. Weinstein was elected to his present position with Viacom and Viacom International in February 1993. Prior to that, Mr. Weinstein served as Senior Vice President, General Counsel and Secretary of Viacom and Viacom International beginning in the fall of 1987. In January 1986, Mr. Weinstein was appointed Vice President, General Counsel of Viacom International. From 1976 through 1985, he was Deputy General Counsel of Warner Communications and in 1980 became Vice President. Previously, Mr. Weinstein was an attorney in private practice at the law firm of Paul, Weiss, Rifkind, Wharton &amp; Garrison.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AND DIRECTORS OF PARAMOUNT</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GEORGE S. ABRAMS,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FRANK J. BIONDI, JR.,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PHILIPPE P. DAUMAN, see "--Executive Officers and Directors of Viacom."</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MARTIN S. DAVIS, Director of Paramount, 67. He was elected a Director of Paramount in 1967. Mr. Davis, who became a corporate officer of Paramount in 1969, served as Chairman from 1983 to April 1994 and as Chairman and Chief Executive Officer of Paramount from 1983 to March 1994. He is a member of the Board of Trustees of Montefiore Medical Center and is Chairman of the Board of Trustees of the New York City Chapter of the National Multiple Sclerosis Society. Mr. Davis is also a member of the FCC's Advisory Committee on Advanced Television Service.</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WILLIAM C. FERGUSON, see "--Executive Officers and Directors of Viacom."</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IRVING R. FISCHER, Director of Paramount, 61. Mr. Fischer was elected a Director of Paramount in 1984 and is a member of the Audit Committee. Mr. Fischer is Chairman and Chief Executive Officer of HRH Construction Corporation. Mr. Fischer joined HRH Construction Corporation in 1956 and assumed his present position in 1981. Mr. Fischer is Vice Chairman of the New York City Chapter of the National Multiple Sclerosis Society and a member of the New York City Holocaust Memorial Commission. He is an Adjunct Professor of Urban Planning, Columbia University.</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 WAYNE HUIZENGA,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KEN MILLER, see "--Executive Officers and Directors of Viacom."</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603" w:right="1440" w:bottom="1440" w:gutter="0" w:footer="0" w:header="0"/>
        </w:sectPr>
      </w:pPr>
    </w:p>
    <w:bookmarkStart w:id="127" w:name="page128"/>
    <w:bookmarkEnd w:id="127"/>
    <w:p>
      <w:pPr>
        <w:ind w:right="3539" w:firstLine="418"/>
        <w:spacing w:after="0" w:line="242" w:lineRule="auto"/>
        <w:rPr>
          <w:sz w:val="20"/>
          <w:szCs w:val="20"/>
          <w:color w:val="auto"/>
        </w:rPr>
      </w:pPr>
      <w:r>
        <w:rPr>
          <w:rFonts w:ascii="Courier New" w:cs="Courier New" w:eastAsia="Courier New" w:hAnsi="Courier New"/>
          <w:sz w:val="14"/>
          <w:szCs w:val="14"/>
          <w:color w:val="auto"/>
        </w:rPr>
        <w:t>RONALD L. NELSON, Director of Paramount, 41. Mr. Nelson was elected a Director of Paramount in 1992. Mr. Nelson served as Executive Vice President and Chief Financial Officer of Paramount from 1990 to March 1994 after having served as Senior Vice President and Chief Financial Officer since 1987. From 1979 to 1987, he held various operating and financial positions with Paramount Communications Entertainment Group and Paramount Pictures. Mr. Nelson is a member of the New York Chapter of Financial Executives Institute and serves on its CFO Advisory Board.</w:t>
      </w:r>
    </w:p>
    <w:p>
      <w:pPr>
        <w:spacing w:after="0" w:line="169"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DONALD ORESMAN, Director of Paramount, 68. Mr. Oresman was elected a Director of Paramount in 1976. Mr. Oresman served as Executive Vice President and General Counsel of Paramount from 1983 to March 1994 and as Chief Administrative Officer from 1987 to March 1994. Mr. Oresman practiced law with Simpson Thacher &amp; Bartlett, attorneys, from 1957 until he joined Paramount in December 1983. He is a Director of North American Watch Corporation, a Trustee of The New York Landmarks Conservancy, and a Councilor of the American Antiquarian Society.</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JAMES A. PATTISON, Director of Paramount, 65. Mr. Pattison was elected a Director of Paramount in 1988 and is a member of Paramount's Audit Committee. Mr. Pattison is Chairman and Chief Executive Officer of The Jim Pattison Group. The Jim Pattison Group is a diversified company with operations in communications, automotive services, food products, packaging and financial services. Mr. Pattison founded the company in 1961 and has been its Chief Executive Officer since then. In 1986, Mr. Pattison served as President and Chairman of Expo '86, the World's Fair held in Vancouver, B.C. In 1986, he was made an officer of the Order of Canada. He is a Director of the Toronto-Dominion Bank and Canadian Pacific Ltd.</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BRENT D. REDSTONE,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SUMNER M. REDSTONE,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FREDERIC V. SALERNO,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WILLIAM SCHWARTZ, see "--Executive Officers and Directors of Viacom."</w:t>
      </w:r>
    </w:p>
    <w:p>
      <w:pPr>
        <w:spacing w:after="0" w:line="166" w:lineRule="exact"/>
        <w:rPr>
          <w:sz w:val="20"/>
          <w:szCs w:val="20"/>
          <w:color w:val="auto"/>
        </w:rPr>
      </w:pPr>
    </w:p>
    <w:p>
      <w:pPr>
        <w:jc w:val="right"/>
        <w:ind w:left="420" w:right="4039"/>
        <w:spacing w:after="0" w:line="239" w:lineRule="auto"/>
        <w:rPr>
          <w:sz w:val="20"/>
          <w:szCs w:val="20"/>
          <w:color w:val="auto"/>
        </w:rPr>
      </w:pPr>
      <w:r>
        <w:rPr>
          <w:rFonts w:ascii="Courier New" w:cs="Courier New" w:eastAsia="Courier New" w:hAnsi="Courier New"/>
          <w:sz w:val="14"/>
          <w:szCs w:val="14"/>
          <w:color w:val="auto"/>
        </w:rPr>
        <w:t>The names, business experience for the past five years and ages as of , 1994 of all executive officers (who are not Directors)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below:</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THOMAS E. DOOLEY,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EARL H. DOPPELT,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MICHAEL D. FRICKLAS, see "--Executive Officers and Directors of Viacom."</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ROBERT C. GREENBERG, Senior Vice President, Human Resources of Paramount,</w:t>
      </w:r>
    </w:p>
    <w:p>
      <w:pPr>
        <w:spacing w:after="0" w:line="5" w:lineRule="exact"/>
        <w:rPr>
          <w:sz w:val="20"/>
          <w:szCs w:val="20"/>
          <w:color w:val="auto"/>
        </w:rPr>
      </w:pPr>
    </w:p>
    <w:p>
      <w:pPr>
        <w:ind w:right="3619" w:firstLine="6"/>
        <w:spacing w:after="0" w:line="239" w:lineRule="auto"/>
        <w:tabs>
          <w:tab w:leader="none" w:pos="33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Greenberg assumed his present position in 1993. Prior to that, he was a principal with the consulting firm of Towers Perrin.</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RUDOLPH L. HERTLEIN, Senior Vice President and Controller of Paramount, 53. Mr. Hertlein assumed his present position in 1993. Prior to that, he served as Senior Vice President, Internal Audit and Special Projects since 1992 and, before that, as Vice President, Internal Audit and Special Projects.</w:t>
      </w:r>
    </w:p>
    <w:p>
      <w:pPr>
        <w:spacing w:after="0" w:line="165" w:lineRule="exact"/>
        <w:rPr>
          <w:sz w:val="20"/>
          <w:szCs w:val="20"/>
          <w:color w:val="auto"/>
        </w:rPr>
      </w:pPr>
    </w:p>
    <w:p>
      <w:pPr>
        <w:ind w:right="4119" w:firstLine="418"/>
        <w:spacing w:after="0" w:line="239" w:lineRule="auto"/>
        <w:rPr>
          <w:sz w:val="20"/>
          <w:szCs w:val="20"/>
          <w:color w:val="auto"/>
        </w:rPr>
      </w:pPr>
      <w:r>
        <w:rPr>
          <w:rFonts w:ascii="Courier New" w:cs="Courier New" w:eastAsia="Courier New" w:hAnsi="Courier New"/>
          <w:sz w:val="14"/>
          <w:szCs w:val="14"/>
          <w:color w:val="auto"/>
        </w:rPr>
        <w:t>LAWRENCE E. LEVINSON, Senior Vice President, Government Relations of Paramount, 63.</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JERRY SHERMAN, Senior Vice President, Corporate Communications of Paramount, 63. Mr. Sherman assumed his present position in 1992. He served as a consultant to Paramount from 1990 to 1992. Prior to that, he served as Vice President, Corporate Communications of Paramount.</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GEORGE S. SMITH, JR., see "--Executive Officers and Directors of Viacom."</w:t>
      </w:r>
    </w:p>
    <w:p>
      <w:pPr>
        <w:spacing w:after="0" w:line="327"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The term of office of all directors is until the next annual meeting and the term of office of all officers is for one year and until their successors are chosen and qualify.</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602"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4"/>
          <w:szCs w:val="14"/>
          <w:color w:val="auto"/>
        </w:rPr>
        <w:t>MANAGEMENT AFTER THE MERGERS</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Upon the completion of the Mergers, Sumner M. Redstone, currently the Chairman of the Board of Viacom and Paramount, will continue as Chairman of the Board of the combined company. Assuming consummation of the Blockbuster Merger, H. Wayne Huizenga, currently the Chairman of the Board and Chief Executive Officer of Blockbuster and a Director of Viacom and Paramount, will become Vice Chairman of the combined company. Frank J. Biondi, Jr., currently President, Chief Executive Officer and Director of Viacom and Paramount, will remain President, Chief Executive Officer of the combined company. For a discussion of the Board of Directors of the combined company, see "Viacom Annual Meeting--Election of Viacom Directors."</w:t>
      </w: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FINANCIAL MATTERS AFTER THE MERGERS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Mergers will be accounted for by Viacom under the "purchase" method of accounting in accordance with generally accepted accounting principles. Therefore, the aggregate consideration paid by Viacom in connection with the Mergers will be allocated to Paramount's assets and liabilities or Blockbuster's assets and liabilities, as the case may be, based on their fair values with any excess being treated as goodwill.</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assets and liabilities and results of operations of Paramount (adjusted for minority ownership interests from the date of the purchase of the shares of Paramount Common Stock pursuant to the Offer through the Paramount Effective Time) were consolidated into the assets and liabilities and results of operations of Viacom as of March 1, 1994. The assets and liabilities and results of operations of Blockbuster will be consolidated into the assets and liabilities and results of operations of Viacom subsequent to the Blockbuster Effective Time.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DIVIDEND POLICY AFTER THE PARAMOUNT MERGER AND THE MERGERS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It is the current intention of the Viacom Board not to pay cash dividends on the Viacom Class A Common Stock or Viacom Class B Common Stock following the Paramount Merger and the Mergers. Future dividends will be determined by Viacom's Board of Directors in light of Viacom's alternative opportunities for investment and the earnings and financial condition of Viacom and its subsidiaries, among other factors.</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39"/>
          </w:cols>
          <w:pgMar w:left="220" w:top="600" w:right="1440" w:bottom="1440" w:gutter="0" w:footer="0" w:header="0"/>
        </w:sectPr>
      </w:pPr>
    </w:p>
    <w:bookmarkStart w:id="129" w:name="page130"/>
    <w:bookmarkEnd w:id="129"/>
    <w:p>
      <w:pPr>
        <w:ind w:left="2760"/>
        <w:spacing w:after="0"/>
        <w:rPr>
          <w:sz w:val="20"/>
          <w:szCs w:val="20"/>
          <w:color w:val="auto"/>
        </w:rPr>
      </w:pPr>
      <w:r>
        <w:rPr>
          <w:rFonts w:ascii="Courier New" w:cs="Courier New" w:eastAsia="Courier New" w:hAnsi="Courier New"/>
          <w:sz w:val="14"/>
          <w:szCs w:val="14"/>
          <w:color w:val="auto"/>
        </w:rPr>
        <w:t>CAPITALIZATION</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(DOLLARS IN MILLIONS)</w:t>
      </w:r>
    </w:p>
    <w:p>
      <w:pPr>
        <w:spacing w:after="0" w:line="166" w:lineRule="exact"/>
        <w:rPr>
          <w:sz w:val="20"/>
          <w:szCs w:val="20"/>
          <w:color w:val="auto"/>
        </w:rPr>
      </w:pPr>
    </w:p>
    <w:p>
      <w:pPr>
        <w:jc w:val="both"/>
        <w:ind w:right="3959" w:firstLine="335"/>
        <w:spacing w:after="0" w:line="241" w:lineRule="auto"/>
        <w:rPr>
          <w:sz w:val="20"/>
          <w:szCs w:val="20"/>
          <w:color w:val="auto"/>
        </w:rPr>
      </w:pPr>
      <w:r>
        <w:rPr>
          <w:rFonts w:ascii="Courier New" w:cs="Courier New" w:eastAsia="Courier New" w:hAnsi="Courier New"/>
          <w:sz w:val="14"/>
          <w:szCs w:val="14"/>
          <w:color w:val="auto"/>
        </w:rPr>
        <w:t>The following table sets forth the historical capitalization of Viacom, Blockbuster and Paramount and the pro forma capitalization of the combined company after giving effect to the Pro Forma Events.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PRO FORMA</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HISTORICAL</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ind w:right="690"/>
              <w:spacing w:after="0"/>
              <w:rPr>
                <w:sz w:val="20"/>
                <w:szCs w:val="20"/>
                <w:color w:val="auto"/>
              </w:rPr>
            </w:pPr>
            <w:r>
              <w:rPr>
                <w:rFonts w:ascii="Courier New" w:cs="Courier New" w:eastAsia="Courier New" w:hAnsi="Courier New"/>
                <w:sz w:val="14"/>
                <w:szCs w:val="14"/>
                <w:color w:val="auto"/>
                <w:w w:val="95"/>
              </w:rPr>
              <w:t>VIACOM-</w:t>
            </w:r>
          </w:p>
        </w:tc>
      </w:tr>
      <w:tr>
        <w:trPr>
          <w:trHeight w:val="161"/>
        </w:trPr>
        <w:tc>
          <w:tcPr>
            <w:tcW w:w="218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6"/>
                <w:szCs w:val="6"/>
                <w:color w:val="auto"/>
                <w:w w:val="76"/>
              </w:rPr>
              <w:t>---------------------------------------------------</w:t>
            </w: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PRO FORMA</w:t>
            </w:r>
          </w:p>
        </w:tc>
        <w:tc>
          <w:tcPr>
            <w:tcW w:w="17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PARAMOUNT-</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ind w:right="430"/>
              <w:spacing w:after="0"/>
              <w:rPr>
                <w:sz w:val="20"/>
                <w:szCs w:val="20"/>
                <w:color w:val="auto"/>
              </w:rPr>
            </w:pPr>
            <w:r>
              <w:rPr>
                <w:rFonts w:ascii="Courier New" w:cs="Courier New" w:eastAsia="Courier New" w:hAnsi="Courier New"/>
                <w:sz w:val="14"/>
                <w:szCs w:val="14"/>
                <w:color w:val="auto"/>
                <w:w w:val="99"/>
              </w:rPr>
              <w:t>VIACOM</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BLOCKBUSTER</w:t>
            </w:r>
          </w:p>
        </w:tc>
        <w:tc>
          <w:tcPr>
            <w:tcW w:w="14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PARAMOUNT</w:t>
            </w:r>
          </w:p>
        </w:tc>
        <w:tc>
          <w:tcPr>
            <w:tcW w:w="15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VIACOM-PARAMOUNT</w:t>
            </w:r>
          </w:p>
        </w:tc>
        <w:tc>
          <w:tcPr>
            <w:tcW w:w="1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BLOCKBUSTER</w:t>
            </w:r>
          </w:p>
        </w:tc>
      </w:tr>
      <w:tr>
        <w:trPr>
          <w:trHeight w:val="161"/>
        </w:trPr>
        <w:tc>
          <w:tcPr>
            <w:tcW w:w="218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DECEMBER 31,</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w:t>
            </w:r>
          </w:p>
        </w:tc>
        <w:tc>
          <w:tcPr>
            <w:tcW w:w="1420" w:type="dxa"/>
            <w:vAlign w:val="bottom"/>
            <w:gridSpan w:val="2"/>
          </w:tcPr>
          <w:p>
            <w:pPr>
              <w:jc w:val="right"/>
              <w:ind w:right="190"/>
              <w:spacing w:after="0"/>
              <w:rPr>
                <w:sz w:val="20"/>
                <w:szCs w:val="20"/>
                <w:color w:val="auto"/>
              </w:rPr>
            </w:pPr>
            <w:r>
              <w:rPr>
                <w:rFonts w:ascii="Courier New" w:cs="Courier New" w:eastAsia="Courier New" w:hAnsi="Courier New"/>
                <w:sz w:val="14"/>
                <w:szCs w:val="14"/>
                <w:color w:val="auto"/>
              </w:rPr>
              <w:t>JANUARY 31,</w:t>
            </w:r>
          </w:p>
        </w:tc>
        <w:tc>
          <w:tcPr>
            <w:tcW w:w="15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1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ind w:right="430"/>
              <w:spacing w:after="0"/>
              <w:rPr>
                <w:sz w:val="20"/>
                <w:szCs w:val="20"/>
                <w:color w:val="auto"/>
              </w:rPr>
            </w:pPr>
            <w:r>
              <w:rPr>
                <w:rFonts w:ascii="Courier New" w:cs="Courier New" w:eastAsia="Courier New" w:hAnsi="Courier New"/>
                <w:sz w:val="14"/>
                <w:szCs w:val="14"/>
                <w:color w:val="auto"/>
              </w:rPr>
              <w:t>1993</w:t>
            </w:r>
          </w:p>
        </w:tc>
        <w:tc>
          <w:tcPr>
            <w:tcW w:w="460" w:type="dxa"/>
            <w:vAlign w:val="bottom"/>
          </w:tcPr>
          <w:p>
            <w:pPr>
              <w:spacing w:after="0"/>
              <w:rPr>
                <w:sz w:val="13"/>
                <w:szCs w:val="13"/>
                <w:color w:val="auto"/>
              </w:rPr>
            </w:pPr>
          </w:p>
        </w:tc>
        <w:tc>
          <w:tcPr>
            <w:tcW w:w="106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1993</w:t>
            </w:r>
          </w:p>
        </w:tc>
        <w:tc>
          <w:tcPr>
            <w:tcW w:w="460" w:type="dxa"/>
            <w:vAlign w:val="bottom"/>
          </w:tcPr>
          <w:p>
            <w:pPr>
              <w:spacing w:after="0"/>
              <w:rPr>
                <w:sz w:val="13"/>
                <w:szCs w:val="13"/>
                <w:color w:val="auto"/>
              </w:rPr>
            </w:pPr>
          </w:p>
        </w:tc>
        <w:tc>
          <w:tcPr>
            <w:tcW w:w="9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1994</w:t>
            </w:r>
          </w:p>
        </w:tc>
        <w:tc>
          <w:tcPr>
            <w:tcW w:w="500" w:type="dxa"/>
            <w:vAlign w:val="bottom"/>
          </w:tcPr>
          <w:p>
            <w:pPr>
              <w:spacing w:after="0"/>
              <w:rPr>
                <w:sz w:val="13"/>
                <w:szCs w:val="13"/>
                <w:color w:val="auto"/>
              </w:rPr>
            </w:pPr>
          </w:p>
        </w:tc>
        <w:tc>
          <w:tcPr>
            <w:tcW w:w="1040" w:type="dxa"/>
            <w:vAlign w:val="bottom"/>
          </w:tcPr>
          <w:p>
            <w:pPr>
              <w:jc w:val="center"/>
              <w:ind w:right="470"/>
              <w:spacing w:after="0"/>
              <w:rPr>
                <w:sz w:val="20"/>
                <w:szCs w:val="20"/>
                <w:color w:val="auto"/>
              </w:rPr>
            </w:pPr>
            <w:r>
              <w:rPr>
                <w:rFonts w:ascii="Courier New" w:cs="Courier New" w:eastAsia="Courier New" w:hAnsi="Courier New"/>
                <w:sz w:val="14"/>
                <w:szCs w:val="14"/>
                <w:color w:val="auto"/>
              </w:rPr>
              <w:t>1993</w:t>
            </w:r>
          </w:p>
        </w:tc>
        <w:tc>
          <w:tcPr>
            <w:tcW w:w="3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r>
      <w:tr>
        <w:trPr>
          <w:trHeight w:val="161"/>
        </w:trPr>
        <w:tc>
          <w:tcPr>
            <w:tcW w:w="218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322"/>
        </w:trPr>
        <w:tc>
          <w:tcPr>
            <w:tcW w:w="2180" w:type="dxa"/>
            <w:vAlign w:val="bottom"/>
          </w:tcPr>
          <w:p>
            <w:pPr>
              <w:jc w:val="right"/>
              <w:ind w:right="850"/>
              <w:spacing w:after="0"/>
              <w:rPr>
                <w:sz w:val="20"/>
                <w:szCs w:val="20"/>
                <w:color w:val="auto"/>
              </w:rPr>
            </w:pPr>
            <w:r>
              <w:rPr>
                <w:rFonts w:ascii="Courier New" w:cs="Courier New" w:eastAsia="Courier New" w:hAnsi="Courier New"/>
                <w:sz w:val="14"/>
                <w:szCs w:val="14"/>
                <w:color w:val="auto"/>
                <w:w w:val="98"/>
              </w:rPr>
              <w:t>Long-term debt:</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Current maturities.....</w:t>
            </w:r>
          </w:p>
        </w:tc>
        <w:tc>
          <w:tcPr>
            <w:tcW w:w="500" w:type="dxa"/>
            <w:vAlign w:val="bottom"/>
          </w:tcPr>
          <w:p>
            <w:pPr>
              <w:jc w:val="right"/>
              <w:ind w:right="1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55.0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9.1</w:t>
            </w:r>
          </w:p>
        </w:tc>
        <w:tc>
          <w:tcPr>
            <w:tcW w:w="46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10.4</w:t>
            </w:r>
          </w:p>
        </w:tc>
        <w:tc>
          <w:tcPr>
            <w:tcW w:w="5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65.4</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74.5</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Due after one year:</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Senior...............</w:t>
            </w: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1,928.3</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603.5</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820.2</w:t>
            </w: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6,180.8(bi)</w:t>
            </w:r>
          </w:p>
        </w:tc>
        <w:tc>
          <w:tcPr>
            <w:tcW w:w="3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Courier New" w:cs="Courier New" w:eastAsia="Courier New" w:hAnsi="Courier New"/>
                <w:sz w:val="14"/>
                <w:szCs w:val="14"/>
                <w:color w:val="auto"/>
                <w:w w:val="98"/>
              </w:rPr>
              <w:t>8,034.3(bi,ii)</w:t>
            </w: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Senior subordinated..</w:t>
            </w: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450.0</w:t>
            </w:r>
          </w:p>
        </w:tc>
        <w:tc>
          <w:tcPr>
            <w:tcW w:w="460" w:type="dxa"/>
            <w:vAlign w:val="bottom"/>
          </w:tcPr>
          <w:p>
            <w:pPr>
              <w:spacing w:after="0"/>
              <w:rPr>
                <w:sz w:val="13"/>
                <w:szCs w:val="13"/>
                <w:color w:val="auto"/>
              </w:rPr>
            </w:pPr>
          </w:p>
        </w:tc>
        <w:tc>
          <w:tcPr>
            <w:tcW w:w="10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450.0</w:t>
            </w:r>
          </w:p>
        </w:tc>
        <w:tc>
          <w:tcPr>
            <w:tcW w:w="380" w:type="dxa"/>
            <w:vAlign w:val="bottom"/>
          </w:tcPr>
          <w:p>
            <w:pPr>
              <w:spacing w:after="0"/>
              <w:rPr>
                <w:sz w:val="13"/>
                <w:szCs w:val="13"/>
                <w:color w:val="auto"/>
              </w:rPr>
            </w:pPr>
          </w:p>
        </w:tc>
        <w:tc>
          <w:tcPr>
            <w:tcW w:w="134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450.0</w:t>
            </w: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Subordinated.........</w:t>
            </w:r>
          </w:p>
        </w:tc>
        <w:tc>
          <w:tcPr>
            <w:tcW w:w="50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10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180.1</w:t>
            </w:r>
          </w:p>
        </w:tc>
        <w:tc>
          <w:tcPr>
            <w:tcW w:w="500" w:type="dxa"/>
            <w:vAlign w:val="bottom"/>
          </w:tcPr>
          <w:p>
            <w:pPr>
              <w:spacing w:after="0"/>
              <w:rPr>
                <w:sz w:val="13"/>
                <w:szCs w:val="13"/>
                <w:color w:val="auto"/>
              </w:rPr>
            </w:pPr>
          </w:p>
        </w:tc>
        <w:tc>
          <w:tcPr>
            <w:tcW w:w="1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1,235.0(c)</w:t>
            </w:r>
          </w:p>
        </w:tc>
        <w:tc>
          <w:tcPr>
            <w:tcW w:w="380" w:type="dxa"/>
            <w:vAlign w:val="bottom"/>
          </w:tcPr>
          <w:p>
            <w:pPr>
              <w:spacing w:after="0"/>
              <w:rPr>
                <w:sz w:val="13"/>
                <w:szCs w:val="13"/>
                <w:color w:val="auto"/>
              </w:rPr>
            </w:pPr>
          </w:p>
        </w:tc>
        <w:tc>
          <w:tcPr>
            <w:tcW w:w="13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1,235.0(c)</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Due after one</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year.....................</w:t>
            </w: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2,378.3</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603.5</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1,000.3</w:t>
            </w:r>
          </w:p>
        </w:tc>
        <w:tc>
          <w:tcPr>
            <w:tcW w:w="50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7,865.8</w:t>
            </w:r>
          </w:p>
        </w:tc>
        <w:tc>
          <w:tcPr>
            <w:tcW w:w="380" w:type="dxa"/>
            <w:vAlign w:val="bottom"/>
          </w:tcPr>
          <w:p>
            <w:pPr>
              <w:spacing w:after="0"/>
              <w:rPr>
                <w:sz w:val="13"/>
                <w:szCs w:val="13"/>
                <w:color w:val="auto"/>
              </w:rPr>
            </w:pPr>
          </w:p>
        </w:tc>
        <w:tc>
          <w:tcPr>
            <w:tcW w:w="134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9,719.3</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ind w:left="680"/>
              <w:spacing w:after="0"/>
              <w:rPr>
                <w:sz w:val="20"/>
                <w:szCs w:val="20"/>
                <w:color w:val="auto"/>
              </w:rPr>
            </w:pPr>
            <w:r>
              <w:rPr>
                <w:rFonts w:ascii="Courier New" w:cs="Courier New" w:eastAsia="Courier New" w:hAnsi="Courier New"/>
                <w:sz w:val="14"/>
                <w:szCs w:val="14"/>
                <w:color w:val="auto"/>
              </w:rPr>
              <w:t>Total long-term</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debt, including</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ind w:left="840"/>
              <w:spacing w:after="0"/>
              <w:rPr>
                <w:sz w:val="20"/>
                <w:szCs w:val="20"/>
                <w:color w:val="auto"/>
              </w:rPr>
            </w:pPr>
            <w:r>
              <w:rPr>
                <w:rFonts w:ascii="Courier New" w:cs="Courier New" w:eastAsia="Courier New" w:hAnsi="Courier New"/>
                <w:sz w:val="14"/>
                <w:szCs w:val="14"/>
                <w:color w:val="auto"/>
              </w:rPr>
              <w:t>current</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maturities...............</w:t>
            </w: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2,433.3</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612.6</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1,010.7</w:t>
            </w:r>
          </w:p>
        </w:tc>
        <w:tc>
          <w:tcPr>
            <w:tcW w:w="50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7,931.2</w:t>
            </w:r>
          </w:p>
        </w:tc>
        <w:tc>
          <w:tcPr>
            <w:tcW w:w="380" w:type="dxa"/>
            <w:vAlign w:val="bottom"/>
          </w:tcPr>
          <w:p>
            <w:pPr>
              <w:spacing w:after="0"/>
              <w:rPr>
                <w:sz w:val="13"/>
                <w:szCs w:val="13"/>
                <w:color w:val="auto"/>
              </w:rPr>
            </w:pPr>
          </w:p>
        </w:tc>
        <w:tc>
          <w:tcPr>
            <w:tcW w:w="134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9,793.8</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8"/>
              </w:rPr>
              <w:t>Stockholders' equity:</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Preferred..............</w:t>
            </w: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1,800.0</w:t>
            </w:r>
          </w:p>
        </w:tc>
        <w:tc>
          <w:tcPr>
            <w:tcW w:w="460" w:type="dxa"/>
            <w:vAlign w:val="bottom"/>
          </w:tcPr>
          <w:p>
            <w:pPr>
              <w:spacing w:after="0"/>
              <w:rPr>
                <w:sz w:val="13"/>
                <w:szCs w:val="13"/>
                <w:color w:val="auto"/>
              </w:rPr>
            </w:pPr>
          </w:p>
        </w:tc>
        <w:tc>
          <w:tcPr>
            <w:tcW w:w="10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1,800.0</w:t>
            </w:r>
          </w:p>
        </w:tc>
        <w:tc>
          <w:tcPr>
            <w:tcW w:w="380" w:type="dxa"/>
            <w:vAlign w:val="bottom"/>
          </w:tcPr>
          <w:p>
            <w:pPr>
              <w:spacing w:after="0"/>
              <w:rPr>
                <w:sz w:val="13"/>
                <w:szCs w:val="13"/>
                <w:color w:val="auto"/>
              </w:rPr>
            </w:pPr>
          </w:p>
        </w:tc>
        <w:tc>
          <w:tcPr>
            <w:tcW w:w="13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1,200.0(d)</w:t>
            </w: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Common.................</w:t>
            </w:r>
          </w:p>
        </w:tc>
        <w:tc>
          <w:tcPr>
            <w:tcW w:w="500" w:type="dxa"/>
            <w:vAlign w:val="bottom"/>
          </w:tcPr>
          <w:p>
            <w:pPr>
              <w:spacing w:after="0"/>
              <w:rPr>
                <w:sz w:val="13"/>
                <w:szCs w:val="13"/>
                <w:color w:val="auto"/>
              </w:rPr>
            </w:pP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918.1(a)</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2,123.4</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4,186.8</w:t>
            </w:r>
          </w:p>
        </w:tc>
        <w:tc>
          <w:tcPr>
            <w:tcW w:w="500" w:type="dxa"/>
            <w:vAlign w:val="bottom"/>
          </w:tcPr>
          <w:p>
            <w:pPr>
              <w:spacing w:after="0"/>
              <w:rPr>
                <w:sz w:val="13"/>
                <w:szCs w:val="13"/>
                <w:color w:val="auto"/>
              </w:rPr>
            </w:pPr>
          </w:p>
        </w:tc>
        <w:tc>
          <w:tcPr>
            <w:tcW w:w="1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4,518.6(e)</w:t>
            </w:r>
          </w:p>
        </w:tc>
        <w:tc>
          <w:tcPr>
            <w:tcW w:w="380" w:type="dxa"/>
            <w:vAlign w:val="bottom"/>
          </w:tcPr>
          <w:p>
            <w:pPr>
              <w:spacing w:after="0"/>
              <w:rPr>
                <w:sz w:val="13"/>
                <w:szCs w:val="13"/>
                <w:color w:val="auto"/>
              </w:rPr>
            </w:pPr>
          </w:p>
        </w:tc>
        <w:tc>
          <w:tcPr>
            <w:tcW w:w="13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9,000.6(f)</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ind w:left="680"/>
              <w:spacing w:after="0"/>
              <w:rPr>
                <w:sz w:val="20"/>
                <w:szCs w:val="20"/>
                <w:color w:val="auto"/>
              </w:rPr>
            </w:pPr>
            <w:r>
              <w:rPr>
                <w:rFonts w:ascii="Courier New" w:cs="Courier New" w:eastAsia="Courier New" w:hAnsi="Courier New"/>
                <w:sz w:val="14"/>
                <w:szCs w:val="14"/>
                <w:color w:val="auto"/>
              </w:rPr>
              <w:t>Total</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ind w:left="840"/>
              <w:spacing w:after="0"/>
              <w:rPr>
                <w:sz w:val="20"/>
                <w:szCs w:val="20"/>
                <w:color w:val="auto"/>
              </w:rPr>
            </w:pPr>
            <w:r>
              <w:rPr>
                <w:rFonts w:ascii="Courier New" w:cs="Courier New" w:eastAsia="Courier New" w:hAnsi="Courier New"/>
                <w:sz w:val="14"/>
                <w:szCs w:val="14"/>
                <w:color w:val="auto"/>
              </w:rPr>
              <w:t>stockholders'</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equity...................</w:t>
            </w: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2,718.1</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2,123.4</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4,186.8</w:t>
            </w:r>
          </w:p>
        </w:tc>
        <w:tc>
          <w:tcPr>
            <w:tcW w:w="500" w:type="dxa"/>
            <w:vAlign w:val="bottom"/>
          </w:tcPr>
          <w:p>
            <w:pPr>
              <w:spacing w:after="0"/>
              <w:rPr>
                <w:sz w:val="13"/>
                <w:szCs w:val="13"/>
                <w:color w:val="auto"/>
              </w:rPr>
            </w:pPr>
          </w:p>
        </w:tc>
        <w:tc>
          <w:tcPr>
            <w:tcW w:w="10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6,318.6</w:t>
            </w:r>
          </w:p>
        </w:tc>
        <w:tc>
          <w:tcPr>
            <w:tcW w:w="380" w:type="dxa"/>
            <w:vAlign w:val="bottom"/>
          </w:tcPr>
          <w:p>
            <w:pPr>
              <w:spacing w:after="0"/>
              <w:rPr>
                <w:sz w:val="13"/>
                <w:szCs w:val="13"/>
                <w:color w:val="auto"/>
              </w:rPr>
            </w:pPr>
          </w:p>
        </w:tc>
        <w:tc>
          <w:tcPr>
            <w:tcW w:w="134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10,200.6</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ind w:left="680"/>
              <w:spacing w:after="0"/>
              <w:rPr>
                <w:sz w:val="20"/>
                <w:szCs w:val="20"/>
                <w:color w:val="auto"/>
              </w:rPr>
            </w:pPr>
            <w:r>
              <w:rPr>
                <w:rFonts w:ascii="Courier New" w:cs="Courier New" w:eastAsia="Courier New" w:hAnsi="Courier New"/>
                <w:sz w:val="14"/>
                <w:szCs w:val="14"/>
                <w:color w:val="auto"/>
              </w:rPr>
              <w:t>Total</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1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capitalization...........</w:t>
            </w:r>
          </w:p>
        </w:tc>
        <w:tc>
          <w:tcPr>
            <w:tcW w:w="500" w:type="dxa"/>
            <w:vAlign w:val="bottom"/>
          </w:tcPr>
          <w:p>
            <w:pPr>
              <w:jc w:val="right"/>
              <w:ind w:right="1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5,151.4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2,736.0</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$ 5,197.5</w:t>
            </w:r>
          </w:p>
        </w:tc>
        <w:tc>
          <w:tcPr>
            <w:tcW w:w="1540" w:type="dxa"/>
            <w:vAlign w:val="bottom"/>
            <w:gridSpan w:val="2"/>
          </w:tcPr>
          <w:p>
            <w:pPr>
              <w:jc w:val="right"/>
              <w:ind w:right="310"/>
              <w:spacing w:after="0"/>
              <w:rPr>
                <w:sz w:val="20"/>
                <w:szCs w:val="20"/>
                <w:color w:val="auto"/>
              </w:rPr>
            </w:pPr>
            <w:r>
              <w:rPr>
                <w:rFonts w:ascii="Courier New" w:cs="Courier New" w:eastAsia="Courier New" w:hAnsi="Courier New"/>
                <w:sz w:val="14"/>
                <w:szCs w:val="14"/>
                <w:color w:val="auto"/>
              </w:rPr>
              <w:t>$ 14,249.8</w:t>
            </w:r>
          </w:p>
        </w:tc>
        <w:tc>
          <w:tcPr>
            <w:tcW w:w="1720" w:type="dxa"/>
            <w:vAlign w:val="bottom"/>
            <w:gridSpan w:val="2"/>
          </w:tcPr>
          <w:p>
            <w:pPr>
              <w:jc w:val="right"/>
              <w:ind w:right="510"/>
              <w:spacing w:after="0"/>
              <w:rPr>
                <w:sz w:val="20"/>
                <w:szCs w:val="20"/>
                <w:color w:val="auto"/>
              </w:rPr>
            </w:pPr>
            <w:r>
              <w:rPr>
                <w:rFonts w:ascii="Courier New" w:cs="Courier New" w:eastAsia="Courier New" w:hAnsi="Courier New"/>
                <w:sz w:val="14"/>
                <w:szCs w:val="14"/>
                <w:color w:val="auto"/>
              </w:rPr>
              <w:t>$ 19,994.4</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r>
        <w:trPr>
          <w:trHeight w:val="161"/>
        </w:trPr>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98"/>
              </w:rPr>
              <w:t>--------</w:t>
            </w:r>
          </w:p>
        </w:tc>
        <w:tc>
          <w:tcPr>
            <w:tcW w:w="460" w:type="dxa"/>
            <w:vAlign w:val="bottom"/>
          </w:tcPr>
          <w:p>
            <w:pPr>
              <w:spacing w:after="0"/>
              <w:rPr>
                <w:sz w:val="13"/>
                <w:szCs w:val="13"/>
                <w:color w:val="auto"/>
              </w:rPr>
            </w:pPr>
          </w:p>
        </w:tc>
        <w:tc>
          <w:tcPr>
            <w:tcW w:w="10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w:t>
            </w:r>
          </w:p>
        </w:tc>
      </w:tr>
    </w:tbl>
    <w:p>
      <w:pPr>
        <w:spacing w:after="0" w:line="324" w:lineRule="exact"/>
        <w:rPr>
          <w:sz w:val="20"/>
          <w:szCs w:val="20"/>
          <w:color w:val="auto"/>
        </w:rPr>
      </w:pPr>
    </w:p>
    <w:p>
      <w:pPr>
        <w:ind w:left="180" w:hanging="174"/>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rFonts w:ascii="Courier New" w:cs="Courier New" w:eastAsia="Courier New" w:hAnsi="Courier New"/>
          <w:sz w:val="14"/>
          <w:szCs w:val="14"/>
          <w:color w:val="auto"/>
        </w:rPr>
      </w:pPr>
    </w:p>
    <w:p>
      <w:pPr>
        <w:spacing w:after="0" w:line="287" w:lineRule="exact"/>
        <w:rPr>
          <w:rFonts w:ascii="Courier New" w:cs="Courier New" w:eastAsia="Courier New" w:hAnsi="Courier New"/>
          <w:sz w:val="14"/>
          <w:szCs w:val="14"/>
          <w:color w:val="auto"/>
        </w:rPr>
      </w:pPr>
    </w:p>
    <w:p>
      <w:pPr>
        <w:ind w:left="920" w:right="359" w:hanging="412"/>
        <w:spacing w:after="0" w:line="242" w:lineRule="auto"/>
        <w:tabs>
          <w:tab w:leader="none" w:pos="9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1993, there were 53,449,325 outstanding shares of Viacom Class A Common Stock (100,000,000 shares authorized) and 67,347,131 outstanding shares of Viacom Class B Common Stock (150,000,000 shares authorized); there were approximately 224,410 unissued shares of Viacom Class A Common Stock and 29,462,933 unissued shares of Viacom Class B Common Stock reserved principally for exercise of stock options granted under the Viacom Long-Term Incentive Plan and conversion of Viacom Preferred Stock.</w:t>
      </w:r>
    </w:p>
    <w:p>
      <w:pPr>
        <w:spacing w:after="0" w:line="4" w:lineRule="exact"/>
        <w:rPr>
          <w:rFonts w:ascii="Courier New" w:cs="Courier New" w:eastAsia="Courier New" w:hAnsi="Courier New"/>
          <w:sz w:val="14"/>
          <w:szCs w:val="14"/>
          <w:color w:val="auto"/>
        </w:rPr>
      </w:pPr>
    </w:p>
    <w:p>
      <w:pPr>
        <w:ind w:left="920" w:right="119" w:hanging="412"/>
        <w:spacing w:after="0" w:line="242" w:lineRule="auto"/>
        <w:tabs>
          <w:tab w:leader="none" w:pos="9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capitalization gives effect to (i) the borrowing of approximately $3.7 billion by Viacom under the Credit Agreement and (ii) the additional borrowings incurred by Blockbuster which were used to finance the $1.25 billion purchase of Viacom Class B Common Stock. The proceeds from the Credit Agreement and the $1.25 billion purchase of Viacom Class B Common Stock were used to finance a portion of the cash paid in the Offer and related expenses. See "Financing of the Offer." Viacom believes, based on discussions with a number of bank lenders and investment banking institutions and based on the pro forma financial position and results of operations, that it will have the ability to refinance its indebtedness on a long-term basis.</w:t>
      </w:r>
    </w:p>
    <w:p>
      <w:pPr>
        <w:spacing w:after="0" w:line="6" w:lineRule="exact"/>
        <w:rPr>
          <w:rFonts w:ascii="Courier New" w:cs="Courier New" w:eastAsia="Courier New" w:hAnsi="Courier New"/>
          <w:sz w:val="14"/>
          <w:szCs w:val="14"/>
          <w:color w:val="auto"/>
        </w:rPr>
      </w:pPr>
    </w:p>
    <w:p>
      <w:pPr>
        <w:ind w:left="920" w:right="779" w:hanging="412"/>
        <w:spacing w:after="0" w:line="239" w:lineRule="auto"/>
        <w:tabs>
          <w:tab w:leader="none" w:pos="9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debt capitalization reflects the issuance of approximately $1.1 billion of Viacom Merger Debentures in connection with the Paramount Merger.</w:t>
      </w:r>
    </w:p>
    <w:p>
      <w:pPr>
        <w:spacing w:after="0" w:line="5" w:lineRule="exact"/>
        <w:rPr>
          <w:rFonts w:ascii="Courier New" w:cs="Courier New" w:eastAsia="Courier New" w:hAnsi="Courier New"/>
          <w:sz w:val="14"/>
          <w:szCs w:val="14"/>
          <w:color w:val="auto"/>
        </w:rPr>
      </w:pPr>
    </w:p>
    <w:p>
      <w:pPr>
        <w:ind w:left="920" w:right="359" w:hanging="412"/>
        <w:spacing w:after="0" w:line="241" w:lineRule="auto"/>
        <w:tabs>
          <w:tab w:leader="none" w:pos="9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preferred equity capitalization reflects the assumed cancellation of $600 million of Series A Preferred Stock upon consummation of the Blockbuster Merger. The proceeds of the sale of Viacom Preferred Stock have been used to finance a portion of the cash paid in the Offer.</w:t>
      </w:r>
    </w:p>
    <w:p>
      <w:pPr>
        <w:spacing w:after="0" w:line="4" w:lineRule="exact"/>
        <w:rPr>
          <w:rFonts w:ascii="Courier New" w:cs="Courier New" w:eastAsia="Courier New" w:hAnsi="Courier New"/>
          <w:sz w:val="14"/>
          <w:szCs w:val="14"/>
          <w:color w:val="auto"/>
        </w:rPr>
      </w:pPr>
    </w:p>
    <w:p>
      <w:pPr>
        <w:ind w:left="920" w:right="279" w:hanging="412"/>
        <w:spacing w:after="0" w:line="239" w:lineRule="auto"/>
        <w:tabs>
          <w:tab w:leader="none" w:pos="9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common equity capitalization reflects the assumed conversion of the Paramount Common Stock not then owned by Viacom into the Paramount Merger Consideration.</w:t>
      </w:r>
    </w:p>
    <w:p>
      <w:pPr>
        <w:spacing w:after="0" w:line="5" w:lineRule="exact"/>
        <w:rPr>
          <w:rFonts w:ascii="Courier New" w:cs="Courier New" w:eastAsia="Courier New" w:hAnsi="Courier New"/>
          <w:sz w:val="14"/>
          <w:szCs w:val="14"/>
          <w:color w:val="auto"/>
        </w:rPr>
      </w:pPr>
    </w:p>
    <w:p>
      <w:pPr>
        <w:ind w:left="920" w:right="119" w:hanging="412"/>
        <w:spacing w:after="0" w:line="241" w:lineRule="auto"/>
        <w:tabs>
          <w:tab w:leader="none" w:pos="9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common equity capitalization reflects (i) the assumed conversion of Blockbuster Common Stock into the Blockbuster Merger Consideration and (ii) the assumed cancellation of $1.25 billion of Viacom Class B Common Stock held by Blockbuster in consolidation as a result of the assumed Blockbuster Merger.</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600" w:right="1440" w:bottom="1440" w:gutter="0" w:footer="0" w:header="0"/>
        </w:sectPr>
      </w:pPr>
    </w:p>
    <w:bookmarkStart w:id="130" w:name="page131"/>
    <w:bookmarkEnd w:id="130"/>
    <w:p>
      <w:pPr>
        <w:jc w:val="center"/>
        <w:ind w:right="3539"/>
        <w:spacing w:after="0"/>
        <w:rPr>
          <w:sz w:val="20"/>
          <w:szCs w:val="20"/>
          <w:color w:val="auto"/>
        </w:rPr>
      </w:pPr>
      <w:r>
        <w:rPr>
          <w:rFonts w:ascii="Courier New" w:cs="Courier New" w:eastAsia="Courier New" w:hAnsi="Courier New"/>
          <w:sz w:val="14"/>
          <w:szCs w:val="14"/>
          <w:color w:val="auto"/>
        </w:rPr>
        <w:t>COMBINED COMPANY</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UNAUDITED PRO FORMA COMBINED CONDENSED FINANCIAL STATEMENTS</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The following unaudited pro forma combined condensed balance sheet at December 31, 1993 gives effect to the completion of the Offer, the Paramount Merger and the Blockbuster Merger as if these events had occurred on such date, and was prepared based upon the balance sheet of Viacom and unaudited pro forma condensed consolidated balance sheets of Blockbuster at December 31, 1993, and Paramount at January 31, 1994. Viacom's balance sheet also contains pro forma adjustments for the sale of Viacom's one third partnership interest in LIFETIME and the sale of Viacom Class B Common Stock to Blockbuster subsequent to December 31, 1993 (See Note 1 herein).</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following unaudited pro forma combined condensed statement of operations for the year ended December 31, 1993 gives effect to the completion of the Offer, the Paramount Merger, the Blockbuster Merger, the issuance of Viacom Preferred Stock and the sale of Viacom's one third partnership interest in LIFETIME as if they had occurred simultaneously at the beginning of the period presented. The unaudited pro forma combined condensed statement of operations for the year ended December 31, 1993 was prepared based upon the statements of operations of Viacom and Blockbuster for the year ended December 31, 1993, and of Paramount for the nine months ended January 31, 1994 and three months ended April 30, 1993 combined. These unaudited pro forma combined condensed financial statements should be read in conjunction with the audited financial statements, including the notes thereto, of Viacom and Blockbuster and the audited financial statements and the unaudited interim financial statements, including the notes thereto, of Paramount, which are incorporated by reference in this Proxy Statement/Prospectus. See "Incorporation of Certain Documents by Reference."</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unaudited pro forma data are not necessarily indicative of the results of operations or financial position of the combined company that would have occurred if the completion of the Offer, the Paramount Merger and the Blockbuster Merger had occurred at the beginning of the period or the date indicated, nor are they necessarily indicative of future operating results or financial position.</w:t>
      </w:r>
    </w:p>
    <w:p>
      <w:pPr>
        <w:spacing w:after="0" w:line="167"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The pro forma adjustments are based upon available information and certain assumptions set forth herein, including the notes to the unaudited pro forma combined condensed financial statements, which Viacom, Paramount and Blockbuster believe are reasonable under the circumstances. The pro forma adjustments reflect the Paramount Merger Consideration and the Blockbuster Merger Consideration (see "Notes 2 and 3", respectively). The Paramount and Blockbuster historical information have been adjusted for certain acquisitions, and certain significant transactions which have occurred or which may occur (see Paramount and Blockbuster Unaudited Pro Forma Condensed Consolidated Information.)</w:t>
      </w:r>
    </w:p>
    <w:p>
      <w:pPr>
        <w:spacing w:after="0" w:line="151"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Both the Paramount Merger and the Blockbuster Merger will be accounted for by the purchase method of accounting. Accordingly, Viacom's cost to acquire Paramount and Blockbuster, calculated to be approximately $9.9 billion and $5.8 billion, respectively, as of March 4, 1994, will be allocated to the assets and liabilities acquired according to their respective fair values with the excess to goodwill. Viacom's cost to acquire Paramount and Blockbuster pursuant to the respective merger agreements is subject to change based primarily upon the market value of Viacom Common Stock at the time of the respective mergers. A change in the fair market value of Viacom Common Stock will result in a corresponding change in the excess of unallocated acquisition cost over the net assets acquired and the related amortization thereof. The valuations and other studies, which will provide the basis for such an allocation, have not yet progressed to a stage where there is sufficient information to make an allocation in the accompanying unaudited pro forma combined condensed financial statements. Accordingly, the purchase accounting adjustments made in connection with the development of the unaudited pro forma combined condensed financial information are preliminary and have been made solely for the purposes of developing such unaudited pro forma combined condensed financial information. For the Paramount Merger, the approximate $5.8 billion pro forma excess of unallocated acquisition costs as of March 4,</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600" w:right="1440" w:bottom="1440" w:gutter="0" w:footer="0" w:header="0"/>
        </w:sectPr>
      </w:pPr>
    </w:p>
    <w:bookmarkStart w:id="131" w:name="page132"/>
    <w:bookmarkEnd w:id="131"/>
    <w:p>
      <w:pPr>
        <w:ind w:right="3539"/>
        <w:spacing w:after="0" w:line="243" w:lineRule="auto"/>
        <w:rPr>
          <w:sz w:val="20"/>
          <w:szCs w:val="20"/>
          <w:color w:val="auto"/>
        </w:rPr>
      </w:pPr>
      <w:r>
        <w:rPr>
          <w:rFonts w:ascii="Courier New" w:cs="Courier New" w:eastAsia="Courier New" w:hAnsi="Courier New"/>
          <w:sz w:val="14"/>
          <w:szCs w:val="14"/>
          <w:color w:val="auto"/>
        </w:rPr>
        <w:t>ing amortized over 40 years at a rate of $143.8 million per year. For the Blockbuster Merger, the approximate $3.6 billion pro forma excess of unallocated acquisition costs as of March 4, 1994 is also being amortized over 40 years at a rate of $91 million per year. Such amortization period is based on Viacom's belief that the combined company has substantial potential for achieving long-term appreciation as a fully integrated, global entertainment and communications company. The Mergers will permit the continued expansion of current lines of business, as well as the development of new businesses, via the cross-promotion of the well known franchises, trademarks and products of Viacom, Blockbuster and Paramount. Additionally, the combined company will have enhanced and complimentary product distribution capabilities which can be used to strategically exploit its franchise trademarks and products on an accelerated basis. Viacom believes that the combined company will benefit from the Mergers for an indeterminable period of time of at least 40 years, and, therefore, a 40 year amortization period is appropriate.</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As is the case with all of Viacom's long-term assets and liabilities, Viacom will perform periodic reviews of the goodwill arising from the Mergers to ensure that this goodwill is carried at the lower of cost or market in light of current business conditions.</w:t>
      </w:r>
    </w:p>
    <w:p>
      <w:pPr>
        <w:spacing w:after="0" w:line="165"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After the consummation of the Mergers, Viacom will arrange for independent appraisal of the significant assets, liabilities and business operations of Paramount and Blockbuster. Using this information, Viacom will make a final allocation of the excess purchase price, including allocation to intangibles other than goodwill. Viacom believes that any significant allocation of excess purchase price to intangibles will be amortized over 40 years, and so any such allocation would not cause a material difference in pro forma results.</w:t>
      </w:r>
    </w:p>
    <w:p>
      <w:pPr>
        <w:spacing w:after="0" w:line="153"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future results of operations of the combined company will reflect increased amortization of goodwill as described in notes 5a and 6b, increased interest expense as described in note 5b, and increased preferred stock dividend requirements as described in note 4d. The following unaudited pro forma combined condensed statement of operations does not reflect potential cost savings attributable to consolidation of certain operating and administrative functions including the elimination of duplicate facilities and personnel. The future financial position of the combined company will reflect increased goodwill as described above, increased long-term debt as described in notes 2b and 3c, and increased common stockholders' equity resulting from the issuance of Viacom Common Stock to stockholders of Paramount and Blockbuster.</w:t>
      </w:r>
    </w:p>
    <w:p>
      <w:pPr>
        <w:spacing w:after="0" w:line="16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603" w:right="1440" w:bottom="1440" w:gutter="0" w:footer="0" w:header="0"/>
        </w:sectPr>
      </w:pPr>
    </w:p>
    <w:bookmarkStart w:id="132" w:name="page133"/>
    <w:bookmarkEnd w:id="132"/>
    <w:p>
      <w:pPr>
        <w:jc w:val="center"/>
        <w:ind w:right="4360"/>
        <w:spacing w:after="0"/>
        <w:rPr>
          <w:sz w:val="20"/>
          <w:szCs w:val="20"/>
          <w:color w:val="auto"/>
        </w:rPr>
      </w:pPr>
      <w:r>
        <w:rPr>
          <w:rFonts w:ascii="Courier New" w:cs="Courier New" w:eastAsia="Courier New" w:hAnsi="Courier New"/>
          <w:sz w:val="14"/>
          <w:szCs w:val="14"/>
          <w:color w:val="auto"/>
        </w:rPr>
        <w:t>COMBINED COMPANY</w:t>
      </w:r>
    </w:p>
    <w:p>
      <w:pPr>
        <w:spacing w:after="0" w:line="2"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4"/>
          <w:szCs w:val="14"/>
          <w:color w:val="auto"/>
        </w:rPr>
        <w:t>UNAUDITED PRO FORMA COMBINED CONDENSED BALANCE SHEET</w:t>
      </w:r>
    </w:p>
    <w:p>
      <w:pPr>
        <w:spacing w:after="0" w:line="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4"/>
          <w:szCs w:val="14"/>
          <w:color w:val="auto"/>
        </w:rPr>
        <w:t>DECEMBER 31, 1993</w:t>
      </w:r>
    </w:p>
    <w:p>
      <w:pPr>
        <w:spacing w:after="0" w:line="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4"/>
          <w:szCs w:val="14"/>
          <w:color w:val="auto"/>
        </w:rPr>
        <w:t>(IN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jc w:val="center"/>
              <w:ind w:right="10"/>
              <w:spacing w:after="0"/>
              <w:rPr>
                <w:sz w:val="20"/>
                <w:szCs w:val="20"/>
                <w:color w:val="auto"/>
              </w:rPr>
            </w:pPr>
            <w:r>
              <w:rPr>
                <w:rFonts w:ascii="Courier New" w:cs="Courier New" w:eastAsia="Courier New" w:hAnsi="Courier New"/>
                <w:sz w:val="14"/>
                <w:szCs w:val="14"/>
                <w:color w:val="auto"/>
                <w:w w:val="95"/>
              </w:rPr>
              <w:t>OFFER</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VIACOM</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jc w:val="center"/>
              <w:ind w:right="10"/>
              <w:spacing w:after="0"/>
              <w:rPr>
                <w:sz w:val="20"/>
                <w:szCs w:val="20"/>
                <w:color w:val="auto"/>
              </w:rPr>
            </w:pPr>
            <w:r>
              <w:rPr>
                <w:rFonts w:ascii="Courier New" w:cs="Courier New" w:eastAsia="Courier New" w:hAnsi="Courier New"/>
                <w:sz w:val="14"/>
                <w:szCs w:val="14"/>
                <w:color w:val="auto"/>
                <w:w w:val="95"/>
              </w:rPr>
              <w:t>AND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13"/>
                <w:szCs w:val="1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jc w:val="center"/>
              <w:ind w:right="10"/>
              <w:spacing w:after="0"/>
              <w:rPr>
                <w:sz w:val="20"/>
                <w:szCs w:val="20"/>
                <w:color w:val="auto"/>
              </w:rPr>
            </w:pPr>
            <w:r>
              <w:rPr>
                <w:rFonts w:ascii="Courier New" w:cs="Courier New" w:eastAsia="Courier New" w:hAnsi="Courier New"/>
                <w:sz w:val="14"/>
                <w:szCs w:val="14"/>
                <w:color w:val="auto"/>
              </w:rPr>
              <w:t>PARAMOUNT</w:t>
            </w:r>
          </w:p>
        </w:tc>
        <w:tc>
          <w:tcPr>
            <w:tcW w:w="1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VIACOM/</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BLOCKBUSTER</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5"/>
              </w:rPr>
              <w:t>PRO FORMA</w:t>
            </w:r>
          </w:p>
        </w:tc>
        <w:tc>
          <w:tcPr>
            <w:tcW w:w="1160" w:type="dxa"/>
            <w:vAlign w:val="bottom"/>
          </w:tcPr>
          <w:p>
            <w:pPr>
              <w:ind w:left="240"/>
              <w:spacing w:after="0"/>
              <w:rPr>
                <w:sz w:val="20"/>
                <w:szCs w:val="20"/>
                <w:color w:val="auto"/>
              </w:rPr>
            </w:pPr>
            <w:r>
              <w:rPr>
                <w:rFonts w:ascii="Courier New" w:cs="Courier New" w:eastAsia="Courier New" w:hAnsi="Courier New"/>
                <w:sz w:val="14"/>
                <w:szCs w:val="14"/>
                <w:color w:val="auto"/>
              </w:rPr>
              <w:t>MERGER</w:t>
            </w:r>
          </w:p>
        </w:tc>
        <w:tc>
          <w:tcPr>
            <w:tcW w:w="10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PARAMOUNT</w:t>
            </w:r>
          </w:p>
        </w:tc>
        <w:tc>
          <w:tcPr>
            <w:tcW w:w="1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80" w:type="dxa"/>
            <w:vAlign w:val="bottom"/>
          </w:tcPr>
          <w:p>
            <w:pPr>
              <w:spacing w:after="0"/>
              <w:rPr>
                <w:sz w:val="13"/>
                <w:szCs w:val="13"/>
                <w:color w:val="auto"/>
              </w:rPr>
            </w:pP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MERGER</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COMBINED</w:t>
            </w:r>
          </w:p>
        </w:tc>
      </w:tr>
      <w:tr>
        <w:trPr>
          <w:trHeight w:val="161"/>
        </w:trPr>
        <w:tc>
          <w:tcPr>
            <w:tcW w:w="1520" w:type="dxa"/>
            <w:vAlign w:val="bottom"/>
          </w:tcPr>
          <w:p>
            <w:pPr>
              <w:spacing w:after="0"/>
              <w:rPr>
                <w:sz w:val="13"/>
                <w:szCs w:val="13"/>
                <w:color w:val="auto"/>
              </w:rPr>
            </w:pPr>
          </w:p>
        </w:tc>
        <w:tc>
          <w:tcPr>
            <w:tcW w:w="2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HISTORICAL ADJUSTMENTS</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110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PARAMOUNT*</w:t>
            </w:r>
          </w:p>
        </w:tc>
        <w:tc>
          <w:tcPr>
            <w:tcW w:w="1160" w:type="dxa"/>
            <w:vAlign w:val="bottom"/>
          </w:tcPr>
          <w:p>
            <w:pPr>
              <w:jc w:val="center"/>
              <w:ind w:right="10"/>
              <w:spacing w:after="0"/>
              <w:rPr>
                <w:sz w:val="20"/>
                <w:szCs w:val="20"/>
                <w:color w:val="auto"/>
              </w:rPr>
            </w:pPr>
            <w:r>
              <w:rPr>
                <w:rFonts w:ascii="Courier New" w:cs="Courier New" w:eastAsia="Courier New" w:hAnsi="Courier New"/>
                <w:sz w:val="14"/>
                <w:szCs w:val="14"/>
                <w:color w:val="auto"/>
                <w:w w:val="99"/>
              </w:rPr>
              <w:t>ADJUSTMENTS</w:t>
            </w:r>
          </w:p>
        </w:tc>
        <w:tc>
          <w:tcPr>
            <w:tcW w:w="1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120" w:type="dxa"/>
            <w:vAlign w:val="bottom"/>
          </w:tcPr>
          <w:p>
            <w:pPr>
              <w:spacing w:after="0"/>
              <w:rPr>
                <w:sz w:val="13"/>
                <w:szCs w:val="13"/>
                <w:color w:val="auto"/>
              </w:rPr>
            </w:pPr>
          </w:p>
        </w:tc>
        <w:tc>
          <w:tcPr>
            <w:tcW w:w="2180" w:type="dxa"/>
            <w:vAlign w:val="bottom"/>
            <w:gridSpan w:val="3"/>
          </w:tcPr>
          <w:p>
            <w:pPr>
              <w:jc w:val="right"/>
              <w:ind w:right="30"/>
              <w:spacing w:after="0"/>
              <w:rPr>
                <w:sz w:val="20"/>
                <w:szCs w:val="20"/>
                <w:color w:val="auto"/>
              </w:rPr>
            </w:pPr>
            <w:r>
              <w:rPr>
                <w:rFonts w:ascii="Courier New" w:cs="Courier New" w:eastAsia="Courier New" w:hAnsi="Courier New"/>
                <w:sz w:val="14"/>
                <w:szCs w:val="14"/>
                <w:color w:val="auto"/>
                <w:w w:val="98"/>
              </w:rPr>
              <w:t>BLOCKBUSTER** ADJUSTMENTS</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22"/>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&amp; short term</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$ 1,882.4</w:t>
            </w:r>
          </w:p>
        </w:tc>
        <w:tc>
          <w:tcPr>
            <w:tcW w:w="208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$ 1,250.0(1a) $ 3,132.4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328.7</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8"/>
              </w:rPr>
              <w:t>$(3,050.0) (2b)</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  411.1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95.3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w w:val="99"/>
              </w:rPr>
              <w:t>(30.0)(3a) $</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476.4</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current</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804.0</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804.0</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2,423.0</w:t>
            </w: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4"/>
                <w:szCs w:val="14"/>
                <w:color w:val="auto"/>
              </w:rPr>
              <w:t>3,227.0</w:t>
            </w:r>
          </w:p>
        </w:tc>
        <w:tc>
          <w:tcPr>
            <w:tcW w:w="120" w:type="dxa"/>
            <w:vAlign w:val="bottom"/>
          </w:tcPr>
          <w:p>
            <w:pPr>
              <w:spacing w:after="0"/>
              <w:rPr>
                <w:sz w:val="13"/>
                <w:szCs w:val="13"/>
                <w:color w:val="auto"/>
              </w:rPr>
            </w:pP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653.4</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3,880.4</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Total current</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2,686.4</w:t>
            </w:r>
          </w:p>
        </w:tc>
        <w:tc>
          <w:tcPr>
            <w:tcW w:w="108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1,250.0</w:t>
            </w:r>
          </w:p>
        </w:tc>
        <w:tc>
          <w:tcPr>
            <w:tcW w:w="22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3,936.4</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2,751.7</w:t>
            </w:r>
          </w:p>
        </w:tc>
        <w:tc>
          <w:tcPr>
            <w:tcW w:w="11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(3,050.0)</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3,638.1</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748.7</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(30.0)</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4,356.8</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Property and</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equipment, net...</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554.2</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554.2</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1,239.9</w:t>
            </w: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1,794.1</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522.8</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2,316.9</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Videocassette</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inventory,</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470.2</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470.2</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Intangible</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assets, at</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amortized</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cost.............</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2,180.6</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2,180.6</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1,976.6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5,750.1(2c)</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9,907.3</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856.3</w:t>
            </w:r>
          </w:p>
        </w:tc>
        <w:tc>
          <w:tcPr>
            <w:tcW w:w="80" w:type="dxa"/>
            <w:vAlign w:val="bottom"/>
          </w:tcPr>
          <w:p>
            <w:pPr>
              <w:spacing w:after="0"/>
              <w:rPr>
                <w:sz w:val="13"/>
                <w:szCs w:val="13"/>
                <w:color w:val="auto"/>
              </w:rPr>
            </w:pPr>
          </w:p>
        </w:tc>
        <w:tc>
          <w:tcPr>
            <w:tcW w:w="11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3,638.6(3a)</w:t>
            </w:r>
          </w:p>
        </w:tc>
        <w:tc>
          <w:tcPr>
            <w:tcW w:w="8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5"/>
              </w:rPr>
              <w:t>14,402.2</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995.7</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(49.2)(1b)</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946.5</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1,512.5</w:t>
            </w: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2,459.0</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2,173.0</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(1,850.0)(3b)</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2,782.0</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$ 6,416.9</w:t>
            </w:r>
          </w:p>
        </w:tc>
        <w:tc>
          <w:tcPr>
            <w:tcW w:w="108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$ 1,200.8</w:t>
            </w: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$ 7,617.7</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5"/>
              </w:rPr>
              <w:t>$ 7,480.7</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$ 2,700.1</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$ 17,798.5</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$ 4,771.0</w:t>
            </w:r>
          </w:p>
        </w:tc>
        <w:tc>
          <w:tcPr>
            <w:tcW w:w="80" w:type="dxa"/>
            <w:vAlign w:val="bottom"/>
          </w:tcPr>
          <w:p>
            <w:pPr>
              <w:spacing w:after="0"/>
              <w:rPr>
                <w:sz w:val="13"/>
                <w:szCs w:val="13"/>
                <w:color w:val="auto"/>
              </w:rPr>
            </w:pPr>
          </w:p>
        </w:tc>
        <w:tc>
          <w:tcPr>
            <w:tcW w:w="118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7"/>
              </w:rPr>
              <w:t>$ 1,758.6</w:t>
            </w:r>
          </w:p>
        </w:tc>
        <w:tc>
          <w:tcPr>
            <w:tcW w:w="84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w w:val="95"/>
              </w:rPr>
              <w:t>$24,328.1</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3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LIABILITIES AND STOCKHOLDERS' EQUITY</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   965.6</w:t>
            </w:r>
          </w:p>
        </w:tc>
        <w:tc>
          <w:tcPr>
            <w:tcW w:w="108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965.6</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5"/>
              </w:rPr>
              <w:t>$ 1,493.8</w:t>
            </w:r>
          </w:p>
        </w:tc>
        <w:tc>
          <w:tcPr>
            <w:tcW w:w="11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2,459.4</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$ 1,643.2</w:t>
            </w:r>
          </w:p>
        </w:tc>
        <w:tc>
          <w:tcPr>
            <w:tcW w:w="80" w:type="dxa"/>
            <w:vAlign w:val="bottom"/>
          </w:tcPr>
          <w:p>
            <w:pPr>
              <w:spacing w:after="0"/>
              <w:rPr>
                <w:sz w:val="13"/>
                <w:szCs w:val="13"/>
                <w:color w:val="auto"/>
              </w:rPr>
            </w:pPr>
          </w:p>
        </w:tc>
        <w:tc>
          <w:tcPr>
            <w:tcW w:w="2020" w:type="dxa"/>
            <w:vAlign w:val="bottom"/>
            <w:gridSpan w:val="3"/>
          </w:tcPr>
          <w:p>
            <w:pPr>
              <w:jc w:val="right"/>
              <w:ind w:right="30"/>
              <w:spacing w:after="0"/>
              <w:rPr>
                <w:sz w:val="20"/>
                <w:szCs w:val="20"/>
                <w:color w:val="auto"/>
              </w:rPr>
            </w:pPr>
            <w:r>
              <w:rPr>
                <w:rFonts w:ascii="Courier New" w:cs="Courier New" w:eastAsia="Courier New" w:hAnsi="Courier New"/>
                <w:sz w:val="14"/>
                <w:szCs w:val="14"/>
                <w:color w:val="auto"/>
                <w:w w:val="98"/>
              </w:rPr>
              <w:t>$(1,000.0)(3c) $3,102.6</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2,378.3</w:t>
            </w:r>
          </w:p>
        </w:tc>
        <w:tc>
          <w:tcPr>
            <w:tcW w:w="2080" w:type="dxa"/>
            <w:vAlign w:val="bottom"/>
            <w:gridSpan w:val="3"/>
          </w:tcPr>
          <w:p>
            <w:pPr>
              <w:jc w:val="right"/>
              <w:ind w:right="90"/>
              <w:spacing w:after="0"/>
              <w:rPr>
                <w:sz w:val="20"/>
                <w:szCs w:val="20"/>
                <w:color w:val="auto"/>
              </w:rPr>
            </w:pPr>
            <w:r>
              <w:rPr>
                <w:rFonts w:ascii="Courier New" w:cs="Courier New" w:eastAsia="Courier New" w:hAnsi="Courier New"/>
                <w:sz w:val="14"/>
                <w:szCs w:val="14"/>
                <w:color w:val="auto"/>
              </w:rPr>
              <w:t>$  (205.0)(1b) 2,173.3</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1,000.3</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w w:val="97"/>
              </w:rPr>
              <w:t>$ 4,692.2(2b)</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7,865.8</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853.5</w:t>
            </w:r>
          </w:p>
        </w:tc>
        <w:tc>
          <w:tcPr>
            <w:tcW w:w="80" w:type="dxa"/>
            <w:vAlign w:val="bottom"/>
          </w:tcPr>
          <w:p>
            <w:pPr>
              <w:spacing w:after="0"/>
              <w:rPr>
                <w:sz w:val="13"/>
                <w:szCs w:val="13"/>
                <w:color w:val="auto"/>
              </w:rPr>
            </w:pPr>
          </w:p>
        </w:tc>
        <w:tc>
          <w:tcPr>
            <w:tcW w:w="11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1,000.0(3c)</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9,719.3</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354.9</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354.9</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799.8</w:t>
            </w: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1,154.7</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150.9</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1,305.6</w:t>
            </w: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Preferred......</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1,800.0</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1,800.0</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1,800.0</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(600.0)(3b)</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1,200.0</w:t>
            </w:r>
          </w:p>
        </w:tc>
      </w:tr>
      <w:tr>
        <w:trPr>
          <w:trHeight w:val="161"/>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918.1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1,405.8(1)</w:t>
            </w:r>
          </w:p>
        </w:tc>
        <w:tc>
          <w:tcPr>
            <w:tcW w:w="22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2,323.9</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4,186.8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(1,992.1)(2)</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4,518.6</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2,123.4</w:t>
            </w:r>
          </w:p>
        </w:tc>
        <w:tc>
          <w:tcPr>
            <w:tcW w:w="8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2,358.6(3a,b)</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8"/>
              </w:rPr>
              <w:t>9,000.6</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stockholders'</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52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2,718.1</w:t>
            </w:r>
          </w:p>
        </w:tc>
        <w:tc>
          <w:tcPr>
            <w:tcW w:w="108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1,405.8</w:t>
            </w: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4,123.9</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4,186.8</w:t>
            </w:r>
          </w:p>
        </w:tc>
        <w:tc>
          <w:tcPr>
            <w:tcW w:w="11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(1,992.1)</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6,318.6</w:t>
            </w:r>
          </w:p>
        </w:tc>
        <w:tc>
          <w:tcPr>
            <w:tcW w:w="120" w:type="dxa"/>
            <w:vAlign w:val="bottom"/>
          </w:tcPr>
          <w:p>
            <w:pPr>
              <w:spacing w:after="0"/>
              <w:rPr>
                <w:sz w:val="13"/>
                <w:szCs w:val="13"/>
                <w:color w:val="auto"/>
              </w:rPr>
            </w:pPr>
          </w:p>
        </w:tc>
        <w:tc>
          <w:tcPr>
            <w:tcW w:w="9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2,123.4</w:t>
            </w:r>
          </w:p>
        </w:tc>
        <w:tc>
          <w:tcPr>
            <w:tcW w:w="80" w:type="dxa"/>
            <w:vAlign w:val="bottom"/>
          </w:tcPr>
          <w:p>
            <w:pPr>
              <w:spacing w:after="0"/>
              <w:rPr>
                <w:sz w:val="13"/>
                <w:szCs w:val="13"/>
                <w:color w:val="auto"/>
              </w:rPr>
            </w:pPr>
          </w:p>
        </w:tc>
        <w:tc>
          <w:tcPr>
            <w:tcW w:w="11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1,758.6</w:t>
            </w:r>
          </w:p>
        </w:tc>
        <w:tc>
          <w:tcPr>
            <w:tcW w:w="8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5"/>
              </w:rPr>
              <w:t>10,200.6</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$ 6,416.9</w:t>
            </w:r>
          </w:p>
        </w:tc>
        <w:tc>
          <w:tcPr>
            <w:tcW w:w="108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$ 1,200.8</w:t>
            </w: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$ 7,617.7</w:t>
            </w:r>
          </w:p>
        </w:tc>
        <w:tc>
          <w:tcPr>
            <w:tcW w:w="180" w:type="dxa"/>
            <w:vAlign w:val="bottom"/>
          </w:tcPr>
          <w:p>
            <w:pPr>
              <w:spacing w:after="0"/>
              <w:rPr>
                <w:sz w:val="13"/>
                <w:szCs w:val="13"/>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5"/>
              </w:rPr>
              <w:t>$ 7,480.7</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$ 2,700.1</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$ 17,798.5</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$ 4,771.0</w:t>
            </w:r>
          </w:p>
        </w:tc>
        <w:tc>
          <w:tcPr>
            <w:tcW w:w="80" w:type="dxa"/>
            <w:vAlign w:val="bottom"/>
          </w:tcPr>
          <w:p>
            <w:pPr>
              <w:spacing w:after="0"/>
              <w:rPr>
                <w:sz w:val="13"/>
                <w:szCs w:val="13"/>
                <w:color w:val="auto"/>
              </w:rPr>
            </w:pPr>
          </w:p>
        </w:tc>
        <w:tc>
          <w:tcPr>
            <w:tcW w:w="118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7"/>
              </w:rPr>
              <w:t>$ 1,758.6</w:t>
            </w:r>
          </w:p>
        </w:tc>
        <w:tc>
          <w:tcPr>
            <w:tcW w:w="84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w w:val="95"/>
              </w:rPr>
              <w:t>$24,328.1</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1"/>
        </w:trPr>
        <w:tc>
          <w:tcPr>
            <w:tcW w:w="15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8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See notes to unaudited pro forma combined condensed financial statements.</w:t>
      </w:r>
    </w:p>
    <w:p>
      <w:pPr>
        <w:spacing w:after="0" w:line="163" w:lineRule="exact"/>
        <w:rPr>
          <w:sz w:val="20"/>
          <w:szCs w:val="20"/>
          <w:color w:val="auto"/>
        </w:rPr>
      </w:pPr>
    </w:p>
    <w:p>
      <w:pPr>
        <w:ind w:left="180" w:hanging="174"/>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left="260" w:right="4940" w:hanging="167"/>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See Unaudited Pro Forma Condensed Consolidated Financial Statements of Paramount.</w:t>
      </w:r>
    </w:p>
    <w:p>
      <w:pPr>
        <w:spacing w:after="0" w:line="166" w:lineRule="exact"/>
        <w:rPr>
          <w:rFonts w:ascii="Courier New" w:cs="Courier New" w:eastAsia="Courier New" w:hAnsi="Courier New"/>
          <w:sz w:val="14"/>
          <w:szCs w:val="14"/>
          <w:color w:val="auto"/>
        </w:rPr>
      </w:pPr>
    </w:p>
    <w:p>
      <w:pPr>
        <w:ind w:left="260" w:right="4940" w:hanging="254"/>
        <w:spacing w:after="0" w:line="239" w:lineRule="auto"/>
        <w:tabs>
          <w:tab w:leader="none" w:pos="26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Unaudited Pro Forma Condensed Consolidated Financial Statements of Blockbuster.</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1060"/>
          </w:cols>
          <w:pgMar w:left="220" w:top="600" w:right="619" w:bottom="1440" w:gutter="0" w:footer="0" w:header="0"/>
        </w:sectPr>
      </w:pPr>
    </w:p>
    <w:bookmarkStart w:id="133" w:name="page134"/>
    <w:bookmarkEnd w:id="133"/>
    <w:p>
      <w:pPr>
        <w:spacing w:after="0" w:line="50"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COMBINED COMPANY</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UNAUDITED PRO FORMA COMBINED CONDENSED STATEMENT OF OPERATIONS</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FOR THE YEAR ENDED DECEMBER 31, 1993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gridSpan w:val="8"/>
          </w:tcPr>
          <w:p>
            <w:pPr>
              <w:ind w:left="1340"/>
              <w:spacing w:after="0"/>
              <w:rPr>
                <w:sz w:val="20"/>
                <w:szCs w:val="20"/>
                <w:color w:val="auto"/>
              </w:rPr>
            </w:pPr>
            <w:r>
              <w:rPr>
                <w:rFonts w:ascii="Courier New" w:cs="Courier New" w:eastAsia="Courier New" w:hAnsi="Courier New"/>
                <w:sz w:val="14"/>
                <w:szCs w:val="14"/>
                <w:color w:val="auto"/>
              </w:rPr>
              <w:t>(IN MILLIONS, EXCEPT PER SHARE DATA AND RATIOS)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22"/>
        </w:trPr>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center"/>
              <w:ind w:right="550"/>
              <w:spacing w:after="0"/>
              <w:rPr>
                <w:sz w:val="20"/>
                <w:szCs w:val="20"/>
                <w:color w:val="auto"/>
              </w:rPr>
            </w:pPr>
            <w:r>
              <w:rPr>
                <w:rFonts w:ascii="Courier New" w:cs="Courier New" w:eastAsia="Courier New" w:hAnsi="Courier New"/>
                <w:sz w:val="14"/>
                <w:szCs w:val="14"/>
                <w:color w:val="auto"/>
                <w:w w:val="99"/>
              </w:rPr>
              <w:t>OFFER</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2"/>
          </w:tcPr>
          <w:p>
            <w:pPr>
              <w:jc w:val="right"/>
              <w:ind w:right="250"/>
              <w:spacing w:after="0"/>
              <w:rPr>
                <w:sz w:val="20"/>
                <w:szCs w:val="20"/>
                <w:color w:val="auto"/>
              </w:rPr>
            </w:pPr>
            <w:r>
              <w:rPr>
                <w:rFonts w:ascii="Courier New" w:cs="Courier New" w:eastAsia="Courier New" w:hAnsi="Courier New"/>
                <w:sz w:val="14"/>
                <w:szCs w:val="14"/>
                <w:color w:val="auto"/>
              </w:rPr>
              <w:t>VIACOM</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550"/>
              <w:spacing w:after="0"/>
              <w:rPr>
                <w:sz w:val="20"/>
                <w:szCs w:val="20"/>
                <w:color w:val="auto"/>
              </w:rPr>
            </w:pPr>
            <w:r>
              <w:rPr>
                <w:rFonts w:ascii="Courier New" w:cs="Courier New" w:eastAsia="Courier New" w:hAnsi="Courier New"/>
                <w:sz w:val="14"/>
                <w:szCs w:val="14"/>
                <w:color w:val="auto"/>
              </w:rPr>
              <w:t>AND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gridSpan w:val="2"/>
          </w:tcPr>
          <w:p>
            <w:pPr>
              <w:jc w:val="center"/>
              <w:ind w:right="290"/>
              <w:spacing w:after="0"/>
              <w:rPr>
                <w:sz w:val="20"/>
                <w:szCs w:val="20"/>
                <w:color w:val="auto"/>
              </w:rPr>
            </w:pPr>
            <w:r>
              <w:rPr>
                <w:rFonts w:ascii="Courier New" w:cs="Courier New" w:eastAsia="Courier New" w:hAnsi="Courier New"/>
                <w:sz w:val="14"/>
                <w:szCs w:val="14"/>
                <w:color w:val="auto"/>
                <w:w w:val="97"/>
              </w:rPr>
              <w:t>PARAMOUNT</w:t>
            </w:r>
          </w:p>
        </w:tc>
        <w:tc>
          <w:tcPr>
            <w:tcW w:w="22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VIACOM/</w:t>
            </w: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3"/>
                <w:szCs w:val="13"/>
                <w:color w:val="auto"/>
              </w:rPr>
            </w:pPr>
          </w:p>
        </w:tc>
        <w:tc>
          <w:tcPr>
            <w:tcW w:w="1200" w:type="dxa"/>
            <w:vAlign w:val="bottom"/>
          </w:tcPr>
          <w:p>
            <w:pPr>
              <w:jc w:val="right"/>
              <w:ind w:right="630"/>
              <w:spacing w:after="0"/>
              <w:rPr>
                <w:sz w:val="20"/>
                <w:szCs w:val="20"/>
                <w:color w:val="auto"/>
              </w:rPr>
            </w:pPr>
            <w:r>
              <w:rPr>
                <w:rFonts w:ascii="Courier New" w:cs="Courier New" w:eastAsia="Courier New" w:hAnsi="Courier New"/>
                <w:sz w:val="14"/>
                <w:szCs w:val="14"/>
                <w:color w:val="auto"/>
                <w:w w:val="95"/>
              </w:rPr>
              <w:t>MERGER</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PARAMOUNT</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PRO FORMA</w:t>
            </w:r>
          </w:p>
        </w:tc>
      </w:tr>
      <w:tr>
        <w:trPr>
          <w:trHeight w:val="161"/>
        </w:trPr>
        <w:tc>
          <w:tcPr>
            <w:tcW w:w="202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VIACOM</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ADJUSTMENTS</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PARAMOUNT(8)*</w:t>
            </w:r>
          </w:p>
        </w:tc>
        <w:tc>
          <w:tcPr>
            <w:tcW w:w="1460" w:type="dxa"/>
            <w:vAlign w:val="bottom"/>
            <w:gridSpan w:val="2"/>
          </w:tcPr>
          <w:p>
            <w:pPr>
              <w:jc w:val="center"/>
              <w:ind w:right="310"/>
              <w:spacing w:after="0"/>
              <w:rPr>
                <w:sz w:val="20"/>
                <w:szCs w:val="20"/>
                <w:color w:val="auto"/>
              </w:rPr>
            </w:pPr>
            <w:r>
              <w:rPr>
                <w:rFonts w:ascii="Courier New" w:cs="Courier New" w:eastAsia="Courier New" w:hAnsi="Courier New"/>
                <w:sz w:val="14"/>
                <w:szCs w:val="14"/>
                <w:color w:val="auto"/>
                <w:w w:val="99"/>
              </w:rPr>
              <w:t>ADJUSTMENTS</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COMBINED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BLOCKBUSTER**</w:t>
            </w: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4020" w:type="dxa"/>
            <w:vAlign w:val="bottom"/>
            <w:gridSpan w:val="5"/>
          </w:tcPr>
          <w:p>
            <w:pPr>
              <w:jc w:val="right"/>
              <w:ind w:right="90"/>
              <w:spacing w:after="0"/>
              <w:rPr>
                <w:sz w:val="20"/>
                <w:szCs w:val="20"/>
                <w:color w:val="auto"/>
              </w:rPr>
            </w:pPr>
            <w:r>
              <w:rPr>
                <w:rFonts w:ascii="Courier New" w:cs="Courier New" w:eastAsia="Courier New" w:hAnsi="Courier New"/>
                <w:sz w:val="14"/>
                <w:szCs w:val="14"/>
                <w:color w:val="auto"/>
              </w:rPr>
              <w:t>-----------  -------------------  -----------</w:t>
            </w:r>
          </w:p>
        </w:tc>
      </w:tr>
      <w:tr>
        <w:trPr>
          <w:trHeight w:val="322"/>
        </w:trPr>
        <w:tc>
          <w:tcPr>
            <w:tcW w:w="20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$2,004.9</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$ 2,004.9</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$ 5,024.0</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7,028.9</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$ 2,595.2</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Operating.............</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877.6</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877.6</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3,315.7</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4,193.3</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1,947.6</w:t>
            </w: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Selling, general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589.2</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589.2</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1,243.7</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1,832.9</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212.0</w:t>
            </w: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Depreciation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153.1</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153.1</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162.5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30"/>
              <w:spacing w:after="0"/>
              <w:rPr>
                <w:sz w:val="20"/>
                <w:szCs w:val="20"/>
                <w:color w:val="auto"/>
              </w:rPr>
            </w:pPr>
            <w:r>
              <w:rPr>
                <w:rFonts w:ascii="Courier New" w:cs="Courier New" w:eastAsia="Courier New" w:hAnsi="Courier New"/>
                <w:sz w:val="14"/>
                <w:szCs w:val="14"/>
                <w:color w:val="auto"/>
              </w:rPr>
              <w:t>143.8(5a)</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459.4</w:t>
            </w: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Total expenses......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8"/>
              </w:rPr>
              <w:t>1,619.9</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1,619.9</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4,721.9</w:t>
            </w:r>
          </w:p>
        </w:tc>
        <w:tc>
          <w:tcPr>
            <w:tcW w:w="260" w:type="dxa"/>
            <w:vAlign w:val="bottom"/>
          </w:tcPr>
          <w:p>
            <w:pPr>
              <w:spacing w:after="0"/>
              <w:rPr>
                <w:sz w:val="13"/>
                <w:szCs w:val="13"/>
                <w:color w:val="auto"/>
              </w:rPr>
            </w:pPr>
          </w:p>
        </w:tc>
        <w:tc>
          <w:tcPr>
            <w:tcW w:w="1200" w:type="dxa"/>
            <w:vAlign w:val="bottom"/>
          </w:tcPr>
          <w:p>
            <w:pPr>
              <w:jc w:val="right"/>
              <w:ind w:right="470"/>
              <w:spacing w:after="0"/>
              <w:rPr>
                <w:sz w:val="20"/>
                <w:szCs w:val="20"/>
                <w:color w:val="auto"/>
              </w:rPr>
            </w:pPr>
            <w:r>
              <w:rPr>
                <w:rFonts w:ascii="Courier New" w:cs="Courier New" w:eastAsia="Courier New" w:hAnsi="Courier New"/>
                <w:sz w:val="14"/>
                <w:szCs w:val="14"/>
                <w:color w:val="auto"/>
              </w:rPr>
              <w:t>143.8</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6,485.6</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2,159.6</w:t>
            </w: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from</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385.0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385.0</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302.1</w:t>
            </w:r>
          </w:p>
        </w:tc>
        <w:tc>
          <w:tcPr>
            <w:tcW w:w="260" w:type="dxa"/>
            <w:vAlign w:val="bottom"/>
          </w:tcPr>
          <w:p>
            <w:pPr>
              <w:spacing w:after="0"/>
              <w:rPr>
                <w:sz w:val="13"/>
                <w:szCs w:val="13"/>
                <w:color w:val="auto"/>
              </w:rPr>
            </w:pPr>
          </w:p>
        </w:tc>
        <w:tc>
          <w:tcPr>
            <w:tcW w:w="120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(143.8)</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543.3</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435.6</w:t>
            </w: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Interest expense......</w:t>
            </w:r>
          </w:p>
        </w:tc>
        <w:tc>
          <w:tcPr>
            <w:tcW w:w="24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(145.0)</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8.9(4a)</w:t>
            </w: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(136.1)</w:t>
            </w:r>
          </w:p>
        </w:tc>
        <w:tc>
          <w:tcPr>
            <w:tcW w:w="12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(94.3)</w:t>
            </w:r>
          </w:p>
        </w:tc>
        <w:tc>
          <w:tcPr>
            <w:tcW w:w="26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(249.3)(5b)</w:t>
            </w:r>
          </w:p>
        </w:tc>
        <w:tc>
          <w:tcPr>
            <w:tcW w:w="220" w:type="dxa"/>
            <w:vAlign w:val="bottom"/>
          </w:tcPr>
          <w:p>
            <w:pPr>
              <w:spacing w:after="0"/>
              <w:rPr>
                <w:sz w:val="13"/>
                <w:szCs w:val="13"/>
                <w:color w:val="auto"/>
              </w:rPr>
            </w:pPr>
          </w:p>
        </w:tc>
        <w:tc>
          <w:tcPr>
            <w:tcW w:w="10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(479.7)</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(98.7)</w:t>
            </w: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Interest and other</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43.5</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43.5</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7.2</w:t>
            </w: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Other items, net(7)...</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61.8</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61.8</w:t>
            </w:r>
          </w:p>
        </w:tc>
        <w:tc>
          <w:tcPr>
            <w:tcW w:w="12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54.4</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16.3</w:t>
            </w: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Total other income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(expense)..............</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(83.2)</w:t>
            </w:r>
          </w:p>
        </w:tc>
        <w:tc>
          <w:tcPr>
            <w:tcW w:w="340" w:type="dxa"/>
            <w:vAlign w:val="bottom"/>
          </w:tcPr>
          <w:p>
            <w:pPr>
              <w:spacing w:after="0"/>
              <w:rPr>
                <w:sz w:val="13"/>
                <w:szCs w:val="13"/>
                <w:color w:val="auto"/>
              </w:rPr>
            </w:pPr>
          </w:p>
        </w:tc>
        <w:tc>
          <w:tcPr>
            <w:tcW w:w="7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8.9</w:t>
            </w:r>
          </w:p>
        </w:tc>
        <w:tc>
          <w:tcPr>
            <w:tcW w:w="22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(74.3)</w:t>
            </w:r>
          </w:p>
        </w:tc>
        <w:tc>
          <w:tcPr>
            <w:tcW w:w="12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(58.2)</w:t>
            </w:r>
          </w:p>
        </w:tc>
        <w:tc>
          <w:tcPr>
            <w:tcW w:w="260" w:type="dxa"/>
            <w:vAlign w:val="bottom"/>
          </w:tcPr>
          <w:p>
            <w:pPr>
              <w:spacing w:after="0"/>
              <w:rPr>
                <w:sz w:val="13"/>
                <w:szCs w:val="13"/>
                <w:color w:val="auto"/>
              </w:rPr>
            </w:pPr>
          </w:p>
        </w:tc>
        <w:tc>
          <w:tcPr>
            <w:tcW w:w="120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(249.3)</w:t>
            </w:r>
          </w:p>
        </w:tc>
        <w:tc>
          <w:tcPr>
            <w:tcW w:w="220" w:type="dxa"/>
            <w:vAlign w:val="bottom"/>
          </w:tcPr>
          <w:p>
            <w:pPr>
              <w:spacing w:after="0"/>
              <w:rPr>
                <w:sz w:val="13"/>
                <w:szCs w:val="13"/>
                <w:color w:val="auto"/>
              </w:rPr>
            </w:pPr>
          </w:p>
        </w:tc>
        <w:tc>
          <w:tcPr>
            <w:tcW w:w="10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(381.8)</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(75.2)</w:t>
            </w: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before income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301.8</w:t>
            </w:r>
          </w:p>
        </w:tc>
        <w:tc>
          <w:tcPr>
            <w:tcW w:w="340" w:type="dxa"/>
            <w:vAlign w:val="bottom"/>
          </w:tcPr>
          <w:p>
            <w:pPr>
              <w:spacing w:after="0"/>
              <w:rPr>
                <w:sz w:val="13"/>
                <w:szCs w:val="13"/>
                <w:color w:val="auto"/>
              </w:rPr>
            </w:pPr>
          </w:p>
        </w:tc>
        <w:tc>
          <w:tcPr>
            <w:tcW w:w="7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8.9</w:t>
            </w: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310.7</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243.9</w:t>
            </w:r>
          </w:p>
        </w:tc>
        <w:tc>
          <w:tcPr>
            <w:tcW w:w="260" w:type="dxa"/>
            <w:vAlign w:val="bottom"/>
          </w:tcPr>
          <w:p>
            <w:pPr>
              <w:spacing w:after="0"/>
              <w:rPr>
                <w:sz w:val="13"/>
                <w:szCs w:val="13"/>
                <w:color w:val="auto"/>
              </w:rPr>
            </w:pPr>
          </w:p>
        </w:tc>
        <w:tc>
          <w:tcPr>
            <w:tcW w:w="120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(393.1)</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161.5</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360.4</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Provision for income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129.8</w:t>
            </w:r>
          </w:p>
        </w:tc>
        <w:tc>
          <w:tcPr>
            <w:tcW w:w="340" w:type="dxa"/>
            <w:vAlign w:val="bottom"/>
          </w:tcPr>
          <w:p>
            <w:pPr>
              <w:spacing w:after="0"/>
              <w:rPr>
                <w:sz w:val="13"/>
                <w:szCs w:val="13"/>
                <w:color w:val="auto"/>
              </w:rPr>
            </w:pPr>
          </w:p>
        </w:tc>
        <w:tc>
          <w:tcPr>
            <w:tcW w:w="9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3.1(4b)</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132.9</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88.5</w:t>
            </w:r>
          </w:p>
        </w:tc>
        <w:tc>
          <w:tcPr>
            <w:tcW w:w="26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(88.1)(5c)</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133.3</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135.3</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Equity in loss of</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affiliated companies,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net of tax.............</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(12.9)(4c)</w:t>
            </w: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(15.4)</w:t>
            </w: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(15.4)</w:t>
            </w: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before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extraordinary item,</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cumulative effect of</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change in accounting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principle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preferred stock</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dividend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requirements...........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169.5</w:t>
            </w:r>
          </w:p>
        </w:tc>
        <w:tc>
          <w:tcPr>
            <w:tcW w:w="340" w:type="dxa"/>
            <w:vAlign w:val="bottom"/>
          </w:tcPr>
          <w:p>
            <w:pPr>
              <w:spacing w:after="0"/>
              <w:rPr>
                <w:sz w:val="13"/>
                <w:szCs w:val="13"/>
                <w:color w:val="auto"/>
              </w:rPr>
            </w:pPr>
          </w:p>
        </w:tc>
        <w:tc>
          <w:tcPr>
            <w:tcW w:w="7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(7.1)</w:t>
            </w:r>
          </w:p>
        </w:tc>
        <w:tc>
          <w:tcPr>
            <w:tcW w:w="220" w:type="dxa"/>
            <w:vAlign w:val="bottom"/>
          </w:tcPr>
          <w:p>
            <w:pPr>
              <w:spacing w:after="0"/>
              <w:rPr>
                <w:sz w:val="13"/>
                <w:szCs w:val="13"/>
                <w:color w:val="auto"/>
              </w:rPr>
            </w:pP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162.4</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155.4</w:t>
            </w:r>
          </w:p>
        </w:tc>
        <w:tc>
          <w:tcPr>
            <w:tcW w:w="260" w:type="dxa"/>
            <w:vAlign w:val="bottom"/>
          </w:tcPr>
          <w:p>
            <w:pPr>
              <w:spacing w:after="0"/>
              <w:rPr>
                <w:sz w:val="13"/>
                <w:szCs w:val="13"/>
                <w:color w:val="auto"/>
              </w:rPr>
            </w:pPr>
          </w:p>
        </w:tc>
        <w:tc>
          <w:tcPr>
            <w:tcW w:w="120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(305.0)</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12.8</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225.1</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dividend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requirements...........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12.8</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77.2(4d)</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90.0</w:t>
            </w: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90.0</w:t>
            </w: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(loss)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attributable to common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stock before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extraordinary item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cumulative effect of</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change in accounting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156.7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(84.3)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72.4</w:t>
            </w:r>
          </w:p>
        </w:tc>
        <w:tc>
          <w:tcPr>
            <w:tcW w:w="12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   155.4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(305.0)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(77.2)</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   225.1</w:t>
            </w: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w w:val="97"/>
              </w:rPr>
              <w:t>-----------</w:t>
            </w:r>
          </w:p>
        </w:tc>
        <w:tc>
          <w:tcPr>
            <w:tcW w:w="1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Weighted average number</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of common shares or</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common shares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common share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equivalents............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120.6</w:t>
            </w:r>
          </w:p>
        </w:tc>
        <w:tc>
          <w:tcPr>
            <w:tcW w:w="340" w:type="dxa"/>
            <w:vAlign w:val="bottom"/>
          </w:tcPr>
          <w:p>
            <w:pPr>
              <w:spacing w:after="0"/>
              <w:rPr>
                <w:sz w:val="13"/>
                <w:szCs w:val="13"/>
                <w:color w:val="auto"/>
              </w:rPr>
            </w:pPr>
          </w:p>
        </w:tc>
        <w:tc>
          <w:tcPr>
            <w:tcW w:w="7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22.7</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470"/>
              <w:spacing w:after="0"/>
              <w:rPr>
                <w:sz w:val="20"/>
                <w:szCs w:val="20"/>
                <w:color w:val="auto"/>
              </w:rPr>
            </w:pPr>
            <w:r>
              <w:rPr>
                <w:rFonts w:ascii="Courier New" w:cs="Courier New" w:eastAsia="Courier New" w:hAnsi="Courier New"/>
                <w:sz w:val="14"/>
                <w:szCs w:val="14"/>
                <w:color w:val="auto"/>
              </w:rPr>
              <w:t>56.1</w:t>
            </w: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Primary earnings per</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common share before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extraordinary item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cumulative effect of</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change in accounting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1.30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(0.39)</w:t>
            </w: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Fixed Charges.........</w:t>
            </w:r>
          </w:p>
        </w:tc>
        <w:tc>
          <w:tcPr>
            <w:tcW w:w="240" w:type="dxa"/>
            <w:vAlign w:val="bottom"/>
          </w:tcPr>
          <w:p>
            <w:pPr>
              <w:spacing w:after="0"/>
              <w:rPr>
                <w:sz w:val="13"/>
                <w:szCs w:val="13"/>
                <w:color w:val="auto"/>
              </w:rPr>
            </w:pPr>
          </w:p>
        </w:tc>
        <w:tc>
          <w:tcPr>
            <w:tcW w:w="7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2.8x</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1.3x</w:t>
            </w:r>
          </w:p>
        </w:tc>
        <w:tc>
          <w:tcPr>
            <w:tcW w:w="1340" w:type="dxa"/>
            <w:vAlign w:val="bottom"/>
          </w:tcPr>
          <w:p>
            <w:pPr>
              <w:spacing w:after="0"/>
              <w:rPr>
                <w:sz w:val="13"/>
                <w:szCs w:val="13"/>
                <w:color w:val="auto"/>
              </w:rPr>
            </w:pPr>
          </w:p>
        </w:tc>
      </w:tr>
      <w:tr>
        <w:trPr>
          <w:trHeight w:val="644"/>
        </w:trPr>
        <w:tc>
          <w:tcPr>
            <w:tcW w:w="20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7"/>
              </w:rPr>
              <w:t>BLOCKBUSTER</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90"/>
              <w:spacing w:after="0"/>
              <w:rPr>
                <w:sz w:val="20"/>
                <w:szCs w:val="20"/>
                <w:color w:val="auto"/>
              </w:rPr>
            </w:pPr>
            <w:r>
              <w:rPr>
                <w:rFonts w:ascii="Courier New" w:cs="Courier New" w:eastAsia="Courier New" w:hAnsi="Courier New"/>
                <w:sz w:val="14"/>
                <w:szCs w:val="14"/>
                <w:color w:val="auto"/>
                <w:w w:val="95"/>
              </w:rPr>
              <w:t>MERGER</w:t>
            </w: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COMBINED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7"/>
              </w:rPr>
              <w:t>ADJUSTMENTS</w:t>
            </w:r>
          </w:p>
        </w:tc>
        <w:tc>
          <w:tcPr>
            <w:tcW w:w="340" w:type="dxa"/>
            <w:vAlign w:val="bottom"/>
          </w:tcPr>
          <w:p>
            <w:pPr>
              <w:spacing w:after="0"/>
              <w:rPr>
                <w:sz w:val="13"/>
                <w:szCs w:val="13"/>
                <w:color w:val="auto"/>
              </w:rPr>
            </w:pPr>
          </w:p>
        </w:tc>
        <w:tc>
          <w:tcPr>
            <w:tcW w:w="740" w:type="dxa"/>
            <w:vAlign w:val="bottom"/>
          </w:tcPr>
          <w:p>
            <w:pPr>
              <w:jc w:val="right"/>
              <w:ind w:right="90"/>
              <w:spacing w:after="0"/>
              <w:rPr>
                <w:sz w:val="20"/>
                <w:szCs w:val="20"/>
                <w:color w:val="auto"/>
              </w:rPr>
            </w:pPr>
            <w:r>
              <w:rPr>
                <w:rFonts w:ascii="Courier New" w:cs="Courier New" w:eastAsia="Courier New" w:hAnsi="Courier New"/>
                <w:sz w:val="14"/>
                <w:szCs w:val="14"/>
                <w:color w:val="auto"/>
                <w:w w:val="95"/>
              </w:rPr>
              <w:t>COMPANY</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$ 9,624.1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Operating.............</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84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(410.7)(6a) 5,730.2</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Selling, general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2,044.9</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Depreciation and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240" w:type="dxa"/>
            <w:vAlign w:val="bottom"/>
          </w:tcPr>
          <w:p>
            <w:pPr>
              <w:spacing w:after="0"/>
              <w:rPr>
                <w:sz w:val="13"/>
                <w:szCs w:val="13"/>
                <w:color w:val="auto"/>
              </w:rPr>
            </w:pPr>
          </w:p>
        </w:tc>
        <w:tc>
          <w:tcPr>
            <w:tcW w:w="110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rPr>
              <w:t>91.0(6b)</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961.1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rPr>
              <w:t>410.7(6a)</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Total expenses......</w:t>
            </w:r>
          </w:p>
        </w:tc>
        <w:tc>
          <w:tcPr>
            <w:tcW w:w="24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91.0</w:t>
            </w:r>
          </w:p>
        </w:tc>
        <w:tc>
          <w:tcPr>
            <w:tcW w:w="34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8,736.2</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from</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(91.0)</w:t>
            </w:r>
          </w:p>
        </w:tc>
        <w:tc>
          <w:tcPr>
            <w:tcW w:w="34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887.9</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Interest expense......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(578.4)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Interest and other</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50.7</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Other items, net(7)...</w:t>
            </w:r>
          </w:p>
        </w:tc>
        <w:tc>
          <w:tcPr>
            <w:tcW w:w="2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(30.0)(6c)</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40.7</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Total other income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r>
    </w:tbl>
    <w:p>
      <w:pPr>
        <w:sectPr>
          <w:pgSz w:w="11900" w:h="16889" w:orient="portrait"/>
          <w:cols w:equalWidth="0" w:num="1">
            <w:col w:w="10380"/>
          </w:cols>
          <w:pgMar w:left="220" w:top="600" w:right="1299" w:bottom="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20" w:type="dxa"/>
            <w:vAlign w:val="bottom"/>
          </w:tcPr>
          <w:p>
            <w:pPr>
              <w:spacing w:after="0"/>
              <w:rPr>
                <w:sz w:val="20"/>
                <w:szCs w:val="20"/>
                <w:color w:val="auto"/>
              </w:rPr>
            </w:pPr>
            <w:r>
              <w:rPr>
                <w:rFonts w:ascii="Courier New" w:cs="Courier New" w:eastAsia="Courier New" w:hAnsi="Courier New"/>
                <w:sz w:val="14"/>
                <w:szCs w:val="14"/>
                <w:color w:val="auto"/>
              </w:rPr>
              <w:t>(expense)..............</w:t>
            </w: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(30.0)</w:t>
            </w:r>
          </w:p>
        </w:tc>
        <w:tc>
          <w:tcPr>
            <w:tcW w:w="340" w:type="dxa"/>
            <w:vAlign w:val="bottom"/>
          </w:tcPr>
          <w:p>
            <w:pPr>
              <w:spacing w:after="0"/>
              <w:rPr>
                <w:sz w:val="13"/>
                <w:szCs w:val="13"/>
                <w:color w:val="auto"/>
              </w:rPr>
            </w:pPr>
          </w:p>
        </w:tc>
        <w:tc>
          <w:tcPr>
            <w:tcW w:w="8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(487.0)</w:t>
            </w:r>
          </w:p>
        </w:tc>
      </w:tr>
      <w:tr>
        <w:trPr>
          <w:trHeight w:val="161"/>
        </w:trPr>
        <w:tc>
          <w:tcPr>
            <w:tcW w:w="2020" w:type="dxa"/>
            <w:vAlign w:val="bottom"/>
          </w:tcPr>
          <w:p>
            <w:pPr>
              <w:spacing w:after="0"/>
              <w:rPr>
                <w:sz w:val="13"/>
                <w:szCs w:val="13"/>
                <w:color w:val="auto"/>
              </w:rPr>
            </w:pP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before income</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(121.0)</w:t>
            </w:r>
          </w:p>
        </w:tc>
        <w:tc>
          <w:tcPr>
            <w:tcW w:w="34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400.9</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Provision for income</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14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(11.6)(6d)</w:t>
            </w: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257.0</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Equity in loss of</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affiliated companies,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net of tax.............</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(15.4)</w:t>
            </w:r>
          </w:p>
        </w:tc>
      </w:tr>
      <w:tr>
        <w:trPr>
          <w:trHeight w:val="161"/>
        </w:trPr>
        <w:tc>
          <w:tcPr>
            <w:tcW w:w="2020" w:type="dxa"/>
            <w:vAlign w:val="bottom"/>
          </w:tcPr>
          <w:p>
            <w:pPr>
              <w:spacing w:after="0"/>
              <w:rPr>
                <w:sz w:val="13"/>
                <w:szCs w:val="13"/>
                <w:color w:val="auto"/>
              </w:rPr>
            </w:pP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before</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extraordinary item,</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change in accounting</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principle and</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preferred stock</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dividend</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requirements...........</w:t>
            </w: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(109.4)</w:t>
            </w:r>
          </w:p>
        </w:tc>
        <w:tc>
          <w:tcPr>
            <w:tcW w:w="34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128.5</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dividend</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requirements...........</w:t>
            </w:r>
          </w:p>
        </w:tc>
        <w:tc>
          <w:tcPr>
            <w:tcW w:w="14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(30.0)(6c)</w:t>
            </w: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60.0</w:t>
            </w:r>
          </w:p>
        </w:tc>
      </w:tr>
      <w:tr>
        <w:trPr>
          <w:trHeight w:val="161"/>
        </w:trPr>
        <w:tc>
          <w:tcPr>
            <w:tcW w:w="2020" w:type="dxa"/>
            <w:vAlign w:val="bottom"/>
          </w:tcPr>
          <w:p>
            <w:pPr>
              <w:spacing w:after="0"/>
              <w:rPr>
                <w:sz w:val="13"/>
                <w:szCs w:val="13"/>
                <w:color w:val="auto"/>
              </w:rPr>
            </w:pP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Earnings (loss)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attributable to common</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stock before</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extraordinary item and</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change in accounting</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(79.4)</w:t>
            </w: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68.5</w:t>
            </w:r>
          </w:p>
        </w:tc>
      </w:tr>
      <w:tr>
        <w:trPr>
          <w:trHeight w:val="161"/>
        </w:trPr>
        <w:tc>
          <w:tcPr>
            <w:tcW w:w="2020" w:type="dxa"/>
            <w:vAlign w:val="bottom"/>
          </w:tcPr>
          <w:p>
            <w:pPr>
              <w:spacing w:after="0"/>
              <w:rPr>
                <w:sz w:val="13"/>
                <w:szCs w:val="13"/>
                <w:color w:val="auto"/>
              </w:rPr>
            </w:pP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13"/>
                <w:szCs w:val="13"/>
                <w:color w:val="auto"/>
              </w:rPr>
            </w:pPr>
          </w:p>
        </w:tc>
        <w:tc>
          <w:tcPr>
            <w:tcW w:w="10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Weighted average number</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of common shares or</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common shares and</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common share</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equivalents............</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209.9</w:t>
            </w:r>
          </w:p>
        </w:tc>
        <w:tc>
          <w:tcPr>
            <w:tcW w:w="3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409.3(9)</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Primary earnings per</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common share before</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extraordinary item and</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change in accounting</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spacing w:after="0"/>
              <w:rPr>
                <w:sz w:val="13"/>
                <w:szCs w:val="13"/>
                <w:color w:val="auto"/>
              </w:rPr>
            </w:pPr>
          </w:p>
        </w:tc>
        <w:tc>
          <w:tcPr>
            <w:tcW w:w="3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0.17</w:t>
            </w:r>
          </w:p>
        </w:tc>
      </w:t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Fixed Charges.........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1.5x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See notes to unaudited pro forma combined condensed financial statements.</w:t>
      </w:r>
    </w:p>
    <w:p>
      <w:pPr>
        <w:spacing w:after="0" w:line="172" w:lineRule="exact"/>
        <w:rPr>
          <w:sz w:val="20"/>
          <w:szCs w:val="20"/>
          <w:color w:val="auto"/>
        </w:rPr>
      </w:pPr>
    </w:p>
    <w:p>
      <w:pPr>
        <w:ind w:left="180" w:hanging="174"/>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65" w:lineRule="exact"/>
        <w:rPr>
          <w:rFonts w:ascii="Courier New" w:cs="Courier New" w:eastAsia="Courier New" w:hAnsi="Courier New"/>
          <w:sz w:val="14"/>
          <w:szCs w:val="14"/>
          <w:color w:val="auto"/>
        </w:rPr>
      </w:pPr>
    </w:p>
    <w:p>
      <w:pPr>
        <w:ind w:left="260" w:right="4119" w:hanging="167"/>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See Unaudited Pro Forma Condensed Consolidated Financial Statements of Paramount.</w:t>
      </w:r>
    </w:p>
    <w:p>
      <w:pPr>
        <w:spacing w:after="0" w:line="166" w:lineRule="exact"/>
        <w:rPr>
          <w:rFonts w:ascii="Courier New" w:cs="Courier New" w:eastAsia="Courier New" w:hAnsi="Courier New"/>
          <w:sz w:val="14"/>
          <w:szCs w:val="14"/>
          <w:color w:val="auto"/>
        </w:rPr>
      </w:pPr>
    </w:p>
    <w:p>
      <w:pPr>
        <w:ind w:left="260" w:right="4119" w:hanging="254"/>
        <w:spacing w:after="0" w:line="239" w:lineRule="auto"/>
        <w:tabs>
          <w:tab w:leader="none" w:pos="26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Unaudited Pro Forma Condensed Consolidated Financial Statements of Blockbuster.</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0239"/>
          </w:cols>
          <w:pgMar w:left="220" w:top="139" w:right="1440" w:bottom="1440" w:gutter="0" w:footer="0" w:header="0"/>
        </w:sectPr>
      </w:pPr>
    </w:p>
    <w:bookmarkStart w:id="135" w:name="page136"/>
    <w:bookmarkEnd w:id="135"/>
    <w:p>
      <w:pPr>
        <w:jc w:val="center"/>
        <w:ind w:right="3539"/>
        <w:spacing w:after="0"/>
        <w:rPr>
          <w:sz w:val="20"/>
          <w:szCs w:val="20"/>
          <w:color w:val="auto"/>
        </w:rPr>
      </w:pPr>
      <w:r>
        <w:rPr>
          <w:rFonts w:ascii="Courier New" w:cs="Courier New" w:eastAsia="Courier New" w:hAnsi="Courier New"/>
          <w:sz w:val="14"/>
          <w:szCs w:val="14"/>
          <w:color w:val="auto"/>
        </w:rPr>
        <w:t>COMBINED COMPANY</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NOTES TO UNAUDITED PRO FORMA</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COMBINED CONDENSED FINANCIAL STATEMENTS</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166" w:lineRule="exact"/>
        <w:rPr>
          <w:sz w:val="20"/>
          <w:szCs w:val="20"/>
          <w:color w:val="auto"/>
        </w:rPr>
      </w:pPr>
    </w:p>
    <w:p>
      <w:pPr>
        <w:ind w:right="3539" w:firstLine="424"/>
        <w:spacing w:after="0" w:line="239" w:lineRule="auto"/>
        <w:tabs>
          <w:tab w:leader="none" w:pos="75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made to Viacom's historical balance sheet reflect the following:</w:t>
      </w:r>
    </w:p>
    <w:p>
      <w:pPr>
        <w:spacing w:after="0" w:line="164" w:lineRule="exact"/>
        <w:rPr>
          <w:sz w:val="20"/>
          <w:szCs w:val="20"/>
          <w:color w:val="auto"/>
        </w:rPr>
      </w:pPr>
    </w:p>
    <w:p>
      <w:pPr>
        <w:ind w:left="760" w:hanging="336"/>
        <w:spacing w:after="0"/>
        <w:tabs>
          <w:tab w:leader="none" w:pos="7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Viacom Class B Common Stock to Blockbuster for $1.25</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billion.</w:t>
      </w:r>
    </w:p>
    <w:p>
      <w:pPr>
        <w:spacing w:after="0" w:line="163" w:lineRule="exact"/>
        <w:rPr>
          <w:rFonts w:ascii="Courier New" w:cs="Courier New" w:eastAsia="Courier New" w:hAnsi="Courier New"/>
          <w:sz w:val="14"/>
          <w:szCs w:val="14"/>
          <w:color w:val="auto"/>
        </w:rPr>
      </w:pPr>
    </w:p>
    <w:p>
      <w:pPr>
        <w:ind w:left="760" w:hanging="336"/>
        <w:spacing w:after="0"/>
        <w:tabs>
          <w:tab w:leader="none" w:pos="7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Viacom's one-third partnership interest in LIFETIME.</w:t>
      </w:r>
    </w:p>
    <w:p>
      <w:pPr>
        <w:spacing w:after="0" w:line="166" w:lineRule="exact"/>
        <w:rPr>
          <w:sz w:val="20"/>
          <w:szCs w:val="20"/>
          <w:color w:val="auto"/>
        </w:rPr>
      </w:pPr>
    </w:p>
    <w:p>
      <w:pPr>
        <w:ind w:left="680" w:right="3619" w:hanging="250"/>
        <w:spacing w:after="0" w:line="239" w:lineRule="auto"/>
        <w:rPr>
          <w:sz w:val="20"/>
          <w:szCs w:val="20"/>
          <w:color w:val="auto"/>
        </w:rPr>
      </w:pPr>
      <w:r>
        <w:rPr>
          <w:rFonts w:ascii="Courier New" w:cs="Courier New" w:eastAsia="Courier New" w:hAnsi="Courier New"/>
          <w:sz w:val="14"/>
          <w:szCs w:val="14"/>
          <w:color w:val="auto"/>
        </w:rPr>
        <w:t>(c)The repayment of bank debt from the after-tax proceeds from the sale of the one-third partnership interest in LIFETIME.</w:t>
      </w:r>
    </w:p>
    <w:p>
      <w:pPr>
        <w:spacing w:after="0" w:line="167" w:lineRule="exact"/>
        <w:rPr>
          <w:sz w:val="20"/>
          <w:szCs w:val="20"/>
          <w:color w:val="auto"/>
        </w:rPr>
      </w:pPr>
    </w:p>
    <w:p>
      <w:pPr>
        <w:ind w:right="3539" w:firstLine="424"/>
        <w:spacing w:after="0" w:line="243" w:lineRule="auto"/>
        <w:tabs>
          <w:tab w:leader="none" w:pos="753"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to acquire Paramount pursuant to the Offer and the Paramount Merger, the financing of such cost and the determination of the unallocated excess of acquisition cost over the net assets acquired are as set forth below. In furtherance of the Paramount Merger, on March 11, 1994, Viacom, pursuant to the terms of the Offer, completed its purchase of 61,657,432 shares of Paramount Common Stock, representing a majority of the shares of Paramount Common Stock outstanding as of the expiration of the Offer. In the Paramount Merger, each remaining outstanding share of Paramount Common Stock will be converted into the right to receive the Paramount Merger Consideration. As of March 4, 1994, the closing price of shares of Viacom Class B Common Stock on the AMEX was $27. As of March 30, 1994 there were 122.8 million shares of Paramount Common Stock outstanding.</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 Total acquisition costs: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6,597.3</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Merger Debentures..............................................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1,054.9</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Class B Common Stock...........................................</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1,514.7</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CVRs..................................................................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538.6</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Three-Year Warrants............................................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Five-Year Warrants.............................................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59.1</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Paramount Merger costs................................................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Acquisition costs financed............................................</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9,907.4</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Excess value of exchange ratio over exercise price of Paramount</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Total acquisition costs...............................................</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9,936.9</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83"/>
        </w:trPr>
        <w:tc>
          <w:tcPr>
            <w:tcW w:w="5940" w:type="dxa"/>
            <w:vAlign w:val="bottom"/>
          </w:tcPr>
          <w:p>
            <w:pPr>
              <w:ind w:left="420"/>
              <w:spacing w:after="0"/>
              <w:rPr>
                <w:sz w:val="20"/>
                <w:szCs w:val="20"/>
                <w:color w:val="auto"/>
              </w:rPr>
            </w:pPr>
            <w:r>
              <w:rPr>
                <w:rFonts w:ascii="Courier New" w:cs="Courier New" w:eastAsia="Courier New" w:hAnsi="Courier New"/>
                <w:sz w:val="14"/>
                <w:szCs w:val="14"/>
                <w:color w:val="auto"/>
              </w:rPr>
              <w:t>(b) Financing of the Offer and the Paramount Merger:</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44"/>
        </w:trPr>
        <w:tc>
          <w:tcPr>
            <w:tcW w:w="59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3,050.0</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Credit Agreement......................................................</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3,637.3</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Merger Debentures..............................................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1,054.9</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Class B Common Stock...........................................</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1,514.7</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CVRs..................................................................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538.6</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Three-Year Warrants............................................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Five-Year Warrants.............................................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59.1</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Total financing of the Offer and the Paramount Merger.................</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9,907.4</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4" w:lineRule="exact"/>
        <w:rPr>
          <w:sz w:val="20"/>
          <w:szCs w:val="20"/>
          <w:color w:val="auto"/>
        </w:rPr>
      </w:pPr>
    </w:p>
    <w:p>
      <w:pPr>
        <w:ind w:left="760" w:hanging="336"/>
        <w:spacing w:after="0"/>
        <w:tabs>
          <w:tab w:leader="none" w:pos="7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unallocated excess of acquisition costs over the net assets</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acquired: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40" w:type="dxa"/>
            <w:vAlign w:val="bottom"/>
          </w:tcPr>
          <w:p>
            <w:pPr>
              <w:spacing w:after="0"/>
              <w:rPr>
                <w:sz w:val="20"/>
                <w:szCs w:val="20"/>
                <w:color w:val="auto"/>
              </w:rPr>
            </w:pPr>
            <w:r>
              <w:rPr>
                <w:rFonts w:ascii="Courier New" w:cs="Courier New" w:eastAsia="Courier New" w:hAnsi="Courier New"/>
                <w:sz w:val="14"/>
                <w:szCs w:val="14"/>
                <w:color w:val="auto"/>
              </w:rPr>
              <w:t>Total acquisition costs...............................................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$9,936.9</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Paramount pro forma net assets as of January 31, 1994.................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4,186.8</w:t>
            </w:r>
          </w:p>
        </w:tc>
      </w:tr>
      <w:tr>
        <w:trPr>
          <w:trHeight w:val="161"/>
        </w:trPr>
        <w:tc>
          <w:tcPr>
            <w:tcW w:w="59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Excess of acquisition costs over net assets acquired..................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5,750.1</w:t>
            </w:r>
          </w:p>
        </w:tc>
      </w:tr>
      <w:tr>
        <w:trPr>
          <w:trHeight w:val="161"/>
        </w:trPr>
        <w:tc>
          <w:tcPr>
            <w:tcW w:w="59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83"/>
        </w:trPr>
        <w:tc>
          <w:tcPr>
            <w:tcW w:w="5940" w:type="dxa"/>
            <w:vAlign w:val="bottom"/>
          </w:tcPr>
          <w:p>
            <w:pPr>
              <w:jc w:val="right"/>
              <w:ind w:right="2430"/>
              <w:spacing w:after="0"/>
              <w:rPr>
                <w:sz w:val="20"/>
                <w:szCs w:val="20"/>
                <w:color w:val="auto"/>
              </w:rPr>
            </w:pPr>
            <w:r>
              <w:rPr>
                <w:rFonts w:ascii="Courier New" w:cs="Courier New" w:eastAsia="Courier New" w:hAnsi="Courier New"/>
                <w:sz w:val="14"/>
                <w:szCs w:val="14"/>
                <w:color w:val="auto"/>
              </w:rPr>
              <w:t>119</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00" w:right="1440" w:bottom="1440" w:gutter="0" w:footer="0" w:header="0"/>
        </w:sectPr>
      </w:pPr>
    </w:p>
    <w:bookmarkStart w:id="136" w:name="page137"/>
    <w:bookmarkEnd w:id="136"/>
    <w:p>
      <w:pPr>
        <w:ind w:right="3539" w:firstLine="424"/>
        <w:spacing w:after="0" w:line="243" w:lineRule="auto"/>
        <w:tabs>
          <w:tab w:leader="none" w:pos="753"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to acquire Blockbuster pursuant to the Blockbuster Merger, the financing of such cost and the determination of the unallocated excess of acquisition cost over the net assets acquired are set forth below. Pursuant to the Blockbuster Merger, holders of shares of Blockbuster Common Stock will be entitled to receive the Blockbuster Merger Consideration for each of such holder's shares. As of March 4, 1994, the closing price of shares of Viacom Class A Common Stock and Viacom Class B Common Stock on the AMEX was $31 7/8 and $27, respectively. As of December 31, 1993, there were 247.5 million shares of Blockbuster Common Stock outstanding.</w:t>
      </w:r>
    </w:p>
    <w:p>
      <w:pPr>
        <w:spacing w:after="0" w:line="16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 Total acquisition costs and financing:</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Class A Common Stock...........................................</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631.1</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Viacom Class B Common Stock...........................................</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4,050.4</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VCRs..................................................................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924.1</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Acquisition costs financed............................................</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5,605.6</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Excess value of exchange ratio over exercise price of Blockbuster</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stock options and warrants............................................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126.4</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Blockbuster Merger costs..............................................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Total acquisition costs...............................................</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5,762.0</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Blockbuster pro forma net assets as of December 31, 1993..............</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2,123.4</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20"/>
                <w:szCs w:val="20"/>
                <w:color w:val="auto"/>
              </w:rPr>
            </w:pPr>
            <w:r>
              <w:rPr>
                <w:rFonts w:ascii="Courier New" w:cs="Courier New" w:eastAsia="Courier New" w:hAnsi="Courier New"/>
                <w:sz w:val="14"/>
                <w:szCs w:val="14"/>
                <w:color w:val="auto"/>
              </w:rPr>
              <w:t>Excess of acquisition costs over net assets acquired..................</w:t>
            </w:r>
          </w:p>
        </w:tc>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3,638.6</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59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7" w:lineRule="exact"/>
        <w:rPr>
          <w:sz w:val="20"/>
          <w:szCs w:val="20"/>
          <w:color w:val="auto"/>
        </w:rPr>
      </w:pPr>
    </w:p>
    <w:p>
      <w:pPr>
        <w:ind w:left="760" w:right="3619" w:hanging="336"/>
        <w:spacing w:after="0" w:line="276" w:lineRule="auto"/>
        <w:tabs>
          <w:tab w:leader="none" w:pos="760"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Eliminates Blockbuster's $600 million investment in Series A Preferred Stock and $1.25 billion investment in Viacom Class B Common Stock.</w:t>
      </w:r>
    </w:p>
    <w:p>
      <w:pPr>
        <w:spacing w:after="0" w:line="143" w:lineRule="exact"/>
        <w:rPr>
          <w:rFonts w:ascii="Courier New" w:cs="Courier New" w:eastAsia="Courier New" w:hAnsi="Courier New"/>
          <w:sz w:val="13"/>
          <w:szCs w:val="13"/>
          <w:color w:val="auto"/>
        </w:rPr>
      </w:pPr>
    </w:p>
    <w:p>
      <w:pPr>
        <w:ind w:left="760" w:right="3619" w:hanging="336"/>
        <w:spacing w:after="0" w:line="242" w:lineRule="auto"/>
        <w:tabs>
          <w:tab w:leader="none" w:pos="7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additional borrowings incurred by Blockbuster, which were used to finance the purchase of Viacom Class B Common Stock, will be refinanced on a long-term basis as part of an overall refinancing of indebtedness of the combined company. Viacom believes, based on discussions with a number of bank lenders and investment banking institutions and based on the pro forma financial position and results of operations, that it will have the ability to refinance its indebtedness on a long-term basis.</w:t>
      </w:r>
    </w:p>
    <w:p>
      <w:pPr>
        <w:spacing w:after="0" w:line="169" w:lineRule="exact"/>
        <w:rPr>
          <w:sz w:val="20"/>
          <w:szCs w:val="20"/>
          <w:color w:val="auto"/>
        </w:rPr>
      </w:pPr>
    </w:p>
    <w:p>
      <w:pPr>
        <w:ind w:right="3699" w:firstLine="424"/>
        <w:spacing w:after="0" w:line="239" w:lineRule="auto"/>
        <w:tabs>
          <w:tab w:leader="none" w:pos="753"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made to Viacom's historical results reflect the following:</w:t>
      </w:r>
    </w:p>
    <w:p>
      <w:pPr>
        <w:spacing w:after="0" w:line="167" w:lineRule="exact"/>
        <w:rPr>
          <w:sz w:val="20"/>
          <w:szCs w:val="20"/>
          <w:color w:val="auto"/>
        </w:rPr>
      </w:pPr>
    </w:p>
    <w:p>
      <w:pPr>
        <w:ind w:left="760" w:right="4039" w:hanging="336"/>
        <w:spacing w:after="0" w:line="241" w:lineRule="auto"/>
        <w:tabs>
          <w:tab w:leader="none" w:pos="7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in interest expense of $8.9 million for the year ended December 31, 1993 resulting from the repayment of bank debt of approximately $205 million.</w:t>
      </w:r>
    </w:p>
    <w:p>
      <w:pPr>
        <w:spacing w:after="0" w:line="165" w:lineRule="exact"/>
        <w:rPr>
          <w:rFonts w:ascii="Courier New" w:cs="Courier New" w:eastAsia="Courier New" w:hAnsi="Courier New"/>
          <w:sz w:val="14"/>
          <w:szCs w:val="14"/>
          <w:color w:val="auto"/>
        </w:rPr>
      </w:pPr>
    </w:p>
    <w:p>
      <w:pPr>
        <w:ind w:left="760" w:right="4119" w:hanging="336"/>
        <w:spacing w:after="0" w:line="241" w:lineRule="auto"/>
        <w:tabs>
          <w:tab w:leader="none" w:pos="7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income tax adjustments reflect the income tax effects calculated at the statutory tax rate in effect during the period presented.</w:t>
      </w:r>
    </w:p>
    <w:p>
      <w:pPr>
        <w:spacing w:after="0" w:line="165" w:lineRule="exact"/>
        <w:rPr>
          <w:rFonts w:ascii="Courier New" w:cs="Courier New" w:eastAsia="Courier New" w:hAnsi="Courier New"/>
          <w:sz w:val="14"/>
          <w:szCs w:val="14"/>
          <w:color w:val="auto"/>
        </w:rPr>
      </w:pPr>
    </w:p>
    <w:p>
      <w:pPr>
        <w:ind w:left="760" w:right="3539" w:hanging="336"/>
        <w:spacing w:after="0" w:line="239" w:lineRule="auto"/>
        <w:tabs>
          <w:tab w:leader="none" w:pos="7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Eliminates Viacom's equity in earnings, net of tax, of LIFETIME for the year ended December 31, 1993.</w:t>
      </w:r>
    </w:p>
    <w:p>
      <w:pPr>
        <w:spacing w:after="0" w:line="166" w:lineRule="exact"/>
        <w:rPr>
          <w:rFonts w:ascii="Courier New" w:cs="Courier New" w:eastAsia="Courier New" w:hAnsi="Courier New"/>
          <w:sz w:val="14"/>
          <w:szCs w:val="14"/>
          <w:color w:val="auto"/>
        </w:rPr>
      </w:pPr>
    </w:p>
    <w:p>
      <w:pPr>
        <w:ind w:left="760" w:right="3699" w:hanging="336"/>
        <w:spacing w:after="0" w:line="242" w:lineRule="auto"/>
        <w:tabs>
          <w:tab w:leader="none" w:pos="7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5% cumulative dividend requirement of the $1.8 billion of Viacom Preferred Stock sold to NYNEX and Blockbuster in the amount of $77.2 million for the year ended December 31, 1993 as if the transactions had occurred at the beginning of the year.</w:t>
      </w:r>
    </w:p>
    <w:p>
      <w:pPr>
        <w:spacing w:after="0" w:line="165" w:lineRule="exact"/>
        <w:rPr>
          <w:sz w:val="20"/>
          <w:szCs w:val="20"/>
          <w:color w:val="auto"/>
        </w:rPr>
      </w:pPr>
    </w:p>
    <w:p>
      <w:pPr>
        <w:ind w:right="3959" w:firstLine="424"/>
        <w:spacing w:after="0" w:line="239" w:lineRule="auto"/>
        <w:tabs>
          <w:tab w:leader="none" w:pos="753"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 forma adjustments related to the Offer and the Paramount Merger reflect the following:</w:t>
      </w:r>
    </w:p>
    <w:p>
      <w:pPr>
        <w:spacing w:after="0" w:line="167" w:lineRule="exact"/>
        <w:rPr>
          <w:sz w:val="20"/>
          <w:szCs w:val="20"/>
          <w:color w:val="auto"/>
        </w:rPr>
      </w:pPr>
    </w:p>
    <w:p>
      <w:pPr>
        <w:ind w:left="760" w:right="3799" w:hanging="336"/>
        <w:spacing w:after="0" w:line="241" w:lineRule="auto"/>
        <w:tabs>
          <w:tab w:leader="none" w:pos="7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amortization expense of $143.8 million for the year ended December 31, 1993 resulting from an increase in intangibles of approximately $5.8 billion amortized over 40 years.</w:t>
      </w:r>
    </w:p>
    <w:p>
      <w:pPr>
        <w:spacing w:after="0" w:line="165" w:lineRule="exact"/>
        <w:rPr>
          <w:rFonts w:ascii="Courier New" w:cs="Courier New" w:eastAsia="Courier New" w:hAnsi="Courier New"/>
          <w:sz w:val="14"/>
          <w:szCs w:val="14"/>
          <w:color w:val="auto"/>
        </w:rPr>
      </w:pPr>
    </w:p>
    <w:p>
      <w:pPr>
        <w:ind w:left="760" w:right="3539" w:hanging="336"/>
        <w:spacing w:after="0" w:line="242" w:lineRule="auto"/>
        <w:tabs>
          <w:tab w:leader="none" w:pos="7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an increase in interest expense of $241.4 million for the year ended December 31, 1993 resulting from additional debt financing of approximately $3.6 billion under the Credit Agreement, the issuance of Viacom Merger Debentures and a decrease of interest income of $7.9</w:t>
      </w:r>
    </w:p>
    <w:p>
      <w:pPr>
        <w:spacing w:after="0" w:line="4" w:lineRule="exact"/>
        <w:rPr>
          <w:sz w:val="20"/>
          <w:szCs w:val="20"/>
          <w:color w:val="auto"/>
        </w:rPr>
      </w:pPr>
    </w:p>
    <w:p>
      <w:pPr>
        <w:ind w:left="760" w:right="4119"/>
        <w:spacing w:after="0" w:line="239" w:lineRule="auto"/>
        <w:rPr>
          <w:sz w:val="20"/>
          <w:szCs w:val="20"/>
          <w:color w:val="auto"/>
        </w:rPr>
      </w:pPr>
      <w:r>
        <w:rPr>
          <w:rFonts w:ascii="Courier New" w:cs="Courier New" w:eastAsia="Courier New" w:hAnsi="Courier New"/>
          <w:sz w:val="14"/>
          <w:szCs w:val="14"/>
          <w:color w:val="auto"/>
        </w:rPr>
        <w:t>million resulting from the use of cash to finance the Offer. The assumed interest rate on</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603" w:right="1440" w:bottom="1440" w:gutter="0" w:footer="0" w:header="0"/>
        </w:sectPr>
      </w:pPr>
    </w:p>
    <w:bookmarkStart w:id="137" w:name="page138"/>
    <w:bookmarkEnd w:id="137"/>
    <w:p>
      <w:pPr>
        <w:ind w:left="336" w:right="3539" w:hanging="83"/>
        <w:spacing w:after="0" w:line="242" w:lineRule="auto"/>
        <w:rPr>
          <w:sz w:val="20"/>
          <w:szCs w:val="20"/>
          <w:color w:val="auto"/>
        </w:rPr>
      </w:pPr>
      <w:r>
        <w:rPr>
          <w:rFonts w:ascii="Courier New" w:cs="Courier New" w:eastAsia="Courier New" w:hAnsi="Courier New"/>
          <w:sz w:val="14"/>
          <w:szCs w:val="14"/>
          <w:color w:val="auto"/>
        </w:rPr>
        <w:t>the debt financing under the Credit Agreement of 4.3% for the year ended December 31, 1993 was calculated based on average historical London Interbank Offered Rates. A change in the assumed interest rate of 1/8% will result in a change in interest expense of $4.5 million on an annual basis.</w:t>
      </w:r>
    </w:p>
    <w:p>
      <w:pPr>
        <w:spacing w:after="0" w:line="166" w:lineRule="exact"/>
        <w:rPr>
          <w:sz w:val="20"/>
          <w:szCs w:val="20"/>
          <w:color w:val="auto"/>
        </w:rPr>
      </w:pPr>
    </w:p>
    <w:p>
      <w:pPr>
        <w:ind w:left="336" w:right="3699" w:hanging="336"/>
        <w:spacing w:after="0" w:line="242" w:lineRule="auto"/>
        <w:tabs>
          <w:tab w:leader="none" w:pos="336"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income tax adjustments reflect the income tax effects calculated at the statutory tax rate in effect during the period presented. The effective income tax rate on a pro forma basis is adversely affected by amortization of excess acquisition costs, which are assumed to be not deductible for tax purposes.</w:t>
      </w:r>
    </w:p>
    <w:p>
      <w:pPr>
        <w:spacing w:after="0" w:line="165" w:lineRule="exact"/>
        <w:rPr>
          <w:rFonts w:ascii="Courier New" w:cs="Courier New" w:eastAsia="Courier New" w:hAnsi="Courier New"/>
          <w:sz w:val="14"/>
          <w:szCs w:val="14"/>
          <w:color w:val="auto"/>
        </w:rPr>
      </w:pPr>
    </w:p>
    <w:p>
      <w:pPr>
        <w:ind w:left="336" w:right="3879" w:hanging="336"/>
        <w:spacing w:after="0" w:line="239" w:lineRule="auto"/>
        <w:tabs>
          <w:tab w:leader="none" w:pos="336"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transactions were immaterial in each of the statements presented.</w:t>
      </w:r>
    </w:p>
    <w:p>
      <w:pPr>
        <w:spacing w:after="0" w:line="167" w:lineRule="exact"/>
        <w:rPr>
          <w:sz w:val="20"/>
          <w:szCs w:val="20"/>
          <w:color w:val="auto"/>
        </w:rPr>
      </w:pPr>
    </w:p>
    <w:p>
      <w:pPr>
        <w:ind w:left="-424" w:right="3699" w:firstLine="424"/>
        <w:spacing w:after="0" w:line="239" w:lineRule="auto"/>
        <w:tabs>
          <w:tab w:leader="none" w:pos="32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 forma adjustments related to the Blockbuster Merger reflect the following:</w:t>
      </w:r>
    </w:p>
    <w:p>
      <w:pPr>
        <w:spacing w:after="0" w:line="167" w:lineRule="exact"/>
        <w:rPr>
          <w:sz w:val="20"/>
          <w:szCs w:val="20"/>
          <w:color w:val="auto"/>
        </w:rPr>
      </w:pPr>
    </w:p>
    <w:p>
      <w:pPr>
        <w:ind w:left="336" w:right="3619" w:hanging="336"/>
        <w:spacing w:after="0" w:line="242" w:lineRule="auto"/>
        <w:tabs>
          <w:tab w:leader="none" w:pos="33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 of the historical presentation of depreciation and amortization of $410.7 million for the year ended December 31, 1993 to conform the presentations of Viacom and Blockbuster financial statements.</w:t>
      </w:r>
    </w:p>
    <w:p>
      <w:pPr>
        <w:spacing w:after="0" w:line="164" w:lineRule="exact"/>
        <w:rPr>
          <w:rFonts w:ascii="Courier New" w:cs="Courier New" w:eastAsia="Courier New" w:hAnsi="Courier New"/>
          <w:sz w:val="14"/>
          <w:szCs w:val="14"/>
          <w:color w:val="auto"/>
        </w:rPr>
      </w:pPr>
    </w:p>
    <w:p>
      <w:pPr>
        <w:jc w:val="both"/>
        <w:ind w:left="336" w:right="3699" w:hanging="336"/>
        <w:spacing w:after="0" w:line="241" w:lineRule="auto"/>
        <w:tabs>
          <w:tab w:leader="none" w:pos="33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amortization expense of $91 million for the year ended December 31, 1993, resulting from an increase in intangible assets of approximately $3.6 billion amortized over 40 years.</w:t>
      </w:r>
    </w:p>
    <w:p>
      <w:pPr>
        <w:spacing w:after="0" w:line="165" w:lineRule="exact"/>
        <w:rPr>
          <w:rFonts w:ascii="Courier New" w:cs="Courier New" w:eastAsia="Courier New" w:hAnsi="Courier New"/>
          <w:sz w:val="14"/>
          <w:szCs w:val="14"/>
          <w:color w:val="auto"/>
        </w:rPr>
      </w:pPr>
    </w:p>
    <w:p>
      <w:pPr>
        <w:ind w:left="336" w:right="3619" w:hanging="336"/>
        <w:spacing w:after="0" w:line="241" w:lineRule="auto"/>
        <w:tabs>
          <w:tab w:leader="none" w:pos="33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Eliminates the 5% cumulative annual dividend on the $600 million intercompany Series A Preferred Stock investment by Blockbuster in the amount of $30.0 million for the year ended December 31, 1993.</w:t>
      </w:r>
    </w:p>
    <w:p>
      <w:pPr>
        <w:spacing w:after="0" w:line="165" w:lineRule="exact"/>
        <w:rPr>
          <w:rFonts w:ascii="Courier New" w:cs="Courier New" w:eastAsia="Courier New" w:hAnsi="Courier New"/>
          <w:sz w:val="14"/>
          <w:szCs w:val="14"/>
          <w:color w:val="auto"/>
        </w:rPr>
      </w:pPr>
    </w:p>
    <w:p>
      <w:pPr>
        <w:ind w:left="336" w:right="3699" w:hanging="336"/>
        <w:spacing w:after="0" w:line="242" w:lineRule="auto"/>
        <w:tabs>
          <w:tab w:leader="none" w:pos="33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income tax effects of certain pro forma adjustments calculated at the statutory tax rate in effect during the period presented. The effective income tax rate on a pro forma basis is adversely affected by amortization of excess acquisition costs, which are assumed to be not deductible for tax purposes.</w:t>
      </w:r>
    </w:p>
    <w:p>
      <w:pPr>
        <w:spacing w:after="0" w:line="165" w:lineRule="exact"/>
        <w:rPr>
          <w:rFonts w:ascii="Courier New" w:cs="Courier New" w:eastAsia="Courier New" w:hAnsi="Courier New"/>
          <w:sz w:val="14"/>
          <w:szCs w:val="14"/>
          <w:color w:val="auto"/>
        </w:rPr>
      </w:pPr>
    </w:p>
    <w:p>
      <w:pPr>
        <w:ind w:left="336" w:right="3879" w:hanging="336"/>
        <w:spacing w:after="0" w:line="239" w:lineRule="auto"/>
        <w:tabs>
          <w:tab w:leader="none" w:pos="33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transactions were immaterial in each of the statements presented.</w:t>
      </w:r>
    </w:p>
    <w:p>
      <w:pPr>
        <w:spacing w:after="0" w:line="167" w:lineRule="exact"/>
        <w:rPr>
          <w:sz w:val="20"/>
          <w:szCs w:val="20"/>
          <w:color w:val="auto"/>
        </w:rPr>
      </w:pPr>
    </w:p>
    <w:p>
      <w:pPr>
        <w:ind w:left="-424" w:right="3699" w:firstLine="424"/>
        <w:spacing w:after="0" w:line="241" w:lineRule="auto"/>
        <w:tabs>
          <w:tab w:leader="none" w:pos="32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items, net, of Viacom for the year ended December 31, 1993 reflects a net gain of $61.8 million due to the sale of the Viacom Cablevision of Wisconsin, Inc. system and other non-recurring transactions.</w:t>
      </w:r>
    </w:p>
    <w:p>
      <w:pPr>
        <w:spacing w:after="0" w:line="165" w:lineRule="exact"/>
        <w:rPr>
          <w:rFonts w:ascii="Courier New" w:cs="Courier New" w:eastAsia="Courier New" w:hAnsi="Courier New"/>
          <w:sz w:val="14"/>
          <w:szCs w:val="14"/>
          <w:color w:val="auto"/>
        </w:rPr>
      </w:pPr>
    </w:p>
    <w:p>
      <w:pPr>
        <w:ind w:left="-424" w:right="3539" w:firstLine="424"/>
        <w:spacing w:after="0" w:line="242" w:lineRule="auto"/>
        <w:tabs>
          <w:tab w:leader="none" w:pos="32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operating losses at USA Networks, Paramount's 50%-owned cable networks, due largely to a $78 million pre-tax charge, the majority of which was recorded in December 1993, to adjust the carrying value of certain broadcast rights to net realizable value because of the under performance of certain series programming of which Paramount recorded its share.</w:t>
      </w:r>
    </w:p>
    <w:p>
      <w:pPr>
        <w:spacing w:after="0" w:line="165" w:lineRule="exact"/>
        <w:rPr>
          <w:rFonts w:ascii="Courier New" w:cs="Courier New" w:eastAsia="Courier New" w:hAnsi="Courier New"/>
          <w:sz w:val="14"/>
          <w:szCs w:val="14"/>
          <w:color w:val="auto"/>
        </w:rPr>
      </w:pPr>
    </w:p>
    <w:p>
      <w:pPr>
        <w:ind w:left="-424" w:right="3539" w:firstLine="424"/>
        <w:spacing w:after="0" w:line="243" w:lineRule="auto"/>
        <w:tabs>
          <w:tab w:leader="none" w:pos="32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primary earnings per common share is calculated based on the weighted average number of shares of Viacom Common Stock outstanding, the number of shares of Viacom Common Stock to be issued in connection with the Paramount Merger and Blockbuster Merger and respective common share equivalents as if these transactions occurred at the beginning of the period presented. Common share equivalents would have an antidilutive effect on Viacom/Paramount earnings per common share and therefore are not included in the calculation of Viacom/Paramount primary earnings per common share. Conversion of the Series B Preferred Stock would have an antidilutive effect on earnings per common share and therefore fully diluted earnings per common share is not presented.</w:t>
      </w:r>
    </w:p>
    <w:p>
      <w:pPr>
        <w:spacing w:after="0" w:line="162"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9815"/>
          </w:cols>
          <w:pgMar w:left="644" w:top="603" w:right="1440" w:bottom="1440" w:gutter="0" w:footer="0" w:header="0"/>
        </w:sectPr>
      </w:pPr>
    </w:p>
    <w:bookmarkStart w:id="138" w:name="page139"/>
    <w:bookmarkEnd w:id="138"/>
    <w:p>
      <w:pPr>
        <w:ind w:left="680" w:right="4299" w:firstLine="586"/>
        <w:spacing w:after="0" w:line="276" w:lineRule="auto"/>
        <w:rPr>
          <w:sz w:val="20"/>
          <w:szCs w:val="20"/>
          <w:color w:val="auto"/>
        </w:rPr>
      </w:pPr>
      <w:r>
        <w:rPr>
          <w:rFonts w:ascii="Courier New" w:cs="Courier New" w:eastAsia="Courier New" w:hAnsi="Courier New"/>
          <w:sz w:val="13"/>
          <w:szCs w:val="13"/>
          <w:color w:val="auto"/>
        </w:rPr>
        <w:t>PARAMOUNT, MACMILLAN AND OTHER BUSINESSES ACQUIRED UNAUDITED PRO FORMA CONDENSED CONSOLIDATED FINANCIAL STATEMENTS</w:t>
      </w:r>
    </w:p>
    <w:p>
      <w:pPr>
        <w:spacing w:after="0" w:line="144" w:lineRule="exact"/>
        <w:rPr>
          <w:sz w:val="20"/>
          <w:szCs w:val="20"/>
          <w:color w:val="auto"/>
        </w:rPr>
      </w:pPr>
    </w:p>
    <w:p>
      <w:pPr>
        <w:jc w:val="both"/>
        <w:ind w:right="3619"/>
        <w:spacing w:after="0" w:line="262" w:lineRule="auto"/>
        <w:rPr>
          <w:sz w:val="20"/>
          <w:szCs w:val="20"/>
          <w:color w:val="auto"/>
        </w:rPr>
      </w:pPr>
      <w:r>
        <w:rPr>
          <w:rFonts w:ascii="Courier New" w:cs="Courier New" w:eastAsia="Courier New" w:hAnsi="Courier New"/>
          <w:sz w:val="13"/>
          <w:szCs w:val="13"/>
          <w:color w:val="auto"/>
        </w:rPr>
        <w:t>The following unaudited pro forma Paramount condensed consolidated statement of operations and balance sheet for the twelve months ended or at January 31, 1994 give effect, on a purchase accounting basis, to the acquisition of Macmillan.</w:t>
      </w:r>
    </w:p>
    <w:p>
      <w:pPr>
        <w:ind w:right="3539"/>
        <w:spacing w:after="0" w:line="242" w:lineRule="auto"/>
        <w:rPr>
          <w:sz w:val="20"/>
          <w:szCs w:val="20"/>
          <w:color w:val="auto"/>
        </w:rPr>
      </w:pPr>
      <w:r>
        <w:rPr>
          <w:rFonts w:ascii="Courier New" w:cs="Courier New" w:eastAsia="Courier New" w:hAnsi="Courier New"/>
          <w:sz w:val="14"/>
          <w:szCs w:val="14"/>
          <w:color w:val="auto"/>
        </w:rPr>
        <w:t>The unaudited pro forma condensed consolidated statement of operations also includes the acquisitions of television station WKBD-TV in Detroit ("WKBD") in September 1993 and the remaining 80% interest in Paramount Canada's Wonderland ("PCW") theme park in May 1993. The acquisitions of WKBD and PCW are included in the applicable unaudited pro forma condensed consolidated statement of operations in "Other Businesses Acquired and Pro Forma Adjustments."</w:t>
      </w:r>
    </w:p>
    <w:p>
      <w:pPr>
        <w:spacing w:after="0" w:line="167"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The unaudited pro forma Paramount condensed consolidated statement of operations and balance sheet for the twelve months ended or at January 31, 1994 include the unaudited historical consolidated statement of operations and balance sheet information of Paramount for the twelve months ended or at January 31, 1994 and of Macmillan for the twelve months ended or at December 31, 1993. The unaudited pro forma condensed consolidated statement of operations also includes the historical statement of operations of WKBD for the seven months ended August 31, 1993; and of PCW for the three months ended April 30, 1993. Financial information of WKBD and PCW subsequent to their acquisitions are included in Paramount's historical financial statements. Macmillan's fiscal year-end was March 31, PCW's fiscal year-end was February 28, and WKBD's fiscal year-end was December 31; their pro forma periods described above have been derived by accumulating monthly and quarterly financial information for the respective entities.</w:t>
      </w:r>
    </w:p>
    <w:p>
      <w:pPr>
        <w:spacing w:after="0" w:line="165" w:lineRule="exact"/>
        <w:rPr>
          <w:sz w:val="20"/>
          <w:szCs w:val="20"/>
          <w:color w:val="auto"/>
        </w:rPr>
      </w:pPr>
    </w:p>
    <w:p>
      <w:pPr>
        <w:ind w:right="3799"/>
        <w:spacing w:after="0" w:line="242" w:lineRule="auto"/>
        <w:rPr>
          <w:sz w:val="20"/>
          <w:szCs w:val="20"/>
          <w:color w:val="auto"/>
        </w:rPr>
      </w:pPr>
      <w:r>
        <w:rPr>
          <w:rFonts w:ascii="Courier New" w:cs="Courier New" w:eastAsia="Courier New" w:hAnsi="Courier New"/>
          <w:sz w:val="14"/>
          <w:szCs w:val="14"/>
          <w:color w:val="auto"/>
        </w:rPr>
        <w:t>The unaudited pro forma Paramount condensed consolidated financial statements are not necessarily indicative of the results or financial position which actually would have occurred if the acquisitions had been in effect since February 1, 1993, nor are they necessarily indicative of future results or financial position.</w:t>
      </w:r>
    </w:p>
    <w:p>
      <w:pPr>
        <w:spacing w:after="0" w:line="166"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3"/>
          <w:szCs w:val="13"/>
          <w:color w:val="auto"/>
        </w:rPr>
        <w:t>Adjustments have been made to reflect the acquisitions, on a purchase accounting basis, as if such transactions had taken place on January 31, 1994, for the purpose of presenting the unaudited pro forma Paramount condensed consolidated balance sheet, and February 1, 1993, for the purpose of presenting the unaudited pro forma Paramount condensed consolidated statement of operations.</w:t>
      </w:r>
    </w:p>
    <w:p>
      <w:pPr>
        <w:spacing w:after="0" w:line="15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39"/>
          </w:cols>
          <w:pgMar w:left="220" w:top="603" w:right="1440" w:bottom="1440" w:gutter="0" w:footer="0" w:header="0"/>
        </w:sectPr>
      </w:pPr>
    </w:p>
    <w:bookmarkStart w:id="139" w:name="page140"/>
    <w:bookmarkEnd w:id="139"/>
    <w:p>
      <w:pPr>
        <w:jc w:val="center"/>
        <w:ind w:right="3619"/>
        <w:spacing w:after="0"/>
        <w:rPr>
          <w:sz w:val="20"/>
          <w:szCs w:val="20"/>
          <w:color w:val="auto"/>
        </w:rPr>
      </w:pPr>
      <w:r>
        <w:rPr>
          <w:rFonts w:ascii="Courier New" w:cs="Courier New" w:eastAsia="Courier New" w:hAnsi="Courier New"/>
          <w:sz w:val="14"/>
          <w:szCs w:val="14"/>
          <w:color w:val="auto"/>
        </w:rPr>
        <w:t>PARAMOUNT AND MACMILLAN</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UNAUDITED PRO FORMA CONDENSED CONSOLIDATED BALANCE SHEET</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AT JANUARY 31, 1994</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MACMILLAN</w:t>
            </w:r>
          </w:p>
        </w:tc>
        <w:tc>
          <w:tcPr>
            <w:tcW w:w="960" w:type="dxa"/>
            <w:vAlign w:val="bottom"/>
          </w:tcPr>
          <w:p>
            <w:pPr>
              <w:spacing w:after="0"/>
              <w:rPr>
                <w:sz w:val="13"/>
                <w:szCs w:val="13"/>
                <w:color w:val="auto"/>
              </w:rPr>
            </w:pPr>
          </w:p>
        </w:tc>
      </w:tr>
      <w:tr>
        <w:trPr>
          <w:trHeight w:val="161"/>
        </w:trPr>
        <w:tc>
          <w:tcPr>
            <w:tcW w:w="6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w:t>
            </w:r>
          </w:p>
        </w:tc>
        <w:tc>
          <w:tcPr>
            <w:tcW w:w="960" w:type="dxa"/>
            <w:vAlign w:val="bottom"/>
          </w:tcPr>
          <w:p>
            <w:pPr>
              <w:spacing w:after="0"/>
              <w:rPr>
                <w:sz w:val="13"/>
                <w:szCs w:val="13"/>
                <w:color w:val="auto"/>
              </w:rPr>
            </w:pPr>
          </w:p>
        </w:tc>
      </w:tr>
      <w:tr>
        <w:trPr>
          <w:trHeight w:val="161"/>
        </w:trPr>
        <w:tc>
          <w:tcPr>
            <w:tcW w:w="6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PRO FORMA</w:t>
            </w:r>
          </w:p>
        </w:tc>
        <w:tc>
          <w:tcPr>
            <w:tcW w:w="960" w:type="dxa"/>
            <w:vAlign w:val="bottom"/>
          </w:tcPr>
          <w:p>
            <w:pPr>
              <w:spacing w:after="0"/>
              <w:rPr>
                <w:sz w:val="13"/>
                <w:szCs w:val="13"/>
                <w:color w:val="auto"/>
              </w:rPr>
            </w:pPr>
          </w:p>
        </w:tc>
      </w:tr>
      <w:tr>
        <w:trPr>
          <w:trHeight w:val="161"/>
        </w:trPr>
        <w:tc>
          <w:tcPr>
            <w:tcW w:w="6280" w:type="dxa"/>
            <w:vAlign w:val="bottom"/>
          </w:tcPr>
          <w:p>
            <w:pPr>
              <w:spacing w:after="0"/>
              <w:rPr>
                <w:sz w:val="13"/>
                <w:szCs w:val="13"/>
                <w:color w:val="auto"/>
              </w:rPr>
            </w:pP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PARAMOUNT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ADJUSTMENTS(1)</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PRO FORMA</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6280" w:type="dxa"/>
            <w:vAlign w:val="bottom"/>
          </w:tcPr>
          <w:p>
            <w:pPr>
              <w:ind w:left="340"/>
              <w:spacing w:after="0"/>
              <w:rPr>
                <w:sz w:val="20"/>
                <w:szCs w:val="20"/>
                <w:color w:val="auto"/>
              </w:rPr>
            </w:pPr>
            <w:r>
              <w:rPr>
                <w:rFonts w:ascii="Courier New" w:cs="Courier New" w:eastAsia="Courier New" w:hAnsi="Courier New"/>
                <w:sz w:val="14"/>
                <w:szCs w:val="14"/>
                <w:color w:val="auto"/>
              </w:rPr>
              <w:t>ASSETS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Current assets............................................................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$ 3,181.1</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30"/>
              <w:spacing w:after="0"/>
              <w:rPr>
                <w:sz w:val="20"/>
                <w:szCs w:val="20"/>
                <w:color w:val="auto"/>
              </w:rPr>
            </w:pPr>
            <w:r>
              <w:rPr>
                <w:rFonts w:ascii="Courier New" w:cs="Courier New" w:eastAsia="Courier New" w:hAnsi="Courier New"/>
                <w:sz w:val="14"/>
                <w:szCs w:val="14"/>
                <w:color w:val="auto"/>
              </w:rPr>
              <w:t>(429.4)</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$ 2,751.7</w:t>
            </w: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Property and equipment, net...............................................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1,209.3</w:t>
            </w:r>
          </w:p>
        </w:tc>
        <w:tc>
          <w:tcPr>
            <w:tcW w:w="420" w:type="dxa"/>
            <w:vAlign w:val="bottom"/>
          </w:tcPr>
          <w:p>
            <w:pPr>
              <w:spacing w:after="0"/>
              <w:rPr>
                <w:sz w:val="13"/>
                <w:szCs w:val="13"/>
                <w:color w:val="auto"/>
              </w:rPr>
            </w:pPr>
          </w:p>
        </w:tc>
        <w:tc>
          <w:tcPr>
            <w:tcW w:w="88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30.6</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1,239.9</w:t>
            </w: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Intangible assets, at amortized cost......................................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1,567.9</w:t>
            </w:r>
          </w:p>
        </w:tc>
        <w:tc>
          <w:tcPr>
            <w:tcW w:w="420" w:type="dxa"/>
            <w:vAlign w:val="bottom"/>
          </w:tcPr>
          <w:p>
            <w:pPr>
              <w:spacing w:after="0"/>
              <w:rPr>
                <w:sz w:val="13"/>
                <w:szCs w:val="13"/>
                <w:color w:val="auto"/>
              </w:rPr>
            </w:pPr>
          </w:p>
        </w:tc>
        <w:tc>
          <w:tcPr>
            <w:tcW w:w="88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408.7</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1,976.6</w:t>
            </w: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Other assets..............................................................</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1,458.5</w:t>
            </w:r>
          </w:p>
        </w:tc>
        <w:tc>
          <w:tcPr>
            <w:tcW w:w="420" w:type="dxa"/>
            <w:vAlign w:val="bottom"/>
          </w:tcPr>
          <w:p>
            <w:pPr>
              <w:spacing w:after="0"/>
              <w:rPr>
                <w:sz w:val="13"/>
                <w:szCs w:val="13"/>
                <w:color w:val="auto"/>
              </w:rPr>
            </w:pPr>
          </w:p>
        </w:tc>
        <w:tc>
          <w:tcPr>
            <w:tcW w:w="88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54.0</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1,512.5</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$ 7,416.8</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63.9</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$ 7,480.7</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280" w:type="dxa"/>
            <w:vAlign w:val="bottom"/>
          </w:tcPr>
          <w:p>
            <w:pPr>
              <w:ind w:left="340"/>
              <w:spacing w:after="0"/>
              <w:rPr>
                <w:sz w:val="20"/>
                <w:szCs w:val="20"/>
                <w:color w:val="auto"/>
              </w:rPr>
            </w:pPr>
            <w:r>
              <w:rPr>
                <w:rFonts w:ascii="Courier New" w:cs="Courier New" w:eastAsia="Courier New" w:hAnsi="Courier New"/>
                <w:sz w:val="14"/>
                <w:szCs w:val="14"/>
                <w:color w:val="auto"/>
              </w:rPr>
              <w:t>LIABILITIES AND STOCKHOLDERS' EQUITY</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Current liabilities.......................................................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$ 1,429.9</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63.9</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$ 1,493.8</w:t>
            </w: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Long-term debt............................................................</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1,000.3</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1,000.3</w:t>
            </w: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Other liabilities.........................................................</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799.8</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799.8</w:t>
            </w:r>
          </w:p>
        </w:tc>
      </w:tr>
      <w:tr>
        <w:trPr>
          <w:trHeight w:val="161"/>
        </w:trPr>
        <w:tc>
          <w:tcPr>
            <w:tcW w:w="6280" w:type="dxa"/>
            <w:vAlign w:val="bottom"/>
          </w:tcPr>
          <w:p>
            <w:pPr>
              <w:jc w:val="right"/>
              <w:ind w:right="4450"/>
              <w:spacing w:after="0"/>
              <w:rPr>
                <w:sz w:val="20"/>
                <w:szCs w:val="20"/>
                <w:color w:val="auto"/>
              </w:rPr>
            </w:pPr>
            <w:r>
              <w:rPr>
                <w:rFonts w:ascii="Courier New" w:cs="Courier New" w:eastAsia="Courier New" w:hAnsi="Courier New"/>
                <w:sz w:val="14"/>
                <w:szCs w:val="14"/>
                <w:color w:val="auto"/>
                <w:w w:val="98"/>
              </w:rPr>
              <w:t>Stockholders' equity:</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Common..................................................................</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4,186.8</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4,186.8</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2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Total stockholders' equity............................................</w:t>
            </w:r>
          </w:p>
        </w:tc>
        <w:tc>
          <w:tcPr>
            <w:tcW w:w="10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4,186.8</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4,186.8</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$ 7,416.8</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63.9</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$ 7,480.7</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39"/>
          </w:cols>
          <w:pgMar w:left="220" w:top="600" w:right="1440" w:bottom="1440" w:gutter="0" w:footer="0" w:header="0"/>
        </w:sectPr>
      </w:pPr>
    </w:p>
    <w:bookmarkStart w:id="140" w:name="page141"/>
    <w:bookmarkEnd w:id="140"/>
    <w:p>
      <w:pPr>
        <w:jc w:val="center"/>
        <w:ind w:right="3820"/>
        <w:spacing w:after="0" w:line="242" w:lineRule="auto"/>
        <w:rPr>
          <w:sz w:val="20"/>
          <w:szCs w:val="20"/>
          <w:color w:val="auto"/>
        </w:rPr>
      </w:pPr>
      <w:r>
        <w:rPr>
          <w:rFonts w:ascii="Courier New" w:cs="Courier New" w:eastAsia="Courier New" w:hAnsi="Courier New"/>
          <w:sz w:val="14"/>
          <w:szCs w:val="14"/>
          <w:color w:val="auto"/>
        </w:rPr>
        <w:t>PARAMOUNT, MACMILLAN AND OTHER BUSINESSES ACQUIRED UNAUDITED PRO FORMA CONDENSED CONSOLIDATED STATEMENT OF OPERATIONS FOR THE TWELVE MONTHS ENDED JANUARY 31, 1994 (IN MILLIONS, EXCEPT PER SHARE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HISTORICAL</w:t>
            </w: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MACMILLAN</w:t>
            </w:r>
          </w:p>
        </w:tc>
        <w:tc>
          <w:tcPr>
            <w:tcW w:w="142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BUSINESSES</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center"/>
              <w:ind w:right="510"/>
              <w:spacing w:after="0"/>
              <w:rPr>
                <w:sz w:val="20"/>
                <w:szCs w:val="20"/>
                <w:color w:val="auto"/>
              </w:rPr>
            </w:pPr>
            <w:r>
              <w:rPr>
                <w:rFonts w:ascii="Courier New" w:cs="Courier New" w:eastAsia="Courier New" w:hAnsi="Courier New"/>
                <w:sz w:val="14"/>
                <w:szCs w:val="14"/>
                <w:color w:val="auto"/>
              </w:rPr>
              <w:t>NINE</w:t>
            </w:r>
          </w:p>
        </w:tc>
        <w:tc>
          <w:tcPr>
            <w:tcW w:w="380" w:type="dxa"/>
            <w:vAlign w:val="bottom"/>
          </w:tcPr>
          <w:p>
            <w:pPr>
              <w:spacing w:after="0"/>
              <w:rPr>
                <w:sz w:val="13"/>
                <w:szCs w:val="13"/>
                <w:color w:val="auto"/>
              </w:rPr>
            </w:pPr>
          </w:p>
        </w:tc>
        <w:tc>
          <w:tcPr>
            <w:tcW w:w="96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THREE</w:t>
            </w:r>
          </w:p>
        </w:tc>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w:t>
            </w:r>
          </w:p>
        </w:tc>
        <w:tc>
          <w:tcPr>
            <w:tcW w:w="1420" w:type="dxa"/>
            <w:vAlign w:val="bottom"/>
            <w:gridSpan w:val="2"/>
          </w:tcPr>
          <w:p>
            <w:pPr>
              <w:jc w:val="right"/>
              <w:ind w:right="170"/>
              <w:spacing w:after="0"/>
              <w:rPr>
                <w:sz w:val="20"/>
                <w:szCs w:val="20"/>
                <w:color w:val="auto"/>
              </w:rPr>
            </w:pPr>
            <w:r>
              <w:rPr>
                <w:rFonts w:ascii="Courier New" w:cs="Courier New" w:eastAsia="Courier New" w:hAnsi="Courier New"/>
                <w:sz w:val="14"/>
                <w:szCs w:val="14"/>
                <w:color w:val="auto"/>
              </w:rPr>
              <w:t>ACQUIRED AND</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MONTHS ENDED</w:t>
            </w:r>
          </w:p>
        </w:tc>
        <w:tc>
          <w:tcPr>
            <w:tcW w:w="134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MONTHS ENDED</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PRO FORMA</w:t>
            </w:r>
          </w:p>
        </w:tc>
        <w:tc>
          <w:tcPr>
            <w:tcW w:w="1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JANUARY 31, 1994</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APRIL 30, 1993</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ADJUSTMENTS(2)</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ADJUSTMENTS(2)</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322"/>
        </w:trPr>
        <w:tc>
          <w:tcPr>
            <w:tcW w:w="39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3,757.0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954.4</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287.7</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24.9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5,024.0</w:t>
            </w:r>
          </w:p>
        </w:tc>
      </w:tr>
      <w:tr>
        <w:trPr>
          <w:trHeight w:val="161"/>
        </w:trPr>
        <w:tc>
          <w:tcPr>
            <w:tcW w:w="39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Operating...................................</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2,499.1</w:t>
            </w:r>
          </w:p>
        </w:tc>
        <w:tc>
          <w:tcPr>
            <w:tcW w:w="38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628.3</w:t>
            </w:r>
          </w:p>
        </w:tc>
        <w:tc>
          <w:tcPr>
            <w:tcW w:w="50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167.0</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21.3</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3,315.7</w:t>
            </w:r>
          </w:p>
        </w:tc>
      </w:tr>
      <w:tr>
        <w:trPr>
          <w:trHeight w:val="161"/>
        </w:trPr>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administrative...........................</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835.4</w:t>
            </w:r>
          </w:p>
        </w:tc>
        <w:tc>
          <w:tcPr>
            <w:tcW w:w="38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315.8</w:t>
            </w:r>
          </w:p>
        </w:tc>
        <w:tc>
          <w:tcPr>
            <w:tcW w:w="50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92.5</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1,243.7</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Depreciation and amortization...............</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124.5</w:t>
            </w:r>
          </w:p>
        </w:tc>
        <w:tc>
          <w:tcPr>
            <w:tcW w:w="38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22.2</w:t>
            </w:r>
          </w:p>
        </w:tc>
        <w:tc>
          <w:tcPr>
            <w:tcW w:w="50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13.7</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162.5</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Total expenses.........................</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w w:val="95"/>
              </w:rPr>
              <w:t>3,459.0</w:t>
            </w:r>
          </w:p>
        </w:tc>
        <w:tc>
          <w:tcPr>
            <w:tcW w:w="38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966.3</w:t>
            </w:r>
          </w:p>
        </w:tc>
        <w:tc>
          <w:tcPr>
            <w:tcW w:w="50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273.2</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23.4</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4,721.9</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Earnings (loss) from operations...............</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298.0</w:t>
            </w:r>
          </w:p>
        </w:tc>
        <w:tc>
          <w:tcPr>
            <w:tcW w:w="380" w:type="dxa"/>
            <w:vAlign w:val="bottom"/>
          </w:tcPr>
          <w:p>
            <w:pPr>
              <w:spacing w:after="0"/>
              <w:rPr>
                <w:sz w:val="13"/>
                <w:szCs w:val="13"/>
                <w:color w:val="auto"/>
              </w:rPr>
            </w:pP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(11.9)</w:t>
            </w:r>
          </w:p>
        </w:tc>
        <w:tc>
          <w:tcPr>
            <w:tcW w:w="50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14.5</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302.1</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Interest expense............................</w:t>
            </w:r>
          </w:p>
        </w:tc>
        <w:tc>
          <w:tcPr>
            <w:tcW w:w="580" w:type="dxa"/>
            <w:vAlign w:val="bottom"/>
          </w:tcPr>
          <w:p>
            <w:pPr>
              <w:spacing w:after="0"/>
              <w:rPr>
                <w:sz w:val="13"/>
                <w:szCs w:val="13"/>
                <w:color w:val="auto"/>
              </w:rPr>
            </w:pPr>
          </w:p>
        </w:tc>
        <w:tc>
          <w:tcPr>
            <w:tcW w:w="9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(70.6)</w:t>
            </w:r>
          </w:p>
        </w:tc>
        <w:tc>
          <w:tcPr>
            <w:tcW w:w="380" w:type="dxa"/>
            <w:vAlign w:val="bottom"/>
          </w:tcPr>
          <w:p>
            <w:pPr>
              <w:spacing w:after="0"/>
              <w:rPr>
                <w:sz w:val="13"/>
                <w:szCs w:val="13"/>
                <w:color w:val="auto"/>
              </w:rPr>
            </w:pP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(23.7)</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(94.3)</w:t>
            </w:r>
          </w:p>
        </w:tc>
      </w:tr>
      <w:tr>
        <w:trPr>
          <w:trHeight w:val="161"/>
        </w:trPr>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Interest and other investment</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income...................................</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53.1</w:t>
            </w:r>
          </w:p>
        </w:tc>
        <w:tc>
          <w:tcPr>
            <w:tcW w:w="38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22.2</w:t>
            </w:r>
          </w:p>
        </w:tc>
        <w:tc>
          <w:tcPr>
            <w:tcW w:w="50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(26.8)</w:t>
            </w:r>
          </w:p>
        </w:tc>
        <w:tc>
          <w:tcPr>
            <w:tcW w:w="46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43.5</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Other items, net............................</w:t>
            </w:r>
          </w:p>
        </w:tc>
        <w:tc>
          <w:tcPr>
            <w:tcW w:w="580" w:type="dxa"/>
            <w:vAlign w:val="bottom"/>
          </w:tcPr>
          <w:p>
            <w:pPr>
              <w:spacing w:after="0"/>
              <w:rPr>
                <w:sz w:val="13"/>
                <w:szCs w:val="13"/>
                <w:color w:val="auto"/>
              </w:rPr>
            </w:pPr>
          </w:p>
        </w:tc>
        <w:tc>
          <w:tcPr>
            <w:tcW w:w="9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(2.7)</w:t>
            </w:r>
          </w:p>
        </w:tc>
        <w:tc>
          <w:tcPr>
            <w:tcW w:w="380" w:type="dxa"/>
            <w:vAlign w:val="bottom"/>
          </w:tcPr>
          <w:p>
            <w:pPr>
              <w:spacing w:after="0"/>
              <w:rPr>
                <w:sz w:val="13"/>
                <w:szCs w:val="13"/>
                <w:color w:val="auto"/>
              </w:rPr>
            </w:pP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(2.2)</w:t>
            </w:r>
          </w:p>
        </w:tc>
        <w:tc>
          <w:tcPr>
            <w:tcW w:w="50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(2.6)</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0.1</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Total other expense....................</w:t>
            </w:r>
          </w:p>
        </w:tc>
        <w:tc>
          <w:tcPr>
            <w:tcW w:w="580" w:type="dxa"/>
            <w:vAlign w:val="bottom"/>
          </w:tcPr>
          <w:p>
            <w:pPr>
              <w:spacing w:after="0"/>
              <w:rPr>
                <w:sz w:val="13"/>
                <w:szCs w:val="13"/>
                <w:color w:val="auto"/>
              </w:rPr>
            </w:pPr>
          </w:p>
        </w:tc>
        <w:tc>
          <w:tcPr>
            <w:tcW w:w="9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(20.2)</w:t>
            </w:r>
          </w:p>
        </w:tc>
        <w:tc>
          <w:tcPr>
            <w:tcW w:w="380" w:type="dxa"/>
            <w:vAlign w:val="bottom"/>
          </w:tcPr>
          <w:p>
            <w:pPr>
              <w:spacing w:after="0"/>
              <w:rPr>
                <w:sz w:val="13"/>
                <w:szCs w:val="13"/>
                <w:color w:val="auto"/>
              </w:rPr>
            </w:pP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(3.7)</w:t>
            </w:r>
          </w:p>
        </w:tc>
        <w:tc>
          <w:tcPr>
            <w:tcW w:w="50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(29.4)</w:t>
            </w:r>
          </w:p>
        </w:tc>
        <w:tc>
          <w:tcPr>
            <w:tcW w:w="46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(4.9)</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(58.2)</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Earnings (loss) before income taxes...........</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277.8</w:t>
            </w:r>
          </w:p>
        </w:tc>
        <w:tc>
          <w:tcPr>
            <w:tcW w:w="380" w:type="dxa"/>
            <w:vAlign w:val="bottom"/>
          </w:tcPr>
          <w:p>
            <w:pPr>
              <w:spacing w:after="0"/>
              <w:rPr>
                <w:sz w:val="13"/>
                <w:szCs w:val="13"/>
                <w:color w:val="auto"/>
              </w:rPr>
            </w:pP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(15.6)</w:t>
            </w:r>
          </w:p>
        </w:tc>
        <w:tc>
          <w:tcPr>
            <w:tcW w:w="50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(14.9)</w:t>
            </w:r>
          </w:p>
        </w:tc>
        <w:tc>
          <w:tcPr>
            <w:tcW w:w="46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243.9</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Provision (benefit) for income taxes..........</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97.2</w:t>
            </w:r>
          </w:p>
        </w:tc>
        <w:tc>
          <w:tcPr>
            <w:tcW w:w="380" w:type="dxa"/>
            <w:vAlign w:val="bottom"/>
          </w:tcPr>
          <w:p>
            <w:pPr>
              <w:spacing w:after="0"/>
              <w:rPr>
                <w:sz w:val="13"/>
                <w:szCs w:val="13"/>
                <w:color w:val="auto"/>
              </w:rPr>
            </w:pP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(6.4)</w:t>
            </w:r>
          </w:p>
        </w:tc>
        <w:tc>
          <w:tcPr>
            <w:tcW w:w="50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w:t>
            </w:r>
          </w:p>
        </w:tc>
        <w:tc>
          <w:tcPr>
            <w:tcW w:w="46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(0.7)</w:t>
            </w: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88.5</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Net earnings (loss)...........................</w:t>
            </w:r>
          </w:p>
        </w:tc>
        <w:tc>
          <w:tcPr>
            <w:tcW w:w="5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180.6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(9.2)</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(13.3)</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155.4</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3940" w:type="dxa"/>
            <w:vAlign w:val="bottom"/>
          </w:tcPr>
          <w:p>
            <w:pPr>
              <w:spacing w:after="0"/>
              <w:rPr>
                <w:sz w:val="20"/>
                <w:szCs w:val="20"/>
                <w:color w:val="auto"/>
              </w:rPr>
            </w:pPr>
            <w:r>
              <w:rPr>
                <w:rFonts w:ascii="Courier New" w:cs="Courier New" w:eastAsia="Courier New" w:hAnsi="Courier New"/>
                <w:sz w:val="14"/>
                <w:szCs w:val="14"/>
                <w:color w:val="auto"/>
              </w:rPr>
              <w:t>Weighted average number of</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common shares...............................</w:t>
            </w:r>
          </w:p>
        </w:tc>
        <w:tc>
          <w:tcPr>
            <w:tcW w:w="580" w:type="dxa"/>
            <w:vAlign w:val="bottom"/>
          </w:tcPr>
          <w:p>
            <w:pPr>
              <w:spacing w:after="0"/>
              <w:rPr>
                <w:sz w:val="13"/>
                <w:szCs w:val="13"/>
                <w:color w:val="auto"/>
              </w:rPr>
            </w:pP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120.3</w:t>
            </w:r>
          </w:p>
        </w:tc>
        <w:tc>
          <w:tcPr>
            <w:tcW w:w="38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118.8</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119.9</w:t>
            </w:r>
          </w:p>
        </w:tc>
      </w:tr>
      <w:tr>
        <w:trPr>
          <w:trHeight w:val="161"/>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earnings (loss) per common</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39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share.......................................</w:t>
            </w:r>
          </w:p>
        </w:tc>
        <w:tc>
          <w:tcPr>
            <w:tcW w:w="5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(0.08)</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1.30</w:t>
            </w:r>
          </w:p>
        </w:tc>
      </w:tr>
    </w:tbl>
    <w:p>
      <w:pPr>
        <w:spacing w:after="0" w:line="324"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540"/>
          </w:cols>
          <w:pgMar w:left="220" w:top="603" w:right="1139" w:bottom="1440" w:gutter="0" w:footer="0" w:header="0"/>
        </w:sectPr>
      </w:pPr>
    </w:p>
    <w:bookmarkStart w:id="141" w:name="page142"/>
    <w:bookmarkEnd w:id="141"/>
    <w:p>
      <w:pPr>
        <w:ind w:left="1260"/>
        <w:spacing w:after="0"/>
        <w:rPr>
          <w:sz w:val="20"/>
          <w:szCs w:val="20"/>
          <w:color w:val="auto"/>
        </w:rPr>
      </w:pPr>
      <w:r>
        <w:rPr>
          <w:rFonts w:ascii="Courier New" w:cs="Courier New" w:eastAsia="Courier New" w:hAnsi="Courier New"/>
          <w:sz w:val="14"/>
          <w:szCs w:val="14"/>
          <w:color w:val="auto"/>
        </w:rPr>
        <w:t>PARAMOUNT, MACMILLAN AND OTHER BUSINESSES ACQUIRED</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NOTES TO UNAUDITED PRO FORMA CONDENSED CONSOLIDATED</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right="3619" w:firstLine="6"/>
        <w:spacing w:after="0" w:line="239" w:lineRule="auto"/>
        <w:tabs>
          <w:tab w:leader="none" w:pos="33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PRO FORMA CONDENSED CONSOLIDATED PARAMOUNT BALANCE SHEET--JANUARY 31, 1994</w:t>
      </w:r>
    </w:p>
    <w:p>
      <w:pPr>
        <w:spacing w:after="0" w:line="167"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4"/>
          <w:szCs w:val="14"/>
          <w:color w:val="auto"/>
        </w:rPr>
        <w:t>Use of cash and cash equivalents and short-term investments for the purchase price for the Macmillan Acquisition of $552.8 million.</w:t>
      </w:r>
    </w:p>
    <w:p>
      <w:pPr>
        <w:spacing w:after="0" w:line="167" w:lineRule="exact"/>
        <w:rPr>
          <w:sz w:val="20"/>
          <w:szCs w:val="20"/>
          <w:color w:val="auto"/>
        </w:rPr>
      </w:pPr>
    </w:p>
    <w:p>
      <w:pPr>
        <w:ind w:right="3699"/>
        <w:spacing w:after="0" w:line="267" w:lineRule="auto"/>
        <w:rPr>
          <w:sz w:val="20"/>
          <w:szCs w:val="20"/>
          <w:color w:val="auto"/>
        </w:rPr>
      </w:pPr>
      <w:r>
        <w:rPr>
          <w:rFonts w:ascii="Courier New" w:cs="Courier New" w:eastAsia="Courier New" w:hAnsi="Courier New"/>
          <w:sz w:val="13"/>
          <w:szCs w:val="13"/>
          <w:color w:val="auto"/>
        </w:rPr>
        <w:t>Estimated excess purchase price of the Macmillan Acquisition of $408.7 million over the net assets acquired. Pending a further study of the estimated fair values of the assets and liabilities, any excess cost over the estimated value of the net assets acquired has been included in intangible assets.</w:t>
      </w:r>
    </w:p>
    <w:p>
      <w:pPr>
        <w:spacing w:after="0" w:line="149" w:lineRule="exact"/>
        <w:rPr>
          <w:sz w:val="20"/>
          <w:szCs w:val="20"/>
          <w:color w:val="auto"/>
        </w:rPr>
      </w:pPr>
    </w:p>
    <w:p>
      <w:pPr>
        <w:ind w:right="4459" w:firstLine="6"/>
        <w:spacing w:after="0" w:line="239" w:lineRule="auto"/>
        <w:tabs>
          <w:tab w:leader="none" w:pos="33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PRO FORMA CONDENSED CONSOLIDATED PARAMOUNT STATEMENT OF OPERATIONS--</w:t>
      </w:r>
    </w:p>
    <w:p>
      <w:pPr>
        <w:spacing w:after="0" w:line="3"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TWELVE MONTHS ENDED JANUARY 31,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Macmillan Acquisition includes the following pro forma adjustments:</w:t>
      </w:r>
    </w:p>
    <w:p>
      <w:pPr>
        <w:spacing w:after="0" w:line="166" w:lineRule="exact"/>
        <w:rPr>
          <w:sz w:val="20"/>
          <w:szCs w:val="20"/>
          <w:color w:val="auto"/>
        </w:rPr>
      </w:pPr>
    </w:p>
    <w:p>
      <w:pPr>
        <w:ind w:right="3959"/>
        <w:spacing w:after="0" w:line="239" w:lineRule="auto"/>
        <w:rPr>
          <w:sz w:val="20"/>
          <w:szCs w:val="20"/>
          <w:color w:val="auto"/>
        </w:rPr>
      </w:pPr>
      <w:r>
        <w:rPr>
          <w:rFonts w:ascii="Courier New" w:cs="Courier New" w:eastAsia="Courier New" w:hAnsi="Courier New"/>
          <w:sz w:val="14"/>
          <w:szCs w:val="14"/>
          <w:color w:val="auto"/>
        </w:rPr>
        <w:t>Estimated amortization of intangible assets of $10.2 million over a 40 year life.</w:t>
      </w:r>
    </w:p>
    <w:p>
      <w:pPr>
        <w:spacing w:after="0" w:line="167"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Estimated reduction of interest income of $26.8 million at Paramount's average interest rates in effect during the twelve-month period, due to the use of cash and cash equivalents and short-term investments for the acquisition.</w:t>
      </w:r>
    </w:p>
    <w:p>
      <w:pPr>
        <w:spacing w:after="0" w:line="166" w:lineRule="exact"/>
        <w:rPr>
          <w:sz w:val="20"/>
          <w:szCs w:val="20"/>
          <w:color w:val="auto"/>
        </w:rPr>
      </w:pPr>
    </w:p>
    <w:p>
      <w:pPr>
        <w:ind w:right="3799"/>
        <w:spacing w:after="0" w:line="241" w:lineRule="auto"/>
        <w:rPr>
          <w:sz w:val="20"/>
          <w:szCs w:val="20"/>
          <w:color w:val="auto"/>
        </w:rPr>
      </w:pPr>
      <w:r>
        <w:rPr>
          <w:rFonts w:ascii="Courier New" w:cs="Courier New" w:eastAsia="Courier New" w:hAnsi="Courier New"/>
          <w:sz w:val="14"/>
          <w:szCs w:val="14"/>
          <w:color w:val="auto"/>
        </w:rPr>
        <w:t>Estimated income tax benefit of $(1.6) million, based upon pro forma adjustments, along with an adjustment to provide for Macmillan Federal income taxes at the statutory rate.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Businesses Acquired include the following pro forma adjustments:</w:t>
      </w:r>
    </w:p>
    <w:p>
      <w:pPr>
        <w:spacing w:after="0" w:line="166"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4"/>
          <w:szCs w:val="14"/>
          <w:color w:val="auto"/>
        </w:rPr>
        <w:t>Decrease estimated combined annual amortization of intangible assets over a 40 year life and depreciation expense, based on a preliminary purchase price allocation analysis, of $(0.2) million.</w:t>
      </w:r>
    </w:p>
    <w:p>
      <w:pPr>
        <w:spacing w:after="0" w:line="166" w:lineRule="exact"/>
        <w:rPr>
          <w:sz w:val="20"/>
          <w:szCs w:val="20"/>
          <w:color w:val="auto"/>
        </w:rPr>
      </w:pPr>
    </w:p>
    <w:p>
      <w:pPr>
        <w:ind w:right="3539"/>
        <w:spacing w:after="0" w:line="239" w:lineRule="auto"/>
        <w:rPr>
          <w:sz w:val="20"/>
          <w:szCs w:val="20"/>
          <w:color w:val="auto"/>
        </w:rPr>
      </w:pPr>
      <w:r>
        <w:rPr>
          <w:rFonts w:ascii="Courier New" w:cs="Courier New" w:eastAsia="Courier New" w:hAnsi="Courier New"/>
          <w:sz w:val="14"/>
          <w:szCs w:val="14"/>
          <w:color w:val="auto"/>
        </w:rPr>
        <w:t>Elimination of historical interest expense related to debt not acquired from, or prepaid upon acquisition of, the Other Businesses.</w:t>
      </w:r>
    </w:p>
    <w:p>
      <w:pPr>
        <w:spacing w:after="0" w:line="167" w:lineRule="exact"/>
        <w:rPr>
          <w:sz w:val="20"/>
          <w:szCs w:val="20"/>
          <w:color w:val="auto"/>
        </w:rPr>
      </w:pPr>
    </w:p>
    <w:p>
      <w:pPr>
        <w:ind w:right="3539"/>
        <w:spacing w:after="0" w:line="241" w:lineRule="auto"/>
        <w:rPr>
          <w:sz w:val="20"/>
          <w:szCs w:val="20"/>
          <w:color w:val="auto"/>
        </w:rPr>
      </w:pPr>
      <w:r>
        <w:rPr>
          <w:rFonts w:ascii="Courier New" w:cs="Courier New" w:eastAsia="Courier New" w:hAnsi="Courier New"/>
          <w:sz w:val="14"/>
          <w:szCs w:val="14"/>
          <w:color w:val="auto"/>
        </w:rPr>
        <w:t>Estimated reduction to interest income, at Paramount's average interest rates in effect during the twelve-month period, of $5.0 million due to the use of cash and cash equivalents and short-term investments for the acquisitions.</w:t>
      </w:r>
    </w:p>
    <w:p>
      <w:pPr>
        <w:spacing w:after="0" w:line="166"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Conform the Other Businesses' accounting policies related to the accrual of certain operating expenses to that of Paramount and to eliminate the effect of intercompany transactions between the Other Businesses and Paramount. The effect of these adjustments is to reduce operating expenses by $2.9 million.</w:t>
      </w:r>
    </w:p>
    <w:p>
      <w:pPr>
        <w:spacing w:after="0" w:line="165" w:lineRule="exact"/>
        <w:rPr>
          <w:sz w:val="20"/>
          <w:szCs w:val="20"/>
          <w:color w:val="auto"/>
        </w:rPr>
      </w:pPr>
    </w:p>
    <w:p>
      <w:pPr>
        <w:ind w:right="3539"/>
        <w:spacing w:after="0" w:line="241" w:lineRule="auto"/>
        <w:rPr>
          <w:sz w:val="20"/>
          <w:szCs w:val="20"/>
          <w:color w:val="auto"/>
        </w:rPr>
      </w:pPr>
      <w:r>
        <w:rPr>
          <w:rFonts w:ascii="Courier New" w:cs="Courier New" w:eastAsia="Courier New" w:hAnsi="Courier New"/>
          <w:sz w:val="14"/>
          <w:szCs w:val="14"/>
          <w:color w:val="auto"/>
        </w:rPr>
        <w:t>Estimated income tax benefit of $(2.4) million, based upon pro forma adjustments, along with an adjustment to provide for Federal income taxes at the statutory rate.</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39"/>
          </w:cols>
          <w:pgMar w:left="220" w:top="600" w:right="1440" w:bottom="1440" w:gutter="0" w:footer="0" w:header="0"/>
        </w:sectPr>
      </w:pPr>
    </w:p>
    <w:bookmarkStart w:id="142" w:name="page143"/>
    <w:bookmarkEnd w:id="142"/>
    <w:p>
      <w:pPr>
        <w:jc w:val="center"/>
        <w:ind w:right="3619"/>
        <w:spacing w:after="0"/>
        <w:rPr>
          <w:sz w:val="20"/>
          <w:szCs w:val="20"/>
          <w:color w:val="auto"/>
        </w:rPr>
      </w:pPr>
      <w:r>
        <w:rPr>
          <w:rFonts w:ascii="Courier New" w:cs="Courier New" w:eastAsia="Courier New" w:hAnsi="Courier New"/>
          <w:sz w:val="14"/>
          <w:szCs w:val="14"/>
          <w:color w:val="auto"/>
        </w:rPr>
        <w:t>BLOCKBUSTER, SUPER CLUB AND</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SPELLING ENTERTAINMENT</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UNAUDITED PRO FORMA CONDENSED CONSOLIDATED FINANCIAL STATEMENTS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historical financial statements of Blockbuster include the financial position and results of operations of WJB, with which Blockbuster consolidated in August 1993. This transaction has been accounted for under the pooling of interests method of accounting and, accordingly, all of Blockbuster's historical financial data has been restated as if the companies had operated as one entity since inception.</w:t>
      </w:r>
    </w:p>
    <w:p>
      <w:pPr>
        <w:spacing w:after="0" w:line="167" w:lineRule="exact"/>
        <w:rPr>
          <w:sz w:val="20"/>
          <w:szCs w:val="20"/>
          <w:color w:val="auto"/>
        </w:rPr>
      </w:pPr>
    </w:p>
    <w:p>
      <w:pPr>
        <w:ind w:right="3699" w:firstLine="418"/>
        <w:spacing w:after="0" w:line="243" w:lineRule="auto"/>
        <w:rPr>
          <w:sz w:val="20"/>
          <w:szCs w:val="20"/>
          <w:color w:val="auto"/>
        </w:rPr>
      </w:pPr>
      <w:r>
        <w:rPr>
          <w:rFonts w:ascii="Courier New" w:cs="Courier New" w:eastAsia="Courier New" w:hAnsi="Courier New"/>
          <w:sz w:val="14"/>
          <w:szCs w:val="14"/>
          <w:color w:val="auto"/>
        </w:rPr>
        <w:t>The following unaudited pro forma condensed consolidated balance sheet presents the pro forma financial position of Blockbuster as of December 31, 1993. The balance sheet contains pro forma adjustments for certain significant transactions which occurred in 1994, in connection with the Offer and the Paramount Merger. These transactions include a $1.25 billion investment in Viacom and additional borrowings of $1.25 billion and are reflected in the balance sheet as if these transactions had been completed as of December 31, 1993. Spelling Entertainment and Super Club are included in Blockbuster's historical balance sheet at December 31, 1993.</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following unaudited pro forma condensed consolidated statement of operations for the year ended December 31, 1993 presents the pro forma results of continuing operations of Blockbuster as if the acquisition of Super Club and the majority of the outstanding common stock of Spelling Entertainment had been consummated at January 1, 1993. The following unaudited pro forma statement of operations also contains pro forma adjustments for certain significant transactions which occurred during 1993 or 1994 in connection with the Offer and the Paramount Merger. These transactions include a $600 million and a $1.25 billion investment in Viacom, additional borrowings of $600 million and $1.25 billion, and the sale of 14,650,000 shares of Blockbuster Common Stock, and are reflected in the unaudited pro forma condensed consolidated statement of operations as if these transactions had been consummated as of January 1, 1993. The following unaudited pro forma condensed consolidated statement of operations do not give effect to the estimated cost savings to be realized from the consolidation of certain Super Club, operational and administrative functions, including the elimination of duplicate facilities and personnel, and management fees previously charged by related affiliates. These unaudited pro forma condensed consolidated financial statements should be read in conjunction with the respective historical financial statements and notes thereto of Blockbuster, Super Club and Spelling Entertainment.</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Income from continuing operations per common and common equivalent share is based on the combined weighted average number of common shares and common share equivalents outstanding which include, where appropriate, the assumed exercise or conversion of warrants and options. In computing income from continuing operations per common and common equivalent share, Blockbuster utilizes the treasury stock method.</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unaudited pro forma condensed consolidated financial statements were prepared utilizing the accounting policies of the respective entities as outlined in their historical financial statements except as described in the accompanying notes. The unaudited pro forma condensed consolidated financial statements reflect Blockbuster's preliminary allocations of purchase prices which will be subject to further adjustments as Blockbuster finalizes the allocations of the purchase prices in accordance with generally accepted accounting principles. All of the aforementioned acquisitions, excluding WJB, were accounted for under the purchase method of accounting. The unaudited pro forma condensed consolidated statement of operations does not necessarily reflect actual results which would have occurred if the aforementioned acquisitions had taken place on the assumed dates, nor are they indicative of the results of future combined operations. If either the Paramount Merger or the Blockbuster Merger were not to occur, certain pro forma adjustments included in these unaudited pro forma condensed consolidated financial statements would change significantly.</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39"/>
          </w:cols>
          <w:pgMar w:left="220" w:top="600" w:right="1440" w:bottom="1440" w:gutter="0" w:footer="0" w:header="0"/>
        </w:sectPr>
      </w:pPr>
    </w:p>
    <w:bookmarkStart w:id="143" w:name="page144"/>
    <w:bookmarkEnd w:id="143"/>
    <w:p>
      <w:pPr>
        <w:jc w:val="center"/>
        <w:ind w:right="3619"/>
        <w:spacing w:after="0"/>
        <w:rPr>
          <w:sz w:val="20"/>
          <w:szCs w:val="20"/>
          <w:color w:val="auto"/>
        </w:rPr>
      </w:pPr>
      <w:r>
        <w:rPr>
          <w:rFonts w:ascii="Courier New" w:cs="Courier New" w:eastAsia="Courier New" w:hAnsi="Courier New"/>
          <w:sz w:val="14"/>
          <w:szCs w:val="14"/>
          <w:color w:val="auto"/>
        </w:rPr>
        <w:t>BLOCKBUSTER</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UNAUDITED PRO FORMA CONDENSED CONSOLIDATED BALANCE SHEET</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AS OF DECEMBER 31, 1993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4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 FORMA</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3"/>
          </w:tcPr>
          <w:p>
            <w:pPr>
              <w:jc w:val="right"/>
              <w:ind w:right="770"/>
              <w:spacing w:after="0"/>
              <w:rPr>
                <w:sz w:val="20"/>
                <w:szCs w:val="20"/>
                <w:color w:val="auto"/>
              </w:rPr>
            </w:pPr>
            <w:r>
              <w:rPr>
                <w:rFonts w:ascii="Courier New" w:cs="Courier New" w:eastAsia="Courier New" w:hAnsi="Courier New"/>
                <w:sz w:val="14"/>
                <w:szCs w:val="14"/>
                <w:color w:val="auto"/>
              </w:rPr>
              <w:t>ADJUSTMENTS</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80" w:type="dxa"/>
            <w:vAlign w:val="bottom"/>
            <w:gridSpan w:val="4"/>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Courier New" w:cs="Courier New" w:eastAsia="Courier New" w:hAnsi="Courier New"/>
                <w:sz w:val="14"/>
                <w:szCs w:val="14"/>
                <w:color w:val="auto"/>
                <w:w w:val="97"/>
              </w:rPr>
              <w:t>BLOCKBUSTER</w:t>
            </w:r>
          </w:p>
        </w:tc>
        <w:tc>
          <w:tcPr>
            <w:tcW w:w="260" w:type="dxa"/>
            <w:vAlign w:val="bottom"/>
          </w:tcPr>
          <w:p>
            <w:pPr>
              <w:spacing w:after="0"/>
              <w:rPr>
                <w:sz w:val="13"/>
                <w:szCs w:val="13"/>
                <w:color w:val="auto"/>
              </w:rPr>
            </w:pPr>
          </w:p>
        </w:tc>
        <w:tc>
          <w:tcPr>
            <w:tcW w:w="9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DEBIT</w:t>
            </w:r>
          </w:p>
        </w:tc>
        <w:tc>
          <w:tcPr>
            <w:tcW w:w="340" w:type="dxa"/>
            <w:vAlign w:val="bottom"/>
          </w:tcPr>
          <w:p>
            <w:pPr>
              <w:spacing w:after="0"/>
              <w:rPr>
                <w:sz w:val="13"/>
                <w:szCs w:val="13"/>
                <w:color w:val="auto"/>
              </w:rPr>
            </w:pPr>
          </w:p>
        </w:tc>
        <w:tc>
          <w:tcPr>
            <w:tcW w:w="92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CREDIT</w:t>
            </w:r>
          </w:p>
        </w:tc>
        <w:tc>
          <w:tcPr>
            <w:tcW w:w="134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PRO FORMA</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322"/>
        </w:trPr>
        <w:tc>
          <w:tcPr>
            <w:tcW w:w="37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Cash and cash equivalents.................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95,254</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95,254</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Accounts receivable, less allowance.......</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135,172</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135,172</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Merchandise inventories...................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350,763</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350,763</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Film costs and program rights, net........</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117,324</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117,324</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50,210</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50,210</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Total Current Assets.................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748,723</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748,723</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Videocassette rental inventory, net.........</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470,223</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470,223</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Property and equipment, net.................</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522,745</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522,745</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Intangible assets, net......................</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856,318</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856,318</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Investment in Viacom........................</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600,000</w:t>
            </w:r>
          </w:p>
        </w:tc>
        <w:tc>
          <w:tcPr>
            <w:tcW w:w="2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1,250,000(a)</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1,850,000</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Other assets................................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322,958</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322,958</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3,520,967</w:t>
            </w:r>
          </w:p>
        </w:tc>
        <w:tc>
          <w:tcPr>
            <w:tcW w:w="2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1,250,000</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4,770,967</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Current portion of long-term debt.........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9,083</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1,000,000(b)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1,009,083</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Accounts payable..........................</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369,815</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369,815</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Accrued liabilities.......................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177,695</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177,695</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Accrued participation expenses............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43,013</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43,013</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Income taxes payable......................</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43,632</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43,632</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Total Current Liabilities............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643,238</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1,000,000</w:t>
            </w: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1,643,238</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Long-term debt..............................</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603,496</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150"/>
              <w:spacing w:after="0"/>
              <w:rPr>
                <w:sz w:val="20"/>
                <w:szCs w:val="20"/>
                <w:color w:val="auto"/>
              </w:rPr>
            </w:pPr>
            <w:r>
              <w:rPr>
                <w:rFonts w:ascii="Courier New" w:cs="Courier New" w:eastAsia="Courier New" w:hAnsi="Courier New"/>
                <w:sz w:val="14"/>
                <w:szCs w:val="14"/>
                <w:color w:val="auto"/>
              </w:rPr>
              <w:t>250,000(b)</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853,496</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Other liabilities...........................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59,999</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59,999</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Minority interest in subsidiaries...........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90,834</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90,834</w:t>
            </w:r>
          </w:p>
        </w:tc>
      </w:tr>
      <w:tr>
        <w:trPr>
          <w:trHeight w:val="161"/>
        </w:trPr>
        <w:tc>
          <w:tcPr>
            <w:tcW w:w="37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24,738</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24,738</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Capital in excess of par value............</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1,564,685</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1,564,685</w:t>
            </w:r>
          </w:p>
        </w:tc>
      </w:tr>
      <w:tr>
        <w:trPr>
          <w:trHeight w:val="161"/>
        </w:trPr>
        <w:tc>
          <w:tcPr>
            <w:tcW w:w="37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Cumulative foreign currency translation</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adjustment..................................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(38,143)</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(38,143)</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Retained earnings.........................</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572,120</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572,120</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Total Shareholders' Equity...........</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2,123,400</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2,123,400</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3,520,967</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1,250,000</w:t>
            </w:r>
          </w:p>
        </w:tc>
        <w:tc>
          <w:tcPr>
            <w:tcW w:w="38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4,770,967</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r>
        <w:trPr>
          <w:trHeight w:val="161"/>
        </w:trPr>
        <w:tc>
          <w:tcPr>
            <w:tcW w:w="3780" w:type="dxa"/>
            <w:vAlign w:val="bottom"/>
          </w:tcPr>
          <w:p>
            <w:pPr>
              <w:spacing w:after="0"/>
              <w:rPr>
                <w:sz w:val="13"/>
                <w:szCs w:val="13"/>
                <w:color w:val="auto"/>
              </w:rPr>
            </w:pPr>
          </w:p>
        </w:tc>
        <w:tc>
          <w:tcPr>
            <w:tcW w:w="128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10"/>
              <w:spacing w:after="0"/>
              <w:rPr>
                <w:sz w:val="20"/>
                <w:szCs w:val="20"/>
                <w:color w:val="auto"/>
              </w:rPr>
            </w:pPr>
            <w:r>
              <w:rPr>
                <w:rFonts w:ascii="Courier New" w:cs="Courier New" w:eastAsia="Courier New" w:hAnsi="Courier New"/>
                <w:sz w:val="14"/>
                <w:szCs w:val="14"/>
                <w:color w:val="auto"/>
              </w:rPr>
              <w:t>-------------</w:t>
            </w:r>
          </w:p>
        </w:tc>
      </w:tr>
    </w:tbl>
    <w:p>
      <w:pPr>
        <w:spacing w:after="0" w:line="32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600" w:right="1440" w:bottom="1440" w:gutter="0" w:footer="0" w:header="0"/>
        </w:sectPr>
      </w:pPr>
    </w:p>
    <w:bookmarkStart w:id="144" w:name="page145"/>
    <w:bookmarkEnd w:id="144"/>
    <w:p>
      <w:pPr>
        <w:jc w:val="center"/>
        <w:ind w:right="4240"/>
        <w:spacing w:after="0" w:line="241" w:lineRule="auto"/>
        <w:rPr>
          <w:sz w:val="20"/>
          <w:szCs w:val="20"/>
          <w:color w:val="auto"/>
        </w:rPr>
      </w:pPr>
      <w:r>
        <w:rPr>
          <w:rFonts w:ascii="Courier New" w:cs="Courier New" w:eastAsia="Courier New" w:hAnsi="Courier New"/>
          <w:sz w:val="14"/>
          <w:szCs w:val="14"/>
          <w:color w:val="auto"/>
        </w:rPr>
        <w:t>BLOCKBUSTER, SUPER CLUB AND SPELLING ENTERTAINMENT UNAUDITED PRO FORMA CONDENSED CONSOLIDATED STATEMENT OF OPERATIONS FOR THE YEAR ENDED DECEMBER 31, 1993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20" w:type="dxa"/>
            <w:vAlign w:val="bottom"/>
            <w:gridSpan w:val="4"/>
          </w:tcPr>
          <w:p>
            <w:pPr>
              <w:ind w:left="1760"/>
              <w:spacing w:after="0"/>
              <w:rPr>
                <w:sz w:val="20"/>
                <w:szCs w:val="20"/>
                <w:color w:val="auto"/>
              </w:rPr>
            </w:pPr>
            <w:r>
              <w:rPr>
                <w:rFonts w:ascii="Courier New" w:cs="Courier New" w:eastAsia="Courier New" w:hAnsi="Courier New"/>
                <w:sz w:val="14"/>
                <w:szCs w:val="14"/>
                <w:color w:val="auto"/>
              </w:rPr>
              <w:t>(IN THOUSANDS, EXCEPT PER SHARE DATA)</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483"/>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SUPER CLUB</w:t>
            </w:r>
          </w:p>
        </w:tc>
        <w:tc>
          <w:tcPr>
            <w:tcW w:w="1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SPELLING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510"/>
              <w:spacing w:after="0"/>
              <w:rPr>
                <w:sz w:val="20"/>
                <w:szCs w:val="20"/>
                <w:color w:val="auto"/>
              </w:rPr>
            </w:pPr>
            <w:r>
              <w:rPr>
                <w:rFonts w:ascii="Courier New" w:cs="Courier New" w:eastAsia="Courier New" w:hAnsi="Courier New"/>
                <w:sz w:val="14"/>
                <w:szCs w:val="14"/>
                <w:color w:val="auto"/>
              </w:rPr>
              <w:t>PRO FORMA</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1"/>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ELEVEN MONTHS</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ENTERTAINMENT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right"/>
              <w:ind w:right="430"/>
              <w:spacing w:after="0"/>
              <w:rPr>
                <w:sz w:val="20"/>
                <w:szCs w:val="20"/>
                <w:color w:val="auto"/>
              </w:rPr>
            </w:pPr>
            <w:r>
              <w:rPr>
                <w:rFonts w:ascii="Courier New" w:cs="Courier New" w:eastAsia="Courier New" w:hAnsi="Courier New"/>
                <w:sz w:val="14"/>
                <w:szCs w:val="14"/>
                <w:color w:val="auto"/>
              </w:rPr>
              <w:t>ADJUSTMENTS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ENDED</w:t>
            </w:r>
          </w:p>
        </w:tc>
        <w:tc>
          <w:tcPr>
            <w:tcW w:w="126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THREE MONTHS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Courier New" w:cs="Courier New" w:eastAsia="Courier New" w:hAnsi="Courier New"/>
                <w:sz w:val="9"/>
                <w:szCs w:val="9"/>
                <w:color w:val="auto"/>
                <w:w w:val="74"/>
              </w:rPr>
              <w: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670"/>
              <w:spacing w:after="0"/>
              <w:rPr>
                <w:sz w:val="20"/>
                <w:szCs w:val="20"/>
                <w:color w:val="auto"/>
              </w:rPr>
            </w:pPr>
            <w:r>
              <w:rPr>
                <w:rFonts w:ascii="Courier New" w:cs="Courier New" w:eastAsia="Courier New" w:hAnsi="Courier New"/>
                <w:sz w:val="14"/>
                <w:szCs w:val="14"/>
                <w:color w:val="auto"/>
                <w:w w:val="95"/>
              </w:rPr>
              <w:t>PRO</w:t>
            </w:r>
          </w:p>
        </w:tc>
      </w:tr>
      <w:tr>
        <w:trPr>
          <w:trHeight w:val="161"/>
        </w:trPr>
        <w:tc>
          <w:tcPr>
            <w:tcW w:w="326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BLOCKBUSTER</w:t>
            </w:r>
          </w:p>
        </w:tc>
        <w:tc>
          <w:tcPr>
            <w:tcW w:w="1200" w:type="dxa"/>
            <w:vAlign w:val="bottom"/>
          </w:tcPr>
          <w:p>
            <w:pPr>
              <w:jc w:val="right"/>
              <w:ind w:right="250"/>
              <w:spacing w:after="0"/>
              <w:rPr>
                <w:sz w:val="20"/>
                <w:szCs w:val="20"/>
                <w:color w:val="auto"/>
              </w:rPr>
            </w:pPr>
            <w:r>
              <w:rPr>
                <w:rFonts w:ascii="Courier New" w:cs="Courier New" w:eastAsia="Courier New" w:hAnsi="Courier New"/>
                <w:sz w:val="14"/>
                <w:szCs w:val="14"/>
                <w:color w:val="auto"/>
              </w:rPr>
              <w:t>11/20/93</w:t>
            </w:r>
          </w:p>
        </w:tc>
        <w:tc>
          <w:tcPr>
            <w:tcW w:w="126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ENDED 3/31/93</w:t>
            </w:r>
          </w:p>
        </w:tc>
        <w:tc>
          <w:tcPr>
            <w:tcW w:w="180" w:type="dxa"/>
            <w:vAlign w:val="bottom"/>
          </w:tcPr>
          <w:p>
            <w:pPr>
              <w:spacing w:after="0"/>
              <w:rPr>
                <w:sz w:val="13"/>
                <w:szCs w:val="13"/>
                <w:color w:val="auto"/>
              </w:rPr>
            </w:pPr>
          </w:p>
        </w:tc>
        <w:tc>
          <w:tcPr>
            <w:tcW w:w="860" w:type="dxa"/>
            <w:vAlign w:val="bottom"/>
          </w:tcPr>
          <w:p>
            <w:pPr>
              <w:jc w:val="right"/>
              <w:ind w:right="130"/>
              <w:spacing w:after="0"/>
              <w:rPr>
                <w:sz w:val="20"/>
                <w:szCs w:val="20"/>
                <w:color w:val="auto"/>
              </w:rPr>
            </w:pPr>
            <w:r>
              <w:rPr>
                <w:rFonts w:ascii="Courier New" w:cs="Courier New" w:eastAsia="Courier New" w:hAnsi="Courier New"/>
                <w:sz w:val="14"/>
                <w:szCs w:val="14"/>
                <w:color w:val="auto"/>
                <w:w w:val="95"/>
              </w:rPr>
              <w:t>COMBINED</w:t>
            </w:r>
          </w:p>
        </w:tc>
        <w:tc>
          <w:tcPr>
            <w:tcW w:w="220" w:type="dxa"/>
            <w:vAlign w:val="bottom"/>
          </w:tcPr>
          <w:p>
            <w:pPr>
              <w:spacing w:after="0"/>
              <w:rPr>
                <w:sz w:val="13"/>
                <w:szCs w:val="13"/>
                <w:color w:val="auto"/>
              </w:rPr>
            </w:pPr>
          </w:p>
        </w:tc>
        <w:tc>
          <w:tcPr>
            <w:tcW w:w="660" w:type="dxa"/>
            <w:vAlign w:val="bottom"/>
          </w:tcPr>
          <w:p>
            <w:pPr>
              <w:jc w:val="right"/>
              <w:ind w:right="170"/>
              <w:spacing w:after="0"/>
              <w:rPr>
                <w:sz w:val="20"/>
                <w:szCs w:val="20"/>
                <w:color w:val="auto"/>
              </w:rPr>
            </w:pPr>
            <w:r>
              <w:rPr>
                <w:rFonts w:ascii="Courier New" w:cs="Courier New" w:eastAsia="Courier New" w:hAnsi="Courier New"/>
                <w:sz w:val="14"/>
                <w:szCs w:val="14"/>
                <w:color w:val="auto"/>
                <w:w w:val="95"/>
              </w:rPr>
              <w:t>DEBIT</w:t>
            </w:r>
          </w:p>
        </w:tc>
        <w:tc>
          <w:tcPr>
            <w:tcW w:w="180" w:type="dxa"/>
            <w:vAlign w:val="bottom"/>
          </w:tcPr>
          <w:p>
            <w:pPr>
              <w:spacing w:after="0"/>
              <w:rPr>
                <w:sz w:val="13"/>
                <w:szCs w:val="13"/>
                <w:color w:val="auto"/>
              </w:rPr>
            </w:pPr>
          </w:p>
        </w:tc>
        <w:tc>
          <w:tcPr>
            <w:tcW w:w="740" w:type="dxa"/>
            <w:vAlign w:val="bottom"/>
          </w:tcPr>
          <w:p>
            <w:pPr>
              <w:jc w:val="right"/>
              <w:ind w:right="170"/>
              <w:spacing w:after="0"/>
              <w:rPr>
                <w:sz w:val="20"/>
                <w:szCs w:val="20"/>
                <w:color w:val="auto"/>
              </w:rPr>
            </w:pPr>
            <w:r>
              <w:rPr>
                <w:rFonts w:ascii="Courier New" w:cs="Courier New" w:eastAsia="Courier New" w:hAnsi="Courier New"/>
                <w:sz w:val="14"/>
                <w:szCs w:val="14"/>
                <w:color w:val="auto"/>
                <w:w w:val="95"/>
              </w:rPr>
              <w:t>CREDIT</w:t>
            </w:r>
          </w:p>
        </w:tc>
        <w:tc>
          <w:tcPr>
            <w:tcW w:w="1340" w:type="dxa"/>
            <w:vAlign w:val="bottom"/>
            <w:gridSpan w:val="2"/>
          </w:tcPr>
          <w:p>
            <w:pPr>
              <w:jc w:val="right"/>
              <w:ind w:right="590"/>
              <w:spacing w:after="0"/>
              <w:rPr>
                <w:sz w:val="20"/>
                <w:szCs w:val="20"/>
                <w:color w:val="auto"/>
              </w:rPr>
            </w:pPr>
            <w:r>
              <w:rPr>
                <w:rFonts w:ascii="Courier New" w:cs="Courier New" w:eastAsia="Courier New" w:hAnsi="Courier New"/>
                <w:sz w:val="14"/>
                <w:szCs w:val="14"/>
                <w:color w:val="auto"/>
              </w:rPr>
              <w:t>FORMA</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322"/>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Rental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w w:val="95"/>
              </w:rPr>
              <w:t>1,285,412</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  58,702</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w w:val="95"/>
              </w:rPr>
              <w:t>1,344,114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$1,344,114</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Product sales.......................</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658,097</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254,544</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912,641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912,641</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Other revenue.......................</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283,494</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3,441</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51,509</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338,444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338,444</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w w:val="95"/>
              </w:rPr>
              <w:t>2,227,003</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316,687</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51,509</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w w:val="95"/>
              </w:rPr>
              <w:t>2,595,199</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2,595,199</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Cost of product sales...............</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430,171</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185,760</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615,931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615,931</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Operating expenses..................</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w w:val="95"/>
              </w:rPr>
              <w:t>1,195,483</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119,317</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38,049</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w w:val="95"/>
              </w:rPr>
              <w:t>1,352,849</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21,254(d-h)</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1,331,595</w:t>
            </w: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178,322</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26,029</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7,737</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212,088</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212,088</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423,027</w:t>
            </w:r>
          </w:p>
        </w:tc>
        <w:tc>
          <w:tcPr>
            <w:tcW w:w="12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(14,419)</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5,723</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414,331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21,254</w:t>
            </w: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435,585</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(33,773)</w:t>
            </w:r>
          </w:p>
        </w:tc>
        <w:tc>
          <w:tcPr>
            <w:tcW w:w="12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(2,612)</w:t>
            </w:r>
          </w:p>
        </w:tc>
        <w:tc>
          <w:tcPr>
            <w:tcW w:w="42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(2,437)</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(38,822)</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60,381(j)</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551(i)</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(98,652)</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6,818</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179</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210</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7,207</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7,207</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(6,238)</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81</w:t>
            </w:r>
          </w:p>
        </w:tc>
        <w:tc>
          <w:tcPr>
            <w:tcW w:w="42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(883)</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(7,040)</w:t>
            </w:r>
          </w:p>
        </w:tc>
        <w:tc>
          <w:tcPr>
            <w:tcW w:w="2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914(c)</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24,250(k)</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16,296</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(loss) before taxes............</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389,834</w:t>
            </w:r>
          </w:p>
        </w:tc>
        <w:tc>
          <w:tcPr>
            <w:tcW w:w="12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(16,771)</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2,613</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375,676</w:t>
            </w:r>
          </w:p>
        </w:tc>
        <w:tc>
          <w:tcPr>
            <w:tcW w:w="22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61,295</w:t>
            </w:r>
          </w:p>
        </w:tc>
        <w:tc>
          <w:tcPr>
            <w:tcW w:w="18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46,055</w:t>
            </w: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360,436</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146,188</w:t>
            </w:r>
          </w:p>
        </w:tc>
        <w:tc>
          <w:tcPr>
            <w:tcW w:w="12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87</w:t>
            </w:r>
          </w:p>
        </w:tc>
        <w:tc>
          <w:tcPr>
            <w:tcW w:w="420" w:type="dxa"/>
            <w:vAlign w:val="bottom"/>
          </w:tcPr>
          <w:p>
            <w:pPr>
              <w:spacing w:after="0"/>
              <w:rPr>
                <w:sz w:val="13"/>
                <w:szCs w:val="13"/>
                <w:color w:val="auto"/>
              </w:rPr>
            </w:pP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1,674</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147,949</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12,677(l)</w:t>
            </w:r>
          </w:p>
        </w:tc>
        <w:tc>
          <w:tcPr>
            <w:tcW w:w="100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135,272</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243,646</w:t>
            </w:r>
          </w:p>
        </w:tc>
        <w:tc>
          <w:tcPr>
            <w:tcW w:w="12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 (16,858)</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939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227,727</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61,295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58,732</w:t>
            </w:r>
          </w:p>
        </w:tc>
        <w:tc>
          <w:tcPr>
            <w:tcW w:w="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225,164</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ind w:right="10"/>
              <w:spacing w:after="0"/>
              <w:rPr>
                <w:sz w:val="20"/>
                <w:szCs w:val="20"/>
                <w:color w:val="auto"/>
              </w:rPr>
            </w:pPr>
            <w:r>
              <w:rPr>
                <w:rFonts w:ascii="Courier New" w:cs="Courier New" w:eastAsia="Courier New" w:hAnsi="Courier New"/>
                <w:sz w:val="14"/>
                <w:szCs w:val="14"/>
                <w:color w:val="auto"/>
              </w:rPr>
              <w:t>-------------  -------------</w:t>
            </w:r>
          </w:p>
        </w:tc>
        <w:tc>
          <w:tcPr>
            <w:tcW w:w="1040" w:type="dxa"/>
            <w:vAlign w:val="bottom"/>
            <w:gridSpan w:val="2"/>
          </w:tcPr>
          <w:p>
            <w:pPr>
              <w:jc w:val="right"/>
              <w:ind w:right="50"/>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equivalent shares outstanding.........</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220,195</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242,766</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per</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common and common equivalent</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1.11</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0.93</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 outstanding--</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assuming full dilution................</w:t>
            </w:r>
          </w:p>
        </w:tc>
        <w:tc>
          <w:tcPr>
            <w:tcW w:w="180" w:type="dxa"/>
            <w:vAlign w:val="bottom"/>
          </w:tcPr>
          <w:p>
            <w:pPr>
              <w:spacing w:after="0"/>
              <w:rPr>
                <w:sz w:val="13"/>
                <w:szCs w:val="13"/>
                <w:color w:val="auto"/>
              </w:rPr>
            </w:pP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221,476</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w w:val="95"/>
              </w:rPr>
              <w:t>244,047</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per</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common and common equivalent</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share--assuming full dilution.........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0"/>
              <w:spacing w:after="0"/>
              <w:rPr>
                <w:sz w:val="20"/>
                <w:szCs w:val="20"/>
                <w:color w:val="auto"/>
              </w:rPr>
            </w:pPr>
            <w:r>
              <w:rPr>
                <w:rFonts w:ascii="Courier New" w:cs="Courier New" w:eastAsia="Courier New" w:hAnsi="Courier New"/>
                <w:sz w:val="14"/>
                <w:szCs w:val="14"/>
                <w:color w:val="auto"/>
              </w:rPr>
              <w:t>1.10</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0.92</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r>
        <w:trPr>
          <w:trHeight w:val="161"/>
        </w:trPr>
        <w:tc>
          <w:tcPr>
            <w:tcW w:w="326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right"/>
              <w:ind w:right="350"/>
              <w:spacing w:after="0"/>
              <w:rPr>
                <w:sz w:val="20"/>
                <w:szCs w:val="20"/>
                <w:color w:val="auto"/>
              </w:rPr>
            </w:pPr>
            <w:r>
              <w:rPr>
                <w:rFonts w:ascii="Courier New" w:cs="Courier New" w:eastAsia="Courier New" w:hAnsi="Courier New"/>
                <w:sz w:val="14"/>
                <w:szCs w:val="14"/>
                <w:color w:val="auto"/>
              </w:rPr>
              <w:t>----------</w:t>
            </w:r>
          </w:p>
        </w:tc>
      </w:tr>
    </w:tbl>
    <w:p>
      <w:pPr>
        <w:spacing w:after="0" w:line="324"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0960"/>
          </w:cols>
          <w:pgMar w:left="220" w:top="603" w:right="719" w:bottom="1440" w:gutter="0" w:footer="0" w:header="0"/>
        </w:sectPr>
      </w:pPr>
    </w:p>
    <w:bookmarkStart w:id="145" w:name="page146"/>
    <w:bookmarkEnd w:id="145"/>
    <w:p>
      <w:pPr>
        <w:jc w:val="center"/>
        <w:ind w:right="4119"/>
        <w:spacing w:after="0"/>
        <w:rPr>
          <w:sz w:val="20"/>
          <w:szCs w:val="20"/>
          <w:color w:val="auto"/>
        </w:rPr>
      </w:pPr>
      <w:r>
        <w:rPr>
          <w:rFonts w:ascii="Courier New" w:cs="Courier New" w:eastAsia="Courier New" w:hAnsi="Courier New"/>
          <w:sz w:val="14"/>
          <w:szCs w:val="14"/>
          <w:color w:val="auto"/>
        </w:rPr>
        <w:t>BLOCKBUSTER, SUPER CLUB AND</w:t>
      </w:r>
    </w:p>
    <w:p>
      <w:pPr>
        <w:spacing w:after="0" w:line="2"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4"/>
          <w:szCs w:val="14"/>
          <w:color w:val="auto"/>
        </w:rPr>
        <w:t>SPELLING ENTERTAINMENT</w:t>
      </w:r>
    </w:p>
    <w:p>
      <w:pPr>
        <w:spacing w:after="0" w:line="2"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4"/>
          <w:szCs w:val="14"/>
          <w:color w:val="auto"/>
        </w:rPr>
        <w:t>NOTES TO UNAUDITED PRO FORMA CONDENSED CONSOLIDATED</w:t>
      </w:r>
    </w:p>
    <w:p>
      <w:pPr>
        <w:spacing w:after="0" w:line="2"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4"/>
          <w:szCs w:val="14"/>
          <w:color w:val="auto"/>
        </w:rPr>
        <w:t>FINANCIAL STATEMENTS</w:t>
      </w:r>
    </w:p>
    <w:p>
      <w:pPr>
        <w:spacing w:after="0" w:line="200" w:lineRule="exact"/>
        <w:rPr>
          <w:sz w:val="20"/>
          <w:szCs w:val="20"/>
          <w:color w:val="auto"/>
        </w:rPr>
      </w:pPr>
    </w:p>
    <w:p>
      <w:pPr>
        <w:spacing w:after="0" w:line="285" w:lineRule="exact"/>
        <w:rPr>
          <w:sz w:val="20"/>
          <w:szCs w:val="20"/>
          <w:color w:val="auto"/>
        </w:rPr>
      </w:pPr>
    </w:p>
    <w:p>
      <w:pPr>
        <w:ind w:left="420" w:hanging="412"/>
        <w:spacing w:after="0"/>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Blockbuster's $1.25 billion investment in Viacom.</w:t>
      </w:r>
    </w:p>
    <w:p>
      <w:pPr>
        <w:spacing w:after="0" w:line="4" w:lineRule="exact"/>
        <w:rPr>
          <w:rFonts w:ascii="Courier New" w:cs="Courier New" w:eastAsia="Courier New" w:hAnsi="Courier New"/>
          <w:sz w:val="14"/>
          <w:szCs w:val="14"/>
          <w:color w:val="auto"/>
        </w:rPr>
      </w:pPr>
    </w:p>
    <w:p>
      <w:pPr>
        <w:ind w:left="420" w:hanging="412"/>
        <w:spacing w:after="0"/>
        <w:tabs>
          <w:tab w:leader="none" w:pos="420"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additional debt incurred by Blockbuster which was used to fund Blockbuster's investment in Viacom.</w:t>
      </w:r>
    </w:p>
    <w:p>
      <w:pPr>
        <w:spacing w:after="0" w:line="13" w:lineRule="exact"/>
        <w:rPr>
          <w:rFonts w:ascii="Courier New" w:cs="Courier New" w:eastAsia="Courier New" w:hAnsi="Courier New"/>
          <w:sz w:val="13"/>
          <w:szCs w:val="13"/>
          <w:color w:val="auto"/>
        </w:rPr>
      </w:pPr>
    </w:p>
    <w:p>
      <w:pPr>
        <w:ind w:left="420" w:right="439" w:hanging="412"/>
        <w:spacing w:after="0" w:line="239"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recording of the minority interest resulting from Blockbuster's purchase of the majority of the outstanding common stock of Spelling Entertainment.</w:t>
      </w:r>
    </w:p>
    <w:p>
      <w:pPr>
        <w:spacing w:after="0" w:line="5" w:lineRule="exact"/>
        <w:rPr>
          <w:rFonts w:ascii="Courier New" w:cs="Courier New" w:eastAsia="Courier New" w:hAnsi="Courier New"/>
          <w:sz w:val="14"/>
          <w:szCs w:val="14"/>
          <w:color w:val="auto"/>
        </w:rPr>
      </w:pPr>
    </w:p>
    <w:p>
      <w:pPr>
        <w:ind w:left="420" w:right="279" w:hanging="412"/>
        <w:spacing w:after="0" w:line="242"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net adjustment related to the elimination of the historical amortization of intangible assets and the recording of amortization, on a straight-line basis, on the intangible assets resulting from the preliminary purchase price allocations of the acquired entities. Intangible assets resulting from the purchase of Super Club and Spelling Entertainment are being amortized over a 40 year life which approximates the useful life.</w:t>
      </w:r>
    </w:p>
    <w:p>
      <w:pPr>
        <w:spacing w:after="0" w:line="4" w:lineRule="exact"/>
        <w:rPr>
          <w:rFonts w:ascii="Courier New" w:cs="Courier New" w:eastAsia="Courier New" w:hAnsi="Courier New"/>
          <w:sz w:val="14"/>
          <w:szCs w:val="14"/>
          <w:color w:val="auto"/>
        </w:rPr>
      </w:pPr>
    </w:p>
    <w:p>
      <w:pPr>
        <w:jc w:val="both"/>
        <w:ind w:left="420" w:right="279" w:hanging="412"/>
        <w:spacing w:after="0" w:line="241"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reduction to videocassette rental inventory expense due to adjustments to the carrying value of Super Club's videocassette rental inventory as a result of the preliminary purchase price allocation and the assignment of remaining useful lives.</w:t>
      </w:r>
    </w:p>
    <w:p>
      <w:pPr>
        <w:spacing w:after="0" w:line="4" w:lineRule="exact"/>
        <w:rPr>
          <w:rFonts w:ascii="Courier New" w:cs="Courier New" w:eastAsia="Courier New" w:hAnsi="Courier New"/>
          <w:sz w:val="14"/>
          <w:szCs w:val="14"/>
          <w:color w:val="auto"/>
        </w:rPr>
      </w:pPr>
    </w:p>
    <w:p>
      <w:pPr>
        <w:ind w:left="420" w:right="699" w:hanging="412"/>
        <w:spacing w:after="0" w:line="241"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reduction to property and equipment depreciation expense resulting from adjustments to the carrying value of Super Club's property and equipment as a result of the preliminary purchase price allocation and the assignment of remaining useful lives.</w:t>
      </w:r>
    </w:p>
    <w:p>
      <w:pPr>
        <w:spacing w:after="0" w:line="4" w:lineRule="exact"/>
        <w:rPr>
          <w:rFonts w:ascii="Courier New" w:cs="Courier New" w:eastAsia="Courier New" w:hAnsi="Courier New"/>
          <w:sz w:val="14"/>
          <w:szCs w:val="14"/>
          <w:color w:val="auto"/>
        </w:rPr>
      </w:pPr>
    </w:p>
    <w:p>
      <w:pPr>
        <w:ind w:left="420" w:right="779" w:hanging="412"/>
        <w:spacing w:after="0" w:line="239"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reductions to occupancy expense resulting from preliminary purchase price allocations which reflect the fair market value of certain lease liabilities related to Super Club.</w:t>
      </w:r>
    </w:p>
    <w:p>
      <w:pPr>
        <w:spacing w:after="0" w:line="5" w:lineRule="exact"/>
        <w:rPr>
          <w:rFonts w:ascii="Courier New" w:cs="Courier New" w:eastAsia="Courier New" w:hAnsi="Courier New"/>
          <w:sz w:val="14"/>
          <w:szCs w:val="14"/>
          <w:color w:val="auto"/>
        </w:rPr>
      </w:pPr>
    </w:p>
    <w:p>
      <w:pPr>
        <w:ind w:left="420" w:right="359" w:hanging="412"/>
        <w:spacing w:after="0" w:line="241"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reductions to amortization of film costs and program rights, depreciation and rent expenses resulting from preliminary purchase price allocations which reflect the fair market value of various assets and liabilities related to Spelling Entertainment.</w:t>
      </w:r>
    </w:p>
    <w:p>
      <w:pPr>
        <w:spacing w:after="0" w:line="4" w:lineRule="exact"/>
        <w:rPr>
          <w:rFonts w:ascii="Courier New" w:cs="Courier New" w:eastAsia="Courier New" w:hAnsi="Courier New"/>
          <w:sz w:val="14"/>
          <w:szCs w:val="14"/>
          <w:color w:val="auto"/>
        </w:rPr>
      </w:pPr>
    </w:p>
    <w:p>
      <w:pPr>
        <w:ind w:left="420" w:right="439" w:hanging="412"/>
        <w:spacing w:after="0" w:line="239"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reduction in interest expense resulting from the revaluation of outstanding indebtedness of Spelling Entertainment by Blockbuster at current interest rates.</w:t>
      </w:r>
    </w:p>
    <w:p>
      <w:pPr>
        <w:spacing w:after="0" w:line="5" w:lineRule="exact"/>
        <w:rPr>
          <w:rFonts w:ascii="Courier New" w:cs="Courier New" w:eastAsia="Courier New" w:hAnsi="Courier New"/>
          <w:sz w:val="14"/>
          <w:szCs w:val="14"/>
          <w:color w:val="auto"/>
        </w:rPr>
      </w:pPr>
    </w:p>
    <w:p>
      <w:pPr>
        <w:ind w:left="420" w:right="439" w:hanging="412"/>
        <w:spacing w:after="0" w:line="239" w:lineRule="auto"/>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additional interest expense resulting from Blockbuster's additional borrowings used to fund its investment in Viacom.</w:t>
      </w:r>
    </w:p>
    <w:p>
      <w:pPr>
        <w:spacing w:after="0" w:line="3" w:lineRule="exact"/>
        <w:rPr>
          <w:rFonts w:ascii="Courier New" w:cs="Courier New" w:eastAsia="Courier New" w:hAnsi="Courier New"/>
          <w:sz w:val="14"/>
          <w:szCs w:val="14"/>
          <w:color w:val="auto"/>
        </w:rPr>
      </w:pPr>
    </w:p>
    <w:p>
      <w:pPr>
        <w:ind w:left="420" w:hanging="412"/>
        <w:spacing w:after="0"/>
        <w:tabs>
          <w:tab w:leader="none" w:pos="4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dividend income related to a portion of Blockbuster's investment in Viacom.</w:t>
      </w:r>
    </w:p>
    <w:p>
      <w:pPr>
        <w:spacing w:after="0" w:line="4" w:lineRule="exact"/>
        <w:rPr>
          <w:rFonts w:ascii="Courier New" w:cs="Courier New" w:eastAsia="Courier New" w:hAnsi="Courier New"/>
          <w:sz w:val="14"/>
          <w:szCs w:val="14"/>
          <w:color w:val="auto"/>
        </w:rPr>
      </w:pPr>
    </w:p>
    <w:p>
      <w:pPr>
        <w:ind w:left="420" w:right="439" w:hanging="412"/>
        <w:spacing w:after="0" w:line="276" w:lineRule="auto"/>
        <w:tabs>
          <w:tab w:leader="none" w:pos="420"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Represents the incremental change in the combined entity's provision for income taxes as a result of the pretax earnings of Super Club and Spelling Entertainment and all pro forma adjustments as described above.</w:t>
      </w:r>
    </w:p>
    <w:p>
      <w:pPr>
        <w:spacing w:after="0" w:line="30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9739"/>
          </w:cols>
          <w:pgMar w:left="720" w:top="600" w:right="1440" w:bottom="1440" w:gutter="0" w:footer="0" w:header="0"/>
        </w:sectPr>
      </w:pPr>
    </w:p>
    <w:bookmarkStart w:id="146" w:name="page147"/>
    <w:bookmarkEnd w:id="146"/>
    <w:p>
      <w:pPr>
        <w:ind w:left="1840"/>
        <w:spacing w:after="0"/>
        <w:rPr>
          <w:sz w:val="20"/>
          <w:szCs w:val="20"/>
          <w:color w:val="auto"/>
        </w:rPr>
      </w:pPr>
      <w:r>
        <w:rPr>
          <w:rFonts w:ascii="Courier New" w:cs="Courier New" w:eastAsia="Courier New" w:hAnsi="Courier New"/>
          <w:sz w:val="14"/>
          <w:szCs w:val="14"/>
          <w:color w:val="auto"/>
        </w:rPr>
        <w:t>DESCRIPTION OF VIACOM CAPITAL STOCK</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authorized capital stock of Viacom consists of 100 million shares of Viacom Class A Common Stock, 150 million shares of Viacom Class B Common Stock and 100 million shares of preferred stock, par value $0.01 per share, issuable in series. The following description of Viacom's capital stock does not purport to be complete and is subject to, and qualified in its entirety by reference to, the DGCL, Viacom's Restated Certificate of Incorporation, the Certificate of Designations for the Series A Preferred Stock, the Certificate of Designations for the Series B Preferred Stock, the VCR Certificate, the Form of Certificate of Designations for the Series C Preferred Stock, the CVR Agreement (as described below), and the Viacom Warrant Agreements (as described below).</w:t>
      </w:r>
    </w:p>
    <w:p>
      <w:pPr>
        <w:spacing w:after="0" w:line="164"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The following descriptions of the Viacom Common Stock, CVRs and Viacom Warrants should be read carefully by Paramount stockholders since the Paramount Merger Consideration includes such securities.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A COMMON STOCK</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As of the record date of the Viacom Special Meeting, there were</w:t>
      </w:r>
    </w:p>
    <w:p>
      <w:pPr>
        <w:spacing w:after="0" w:line="5" w:lineRule="exact"/>
        <w:rPr>
          <w:sz w:val="20"/>
          <w:szCs w:val="20"/>
          <w:color w:val="auto"/>
        </w:rPr>
      </w:pPr>
    </w:p>
    <w:p>
      <w:pPr>
        <w:ind w:right="3539" w:firstLine="6"/>
        <w:spacing w:after="0" w:line="242" w:lineRule="auto"/>
        <w:tabs>
          <w:tab w:leader="none" w:pos="10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shares of Viacom Class A Common Stock issued and outstanding. All outstanding shares of Viacom Class A Common Stock are fully paid and non-assessable. Shares of Viacom Class A Common Stock do not have conversion rights and are not redeemable.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B COMMON STOCK</w:t>
      </w:r>
    </w:p>
    <w:p>
      <w:pPr>
        <w:spacing w:after="0" w:line="166"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Viacom Class B Common Stock has rights, privileges, limitations, restrictions and qualifications identical to Viacom Class A Common Stock except that shares of Viacom Class B Common Stock have no voting rights other than those required by law. As of the record date of the Viacom Special Meeting,</w:t>
      </w:r>
    </w:p>
    <w:p>
      <w:pPr>
        <w:spacing w:after="0" w:line="1" w:lineRule="exact"/>
        <w:rPr>
          <w:sz w:val="20"/>
          <w:szCs w:val="20"/>
          <w:color w:val="auto"/>
        </w:rPr>
      </w:pPr>
    </w:p>
    <w:p>
      <w:pPr>
        <w:ind w:right="3879"/>
        <w:spacing w:after="0" w:line="242" w:lineRule="auto"/>
        <w:rPr>
          <w:sz w:val="20"/>
          <w:szCs w:val="20"/>
          <w:color w:val="auto"/>
        </w:rPr>
      </w:pPr>
      <w:r>
        <w:rPr>
          <w:rFonts w:ascii="Courier New" w:cs="Courier New" w:eastAsia="Courier New" w:hAnsi="Courier New"/>
          <w:sz w:val="14"/>
          <w:szCs w:val="14"/>
          <w:color w:val="auto"/>
        </w:rPr>
        <w:t>there were [ ] shares of Viacom Class B Common Stock issued and outstanding. All outstanding shares of Viacom Class B Common Stock are fully paid and non-assessable. Shares of Viacom Class B Common Stock do not have conversion rights and are not redeemable.</w:t>
      </w:r>
    </w:p>
    <w:p>
      <w:pPr>
        <w:spacing w:after="0" w:line="32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following evidence the right to receive Viacom Class B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_____Variable Common Rights.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Number. As part of the Blockbuster Merger Consideration, each share of Blockbuster Common Stock issued and outstanding at the Blockbuster Effective Time, and shares of Blockbuster Common Stock subject to outstanding employee stock options and warrants (but excluding shares of Blockbuster Common Stock owned by Viacom or any direct or indirect wholly owned subsidiary of Viacom or of Blockbuster and other than shares of Blockbuster Common Stock held by stockholders who have demanded and perfected appraisal rights, if available, under the DGCL) will be converted, among other things, into the right to receive up to an additional 0.13829 of a share of Viacom Class B Common Stock; such right is evidenced by one VCR.</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Trading/Listing. The VCRs will be certificated and trade separately from</w:t>
      </w:r>
    </w:p>
    <w:p>
      <w:pPr>
        <w:spacing w:after="0" w:line="5"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Viacom Common Stock. On , 1994, Viacom filed an application to cause the shares of Viacom Common Stock and the VCRs to be issued in connection with the Blockbuster Merger to be approved for listing on the AMEX, and on</w:t>
      </w:r>
    </w:p>
    <w:p>
      <w:pPr>
        <w:spacing w:after="0" w:line="5" w:lineRule="exact"/>
        <w:rPr>
          <w:sz w:val="20"/>
          <w:szCs w:val="20"/>
          <w:color w:val="auto"/>
        </w:rPr>
      </w:pPr>
    </w:p>
    <w:p>
      <w:pPr>
        <w:ind w:right="3619" w:firstLine="1177"/>
        <w:spacing w:after="0" w:line="241" w:lineRule="auto"/>
        <w:tabs>
          <w:tab w:leader="none" w:pos="1339"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1994, Viacom received approval for listing, subject to official notice of issuance. [The VCRs will be traded on the AMEX under the symbol "VIAV".]</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Maturity/Valuation Period. The VCRs mature on the first anniversary of the Blockbuster Effective Time (the "VCR Conversion Date"). In the 90 (qualified) trading day period immediately preceding the VCR Conversion Date (the "VCR Valuation Period"), a value for Viacom Class B Common Stock (the "Class B Value") will be determined. The Class B Value will equal the average closing price on the AMEX (or such other exchange on which the Viacom Class B Common Stock is then listed) for one share of Viacom Class B Common Stock during any 30 consecutive trading days in the VCR Valuation Period which yield the highest such average closing price.</w:t>
      </w:r>
    </w:p>
    <w:p>
      <w:pPr>
        <w:spacing w:after="0" w:line="16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39"/>
          </w:cols>
          <w:pgMar w:left="220" w:top="600" w:right="1440" w:bottom="1440" w:gutter="0" w:footer="0" w:header="0"/>
        </w:sectPr>
      </w:pPr>
    </w:p>
    <w:bookmarkStart w:id="147" w:name="page148"/>
    <w:bookmarkEnd w:id="147"/>
    <w:p>
      <w:pPr>
        <w:jc w:val="both"/>
        <w:ind w:right="3539" w:firstLine="418"/>
        <w:spacing w:after="0" w:line="242" w:lineRule="auto"/>
        <w:rPr>
          <w:sz w:val="20"/>
          <w:szCs w:val="20"/>
          <w:color w:val="auto"/>
        </w:rPr>
      </w:pPr>
      <w:r>
        <w:rPr>
          <w:rFonts w:ascii="Courier New" w:cs="Courier New" w:eastAsia="Courier New" w:hAnsi="Courier New"/>
          <w:sz w:val="14"/>
          <w:szCs w:val="14"/>
          <w:color w:val="auto"/>
        </w:rPr>
        <w:t>Valuation of VCRs. Subject to the dilution protection described below, each VCR will represent the right to receive a fraction of one share of Viacom Class B Common Stock, such fraction to be determined based upon the Class B Value, as set forth below:</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40" w:type="dxa"/>
            <w:vAlign w:val="bottom"/>
          </w:tcPr>
          <w:p>
            <w:pPr>
              <w:ind w:left="420"/>
              <w:spacing w:after="0"/>
              <w:rPr>
                <w:sz w:val="20"/>
                <w:szCs w:val="20"/>
                <w:color w:val="auto"/>
              </w:rPr>
            </w:pPr>
            <w:r>
              <w:rPr>
                <w:rFonts w:ascii="Courier New" w:cs="Courier New" w:eastAsia="Courier New" w:hAnsi="Courier New"/>
                <w:sz w:val="14"/>
                <w:szCs w:val="14"/>
                <w:color w:val="auto"/>
              </w:rPr>
              <w:t>CLASS B VALUE</w:t>
            </w:r>
          </w:p>
        </w:tc>
        <w:tc>
          <w:tcPr>
            <w:tcW w:w="410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CONVERSION VALUE OF A VCR</w:t>
            </w:r>
          </w:p>
        </w:tc>
      </w:tr>
      <w:tr>
        <w:trPr>
          <w:trHeight w:val="161"/>
        </w:trPr>
        <w:tc>
          <w:tcPr>
            <w:tcW w:w="4440" w:type="dxa"/>
            <w:vAlign w:val="bottom"/>
          </w:tcPr>
          <w:p>
            <w:pPr>
              <w:spacing w:after="0"/>
              <w:rPr>
                <w:sz w:val="20"/>
                <w:szCs w:val="20"/>
                <w:color w:val="auto"/>
              </w:rPr>
            </w:pPr>
            <w:r>
              <w:rPr>
                <w:rFonts w:ascii="Courier New" w:cs="Courier New" w:eastAsia="Courier New" w:hAnsi="Courier New"/>
                <w:sz w:val="14"/>
                <w:szCs w:val="14"/>
                <w:color w:val="auto"/>
                <w:w w:val="89"/>
              </w:rPr>
              <w:t>- - - - ---------------------------------------------------</w:t>
            </w:r>
          </w:p>
        </w:tc>
        <w:tc>
          <w:tcPr>
            <w:tcW w:w="4100" w:type="dxa"/>
            <w:vAlign w:val="bottom"/>
            <w:gridSpan w:val="2"/>
          </w:tcPr>
          <w:p>
            <w:pPr>
              <w:ind w:left="660"/>
              <w:spacing w:after="0"/>
              <w:rPr>
                <w:sz w:val="20"/>
                <w:szCs w:val="20"/>
                <w:color w:val="auto"/>
              </w:rPr>
            </w:pPr>
            <w:r>
              <w:rPr>
                <w:rFonts w:ascii="Courier New" w:cs="Courier New" w:eastAsia="Courier New" w:hAnsi="Courier New"/>
                <w:sz w:val="14"/>
                <w:szCs w:val="14"/>
                <w:color w:val="auto"/>
                <w:w w:val="99"/>
              </w:rPr>
              <w:t>-----------------------------------------</w:t>
            </w:r>
          </w:p>
        </w:tc>
      </w:tr>
      <w:tr>
        <w:trPr>
          <w:trHeight w:val="161"/>
        </w:trPr>
        <w:tc>
          <w:tcPr>
            <w:tcW w:w="4440" w:type="dxa"/>
            <w:vAlign w:val="bottom"/>
          </w:tcPr>
          <w:p>
            <w:pPr>
              <w:spacing w:after="0"/>
              <w:rPr>
                <w:sz w:val="13"/>
                <w:szCs w:val="13"/>
                <w:color w:val="auto"/>
              </w:rPr>
            </w:pPr>
          </w:p>
        </w:tc>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(EXPRESSED AS A FRACTION OF ONE SHARE OF</w:t>
            </w:r>
          </w:p>
        </w:tc>
      </w:tr>
      <w:tr>
        <w:trPr>
          <w:trHeight w:val="161"/>
        </w:trPr>
        <w:tc>
          <w:tcPr>
            <w:tcW w:w="4440" w:type="dxa"/>
            <w:vAlign w:val="bottom"/>
          </w:tcPr>
          <w:p>
            <w:pPr>
              <w:spacing w:after="0"/>
              <w:rPr>
                <w:sz w:val="13"/>
                <w:szCs w:val="13"/>
                <w:color w:val="auto"/>
              </w:rPr>
            </w:pPr>
          </w:p>
        </w:tc>
        <w:tc>
          <w:tcPr>
            <w:tcW w:w="41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VIACOM CLASS B COMMON STOCK)</w:t>
            </w:r>
          </w:p>
        </w:tc>
      </w:tr>
      <w:tr>
        <w:trPr>
          <w:trHeight w:val="322"/>
        </w:trPr>
        <w:tc>
          <w:tcPr>
            <w:tcW w:w="4440" w:type="dxa"/>
            <w:vAlign w:val="bottom"/>
          </w:tcPr>
          <w:p>
            <w:pPr>
              <w:spacing w:after="0"/>
              <w:rPr>
                <w:sz w:val="20"/>
                <w:szCs w:val="20"/>
                <w:color w:val="auto"/>
              </w:rPr>
            </w:pPr>
            <w:r>
              <w:rPr>
                <w:rFonts w:ascii="Courier New" w:cs="Courier New" w:eastAsia="Courier New" w:hAnsi="Courier New"/>
                <w:sz w:val="14"/>
                <w:szCs w:val="14"/>
                <w:color w:val="auto"/>
              </w:rPr>
              <w:t>$0 to $35.99.......................................</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0.13829</w:t>
            </w:r>
          </w:p>
        </w:tc>
        <w:tc>
          <w:tcPr>
            <w:tcW w:w="2760" w:type="dxa"/>
            <w:vAlign w:val="bottom"/>
          </w:tcPr>
          <w:p>
            <w:pPr>
              <w:spacing w:after="0"/>
              <w:rPr>
                <w:sz w:val="24"/>
                <w:szCs w:val="24"/>
                <w:color w:val="auto"/>
              </w:rPr>
            </w:pPr>
          </w:p>
        </w:tc>
      </w:tr>
      <w:tr>
        <w:trPr>
          <w:trHeight w:val="161"/>
        </w:trPr>
        <w:tc>
          <w:tcPr>
            <w:tcW w:w="4440" w:type="dxa"/>
            <w:vAlign w:val="bottom"/>
          </w:tcPr>
          <w:p>
            <w:pPr>
              <w:spacing w:after="0"/>
              <w:rPr>
                <w:sz w:val="20"/>
                <w:szCs w:val="20"/>
                <w:color w:val="auto"/>
              </w:rPr>
            </w:pPr>
            <w:r>
              <w:rPr>
                <w:rFonts w:ascii="Courier New" w:cs="Courier New" w:eastAsia="Courier New" w:hAnsi="Courier New"/>
                <w:sz w:val="14"/>
                <w:szCs w:val="14"/>
                <w:color w:val="auto"/>
              </w:rPr>
              <w:t>$36 to $40.........................................</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30 - 0.32</w:t>
            </w:r>
          </w:p>
        </w:tc>
        <w:tc>
          <w:tcPr>
            <w:tcW w:w="2760" w:type="dxa"/>
            <w:vAlign w:val="bottom"/>
          </w:tcPr>
          <w:p>
            <w:pPr>
              <w:jc w:val="right"/>
              <w:ind w:right="1110"/>
              <w:spacing w:after="0"/>
              <w:rPr>
                <w:sz w:val="20"/>
                <w:szCs w:val="20"/>
                <w:color w:val="auto"/>
              </w:rPr>
            </w:pPr>
            <w:r>
              <w:rPr>
                <w:rFonts w:ascii="Courier New" w:cs="Courier New" w:eastAsia="Courier New" w:hAnsi="Courier New"/>
                <w:sz w:val="14"/>
                <w:szCs w:val="14"/>
                <w:color w:val="auto"/>
              </w:rPr>
              <w:t>- 0.08 - 0.60615</w:t>
            </w:r>
          </w:p>
        </w:tc>
      </w:tr>
      <w:tr>
        <w:trPr>
          <w:trHeight w:val="161"/>
        </w:trPr>
        <w:tc>
          <w:tcPr>
            <w:tcW w:w="444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Class B Value</w:t>
            </w:r>
          </w:p>
        </w:tc>
        <w:tc>
          <w:tcPr>
            <w:tcW w:w="2760" w:type="dxa"/>
            <w:vAlign w:val="bottom"/>
          </w:tcPr>
          <w:p>
            <w:pPr>
              <w:spacing w:after="0"/>
              <w:rPr>
                <w:sz w:val="13"/>
                <w:szCs w:val="13"/>
                <w:color w:val="auto"/>
              </w:rPr>
            </w:pPr>
          </w:p>
        </w:tc>
      </w:tr>
      <w:tr>
        <w:trPr>
          <w:trHeight w:val="161"/>
        </w:trPr>
        <w:tc>
          <w:tcPr>
            <w:tcW w:w="4440" w:type="dxa"/>
            <w:vAlign w:val="bottom"/>
          </w:tcPr>
          <w:p>
            <w:pPr>
              <w:spacing w:after="0"/>
              <w:rPr>
                <w:sz w:val="20"/>
                <w:szCs w:val="20"/>
                <w:color w:val="auto"/>
              </w:rPr>
            </w:pPr>
            <w:r>
              <w:rPr>
                <w:rFonts w:ascii="Courier New" w:cs="Courier New" w:eastAsia="Courier New" w:hAnsi="Courier New"/>
                <w:sz w:val="14"/>
                <w:szCs w:val="14"/>
                <w:color w:val="auto"/>
              </w:rPr>
              <w:t>$40.01 to $47.99...................................</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0.05929</w:t>
            </w:r>
          </w:p>
        </w:tc>
        <w:tc>
          <w:tcPr>
            <w:tcW w:w="2760" w:type="dxa"/>
            <w:vAlign w:val="bottom"/>
          </w:tcPr>
          <w:p>
            <w:pPr>
              <w:spacing w:after="0"/>
              <w:rPr>
                <w:sz w:val="13"/>
                <w:szCs w:val="13"/>
                <w:color w:val="auto"/>
              </w:rPr>
            </w:pPr>
          </w:p>
        </w:tc>
      </w:tr>
      <w:tr>
        <w:trPr>
          <w:trHeight w:val="161"/>
        </w:trPr>
        <w:tc>
          <w:tcPr>
            <w:tcW w:w="4440" w:type="dxa"/>
            <w:vAlign w:val="bottom"/>
          </w:tcPr>
          <w:p>
            <w:pPr>
              <w:spacing w:after="0"/>
              <w:rPr>
                <w:sz w:val="20"/>
                <w:szCs w:val="20"/>
                <w:color w:val="auto"/>
              </w:rPr>
            </w:pPr>
            <w:r>
              <w:rPr>
                <w:rFonts w:ascii="Courier New" w:cs="Courier New" w:eastAsia="Courier New" w:hAnsi="Courier New"/>
                <w:sz w:val="14"/>
                <w:szCs w:val="14"/>
                <w:color w:val="auto"/>
              </w:rPr>
              <w:t>$48 to $52.........................................</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36 - 0.32</w:t>
            </w:r>
          </w:p>
        </w:tc>
        <w:tc>
          <w:tcPr>
            <w:tcW w:w="2760" w:type="dxa"/>
            <w:vAlign w:val="bottom"/>
          </w:tcPr>
          <w:p>
            <w:pPr>
              <w:jc w:val="right"/>
              <w:ind w:right="1110"/>
              <w:spacing w:after="0"/>
              <w:rPr>
                <w:sz w:val="20"/>
                <w:szCs w:val="20"/>
                <w:color w:val="auto"/>
              </w:rPr>
            </w:pPr>
            <w:r>
              <w:rPr>
                <w:rFonts w:ascii="Courier New" w:cs="Courier New" w:eastAsia="Courier New" w:hAnsi="Courier New"/>
                <w:sz w:val="14"/>
                <w:szCs w:val="14"/>
                <w:color w:val="auto"/>
              </w:rPr>
              <w:t>- 0.08 - 0.60615</w:t>
            </w:r>
          </w:p>
        </w:tc>
      </w:tr>
      <w:tr>
        <w:trPr>
          <w:trHeight w:val="161"/>
        </w:trPr>
        <w:tc>
          <w:tcPr>
            <w:tcW w:w="444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Class B Value</w:t>
            </w:r>
          </w:p>
        </w:tc>
        <w:tc>
          <w:tcPr>
            <w:tcW w:w="2760" w:type="dxa"/>
            <w:vAlign w:val="bottom"/>
          </w:tcPr>
          <w:p>
            <w:pPr>
              <w:spacing w:after="0"/>
              <w:rPr>
                <w:sz w:val="13"/>
                <w:szCs w:val="13"/>
                <w:color w:val="auto"/>
              </w:rPr>
            </w:pPr>
          </w:p>
        </w:tc>
      </w:tr>
      <w:tr>
        <w:trPr>
          <w:trHeight w:val="161"/>
        </w:trPr>
        <w:tc>
          <w:tcPr>
            <w:tcW w:w="4440" w:type="dxa"/>
            <w:vAlign w:val="bottom"/>
          </w:tcPr>
          <w:p>
            <w:pPr>
              <w:spacing w:after="0"/>
              <w:rPr>
                <w:sz w:val="20"/>
                <w:szCs w:val="20"/>
                <w:color w:val="auto"/>
              </w:rPr>
            </w:pPr>
            <w:r>
              <w:rPr>
                <w:rFonts w:ascii="Courier New" w:cs="Courier New" w:eastAsia="Courier New" w:hAnsi="Courier New"/>
                <w:sz w:val="14"/>
                <w:szCs w:val="14"/>
                <w:color w:val="auto"/>
              </w:rPr>
              <w:t>$52.01 and above...................................</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0 (Zero)</w:t>
            </w:r>
          </w:p>
        </w:tc>
        <w:tc>
          <w:tcPr>
            <w:tcW w:w="2760" w:type="dxa"/>
            <w:vAlign w:val="bottom"/>
          </w:tcPr>
          <w:p>
            <w:pPr>
              <w:spacing w:after="0"/>
              <w:rPr>
                <w:sz w:val="13"/>
                <w:szCs w:val="13"/>
                <w:color w:val="auto"/>
              </w:rPr>
            </w:pPr>
          </w:p>
        </w:tc>
      </w:tr>
    </w:tbl>
    <w:p>
      <w:pPr>
        <w:spacing w:after="0" w:line="327"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The maximum conversion value of each VCR is 0.13829 of one share of Viacom Class B Common Stock. The minimum conversion value is zero.</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General Market Adjustment. The dollar amounts set forth in the above table under the caption entitled "Class B Value" will be reduced by a percentage equal to any percentage decline in excess of 25% in the Standard &amp; Poor's 400 Index from the Blockbuster Effective Time until the VCR Conversion Date.</w:t>
      </w:r>
    </w:p>
    <w:p>
      <w:pPr>
        <w:spacing w:after="0" w:line="165"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Limitation on Conversion Value. Notwithstanding any conversion ratios described in the table above, if at any time during the period from the Blockbuster Effective Time until the VCR Conversion Date the average closing price for a share of Viacom Class B Common Stock on the AMEX (or such other exchange on which such shares are then listed) for any 30 consecutive trading days is:</w:t>
      </w:r>
    </w:p>
    <w:p>
      <w:pPr>
        <w:spacing w:after="0" w:line="167" w:lineRule="exact"/>
        <w:rPr>
          <w:sz w:val="20"/>
          <w:szCs w:val="20"/>
          <w:color w:val="auto"/>
        </w:rPr>
      </w:pPr>
    </w:p>
    <w:p>
      <w:pPr>
        <w:ind w:left="420" w:right="3879" w:firstLine="423"/>
        <w:spacing w:after="0" w:line="239" w:lineRule="auto"/>
        <w:tabs>
          <w:tab w:leader="none" w:pos="1173"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$40, then the maximum conversion value for each VCR will equal 0.05929 of one share of Viacom Class B Common Stock or</w:t>
      </w:r>
    </w:p>
    <w:p>
      <w:pPr>
        <w:spacing w:after="0" w:line="166" w:lineRule="exact"/>
        <w:rPr>
          <w:rFonts w:ascii="Courier New" w:cs="Courier New" w:eastAsia="Courier New" w:hAnsi="Courier New"/>
          <w:sz w:val="14"/>
          <w:szCs w:val="14"/>
          <w:color w:val="auto"/>
        </w:rPr>
      </w:pPr>
    </w:p>
    <w:p>
      <w:pPr>
        <w:ind w:left="420" w:right="3539" w:firstLine="423"/>
        <w:spacing w:after="0" w:line="239" w:lineRule="auto"/>
        <w:tabs>
          <w:tab w:leader="none" w:pos="1173"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$52, then the VCRs will have no value and will automatically terminate.</w:t>
      </w:r>
    </w:p>
    <w:p>
      <w:pPr>
        <w:spacing w:after="0" w:line="167"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Dilution Protection. The number of shares of Viacom Class B Common Stock represented by each VCR will be adjusted appropriately to reflect any distribution or dividend paid in Viacom Class B Common Stock and any combination, split or reclassification of Viacom Class B Common Stock.</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Determination of any Trading Period. For the purposes of determining any period of consecutive trading days, trading days shall not be included if (i) with respect to a day during the first month following the Blockbuster Effective Time, fewer than 400,000 shares of Viacom Class B Common Stock trade on such day, (ii) with respect to a day during the second month following the Blockbuster Effective Time, fewer than 300,000 shares of Viacom Class B Common Stock trade on such day, (iii) with respect to a day during the third month following the Blockbuster Effective Time, fewer than 250,000 shares of Viacom Class B Common Stock trade on such day and (iv) with respect to a day from and after the first day of the fourth month following the Blockbuster Effective Time, fewer than 200,000 shares of Viacom Class B Common Stock trade on such day.</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Prohibition on Viacom or NAI trading. Neither Viacom, NAI, nor any of their affiliates shall trade in Viacom Class B Common Stock during the period from the Blockbuster Effective Time until the VCR Conversion Date, except for benefit plan purposes.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VALUE RIGHTS</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GENERAL. The CVRs will be issued under the CVR Agreement dated</w:t>
      </w:r>
    </w:p>
    <w:p>
      <w:pPr>
        <w:spacing w:after="0" w:line="2" w:lineRule="exact"/>
        <w:rPr>
          <w:sz w:val="20"/>
          <w:szCs w:val="20"/>
          <w:color w:val="auto"/>
        </w:rPr>
      </w:pPr>
    </w:p>
    <w:p>
      <w:pPr>
        <w:spacing w:after="0"/>
        <w:tabs>
          <w:tab w:leader="none" w:pos="1400" w:val="left"/>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(the "CVR Agreement") between Viacom and [</w:t>
      </w:r>
      <w:r>
        <w:rPr>
          <w:sz w:val="20"/>
          <w:szCs w:val="20"/>
          <w:color w:val="auto"/>
        </w:rPr>
        <w:tab/>
      </w:r>
      <w:r>
        <w:rPr>
          <w:rFonts w:ascii="Courier New" w:cs="Courier New" w:eastAsia="Courier New" w:hAnsi="Courier New"/>
          <w:sz w:val="13"/>
          <w:szCs w:val="13"/>
          <w:color w:val="auto"/>
        </w:rPr>
        <w:t>],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(the "CVR Trustee"), a form of which is filed as an exhibit to the</w:t>
      </w:r>
    </w:p>
    <w:p>
      <w:pPr>
        <w:spacing w:after="0" w:line="5"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Registration Statement of which this Proxy Statement/Prospectus is a part. The following summaries of certain provisions of the CVR Agreement do not purport to be complete, and where reference is made to particular provisions of the CVR Agreement, such provisions, including the definitions of certain terms, are incorporated by reference as a part of such summaries or terms, which are qualified in their entirety by such reference. References to sections in the following summaries are</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131</w:t>
      </w:r>
    </w:p>
    <w:p>
      <w:pPr>
        <w:sectPr>
          <w:pgSz w:w="11900" w:h="16838" w:orient="portrait"/>
          <w:cols w:equalWidth="0" w:num="1">
            <w:col w:w="10239"/>
          </w:cols>
          <w:pgMar w:left="220" w:top="603" w:right="1440" w:bottom="1440" w:gutter="0" w:footer="0" w:header="0"/>
        </w:sectPr>
      </w:pPr>
    </w:p>
    <w:bookmarkStart w:id="148" w:name="page149"/>
    <w:bookmarkEnd w:id="148"/>
    <w:p>
      <w:pPr>
        <w:ind w:right="4119"/>
        <w:spacing w:after="0" w:line="241" w:lineRule="auto"/>
        <w:rPr>
          <w:sz w:val="20"/>
          <w:szCs w:val="20"/>
          <w:color w:val="auto"/>
        </w:rPr>
      </w:pPr>
      <w:r>
        <w:rPr>
          <w:rFonts w:ascii="Courier New" w:cs="Courier New" w:eastAsia="Courier New" w:hAnsi="Courier New"/>
          <w:sz w:val="14"/>
          <w:szCs w:val="14"/>
          <w:color w:val="auto"/>
        </w:rPr>
        <w:t>references to sections of the CVR Agreement. The definitions of certain capitalized terms used in the following summary are set forth below under "Certain Definitions."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PAYMENT AT MATURITY DATE, FIRST EXTENDED MATURITY DATE OR SECOND EXTENDED MATURITY DATE. The CVR Agreement provides that, subject to adjustment as described under "Antidilution" below, Viacom shall pay to each holder of the CVRs (each such person, a "CVR Holder") on the Maturity Date, unless Viacom shall, in its sole discretion, extend the Maturity Date to the First Extended Maturity Date, then on the First Extended Maturity Date, unless Viacom shall, in its sole discretion, extend the First Maturity Date to the Second Extended Maturity Date, then on the Second Extended Maturity Date, for each CVR held by such CVR Holder an amount, if any, as determined by Viacom, by which the Target Price (as defined below) exceeds the greater of the Current Market Value and the Minimum Price (each as defined below). Such determination by Viacom absent manifest error shall be final and binding on Viacom and the CVR Holders. (Section 301(c)).</w:t>
      </w:r>
    </w:p>
    <w:p>
      <w:pPr>
        <w:spacing w:after="0" w:line="165"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Such amount, if any, shall be payable by Viacom, at Viacom's sole discretion, either (i) in such coin or currency of the United States of America as at the time is legal tender for the payment of public and private debts; provided, however, Viacom may pay such amounts by its check payable in such money or (ii) by delivering the equivalent fair market value (as determined by an Independent Financial Expert) of securities of Viacom, including, without limitation, common stock, preferred stock, notes or other securities. Such securities shall be offered pursuant to registration under the Securities Act or under an exemption thereof and the type and the terms of such securities shall</w:t>
      </w:r>
    </w:p>
    <w:p>
      <w:pPr>
        <w:spacing w:after="0" w:line="1"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be at Viacom's sole discretion. has been appointed as paying agent in the Borough of Manhattan, The City of New York. (Section 307)</w:t>
      </w:r>
    </w:p>
    <w:p>
      <w:pPr>
        <w:spacing w:after="0" w:line="167"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Viacom may at its option extend the Maturity Date to the First Extended Maturity Date and extend the First Extended Maturity Date to the Second Extended Maturity Date. Such options shall be exercised by (i) publishing notice of an extension in the Authorized Newspaper and (ii) furnishing notice to the CVR Holders of such extension, in each case, not less than one business day preceding the Maturity Date or the First Extended Maturity Date, as the case may be; provided, however, that no defect in any such notice shall affect the validity of the extension of the Maturity Date to the First Extended Maturity Date or the extension of the First Extended Maturity Date to the Second Extended Maturity Date, and that any notice when published and mailed to a CVR Holder in the aforesaid manner shall be conclusively deemed to have been received by such CVR Holder whether or not actually received by such CVR Holder. (Section 301(d))</w:t>
      </w:r>
    </w:p>
    <w:p>
      <w:pPr>
        <w:spacing w:after="0" w:line="155" w:lineRule="exact"/>
        <w:rPr>
          <w:sz w:val="20"/>
          <w:szCs w:val="20"/>
          <w:color w:val="auto"/>
        </w:rPr>
      </w:pPr>
    </w:p>
    <w:p>
      <w:pPr>
        <w:ind w:right="3539" w:firstLine="418"/>
        <w:spacing w:after="0" w:line="239" w:lineRule="auto"/>
        <w:rPr>
          <w:sz w:val="20"/>
          <w:szCs w:val="20"/>
          <w:color w:val="auto"/>
        </w:rPr>
      </w:pPr>
      <w:r>
        <w:rPr>
          <w:rFonts w:ascii="Courier New" w:cs="Courier New" w:eastAsia="Courier New" w:hAnsi="Courier New"/>
          <w:sz w:val="14"/>
          <w:szCs w:val="14"/>
          <w:color w:val="auto"/>
        </w:rPr>
        <w:t>The CVRs are unsecured obligations of Viacom and will rank equally with all other unsecured indebtedness of Viacom.</w:t>
      </w:r>
    </w:p>
    <w:p>
      <w:pPr>
        <w:spacing w:after="0" w:line="167"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PAYMENT UPON THE OCCURRENCE OF A DISPOSITION. Upon the consummation of a Disposition (as defined below), Viacom shall pay (in cash or securities of Viacom) to each CVR Holder for each CVR held by such CVR Holder an amount, if any, as determined by Viacom, by which the Discounted Target Price exceeds the greater of (i) the fair market value as determined by an Independent Financial Expert, of the consideration, if any, received for each share of Viacom Class B Common Stock by the holder thereof as a result of such Disposition and assuming that such holder did not exercise any right of appraisal granted under law with respect to such Disposition and (ii) the Minimum Price. Such determinations by Viacom and such Independent Financial Expert absent manifest error shall be final and binding on Viacom and the CVR Holders. Such payment, if any, shall be made on the Disposition Payment Date established by Viacom, which in no event shall be more than 30 days after the date on which the Disposition was consummated. (Section 301(e)) As soon as practicable, Viacom shall give CVR Holders notice of such Disposition and the Disposition Payment Date. (Section 301(f))</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DETERMINATION THAT NO AMOUNT IS PAYABLE WITH RESPECT TO THE CVRS. 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132</w:t>
      </w:r>
    </w:p>
    <w:p>
      <w:pPr>
        <w:sectPr>
          <w:pgSz w:w="11900" w:h="16838" w:orient="portrait"/>
          <w:cols w:equalWidth="0" w:num="1">
            <w:col w:w="10239"/>
          </w:cols>
          <w:pgMar w:left="220" w:top="603" w:right="1440" w:bottom="1440" w:gutter="0" w:footer="0" w:header="0"/>
        </w:sectPr>
      </w:pPr>
    </w:p>
    <w:bookmarkStart w:id="149" w:name="page150"/>
    <w:bookmarkEnd w:id="149"/>
    <w:p>
      <w:pPr>
        <w:jc w:val="both"/>
        <w:ind w:right="3699"/>
        <w:spacing w:after="0" w:line="242" w:lineRule="auto"/>
        <w:rPr>
          <w:sz w:val="20"/>
          <w:szCs w:val="20"/>
          <w:color w:val="auto"/>
        </w:rPr>
      </w:pPr>
      <w:r>
        <w:rPr>
          <w:rFonts w:ascii="Courier New" w:cs="Courier New" w:eastAsia="Courier New" w:hAnsi="Courier New"/>
          <w:sz w:val="14"/>
          <w:szCs w:val="14"/>
          <w:color w:val="auto"/>
        </w:rPr>
        <w:t>payable with respect to the CVRs. Certain corporate reorganizations, in which consideration paid to holders of shares of Viacom Class B Common Stock exceeds minimum amounts may also result in no value being payable with respect to the CVRs.</w:t>
      </w:r>
    </w:p>
    <w:p>
      <w:pPr>
        <w:spacing w:after="0" w:line="165"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In the event that Viacom determines that no amount is payable with respect to the CVRs to the CVR Holders on the Maturity Date, the First Extended Maturity Date, the Second Extended Maturity Date or the Disposition Payment Date, as the case may be, Viacom shall give to the CVR Holders notice of such determination. Upon making such determination and absent manifest error, the CVRs shall terminate and become null and void and the CVR Holders shall have no further rights with respect thereto. The failure to give such notice or any defect therein shall not affect the validity of such determination. (Section 301(j))</w:t>
      </w:r>
    </w:p>
    <w:p>
      <w:pPr>
        <w:spacing w:after="0" w:line="152"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NO INTEREST. Notwithstanding any provision of the CVR Agreement or of the CVRs to the contrary, other than in the case of interest on the Default Amount, no interest shall accrue on any amounts payable on the CVRs to the CVR Holders. (Section 301(i))</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EVENTS OF DEFAULT. If an Event of Default occurs and is continuing, either the CVR Trustee or CVR Holders of not less than 25% of the outstanding CVRs, by notice in writing to Viacom (and to the CVR Trustee if given by CVR Holders), may declare the CVRs to be due and payable immediately, and upon any such declaration, Viacom shall pay to the CVR Holders (in cash or securities of Viacom, at Viacom's option) for each CVR held by the CVR Holders, the Default Amount with interest at the Default Interest Rate, from the Default Payment Date through the date payment is made to the CVR Trustee. (Section 801)</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at any time after the CVRs shall have been so declared due and payable, and before any judgment or decree for the payment of the amounts due shall have been obtained or entered, Viacom shall pay or shall deposit with the CVR Trustee a sum sufficient to pay all amounts which shall have become due otherwise than by acceleration (with interest upon such overdue amount at the Default Interest Rate to the date of such payment or deposit) and such amount as shall be sufficient to cover reasonable compensation to the CVR Trustee, its agents, attorneys and counsel, and all other expenses and liabilities incurred and all advances made by the CVR Trustee except as a result of negligence or bad faith, and if any and all Events of Default, other than the nonpayment of the amounts which shall have become due by acceleration, shall have been cured, waived or otherwise remedied, then the CVR Holders holding a majority of all the CVRs then Outstanding, by written notice to Viacom and to the CVR Trustee, may waive all defaults with respect to the CVRs and rescind and annul such declaration and its consequences, but no such waiver or rescission and annulment shall extend to or shall affect any subsequent default or shall impair any right consequent thereof. (Section 801)</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CERTAIN PURCHASES AND SALES. Viacom and NAI will not, and Viacom will not permit any of its subsidiaries or controlled affiliates (including Paramount) to, purchase any shares of Viacom Class B Common Stock on the open market, in private transactions or otherwise, if at the time of such purchase Current Market Value is being determined.</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ANTIDILUTION. In the event Viacom shall in any manner subdivide (by stock split, stock dividend or otherwise) or combine (by reverse stock split or otherwise) the number of outstanding shares of Viacom Class B Common Stock, Viacom shall similarly subdivide or combine the CVRs and shall appropriately adjust the Discounted Target Price, the Target Price and the Minimum Price. Whenever such an adjustment is made, Viacom shall (i) promptly prepare a certificate setting forth such adjustment and a brief statement of the facts accounting for such adjustment, (ii) promptly file with the CVR Trustee a copy of such certificate and (iii) mail a brief summary thereof to each CVR Holder. The CVR Trustee shall be fully protected in relying on any such certificate and on any adjustment therein contained. Such adjustment absent manifest error shall be final and binding on Viacom and the CVR Holders. Each outstanding CVR shall thenceforth represent that number of adjusted CVRs necessary to reflect such subdivision or combinations, and reflect the adjusted Discounted Target Price, Target Price and Minimum Price. (Section 301(k))</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133</w:t>
      </w:r>
    </w:p>
    <w:p>
      <w:pPr>
        <w:sectPr>
          <w:pgSz w:w="11900" w:h="16838" w:orient="portrait"/>
          <w:cols w:equalWidth="0" w:num="1">
            <w:col w:w="10239"/>
          </w:cols>
          <w:pgMar w:left="220" w:top="603" w:right="1440" w:bottom="1440" w:gutter="0" w:footer="0" w:header="0"/>
        </w:sectPr>
      </w:pPr>
    </w:p>
    <w:bookmarkStart w:id="150" w:name="page151"/>
    <w:bookmarkEnd w:id="150"/>
    <w:p>
      <w:pPr>
        <w:ind w:left="420"/>
        <w:spacing w:after="0"/>
        <w:rPr>
          <w:sz w:val="20"/>
          <w:szCs w:val="20"/>
          <w:color w:val="auto"/>
        </w:rPr>
      </w:pPr>
      <w:r>
        <w:rPr>
          <w:rFonts w:ascii="Courier New" w:cs="Courier New" w:eastAsia="Courier New" w:hAnsi="Courier New"/>
          <w:sz w:val="14"/>
          <w:szCs w:val="14"/>
          <w:color w:val="auto"/>
        </w:rPr>
        <w:t>CERTAIN DEFINITIONS.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"Authorized Newspaper" means The Wall Street Journal (Eastern Edition), or if The Wall Street Journal (Eastern Edition) shall cease to be published, or, if the publication or general circulation of The Wall Street Journal (Eastern Edition) shall be suspended for whatever reason, such other English language newspaper as is selected by Viacom with general circulation in The City of New York, New York.</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"Current Market Value" means (i) with respect to the Maturity Date and the First Extended Maturity Date, the median of the averages of the closing prices on the AMEX (or such other exchange on which such shares are then listed) of shares of Viacom Class B Common Stock during each 20 consecutive trading day period that both begins and ends in the Valuation Period and (ii) with respect to the Second Extended Maturity Date, the average of the closing prices on the AMEX (or such other exchange on which such shares are then listed) of the Viacom Class B Common Stock during the 20 consecutive trading days in the Valuation Period which yield the highest such average of the closing prices for any such period within the Valuation Period.</w:t>
      </w:r>
    </w:p>
    <w:p>
      <w:pPr>
        <w:spacing w:after="0" w:line="164"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"Default Amount" means the amount, if any, by which the Discounted Target Price exceeds the Minimum Price.</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"Default Interest Rate" means 8% per annum.</w:t>
      </w:r>
    </w:p>
    <w:p>
      <w:pPr>
        <w:spacing w:after="0" w:line="166" w:lineRule="exact"/>
        <w:rPr>
          <w:sz w:val="20"/>
          <w:szCs w:val="20"/>
          <w:color w:val="auto"/>
        </w:rPr>
      </w:pPr>
    </w:p>
    <w:p>
      <w:pPr>
        <w:ind w:right="3799" w:firstLine="418"/>
        <w:spacing w:after="0" w:line="239" w:lineRule="auto"/>
        <w:rPr>
          <w:sz w:val="20"/>
          <w:szCs w:val="20"/>
          <w:color w:val="auto"/>
        </w:rPr>
      </w:pPr>
      <w:r>
        <w:rPr>
          <w:rFonts w:ascii="Courier New" w:cs="Courier New" w:eastAsia="Courier New" w:hAnsi="Courier New"/>
          <w:sz w:val="14"/>
          <w:szCs w:val="14"/>
          <w:color w:val="auto"/>
        </w:rPr>
        <w:t>"Default Payment Date" means the date upon which the CVRs become due and payable pursuant to Section 801.</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"Discounted Target Price" means (i) if a Disposition or an Event of Default shall occur prior to the Maturity Date, $48.00, discounted to the Disposition Payment Date or the Default Payment Date, as the case may be, at the Default Interest Rate; (ii) if a Disposition or an Event of Default shall occur after the Maturity Date but prior to the First Extended Maturity Date, $51.00, discounted to the Disposition Payment Date or Default Payment Date, as the case may be, at the Default Interest Rate; or (iii) if a Disposition or an Event of Default shall occur after the First Extended Maturity Date but prior to the Second Extended Maturity Date, $55.00, discounted to the Disposition Payment Date or Default Payment Date, as the case may be, at the Default Interest Rate. In each case, upon each occurrence of an event specified under "Antidilution" above, such amounts, as they may have been previously adjusted, shall be adjusted as described under "Antidilution" above.</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"Disposition" means (i) a merger, consolidation or other business combination involving Viacom as a result of which no shares of Viacom Class B Common Stock shall remain outstanding, (ii) a sale, transfer or other disposition, in one or a series of transactions, of all or substantially all of the assets of Viacom or (iii) a reclassification of Viacom Class B Common Stock as any other capital stock of Viacom or any other Person; provided, however, that a "Disposition" shall not mean, or occur upon, a merger of Viacom and any wholly owned subsidiary of Viacom.</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"Disposition Payment Date" means the date established by Viacom, which in no event shall be more than 30 days after the date on which the disposition was consummated, upon which Viacom shall pay in the manner provided in Section 307 of the CVR Agreement to each CVR Holder for each CVR held by such CVR Holder an amount, if any, as determined by Viacom.</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"Event of Default", with respect to the CVRs, means each of the following which shall have occurred and be continuing: (a) default in the payment of all or any part of the amounts payable in respect of any of the CVRs as and when the same shall become due and payable either at the Maturity Date, the First Extended Maturity Date, the Second Extended Maturity Date, the Disposition Payment Date or otherwise; or (b) default in the performance, or breach of any covenant or warranty of Viacom, and continuance of such default or breach for a period of 90 days after written notice has been given to Viacom by the CVR Trustee or to Viacom and the CVR Trustee by CVR Holders holding at least 25% of the CVRs; or (c) certain events of bankruptcy, insolvency, reorganization, or other similar events in respect of Viacom.</w:t>
      </w:r>
    </w:p>
    <w:p>
      <w:pPr>
        <w:spacing w:after="0" w:line="16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134</w:t>
      </w:r>
    </w:p>
    <w:p>
      <w:pPr>
        <w:sectPr>
          <w:pgSz w:w="11900" w:h="16838" w:orient="portrait"/>
          <w:cols w:equalWidth="0" w:num="1">
            <w:col w:w="10239"/>
          </w:cols>
          <w:pgMar w:left="220" w:top="600" w:right="1440" w:bottom="1440" w:gutter="0" w:footer="0" w:header="0"/>
        </w:sectPr>
      </w:pPr>
    </w:p>
    <w:bookmarkStart w:id="151" w:name="page152"/>
    <w:bookmarkEnd w:id="151"/>
    <w:p>
      <w:pPr>
        <w:ind w:right="3539" w:firstLine="418"/>
        <w:spacing w:after="0" w:line="242" w:lineRule="auto"/>
        <w:rPr>
          <w:sz w:val="20"/>
          <w:szCs w:val="20"/>
          <w:color w:val="auto"/>
        </w:rPr>
      </w:pPr>
      <w:r>
        <w:rPr>
          <w:rFonts w:ascii="Courier New" w:cs="Courier New" w:eastAsia="Courier New" w:hAnsi="Courier New"/>
          <w:sz w:val="14"/>
          <w:szCs w:val="14"/>
          <w:color w:val="auto"/>
        </w:rPr>
        <w:t>"Independent Financial Expert" means a nationally recognized investment banking firm that does not (and whose directors, officers and Affiliates do not) have a direct or indirect financial interest in Viacom or any of its Affiliates and that, at the time it is called upon to give independent financial advice to Viacom, is not (and none of whose directors, officers or Affiliates is) a director or officer of Viacom or any of its Affiliates.</w:t>
      </w:r>
    </w:p>
    <w:p>
      <w:pPr>
        <w:spacing w:after="0" w:line="167" w:lineRule="exact"/>
        <w:rPr>
          <w:sz w:val="20"/>
          <w:szCs w:val="20"/>
          <w:color w:val="auto"/>
        </w:rPr>
      </w:pPr>
    </w:p>
    <w:p>
      <w:pPr>
        <w:ind w:right="3699" w:firstLine="418"/>
        <w:spacing w:after="0" w:line="265" w:lineRule="auto"/>
        <w:rPr>
          <w:sz w:val="20"/>
          <w:szCs w:val="20"/>
          <w:color w:val="auto"/>
        </w:rPr>
      </w:pPr>
      <w:r>
        <w:rPr>
          <w:rFonts w:ascii="Courier New" w:cs="Courier New" w:eastAsia="Courier New" w:hAnsi="Courier New"/>
          <w:sz w:val="13"/>
          <w:szCs w:val="13"/>
          <w:color w:val="auto"/>
        </w:rPr>
        <w:t>The "Minimum Price" means (i) at the Maturity Date, $36.00, (ii) at the First Extended Maturity Date, $37.00 and (iii) at the Second Extended Maturity Date, $38.00. In each case, upon each occurrence of an event specified under "Antidilution" above, such amounts, as they may have been previously adjusted, shall be adjusted as described under "Antidilution" above.</w:t>
      </w:r>
    </w:p>
    <w:p>
      <w:pPr>
        <w:spacing w:after="0" w:line="152" w:lineRule="exact"/>
        <w:rPr>
          <w:sz w:val="20"/>
          <w:szCs w:val="20"/>
          <w:color w:val="auto"/>
        </w:rPr>
      </w:pPr>
    </w:p>
    <w:p>
      <w:pPr>
        <w:ind w:right="3699" w:firstLine="418"/>
        <w:spacing w:after="0" w:line="265" w:lineRule="auto"/>
        <w:rPr>
          <w:sz w:val="20"/>
          <w:szCs w:val="20"/>
          <w:color w:val="auto"/>
        </w:rPr>
      </w:pPr>
      <w:r>
        <w:rPr>
          <w:rFonts w:ascii="Courier New" w:cs="Courier New" w:eastAsia="Courier New" w:hAnsi="Courier New"/>
          <w:sz w:val="13"/>
          <w:szCs w:val="13"/>
          <w:color w:val="auto"/>
        </w:rPr>
        <w:t>The "Target Price" means (i) at the Maturity Date, $48.00, (ii) at the First Extended Maturity Date, $51.00 and (iii) at the Second Extended Maturity Date, $55.00. In each case, upon each occurrence of an event specified under "Antidilution" above, such amounts, as they may have been previously adjusted, shall be adjusted as described under "Antidilution" above.</w:t>
      </w:r>
    </w:p>
    <w:p>
      <w:pPr>
        <w:spacing w:after="0" w:line="152" w:lineRule="exact"/>
        <w:rPr>
          <w:sz w:val="20"/>
          <w:szCs w:val="20"/>
          <w:color w:val="auto"/>
        </w:rPr>
      </w:pPr>
    </w:p>
    <w:p>
      <w:pPr>
        <w:ind w:right="3799" w:firstLine="418"/>
        <w:spacing w:after="0" w:line="241" w:lineRule="auto"/>
        <w:rPr>
          <w:sz w:val="20"/>
          <w:szCs w:val="20"/>
          <w:color w:val="auto"/>
        </w:rPr>
      </w:pPr>
      <w:r>
        <w:rPr>
          <w:rFonts w:ascii="Courier New" w:cs="Courier New" w:eastAsia="Courier New" w:hAnsi="Courier New"/>
          <w:sz w:val="14"/>
          <w:szCs w:val="14"/>
          <w:color w:val="auto"/>
        </w:rPr>
        <w:t>"Valuation Period" means the 60 trading day period immediately preceding (and including) the Maturity Date, the First Extended Maturity Date or the Second Extended Maturity Date, as the case may be.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WARRANTS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General. Viacom will issue an aggregate of [30,567,739] Viacom Three-Year Warrants and [18,340,643] Viacom Five-Year Warrants in connection with the Paramount Merger. The Viacom Three-Year Warrants are being offered pursuant to a Warrant Agreement (the "Viacom Three-Year Warrant Agreement") that will be</w:t>
      </w:r>
    </w:p>
    <w:p>
      <w:pPr>
        <w:spacing w:after="0" w:line="4" w:lineRule="exact"/>
        <w:rPr>
          <w:sz w:val="20"/>
          <w:szCs w:val="20"/>
          <w:color w:val="auto"/>
        </w:rPr>
      </w:pPr>
    </w:p>
    <w:p>
      <w:pPr>
        <w:ind w:right="3539"/>
        <w:spacing w:after="0" w:line="241" w:lineRule="auto"/>
        <w:rPr>
          <w:sz w:val="20"/>
          <w:szCs w:val="20"/>
          <w:color w:val="auto"/>
        </w:rPr>
      </w:pPr>
      <w:r>
        <w:rPr>
          <w:rFonts w:ascii="Courier New" w:cs="Courier New" w:eastAsia="Courier New" w:hAnsi="Courier New"/>
          <w:sz w:val="14"/>
          <w:szCs w:val="14"/>
          <w:color w:val="auto"/>
        </w:rPr>
        <w:t>entered into between Viacom and [ ], as Warrant Agent. The Viacom Five-Year Warrants are being offered pursuant to a Warrant Agreement (the "Viacom Five-Year Warrant Agreement" and, together with the Viacom Three-Year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Warrant Agreement, the "Viacom Warrant Agreements") that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w w:val="97"/>
              </w:rPr>
              <w:t>will be entered into</w:t>
            </w:r>
          </w:p>
        </w:tc>
      </w:tr>
      <w:tr>
        <w:trPr>
          <w:trHeight w:val="161"/>
        </w:trPr>
        <w:tc>
          <w:tcPr>
            <w:tcW w:w="1560" w:type="dxa"/>
            <w:vAlign w:val="bottom"/>
          </w:tcPr>
          <w:p>
            <w:pPr>
              <w:spacing w:after="0"/>
              <w:rPr>
                <w:sz w:val="20"/>
                <w:szCs w:val="20"/>
                <w:color w:val="auto"/>
              </w:rPr>
            </w:pPr>
            <w:r>
              <w:rPr>
                <w:rFonts w:ascii="Courier New" w:cs="Courier New" w:eastAsia="Courier New" w:hAnsi="Courier New"/>
                <w:sz w:val="14"/>
                <w:szCs w:val="14"/>
                <w:color w:val="auto"/>
              </w:rPr>
              <w:t>between Viacom and</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560" w:type="dxa"/>
            <w:vAlign w:val="bottom"/>
          </w:tcPr>
          <w:p>
            <w:pPr>
              <w:ind w:left="500"/>
              <w:spacing w:after="0"/>
              <w:rPr>
                <w:sz w:val="20"/>
                <w:szCs w:val="20"/>
                <w:color w:val="auto"/>
              </w:rPr>
            </w:pPr>
            <w:r>
              <w:rPr>
                <w:rFonts w:ascii="Courier New" w:cs="Courier New" w:eastAsia="Courier New" w:hAnsi="Courier New"/>
                <w:sz w:val="14"/>
                <w:szCs w:val="14"/>
                <w:color w:val="auto"/>
              </w:rPr>
              <w:t>], as Warrant Agent. The</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w w:val="97"/>
              </w:rPr>
              <w:t>following summary of</w:t>
            </w:r>
          </w:p>
        </w:tc>
      </w:tr>
      <w:tr>
        <w:trPr>
          <w:trHeight w:val="161"/>
        </w:trPr>
        <w:tc>
          <w:tcPr>
            <w:tcW w:w="1560" w:type="dxa"/>
            <w:vAlign w:val="bottom"/>
          </w:tcPr>
          <w:p>
            <w:pPr>
              <w:spacing w:after="0"/>
              <w:rPr>
                <w:sz w:val="20"/>
                <w:szCs w:val="20"/>
                <w:color w:val="auto"/>
              </w:rPr>
            </w:pPr>
            <w:r>
              <w:rPr>
                <w:rFonts w:ascii="Courier New" w:cs="Courier New" w:eastAsia="Courier New" w:hAnsi="Courier New"/>
                <w:sz w:val="14"/>
                <w:szCs w:val="14"/>
                <w:color w:val="auto"/>
              </w:rPr>
              <w:t>certain provisions</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Viacom Warrant Agreements does</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not purport to be</w:t>
            </w:r>
          </w:p>
        </w:tc>
      </w:tr>
    </w:tbl>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complete and is subject to and is qualified in its entirety by reference to the provisions of the Viacom Warrant Agreements, including the definitions of certain terms therein. A copy of the form of the Viacom Warrant Agreements, including the form of Viacom Warrant Certificates (as defined below), is filed as an exhibit to the Registration Statement, to which this Proxy Statement/Prospectus forms a part.</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Each Viacom Three-Year Warrant is evidenced by a warrant certificate (the "Viacom Three-Year Warrant Certificate") which entitles the warrantholder, at any time prior to third anniversary of the Paramount Effective Time (the "Three-Year Expiration Date"), to purchase one share of Viacom Class B Common Stock at a price (the "Three-Year Exercise Price") of $60 per share, subject to certain adjustments. Viacom Three-Year Warrants that are not exercised prior to the Three-Year Expiration Date will expire and become void.</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Each Viacom Five-Year Warrant is evidenced by a warrant certificate (the "Viacom Five-Year Warrant Certificate" and, together with the Viacom Three-Year Warrant Certificate, the "Viacom Warrant Certificates") which entitles the warrantholder at any time prior to the fifth anniversary of the Paramount Effective Time (the "Five-Year Expiration Date" and, together with the Three-Year Expiration Date, the "Viacom Warrant Expiration Dates"), to purchase one share of Viacom Class B Common Stock at a price (the "Five-Year Exercise Price" and, together with the Three-Year Exercise Price, the "Viacom Warrant Exercise Prices") of $70 per share, subject to certain adjustments. Viacom Five-Year Warrants that are not exercised prior to the Five-Year Expiration Date will expire and become void.</w:t>
      </w:r>
    </w:p>
    <w:p>
      <w:pPr>
        <w:spacing w:after="0" w:line="164" w:lineRule="exact"/>
        <w:rPr>
          <w:sz w:val="20"/>
          <w:szCs w:val="20"/>
          <w:color w:val="auto"/>
        </w:rPr>
      </w:pPr>
    </w:p>
    <w:p>
      <w:pPr>
        <w:ind w:right="3539" w:firstLine="418"/>
        <w:spacing w:after="0" w:line="269" w:lineRule="auto"/>
        <w:rPr>
          <w:sz w:val="20"/>
          <w:szCs w:val="20"/>
          <w:color w:val="auto"/>
        </w:rPr>
      </w:pPr>
      <w:r>
        <w:rPr>
          <w:rFonts w:ascii="Courier New" w:cs="Courier New" w:eastAsia="Courier New" w:hAnsi="Courier New"/>
          <w:sz w:val="13"/>
          <w:szCs w:val="13"/>
          <w:color w:val="auto"/>
        </w:rPr>
        <w:t>The aggregate number of shares of Viacom Class B Common Stock issuable upon exercise of the Viacom Warrants is equal to 25% of the Viacom Class B Common Stock to be outstanding after the Paramount Merger and 14% after the Mergers.</w:t>
      </w:r>
    </w:p>
    <w:p>
      <w:pPr>
        <w:spacing w:after="0" w:line="14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39"/>
          </w:cols>
          <w:pgMar w:left="220" w:top="602" w:right="1440" w:bottom="1440" w:gutter="0" w:footer="0" w:header="0"/>
        </w:sectPr>
      </w:pPr>
    </w:p>
    <w:bookmarkStart w:id="152" w:name="page153"/>
    <w:bookmarkEnd w:id="152"/>
    <w:p>
      <w:pPr>
        <w:ind w:right="3539" w:firstLine="418"/>
        <w:spacing w:after="0" w:line="264" w:lineRule="auto"/>
        <w:rPr>
          <w:sz w:val="20"/>
          <w:szCs w:val="20"/>
          <w:color w:val="auto"/>
        </w:rPr>
      </w:pPr>
      <w:r>
        <w:rPr>
          <w:rFonts w:ascii="Courier New" w:cs="Courier New" w:eastAsia="Courier New" w:hAnsi="Courier New"/>
          <w:sz w:val="13"/>
          <w:szCs w:val="13"/>
          <w:color w:val="auto"/>
        </w:rPr>
        <w:t>Exercise of Viacom Warrants. To exercise all or any of the Viacom Warrants represented by a Viacom Warrant Certificate, the warrantholder is required to surrender to the Warrant Agent the Viacom Warrant Certificate, a duly executed copy of the subscription form set forth in the Viacom Warrant Certificate, and payment in full of the Viacom Warrant Exercise Price for each share of Viacom Class B Common Stock as to which a Viacom Warrant is exercised. In the case of the Viacom Three-Year Warrants, such payment may be made in cash or by certified or official bank or bank cashier's check payable to the order of Viacom.</w:t>
      </w:r>
    </w:p>
    <w:p>
      <w:pPr>
        <w:spacing w:after="0" w:line="15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the case of Viacom Five-Year Warrants, such payment may be made (i) in cash or by certified or official bank or bank cashier's check payable to the order of Viacom or (ii) by exchanging, if issued, either Series C Preferred Stock with a liquidation preference equal to the Five-Year Exercise Price, or Viacom Exchange Debentures with a principal amount equal to the Five-Year Exercise Price. Upon the exercise of any Viacom Warrants in accordance with the Viacom Warrant Agreement, the Viacom Warrant Agent will cause Viacom to transfer promptly to or upon the written order of the Warrantholder appropriate evidence of ownership of any shares of Viacom Class B Common Stock, registered or otherwise placed in such name or names as such warrantholder may direct in writing, and will deliver such evidence of ownership to the person or persons entitled to receive the same and an amount in cash, in lieu of any fractional shares, if any. All shares of Viacom Class B Common Stock issuable by Viacom upon the exercise of the Viacom Warrants must be validly issued, fully paid and nonassessable.</w:t>
      </w:r>
    </w:p>
    <w:p>
      <w:pPr>
        <w:spacing w:after="0" w:line="166"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Antidilution Provisions. The number of shares of Viacom Class B Common Stock that may be purchased upon the exercise of each Viacom Warrant, and payment of the Viacom Warrant Exercise Price, are subject to adjustment in the event of certain transactions, including Viacom's (a) issuing shares of Viacom Class B Common Stock as a stock dividend to the holders of Viacom Common Stock,</w:t>
      </w:r>
    </w:p>
    <w:p>
      <w:pPr>
        <w:spacing w:after="0" w:line="1" w:lineRule="exact"/>
        <w:rPr>
          <w:sz w:val="20"/>
          <w:szCs w:val="20"/>
          <w:color w:val="auto"/>
        </w:rPr>
      </w:pPr>
    </w:p>
    <w:p>
      <w:pPr>
        <w:ind w:right="3539" w:firstLine="6"/>
        <w:spacing w:after="0" w:line="263" w:lineRule="auto"/>
        <w:tabs>
          <w:tab w:leader="none" w:pos="335"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subdividing or combining the outstanding shares of Viacom Class B Common Stock into a greater or lesser number of shares, (c) issuing any shares of its capital stock in a reclassification or reorganization of the Viacom Class B Common Stock, (d) issuing, selling, distributing or otherwise granting rights to subscribe for or to purchase warrants or options for the purchase of Viacom Class B Common Stock or any stock or securities convertible into or exchangeable for Viacom Class B Common Stock, and (e) issuing, selling or otherwise distributing certain convertible securities. No fractional shares will be issued upon exercise of Viacom Warrants, but Viacom will pay the cash value of any fractional shares otherwise issuable. In case of any consolidation, merger or sale of all or substantially all of the assets of Viacom in a transaction in which the holders of Viacom Class B Common Stock immediately prior to such transaction do not receive securities, cash or other assets of Viacom (or any other person), the holder of each outstanding Viacom Warrant shall have the right to the kind and amount of securities, cash or other assets receivable by a holder of the number of shares of Viacom Class B Common Stock into which such Viacom Warrants were exercisable immediately prior thereto.</w:t>
      </w:r>
    </w:p>
    <w:p>
      <w:pPr>
        <w:spacing w:after="0" w:line="314"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Trading/Listing. Viacom will file an application to list the Viacom Warrants on the AMEX, subject to official notice of issuance. The Viacom Three-Year Warrants and the Viacom Five-Year Warrants will be traded on the AMEX</w:t>
      </w:r>
    </w:p>
    <w:p>
      <w:pPr>
        <w:spacing w:after="0" w:line="3" w:lineRule="exact"/>
        <w:rPr>
          <w:sz w:val="20"/>
          <w:szCs w:val="20"/>
          <w:color w:val="auto"/>
        </w:rPr>
      </w:pPr>
    </w:p>
    <w:p>
      <w:pPr>
        <w:spacing w:after="0"/>
        <w:tabs>
          <w:tab w:leader="none" w:pos="2080" w:val="left"/>
          <w:tab w:leader="none" w:pos="3160" w:val="left"/>
        </w:tabs>
        <w:rPr>
          <w:sz w:val="20"/>
          <w:szCs w:val="20"/>
          <w:color w:val="auto"/>
        </w:rPr>
      </w:pPr>
      <w:r>
        <w:rPr>
          <w:rFonts w:ascii="Courier New" w:cs="Courier New" w:eastAsia="Courier New" w:hAnsi="Courier New"/>
          <w:sz w:val="14"/>
          <w:szCs w:val="14"/>
          <w:color w:val="auto"/>
        </w:rPr>
        <w:t>under the symbols "</w:t>
      </w:r>
      <w:r>
        <w:rPr>
          <w:sz w:val="20"/>
          <w:szCs w:val="20"/>
          <w:color w:val="auto"/>
        </w:rPr>
        <w:tab/>
      </w:r>
      <w:r>
        <w:rPr>
          <w:rFonts w:ascii="Courier New" w:cs="Courier New" w:eastAsia="Courier New" w:hAnsi="Courier New"/>
          <w:sz w:val="14"/>
          <w:szCs w:val="14"/>
          <w:color w:val="auto"/>
        </w:rPr>
        <w:t>" and "</w:t>
      </w:r>
      <w:r>
        <w:rPr>
          <w:sz w:val="20"/>
          <w:szCs w:val="20"/>
          <w:color w:val="auto"/>
        </w:rPr>
        <w:tab/>
      </w:r>
      <w:r>
        <w:rPr>
          <w:rFonts w:ascii="Courier New" w:cs="Courier New" w:eastAsia="Courier New" w:hAnsi="Courier New"/>
          <w:sz w:val="13"/>
          <w:szCs w:val="13"/>
          <w:color w:val="auto"/>
        </w:rPr>
        <w:t>", respectively.</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OTHER RIGHTS OF THE VIACOM COMMON STOCK</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Voting Rights. Under the Viacom Restated Certificate of Incorporation, except as noted below or otherwise required by the DGCL, the holders of the outstanding shares of Viacom Class A Common Stock vote together with the holders of the outstanding shares of all other classes of capital stock of Viacom entitled to vote, without regard to class. At the present time, however, there are no outstanding shares of any other class of capital stock of Viacom entitled to vote. Each holder of an outstanding share of Viacom Class A Common Stock is entitled to cast one vote for each such share registered in the name of such holder. The affirmative vote of the holders of a majority of the outstanding shares of Viacom Class A Common Stock is necessary to approve any consolidation or merger of Viacom with or into another corporation pursuant to which shares of Viacom Class A Common Stock would be converted into or exchanged for any securities or other consideration.</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136</w:t>
      </w:r>
    </w:p>
    <w:p>
      <w:pPr>
        <w:sectPr>
          <w:pgSz w:w="11900" w:h="16838" w:orient="portrait"/>
          <w:cols w:equalWidth="0" w:num="1">
            <w:col w:w="10239"/>
          </w:cols>
          <w:pgMar w:left="220" w:top="603" w:right="1440" w:bottom="1440" w:gutter="0" w:footer="0" w:header="0"/>
        </w:sectPr>
      </w:pPr>
    </w:p>
    <w:bookmarkStart w:id="153" w:name="page154"/>
    <w:bookmarkEnd w:id="153"/>
    <w:p>
      <w:pPr>
        <w:ind w:right="3539" w:firstLine="418"/>
        <w:spacing w:after="0" w:line="243" w:lineRule="auto"/>
        <w:rPr>
          <w:sz w:val="20"/>
          <w:szCs w:val="20"/>
          <w:color w:val="auto"/>
        </w:rPr>
      </w:pPr>
      <w:r>
        <w:rPr>
          <w:rFonts w:ascii="Courier New" w:cs="Courier New" w:eastAsia="Courier New" w:hAnsi="Courier New"/>
          <w:sz w:val="14"/>
          <w:szCs w:val="14"/>
          <w:color w:val="auto"/>
        </w:rPr>
        <w:t>A holder of an outstanding share of Viacom Class B Common Stock is not entitled, except as may be required by Delaware law, to vote on any question presented to the stockholders of Viacom, including both the election of directors and certain amendments to the Restated Certificate of Incorporation which might affect Viacom Class B Common Stock or the holders thereof. Under Delaware law and the Viacom Restated Certificate of Incorporation, holders of shares of Viacom Class B Common Stock are entitled to vote, as a class, only with respect to any proposed amendment to the Viacom Restated Certificate of Incorporation which would (i) increase or decrease the par value of a share of Viacom Class B Common Stock or (ii) alter or change the powers, preferences or special rights of the shares of Viacom Class B Common Stock so as to affect them adversely. Any future change in the number of authorized shares of Viacom Class B Common Stock or any consolidation or merger of Viacom with or into another corporation pursuant to which shares of Viacom Class B Common Stock would be converted into or exchanged for any securities or other consideration could be consummated with the approval of the holders of a majority of the outstanding shares of Viacom Class A Common Stock and without any action by the holders of shares of Viacom Class B Common Stock.</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Dividends. Subject to the rights and preferences of any outstanding preferred stock, dividends on Viacom Class A Common Stock and Viacom Class B Common Stock would be payable out of the funds of Viacom legally available therefor when, as and if declared by the Viacom Board. However, no dividend may be paid or set aside for payment and no distribution may be made on either class of Viacom Common Stock unless at the same time and in respect of the same declaration date and record date a ratable dividend is paid or set aside for payment or a distribution is made on the other class of Viacom Common Stock.</w:t>
      </w:r>
    </w:p>
    <w:p>
      <w:pPr>
        <w:spacing w:after="0" w:line="330"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Rights in Liquidation. In the event Viacom is liquidated, dissolved or wound up, whether voluntarily or involuntarily, the net assets of Viacom would be divided ratably among the holders of the then outstanding shares of Viacom Class A Common Stock and Viacom Class B Common Stock after payment or provision for payment of the full preferential amounts to which the holders of any series of preferred stock of Viacom then issued and outstanding would be entitled.</w:t>
      </w:r>
    </w:p>
    <w:p>
      <w:pPr>
        <w:spacing w:after="0" w:line="151"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Split, Subdivision or Combination. If Viacom splits, subdivides or combines the outstanding shares of Viacom Class A Common Stock or Viacom Class B Common Stock, the outstanding shares of the other class of Viacom Common Stock shall be proportionally split, subdivided or combined in the same manner and on the same basis as the outstanding shares of the other class of Viacom Common Stock have been split, subdivided or combined.</w:t>
      </w:r>
    </w:p>
    <w:p>
      <w:pPr>
        <w:spacing w:after="0" w:line="328"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Preemptive Rights. Shares of Viacom Class A Common Stock and shares of Viacom Class B Common Stock do not entitle a holder to any preemptive rights enabling a holder to subscribe for or receive shares of stock of any class or any other securities convertible into shares of stock of any class of Viacom. The Viacom Board possesses the power to issue shares of authorized but unissued Viacom Class A Common Stock and Viacom Class B Common Stock without further stockholder action, subject, so long as shares of Viacom Class A Common Stock and Viacom Class B Common Stock are listed on the AMEX, to the requirements of such exchange. The number of authorized shares of Viacom Class A Common Stock and Viacom Class B Common Stock could be increased with the approval of the holders of a majority of the outstanding shares of Viacom Class A Common Stock and without any action by the holders of shares of Viacom Class B Common Stock.</w:t>
      </w:r>
    </w:p>
    <w:p>
      <w:pPr>
        <w:spacing w:after="0" w:line="31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Trading Market. The outstanding shares of Viacom Class A Common Stock and Viacom Class B Common Stock are listed for trading on the AMEX. The Registrar and Transfer Agent for Viacom Common Stock is The First Chicago Trust Company of New York.</w:t>
      </w:r>
    </w:p>
    <w:p>
      <w:pPr>
        <w:spacing w:after="0" w:line="32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Alien Ownership. The Viacom Restated Certificate of Incorporation provides that Viacom may prohibit the ownership or voting of a percentage of its equity securities in order to ensure compliance with the requirements of the Communications Act.</w:t>
      </w:r>
    </w:p>
    <w:p>
      <w:pPr>
        <w:spacing w:after="0" w:line="16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137</w:t>
      </w:r>
    </w:p>
    <w:p>
      <w:pPr>
        <w:sectPr>
          <w:pgSz w:w="11900" w:h="16838" w:orient="portrait"/>
          <w:cols w:equalWidth="0" w:num="1">
            <w:col w:w="10239"/>
          </w:cols>
          <w:pgMar w:left="220" w:top="60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VIACOM PREFERRED STOCK</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Viacom Board, without further action by the stockholders, is authorized to issue up to 100,000,000 shares of preferred stock in one or more series and to designate as to any such series the dividend rate, redemption prices and terms, preferences on liquidation or dissolution, rights in the event of a merger, consolidation, distribution or sale of assets, conversion rights, voting rights and any other powers, preferences, and relative, participating, optional or other special rights and qualifications, limitations or restrictions. The rights of the holders of Viacom Common Stock will be subject to, and may be adversely affected by, the rights of the holders of Viacom Preferred Stock and any preferred stock of Viacom that may be issued in the future. The Viacom Preferred Stock will rank senior to Viacom Common Stock with respect to dividends and distribution of assets upon liquidation or winding up. Issuance of a new series of preferred stock, while providing desirable flexibility in connection with possible acquisitions or other corporate purposes, could have the effect of making it more difficult for a third party to acquire, or discouraging a third party from acquiring, a majority of the outstanding voting stock of Viacom.</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Viacom has issued 24 million shares of Series A Preferred Stock to Blockbuster and 24 million shares of Series B Preferred Stock to NYNEX, both of which classes have indentical rights and restrictions and rank equally as to dividends and distribution of assets upon liquidation. Upon consummation of the Blockbuster Merger, the Series A Preferred Stock owned by Blockbuster will cease to be outstanding. Pursuant to the Paramount Merger, Viacom is reserving for issuance a new series of preferred stock, the Series C Preferred Stock. See "--Series C Preferred Stock."</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Holders of shares of Viacom Preferred Stock will be entitled to receive cumulative cash dividends at the rate per annum of $1.25 per share of Series A Preferred Stock and $2.50 per share of Series B Preferred Stock, payable quarterly. So long as any shares of Viacom Preferred Stock are outstanding, Viacom may not (i) declare or pay any dividend or distribution on any junior stock of Viacom or (ii) redeem or set apart funds for the purchase or redemption of any junior stock unless all accrued and unpaid dividends with respect to the Viacom Preferred Stock have been paid or funds have been set apart for payment through the current dividend period.</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Shares of Viacom Preferred Stock may not be redeemed by Viacom prior to October 1, 1998, after which date such stock will be redeemable at Viacom's option for an aggregate redemption price of at least $100,000,000, at declining redemption prices annually until October 1, 2003. In the event of any liquidation, dissolution or winding up of Viacom, whether voluntary or involuntary, holders of shares of Viacom Preferred Stock shall receive $25.00 per share of Series A Preferred Stock and $50.00 per share of Series B Preferred Stock plus an amount per share equal to all dividends accrued and unpaid thereon to the date of final distribution to such holders.</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holders of shares of Viacom Preferred Stock will have no voting rights, unless dividends payable on Series A Preferred Stock or Series B Preferred Stock fall in arrears for dividend periods totalling at least 360 days, in which case the number of directors of Viacom will be increased by two in respect of each such series and the holders of shares of each such series will have the right to elect two additional directors to the Viacom Board at Viacom's next annual meeting of stockholders and at each subsequent annual meeting until all such dividends have been paid in full.</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Changes to Viacom's Restated Certificate of Incorporation which adversely affect the rights of the holders of Series A Preferred Stock or Series B Preferred Stock require two-thirds approval of the outstanding shares of such series. The Certificates of Designation of the Series A Preferred Stock and Series B Preferred Stock may not be amended without the consent of the purchaser thereof as long as such outstanding shares are owned in full by Blockbuster or NYNEX, as the case may be.</w:t>
      </w:r>
    </w:p>
    <w:p>
      <w:pPr>
        <w:spacing w:after="0" w:line="168"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Shares of Viacom Preferred Stock will be convertible at any time at the option of the holders thereof into shares of Viacom Class B Common Stock at a conversion price of $70 per share of Viacom Class B Common Stock (equivalent to a conversion rate of 0.3571 shares of Viacom Class B Common Stock for each share of Series A Preferred Stock and 0.7143 for each share of Series B Preferred</w:t>
      </w:r>
    </w:p>
    <w:p>
      <w:pPr>
        <w:ind w:left="3180"/>
        <w:spacing w:after="0" w:line="237" w:lineRule="auto"/>
        <w:rPr>
          <w:sz w:val="20"/>
          <w:szCs w:val="20"/>
          <w:color w:val="auto"/>
        </w:rPr>
      </w:pPr>
      <w:r>
        <w:rPr>
          <w:rFonts w:ascii="Courier New" w:cs="Courier New" w:eastAsia="Courier New" w:hAnsi="Courier New"/>
          <w:sz w:val="14"/>
          <w:szCs w:val="14"/>
          <w:color w:val="auto"/>
        </w:rPr>
        <w:t>138</w:t>
      </w:r>
    </w:p>
    <w:p>
      <w:pPr>
        <w:sectPr>
          <w:pgSz w:w="11900" w:h="16838" w:orient="portrait"/>
          <w:cols w:equalWidth="0" w:num="1">
            <w:col w:w="10239"/>
          </w:cols>
          <w:pgMar w:left="220" w:top="600" w:right="1440" w:bottom="1440" w:gutter="0" w:footer="0" w:header="0"/>
        </w:sectPr>
      </w:pPr>
    </w:p>
    <w:bookmarkStart w:id="155" w:name="page156"/>
    <w:bookmarkEnd w:id="155"/>
    <w:p>
      <w:pPr>
        <w:ind w:right="3539"/>
        <w:spacing w:after="0" w:line="242" w:lineRule="auto"/>
        <w:rPr>
          <w:sz w:val="20"/>
          <w:szCs w:val="20"/>
          <w:color w:val="auto"/>
        </w:rPr>
      </w:pPr>
      <w:r>
        <w:rPr>
          <w:rFonts w:ascii="Courier New" w:cs="Courier New" w:eastAsia="Courier New" w:hAnsi="Courier New"/>
          <w:sz w:val="14"/>
          <w:szCs w:val="14"/>
          <w:color w:val="auto"/>
        </w:rPr>
        <w:t>Stock), subject to customary adjustments. Holders of Viacom Preferred Stock will have no preemptive rights with respect to any shares of Viacom Common Stock or any other Viacom securities convertible into or carrying rights or options to purchase any such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C PREFERRED STOCK</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the Paramount Merger and the terms of the Viacom Merger Debentures, Viacom has reserved for issuance a new series of preferred stock, the Series C Preferred Stock. If issued, the Series C Preferred Stock would be fully paid and nonassessable. The holders of the Series C Preferred Stock would have no preemptive rights with respect to any shares of Viacom Common Stock or any other securities of Viacom convertible into or carrying rights or options to purchase any such shares.</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Ranking. If issued, the Series C Preferred Stock would rank senior to the Viacom Common Stock with respect to dividends and upon liquidation or winding up. If issued, the Series C Preferred Stock would rank equally with the Series A Preferred Stock and the Series B Preferred Stock as to dividends and the distribution of assets upon liquidation or winding up.</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Dividends. Holders of shares of Series C Preferred Stock, if issued, would be entitled to receive, when, as and if declared by the Viacom Board, out of funds legally available for payment, cumulative cash dividends at the rate per annum of $2.50 per share until the tenth anniversary of the Paramount Effective Time, and at the rate per annum of $5.00 per share thereafter. Dividends shall accrue and be cumulative from the date of issuance, whether or not in any dividend period or periods there shall be funds legally available for the payment of such dividends. Dividends on the Series C Preferred Stock would be payable quarterly on the first business day of January, April, July and October of each year, commencing on the first such date following issuance of the Series C Preferred Stock, or at such additional times and for such interim periods, if any, as determined by the Viacom Board. Each such dividend will be payable in arrears to holders of record as they appear on the stock records of Viacom at the close of business on such record dates, not exceeding 60 days preceding the payment dates thereof, as shall be fixed by the Viacom Board. Accrued and unpaid dividends shall accrue interest at the Base Rate as announced from time to time by Citibank, N.A. The amount of dividends payable on the Series C Preferred Stock for each full dividend period shall be computed by dividing the annual dividend rate by four. The amount of dividends payable for the initial dividend period on the Series C Preferred Stock, or any other period shorter or longer than a full dividend period shall be computed on the basis of a 360-day year consisting of twelve 30-day months.</w:t>
      </w:r>
    </w:p>
    <w:p>
      <w:pPr>
        <w:spacing w:after="0" w:line="168"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So long as any shares of Series C Preferred Stock are outstanding, no dividends, except as described below, may be declared or paid or set apart for payment on any class or series of stock of Viacom ranking, as to dividends, on a parity with the Series C Preferred Stock, nor shall any such shares be redeemed or purchased by Viacom or any subsidiary, unless full cumulative dividends on the Series C Preferred Stock have been declared and paid or declared and a sum sufficient for the payment thereof set apart for such payment. When dividends are not paid in full or a sum sufficient for such payment is not set apart on the shares of the Series C Preferred Stock and any other class or series of stock ranking on a parity as to dividends with the Series C Preferred Stock, all dividends declared on the Series C Preferred Stock and on such other stock may be declared pro rata so that the amounts of dividends per share declared on the Series C Preferred Stock and on such other stock shall in all cases bear to each other the same ratio that the accrued dividends per share on the shares of Series C Preferred Stock and such other stock bear to each other.</w:t>
      </w:r>
    </w:p>
    <w:p>
      <w:pPr>
        <w:spacing w:after="0" w:line="315"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So long as any shares of Series C Preferred Stock are outstanding, neither Viacom nor any subsidiary may (i) declare or pay or set apart for payment any dividend or other distribution with respect to any junior stock of Viacom or</w:t>
      </w:r>
    </w:p>
    <w:p>
      <w:pPr>
        <w:ind w:right="3539" w:firstLine="6"/>
        <w:spacing w:after="0" w:line="262" w:lineRule="auto"/>
        <w:tabs>
          <w:tab w:leader="none" w:pos="418"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redeem or set apart funds for the purchase, redemption or other acquisition of any junior stock, unless (A) all accrued and unpaid dividends with respect to the Series C Preferred Stock and any of the stock ranking on a parity with such stock as to dividends or upon liquidation ("Parity Stock") at the time such dividends are payable have been paid or funds have been set apart for payment of such dividends and (B) sufficient funds have been set apart for the</w:t>
      </w:r>
    </w:p>
    <w:p>
      <w:pPr>
        <w:ind w:left="3180"/>
        <w:spacing w:after="0" w:line="237" w:lineRule="auto"/>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10239"/>
          </w:cols>
          <w:pgMar w:left="220" w:top="603" w:right="1440" w:bottom="1440" w:gutter="0" w:footer="0" w:header="0"/>
        </w:sectPr>
      </w:pPr>
    </w:p>
    <w:bookmarkStart w:id="156" w:name="page157"/>
    <w:bookmarkEnd w:id="156"/>
    <w:p>
      <w:pPr>
        <w:ind w:right="3959"/>
        <w:spacing w:after="0" w:line="239" w:lineRule="auto"/>
        <w:rPr>
          <w:sz w:val="20"/>
          <w:szCs w:val="20"/>
          <w:color w:val="auto"/>
        </w:rPr>
      </w:pPr>
      <w:r>
        <w:rPr>
          <w:rFonts w:ascii="Courier New" w:cs="Courier New" w:eastAsia="Courier New" w:hAnsi="Courier New"/>
          <w:sz w:val="14"/>
          <w:szCs w:val="14"/>
          <w:color w:val="auto"/>
        </w:rPr>
        <w:t>payment of the dividend for the current dividend period with respect to the Series C Preferred Stock and any Parity Stock.</w:t>
      </w:r>
    </w:p>
    <w:p>
      <w:pPr>
        <w:spacing w:after="0" w:line="167" w:lineRule="exact"/>
        <w:rPr>
          <w:sz w:val="20"/>
          <w:szCs w:val="20"/>
          <w:color w:val="auto"/>
        </w:rPr>
      </w:pPr>
    </w:p>
    <w:p>
      <w:pPr>
        <w:jc w:val="both"/>
        <w:ind w:right="3539" w:firstLine="418"/>
        <w:spacing w:after="0" w:line="262" w:lineRule="auto"/>
        <w:rPr>
          <w:sz w:val="20"/>
          <w:szCs w:val="20"/>
          <w:color w:val="auto"/>
        </w:rPr>
      </w:pPr>
      <w:r>
        <w:rPr>
          <w:rFonts w:ascii="Courier New" w:cs="Courier New" w:eastAsia="Courier New" w:hAnsi="Courier New"/>
          <w:sz w:val="13"/>
          <w:szCs w:val="13"/>
          <w:color w:val="auto"/>
        </w:rPr>
        <w:t>As used herein, (i) the term "dividend" does not include dividends payable solely in shares of junior stock on junior stock, or options, warrants or rights to holders of junior stock to subscribe for or purchase any junior stock, and</w:t>
      </w:r>
    </w:p>
    <w:p>
      <w:pPr>
        <w:ind w:right="3699" w:firstLine="6"/>
        <w:spacing w:after="0" w:line="269" w:lineRule="auto"/>
        <w:tabs>
          <w:tab w:leader="none" w:pos="418" w:val="left"/>
        </w:tabs>
        <w:numPr>
          <w:ilvl w:val="0"/>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term "junior stock" means the Viacom Common Stock and any other class of capital stock of Viacom now or hereafter issued and outstanding that ranks junior as to dividends and upon liquidation to the Series C Preferred Stock.</w:t>
      </w:r>
    </w:p>
    <w:p>
      <w:pPr>
        <w:spacing w:after="0" w:line="14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Redemption. Shares of Series C Preferred Stock may not be redeemed by Viacom prior to the fifth anniversary of the Paramount Effective Time, after which date the shares of such stock will be redeemable at the option of Viacom, in whole or in part, at any time or from time to time, out of funds legally available therefor, at the redemption prices set forth below, plus in each case an amount equal to accrued and unpaid dividends, if any, to the redemption date, whether or not earned or declared.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tcPr>
          <w:p>
            <w:pPr>
              <w:spacing w:after="0"/>
              <w:rPr>
                <w:sz w:val="13"/>
                <w:szCs w:val="13"/>
                <w:color w:val="auto"/>
              </w:rPr>
            </w:pPr>
          </w:p>
        </w:tc>
        <w:tc>
          <w:tcPr>
            <w:tcW w:w="2520" w:type="dxa"/>
            <w:vAlign w:val="bottom"/>
            <w:gridSpan w:val="2"/>
          </w:tcPr>
          <w:p>
            <w:pPr>
              <w:jc w:val="right"/>
              <w:ind w:right="770"/>
              <w:spacing w:after="0"/>
              <w:rPr>
                <w:sz w:val="20"/>
                <w:szCs w:val="20"/>
                <w:color w:val="auto"/>
              </w:rPr>
            </w:pPr>
            <w:r>
              <w:rPr>
                <w:rFonts w:ascii="Courier New" w:cs="Courier New" w:eastAsia="Courier New" w:hAnsi="Courier New"/>
                <w:sz w:val="14"/>
                <w:szCs w:val="14"/>
                <w:color w:val="auto"/>
                <w:w w:val="98"/>
              </w:rPr>
              <w:t>REDEMPTION PRICE FOR</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IF REDEEMED DURING THE 12-MONTH PERIOD BEGINNING ON THE</w:t>
            </w:r>
          </w:p>
        </w:tc>
        <w:tc>
          <w:tcPr>
            <w:tcW w:w="2520" w:type="dxa"/>
            <w:vAlign w:val="bottom"/>
            <w:gridSpan w:val="2"/>
          </w:tcPr>
          <w:p>
            <w:pPr>
              <w:jc w:val="right"/>
              <w:ind w:right="850"/>
              <w:spacing w:after="0"/>
              <w:rPr>
                <w:sz w:val="20"/>
                <w:szCs w:val="20"/>
                <w:color w:val="auto"/>
              </w:rPr>
            </w:pPr>
            <w:r>
              <w:rPr>
                <w:rFonts w:ascii="Courier New" w:cs="Courier New" w:eastAsia="Courier New" w:hAnsi="Courier New"/>
                <w:sz w:val="14"/>
                <w:szCs w:val="14"/>
                <w:color w:val="auto"/>
              </w:rPr>
              <w:t>SERIES C PREFERRED</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ANNIVERSARY OF THE PARAMOUNT EFFECTIVE TIME INDICATED BELOW</w:t>
            </w:r>
          </w:p>
        </w:tc>
        <w:tc>
          <w:tcPr>
            <w:tcW w:w="580" w:type="dxa"/>
            <w:vAlign w:val="bottom"/>
          </w:tcPr>
          <w:p>
            <w:pPr>
              <w:spacing w:after="0"/>
              <w:rPr>
                <w:sz w:val="13"/>
                <w:szCs w:val="13"/>
                <w:color w:val="auto"/>
              </w:rPr>
            </w:pPr>
          </w:p>
        </w:tc>
        <w:tc>
          <w:tcPr>
            <w:tcW w:w="1940" w:type="dxa"/>
            <w:vAlign w:val="bottom"/>
          </w:tcPr>
          <w:p>
            <w:pPr>
              <w:jc w:val="right"/>
              <w:ind w:right="1350"/>
              <w:spacing w:after="0"/>
              <w:rPr>
                <w:sz w:val="20"/>
                <w:szCs w:val="20"/>
                <w:color w:val="auto"/>
              </w:rPr>
            </w:pPr>
            <w:r>
              <w:rPr>
                <w:rFonts w:ascii="Courier New" w:cs="Courier New" w:eastAsia="Courier New" w:hAnsi="Courier New"/>
                <w:sz w:val="14"/>
                <w:szCs w:val="14"/>
                <w:color w:val="auto"/>
              </w:rPr>
              <w:t>STOCK</w:t>
            </w:r>
          </w:p>
        </w:tc>
      </w:tr>
      <w:tr>
        <w:trPr>
          <w:trHeight w:val="161"/>
        </w:trPr>
        <w:tc>
          <w:tcPr>
            <w:tcW w:w="82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w w:val="99"/>
              </w:rPr>
              <w:t>- - - - -----------------------------------------------------------------------------------------</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22"/>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Fifth....................................................................................</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90"/>
              <w:spacing w:after="0"/>
              <w:rPr>
                <w:sz w:val="20"/>
                <w:szCs w:val="20"/>
                <w:color w:val="auto"/>
              </w:rPr>
            </w:pPr>
            <w:r>
              <w:rPr>
                <w:rFonts w:ascii="Courier New" w:cs="Courier New" w:eastAsia="Courier New" w:hAnsi="Courier New"/>
                <w:sz w:val="14"/>
                <w:szCs w:val="14"/>
                <w:color w:val="auto"/>
              </w:rPr>
              <w:t>52.50</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Sixth....................................................................................</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90"/>
              <w:spacing w:after="0"/>
              <w:rPr>
                <w:sz w:val="20"/>
                <w:szCs w:val="20"/>
                <w:color w:val="auto"/>
              </w:rPr>
            </w:pPr>
            <w:r>
              <w:rPr>
                <w:rFonts w:ascii="Courier New" w:cs="Courier New" w:eastAsia="Courier New" w:hAnsi="Courier New"/>
                <w:sz w:val="14"/>
                <w:szCs w:val="14"/>
                <w:color w:val="auto"/>
              </w:rPr>
              <w:t>52.00</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Seventh..................................................................................</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90"/>
              <w:spacing w:after="0"/>
              <w:rPr>
                <w:sz w:val="20"/>
                <w:szCs w:val="20"/>
                <w:color w:val="auto"/>
              </w:rPr>
            </w:pPr>
            <w:r>
              <w:rPr>
                <w:rFonts w:ascii="Courier New" w:cs="Courier New" w:eastAsia="Courier New" w:hAnsi="Courier New"/>
                <w:sz w:val="14"/>
                <w:szCs w:val="14"/>
                <w:color w:val="auto"/>
              </w:rPr>
              <w:t>51.50</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Eighth...................................................................................</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90"/>
              <w:spacing w:after="0"/>
              <w:rPr>
                <w:sz w:val="20"/>
                <w:szCs w:val="20"/>
                <w:color w:val="auto"/>
              </w:rPr>
            </w:pPr>
            <w:r>
              <w:rPr>
                <w:rFonts w:ascii="Courier New" w:cs="Courier New" w:eastAsia="Courier New" w:hAnsi="Courier New"/>
                <w:sz w:val="14"/>
                <w:szCs w:val="14"/>
                <w:color w:val="auto"/>
              </w:rPr>
              <w:t>51.00</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Ninth....................................................................................</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90"/>
              <w:spacing w:after="0"/>
              <w:rPr>
                <w:sz w:val="20"/>
                <w:szCs w:val="20"/>
                <w:color w:val="auto"/>
              </w:rPr>
            </w:pPr>
            <w:r>
              <w:rPr>
                <w:rFonts w:ascii="Courier New" w:cs="Courier New" w:eastAsia="Courier New" w:hAnsi="Courier New"/>
                <w:sz w:val="14"/>
                <w:szCs w:val="14"/>
                <w:color w:val="auto"/>
              </w:rPr>
              <w:t>50.50</w:t>
            </w:r>
          </w:p>
        </w:tc>
      </w:tr>
      <w:tr>
        <w:trPr>
          <w:trHeight w:val="161"/>
        </w:trPr>
        <w:tc>
          <w:tcPr>
            <w:tcW w:w="7700" w:type="dxa"/>
            <w:vAlign w:val="bottom"/>
          </w:tcPr>
          <w:p>
            <w:pPr>
              <w:jc w:val="center"/>
              <w:ind w:right="170"/>
              <w:spacing w:after="0"/>
              <w:rPr>
                <w:sz w:val="20"/>
                <w:szCs w:val="20"/>
                <w:color w:val="auto"/>
              </w:rPr>
            </w:pPr>
            <w:r>
              <w:rPr>
                <w:rFonts w:ascii="Courier New" w:cs="Courier New" w:eastAsia="Courier New" w:hAnsi="Courier New"/>
                <w:sz w:val="14"/>
                <w:szCs w:val="14"/>
                <w:color w:val="auto"/>
                <w:w w:val="99"/>
              </w:rPr>
              <w:t>Tenth and thereafter.....................................................................</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90"/>
              <w:spacing w:after="0"/>
              <w:rPr>
                <w:sz w:val="20"/>
                <w:szCs w:val="20"/>
                <w:color w:val="auto"/>
              </w:rPr>
            </w:pPr>
            <w:r>
              <w:rPr>
                <w:rFonts w:ascii="Courier New" w:cs="Courier New" w:eastAsia="Courier New" w:hAnsi="Courier New"/>
                <w:sz w:val="14"/>
                <w:szCs w:val="14"/>
                <w:color w:val="auto"/>
              </w:rPr>
              <w:t>50.00</w:t>
            </w:r>
          </w:p>
        </w:tc>
      </w:tr>
    </w:tbl>
    <w:p>
      <w:pPr>
        <w:spacing w:after="0" w:line="32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If fewer than all of the shares of Series C Preferred Stock are to be redeemed, the shares to be redeemed shall be selected by lot or pro rata or in some other equitable manner determined by Viacom. If fewer than all the shares represented by any certificate are redeemed, a new certificate will be issued representing the unredeemed shares without cost to the holder thereof. No fractional shares will be issued upon redemption, but an adjustment in cash will be made in respect of any fraction of an unredeemed share which would otherwise be issuable.</w:t>
      </w:r>
    </w:p>
    <w:p>
      <w:pPr>
        <w:spacing w:after="0" w:line="169"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In the event that full cumulative dividends on the Series C Preferred Stock and any other class or series of stock ranking, as to dividends, on a parity with the Series C Preferred Stock have not been paid or declared and set apart for payment, the Series C Preferred Stock may not be redeemed in part and Viacom may not purchase or acquire shares of Series C Preferred Stock or such other stock otherwise than pursuant to a purchase or exchange offer made on the same terms to all holders of shares of Series C Preferred Stock and such other stock.</w:t>
      </w:r>
    </w:p>
    <w:p>
      <w:pPr>
        <w:spacing w:after="0" w:line="153"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On and after the date fixed for redemption, provided that the redemption price (including any accrued and unpaid dividends to the date fixed for redemption) has been duly paid or provided for, dividends shall cease to accrue on the Series C Preferred Stock called for redemption, such shares shall no longer be deemed to be outstanding and all rights of the holders of such shares as stockholders of Viacom shall cease except the right to receive from Viacom the redemption price without interest thereon after the redemption date and any cash adjustment in lieu of fractional unredeemed shares.</w:t>
      </w:r>
    </w:p>
    <w:p>
      <w:pPr>
        <w:spacing w:after="0" w:line="16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Liquidation Preference. In the event of any liquidation, dissolution or winding up of Viacom, whether voluntary or involuntary, before any payment or distribution of the assets of Viacom (whether capital or surplus) shall be made to or set apart for the holders of junior stock, upon liquidation, dissolution or winding up, the holders of the shares of Series C Preferred Stock shall be entitled to receive $50.00 per share (the "liquidation preference") plus an amount equal to all dividends (whether or not earned or declared) accrued and accumulated and unpaid thereon to the date of final distribution to such holders; but such holders shall not be entitled to any further payment. If, upon any liquidation, dissolution or winding up of Viacom, the assets of Viacom, or proceeds thereof, distributable among the holders of the shares of Series C Preferred Stock shall be insufficient to pay in full the preferential amount aforesaid and liquidation payments on any other shares of stock ranking, as to liquidation, dissolution or winding up, on a parity with the Series C Preferred Stock, then such assets, or the proceeds thereof, shall be distributed among the holders of shares of Series C Preferred Stock and any</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10239"/>
          </w:cols>
          <w:pgMar w:left="220" w:top="603" w:right="1440" w:bottom="1440" w:gutter="0" w:footer="0" w:header="0"/>
        </w:sectPr>
      </w:pPr>
    </w:p>
    <w:bookmarkStart w:id="157" w:name="page158"/>
    <w:bookmarkEnd w:id="157"/>
    <w:p>
      <w:pPr>
        <w:ind w:right="3699"/>
        <w:spacing w:after="0" w:line="242" w:lineRule="auto"/>
        <w:rPr>
          <w:sz w:val="20"/>
          <w:szCs w:val="20"/>
          <w:color w:val="auto"/>
        </w:rPr>
      </w:pPr>
      <w:r>
        <w:rPr>
          <w:rFonts w:ascii="Courier New" w:cs="Courier New" w:eastAsia="Courier New" w:hAnsi="Courier New"/>
          <w:sz w:val="14"/>
          <w:szCs w:val="14"/>
          <w:color w:val="auto"/>
        </w:rPr>
        <w:t>such other stock ratably in accordance with the respective amounts which would be payable on such shares of Series C Preferred Stock and any such other stock if all amounts payable thereon were paid in full. Neither a consolidation or merger of Viacom with another corporation nor a sale or transfer of all or substantially all of Viacom's assets nor a statutory share exchange will be considered a liquidation, dissolution or winding up, voluntary or involuntary, of Viacom.</w:t>
      </w:r>
    </w:p>
    <w:p>
      <w:pPr>
        <w:spacing w:after="0" w:line="168" w:lineRule="exact"/>
        <w:rPr>
          <w:sz w:val="20"/>
          <w:szCs w:val="20"/>
          <w:color w:val="auto"/>
        </w:rPr>
      </w:pPr>
    </w:p>
    <w:p>
      <w:pPr>
        <w:jc w:val="both"/>
        <w:ind w:right="3619" w:firstLine="418"/>
        <w:spacing w:after="0" w:line="241" w:lineRule="auto"/>
        <w:rPr>
          <w:sz w:val="20"/>
          <w:szCs w:val="20"/>
          <w:color w:val="auto"/>
        </w:rPr>
      </w:pPr>
      <w:r>
        <w:rPr>
          <w:rFonts w:ascii="Courier New" w:cs="Courier New" w:eastAsia="Courier New" w:hAnsi="Courier New"/>
          <w:sz w:val="14"/>
          <w:szCs w:val="14"/>
          <w:color w:val="auto"/>
        </w:rPr>
        <w:t>Voting Rights. Except as indicated below, or except as otherwise from time to time required by applicable law, the holders of shares of Series C Preferred Stock will have no voting rights.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Whenever dividends payable on Series C Preferred Stock shall be in arrears for such number of dividend periods which shall in the aggregate contain not less than 360 days, the number of directors of Viacom will be increased by two and the holders of Series C Preferred Stock, voting together as a class with the holders of any other class or series of Parity Stock upon which the same voting rights have been conferred and are exercisable, will have the right to elect two additional directors to the Viacom Board at Viacom's next annual meeting of stockholders and at each subsequent annual meeting until all such dividends on such series have been paid in full. At elections of such directors, each holder of Series C Preferred Stock shall be entitled to one vote per share. Upon any termination of the right of the holders of such series to vote for directors as provided above, the term of office of all directors then in office, elected by such series, shall terminate immediately.</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approval of two-thirds of the outstanding shares of Series C Preferred Stock shall be required in order to amend the Restated Certificate of Incorporation of Viacom to affect materially and adversely the rights, preferences or voting powers of the holders of such series of stock or to authorize, create, issue or increase the authorized or issued amount of, any class of stock having rights senior or superior with respect to dividends and upon liquidation to such series; provided, however, that any increase in the amount of authorized preferred stock or the creation and issuance of other series of preferred stock, or any increase in the amount of authorized shares of such series or of any other series of preferred stock, in each case ranking on a parity with or junior to the Series C Preferred Stock with respect to the payment of dividends and the distribution of assets upon liquidation, dissolution or winding up, shall not be deemed to materially and adversely affect such rights, preferences or voting powers.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Exchangeability of Series C Preferred Stock. The Series C Preferred Stock is exchangeable in whole, or in part, at the option of Viacom, for Viacom Exchange Debentures on any scheduled dividend payment date beginning on or after the third anniversary of the Paramount Effective Time. Holders of Series C Preferred Stock so exchanged will be entitled to receive $50.00 principal amount of Viacom Exchange Debentures for each share of Series C Preferred Stock held by such holders at the time of exchange plus an amount per share in cash equal to all accrued and unpaid dividends thereon to the date of exchange (the "Series C Exchange Date"). The Viacom Exchange Debentures will be issuable only in registered form and in denominations of $1,000 and integral multiples thereof. See "Description of Viacom Debentures." An amount in cash will be paid to holders for any principal amount otherwise issuable which is less than $1,000. Viacom will mail written notice of its intention to exchange to each holder of record of the Series C Preferred Stock not less than 10 nor more than 60 days prior to the date fixed for exchange.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Upon the Series C Exchange Date, the rights of holders of Series C Preferred Stock as stockholders of Viacom shall cease (except the right to receive the Viacom Exchange Debentures, any accrued and unpaid dividends to and including the Series C Exchange Date, and any cash adjustment in lieu of any principal amount less than $1,000) and the shares of Series C Preferred Stock no longer will be deemed outstanding. [If full cumulative dividends on Series C Preferred Stock have not been paid to the Series C Exchange Date, or funds set aside to provide for payment in full of the dividends, Viacom may not exchange the Series C Preferred Stock for the Viacom Exchange Debentures.]</w:t>
      </w:r>
    </w:p>
    <w:p>
      <w:pPr>
        <w:spacing w:after="0" w:line="164" w:lineRule="exact"/>
        <w:rPr>
          <w:sz w:val="20"/>
          <w:szCs w:val="20"/>
          <w:color w:val="auto"/>
        </w:rPr>
      </w:pPr>
    </w:p>
    <w:p>
      <w:pPr>
        <w:jc w:val="both"/>
        <w:ind w:right="3619" w:firstLine="418"/>
        <w:spacing w:after="0" w:line="241" w:lineRule="auto"/>
        <w:rPr>
          <w:sz w:val="20"/>
          <w:szCs w:val="20"/>
          <w:color w:val="auto"/>
        </w:rPr>
      </w:pPr>
      <w:r>
        <w:rPr>
          <w:rFonts w:ascii="Courier New" w:cs="Courier New" w:eastAsia="Courier New" w:hAnsi="Courier New"/>
          <w:sz w:val="14"/>
          <w:szCs w:val="14"/>
          <w:color w:val="auto"/>
        </w:rPr>
        <w:t>Listing. Viacom has agreed to use its reasonable best efforts to cause the shares of Series C Preferred Stock to be approved for listing on the AMEX prior to the issuance thereof.</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10239"/>
          </w:cols>
          <w:pgMar w:left="220" w:top="602" w:right="1440" w:bottom="1440" w:gutter="0" w:footer="0" w:header="0"/>
        </w:sectPr>
      </w:pPr>
    </w:p>
    <w:bookmarkStart w:id="158" w:name="page159"/>
    <w:bookmarkEnd w:id="158"/>
    <w:p>
      <w:pPr>
        <w:jc w:val="center"/>
        <w:ind w:right="3539"/>
        <w:spacing w:after="0"/>
        <w:rPr>
          <w:sz w:val="20"/>
          <w:szCs w:val="20"/>
          <w:color w:val="auto"/>
        </w:rPr>
      </w:pPr>
      <w:r>
        <w:rPr>
          <w:rFonts w:ascii="Courier New" w:cs="Courier New" w:eastAsia="Courier New" w:hAnsi="Courier New"/>
          <w:sz w:val="14"/>
          <w:szCs w:val="14"/>
          <w:color w:val="auto"/>
        </w:rPr>
        <w:t>DESCRIPTION OF VIACOM DEBENTURES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GENERAL. The Viacom Merger Debentures and the Viacom Exchange Debentures (collectively, the "Viacom Debentures") will be issued under an Indenture, dated</w:t>
      </w:r>
    </w:p>
    <w:p>
      <w:pPr>
        <w:ind w:right="3699"/>
        <w:spacing w:after="0" w:line="242" w:lineRule="auto"/>
        <w:rPr>
          <w:sz w:val="20"/>
          <w:szCs w:val="20"/>
          <w:color w:val="auto"/>
        </w:rPr>
      </w:pPr>
      <w:r>
        <w:rPr>
          <w:rFonts w:ascii="Courier New" w:cs="Courier New" w:eastAsia="Courier New" w:hAnsi="Courier New"/>
          <w:sz w:val="14"/>
          <w:szCs w:val="14"/>
          <w:color w:val="auto"/>
        </w:rPr>
        <w:t>as of , 1994 (the "Indenture"), between Viacom and , as trustee (the "Trustee"), which will be subject to and governed by the Trust Indenture Act of 1939, as amended (the "TIA"). The Viacom Debentures will be general unsecured junior subordinated obligations of Viacom and will be issued in registered form without coupons in denominations of $1,000 and integral multiples thereof.</w:t>
      </w:r>
    </w:p>
    <w:p>
      <w:pPr>
        <w:spacing w:after="0" w:line="167"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As indicated under "Subordination" below, the Viacom Debentures will be subordinated and subject in right of payment to the prior payment in full of all Senior Indebtedness of Viacom.</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following summary of certain provisions of the Indenture and the Viacom Debentures does not purport to be complete and is subject to and qualified in its entirety by reference to the Indenture and the Viacom Debentures, including the definitions therein of terms not defined in this Proxy Statement/Prospectus. The definitions of certain capitalized terms used in the following summary are set forth below under "Certain Definitions." A copy of the Indenture, including the form of the Viacom Merger Debentures and the form of the Viacom Exchange Debentures, is filed as an exhibit to the Registration Statement, of which this Proxy Statement/Prospectus forms a part. Section references used in this section of the Proxy Statement/Prospectus refer to sections of the Indenture.</w:t>
      </w:r>
    </w:p>
    <w:p>
      <w:pPr>
        <w:spacing w:after="0" w:line="15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SUBORDINATION. The payment of the principal of and interest on the Viacom Debentures is subordinated in right of payment, to the extent set forth in the Indenture, to the prior payment in full of all Senior Indebtedness of Viacom, as that term is defined in the Indenture. (Section 101) By reason of such subordination, in the event of the insolvency of Viacom, creditors of Viacom who are not holders of Senior Indebtedness may recover less ratably than holders of Senior Indebtedness and may recover more or less ratably than Holders of the Viacom Debentures and Viacom may be unable to make all payments due under the Viacom Debentures. There are no restrictions in the Indenture on the amount of Senior Indebtedness or any other indebtedness that may be issued by Viacom, and the Viacom Debentures will be subordinated to substantially all future indebtedness of Viacom and effectively subordinated to all indebtedness and other liabilities of subsidiaries of Viacom. Upon any distribution of the assets of Viacom upon any dissolution, winding up, liquidation, or reorganization of Viacom, the holders of Senior Indebtedness will be entitled to receive payment in full before holders of the Viacom Debentures are entitled to receive any payment. (Section 1302)</w:t>
      </w:r>
    </w:p>
    <w:p>
      <w:pPr>
        <w:spacing w:after="0" w:line="166" w:lineRule="exact"/>
        <w:rPr>
          <w:sz w:val="20"/>
          <w:szCs w:val="20"/>
          <w:color w:val="auto"/>
        </w:rPr>
      </w:pPr>
    </w:p>
    <w:p>
      <w:pPr>
        <w:ind w:right="3619" w:firstLine="418"/>
        <w:spacing w:after="0" w:line="276" w:lineRule="auto"/>
        <w:rPr>
          <w:sz w:val="20"/>
          <w:szCs w:val="20"/>
          <w:color w:val="auto"/>
        </w:rPr>
      </w:pPr>
      <w:r>
        <w:rPr>
          <w:rFonts w:ascii="Courier New" w:cs="Courier New" w:eastAsia="Courier New" w:hAnsi="Courier New"/>
          <w:sz w:val="13"/>
          <w:szCs w:val="13"/>
          <w:color w:val="auto"/>
        </w:rPr>
        <w:t>"Senior Indebtedness" is defined in the Indenture to mean any indebtedness which is not by its terms subordinate to any other indebtedness. (Section 101)</w:t>
      </w:r>
    </w:p>
    <w:p>
      <w:pPr>
        <w:spacing w:after="0" w:line="14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 in the event and during the continuation of any default in the payment of principal of (or premium, if any) or interest on any Senior Indebtedness beyond any applicable grace period with respect thereto, or in the event that any nonpayment event of default with respect to any Senior Indebtedness shall have occurred and be continuing and shall have resulted in such Senior Indebtedness becoming or being declared due and payable prior to the date on which it would otherwise have become due and payable, or (b) in the event that any other nonpayment event of default with respect to any Senior Indebtedness shall have occurred and be continuing permitting the holders of such Senior Indebtedness (or a trustee on behalf of the holders thereof) to declare such Senior Indebtedness due and payable prior to the date on which it would otherwise have become due and payable, then no payment, direct or indirect (including any payment which may be payable by reason of the payment of any other indebtedness of Viacom being subordinated to the payment of the Viacom Debentures), shall be made by Viacom on account of principal of (or premium, if any) or interest on the Viacom Debentures or on account of the purchase or redemption or other acquisition of Viacom Debentures (x) in case of any payment or nonpayment event of default specified in (a), unless and until (A) such event of default shall have been cured or waived or shall have ceased to exist or such acceleration shall have been rescinded or annulled or (B) the Senior Indebtedness in respect of which such declaration of acceleration has occurred is discharged, (y) in case of any nonpayment event of default specified in (b), from the earlier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142</w:t>
      </w:r>
    </w:p>
    <w:p>
      <w:pPr>
        <w:sectPr>
          <w:pgSz w:w="11900" w:h="16838" w:orient="portrait"/>
          <w:cols w:equalWidth="0" w:num="1">
            <w:col w:w="10239"/>
          </w:cols>
          <w:pgMar w:left="220" w:top="600" w:right="1440" w:bottom="1440" w:gutter="0" w:footer="0" w:header="0"/>
        </w:sectPr>
      </w:pPr>
    </w:p>
    <w:bookmarkStart w:id="159" w:name="page160"/>
    <w:bookmarkEnd w:id="159"/>
    <w:p>
      <w:pPr>
        <w:ind w:right="3539"/>
        <w:spacing w:after="0" w:line="243" w:lineRule="auto"/>
        <w:rPr>
          <w:sz w:val="20"/>
          <w:szCs w:val="20"/>
          <w:color w:val="auto"/>
        </w:rPr>
      </w:pPr>
      <w:r>
        <w:rPr>
          <w:rFonts w:ascii="Courier New" w:cs="Courier New" w:eastAsia="Courier New" w:hAnsi="Courier New"/>
          <w:sz w:val="14"/>
          <w:szCs w:val="14"/>
          <w:color w:val="auto"/>
        </w:rPr>
        <w:t>of the dates Viacom and the Trustee receive written notice of such event of default from an Agent Bank or any other representative of a holder of Senior Indebtedness until the earlier of (A) 180 days after such date and (B) the date, if any, on which the Senior Indebtedness to which such default relates is discharged or such default is waived by the holders of such Senior Indebtedness or otherwise cured (provided that further written notice relating to the same Senior Indebtedness received by Viacom or the Trustee within 12 months after such receipt shall not be effective for purposes of this clause (y)) or (z) in case of any payment or nonpayment event of default specified in clause (a) or (b), as long as any judicial proceeding is pending with respect to such event. (Section 1303)</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If Viacom fails to make any payment on the Viacom Debentures when due or within any applicable grace period, whether or not on account of the payment blockage provisions referred to above, such failure would constitute an Event of Default under the Indenture and would enable the holders of the Viacom Debentures to accelerate the maturity thereof. See "--Events of Default."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Viacom Debentures are obligations exclusively of Viacom. Because the operations of Viacom are currently conducted through subsidiaries, the cash flow and the consequent ability to service debt of Viacom, including the Viacom Debentures, are dependent, in part, upon the earnings of its subsidiaries and the distribution of those earnings to Viacom or upon loans or other payment of funds by those subsidiaries to Viacom. The subsidiaries are separate and distinct legal entities and have no obligation, contingent or otherwise, to pay any amounts due pursuant to the Viacom Debentures or to make any funds available therefor, whether by dividends, loans or other payments. In addition, the payment of dividends and the making of loans and advances to Viacom by its subsidiaries may be subject to statutory or contractual restrictions, are contingent upon the earnings of those subsidiaries and are subject to various business considerations.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Viacom Debentures will be effectively subordinated to all indebtedness and other liabilities, including current liabilities and commitments under leases, if any, of Viacom's subsidiaries. Any right of Viacom to receive assets of any of its subsidiaries upon liquidation or reorganization of the subsidiary (and the consequent right of the holders of the Viacom Debentures to participate in those assets) will be effectively subordinated to the claims of that subsidiary's creditors (including trade creditors), except to the extent that Viacom is itself recognized as a creditor of such subsidiary, in which case the claims of Viacom would still be subordinated to any security interests in the assets of such subsidiary and any indebtedness of such subsidiary senior to that held by Viacom.</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COVENANTS. The Indenture contains covenants of Viacom with respect to the following matters: (i) payment of principal, premium, if any, and interest (Section 1001); (ii) maintenance of an office or agency (Section 1002); (iii) arrangements regarding the handling of money for security payments to be held in trust (Section 1003); (iv) maintenance of corporate existence (Section 1004); (v) payment of taxes and other claims (Section 1005).</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LIMITATION OF SENIOR INDEBTEDNESS. Except as permitted by the Credit Agreement, so long as any Viacom Debentures are outstanding, Viacom will not, and will not permit any Restricted Subsidiary to, directly or indirectly create, incur, assume or guarantee (collectively "incur") any additional Senior Indebtedness (other than Permitted Indebtedness); provided, however, that Viacom will be permitted to incur additional Senior Indebtedness if, after giving effect to such additional Senior Indebtedness, Viacom's Consolidated Fixed Charge Coverage Ratio for the prior four fiscal quarters, would be at least 1.5 to 1, determined on pro forma basis as if such additional Senior Indebtedness had been incurred, and in the case of acquisitions or asset sales, such acquisitions or asset sales had been consummated, at the beginning of such four quarter period.</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"Permitted Indebtedness" is defined in the Indenture to mean:</w:t>
      </w:r>
    </w:p>
    <w:p>
      <w:pPr>
        <w:spacing w:after="0" w:line="166" w:lineRule="exact"/>
        <w:rPr>
          <w:sz w:val="20"/>
          <w:szCs w:val="20"/>
          <w:color w:val="auto"/>
        </w:rPr>
      </w:pPr>
    </w:p>
    <w:p>
      <w:pPr>
        <w:ind w:left="420" w:right="3959" w:firstLine="423"/>
        <w:spacing w:after="0" w:line="242" w:lineRule="auto"/>
        <w:tabs>
          <w:tab w:leader="none" w:pos="117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Viacom or any Restricted Subsidiary in existence on the Date of Issuance, including, without limitation, Indebtedness under the Credit Agreement and under any outstanding debt securities of Viacom or guarantees of Viacom of Indebtedness of any Subsidiary;</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143</w:t>
      </w:r>
    </w:p>
    <w:p>
      <w:pPr>
        <w:sectPr>
          <w:pgSz w:w="11900" w:h="16838" w:orient="portrait"/>
          <w:cols w:equalWidth="0" w:num="1">
            <w:col w:w="10239"/>
          </w:cols>
          <w:pgMar w:left="220" w:top="603" w:right="1440" w:bottom="1440" w:gutter="0" w:footer="0" w:header="0"/>
        </w:sectPr>
      </w:pPr>
    </w:p>
    <w:bookmarkStart w:id="160" w:name="page161"/>
    <w:bookmarkEnd w:id="160"/>
    <w:p>
      <w:pPr>
        <w:ind w:left="840" w:hanging="417"/>
        <w:spacing w:after="0"/>
        <w:tabs>
          <w:tab w:leader="none" w:pos="8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evidenced by the Viacom Debentures issued under the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w:t>
      </w:r>
    </w:p>
    <w:p>
      <w:pPr>
        <w:spacing w:after="0" w:line="165" w:lineRule="exact"/>
        <w:rPr>
          <w:rFonts w:ascii="Courier New" w:cs="Courier New" w:eastAsia="Courier New" w:hAnsi="Courier New"/>
          <w:sz w:val="14"/>
          <w:szCs w:val="14"/>
          <w:color w:val="auto"/>
        </w:rPr>
      </w:pPr>
    </w:p>
    <w:p>
      <w:pPr>
        <w:ind w:right="4039" w:firstLine="423"/>
        <w:spacing w:after="0" w:line="239" w:lineRule="auto"/>
        <w:tabs>
          <w:tab w:leader="none" w:pos="9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Viacom to any Restricted Subsidiary or any Restricted Subsidiary to Viacom;</w:t>
      </w:r>
    </w:p>
    <w:p>
      <w:pPr>
        <w:spacing w:after="0" w:line="166" w:lineRule="exact"/>
        <w:rPr>
          <w:rFonts w:ascii="Courier New" w:cs="Courier New" w:eastAsia="Courier New" w:hAnsi="Courier New"/>
          <w:sz w:val="14"/>
          <w:szCs w:val="14"/>
          <w:color w:val="auto"/>
        </w:rPr>
      </w:pPr>
    </w:p>
    <w:p>
      <w:pPr>
        <w:ind w:right="3699" w:firstLine="423"/>
        <w:spacing w:after="0" w:line="264" w:lineRule="auto"/>
        <w:tabs>
          <w:tab w:leader="none" w:pos="837" w:val="left"/>
        </w:tabs>
        <w:numPr>
          <w:ilvl w:val="0"/>
          <w:numId w:val="1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Indebtedness of Viacom or any Restricted Subsidiary arising under or pursuant to, or incurred in order to meet any obligation under, any contract, agreement or arrangement in existence on the Date of Issuance, including, without limitation, any Indebtedness arising as a result of or in connection with Viacom's acquisition of Blockbuster and Paramount (including Indebtedness of Blockbuster or Paramount existing at the Date of Issuance or arising pursuant to Contracts, agreements and arrangements in existence on the Date of Issuance);</w:t>
      </w:r>
    </w:p>
    <w:p>
      <w:pPr>
        <w:spacing w:after="0" w:line="152" w:lineRule="exact"/>
        <w:rPr>
          <w:rFonts w:ascii="Courier New" w:cs="Courier New" w:eastAsia="Courier New" w:hAnsi="Courier New"/>
          <w:sz w:val="13"/>
          <w:szCs w:val="13"/>
          <w:color w:val="auto"/>
        </w:rPr>
      </w:pPr>
    </w:p>
    <w:p>
      <w:pPr>
        <w:ind w:right="3699" w:firstLine="423"/>
        <w:spacing w:after="0" w:line="242" w:lineRule="auto"/>
        <w:tabs>
          <w:tab w:leader="none" w:pos="753"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renewal, refunding, refinancing or extension of any of the Indebtedness referred to in clauses (i) through (iv) above, provided that the principal amount of such Indebtedness so issued does not exceed the original principal amount of the Indebtedness so renewed, refunded, refinanced or extended; and</w:t>
      </w:r>
    </w:p>
    <w:p>
      <w:pPr>
        <w:spacing w:after="0" w:line="165" w:lineRule="exact"/>
        <w:rPr>
          <w:rFonts w:ascii="Courier New" w:cs="Courier New" w:eastAsia="Courier New" w:hAnsi="Courier New"/>
          <w:sz w:val="14"/>
          <w:szCs w:val="14"/>
          <w:color w:val="auto"/>
        </w:rPr>
      </w:pPr>
    </w:p>
    <w:p>
      <w:pPr>
        <w:ind w:right="3699" w:firstLine="423"/>
        <w:spacing w:after="0" w:line="239" w:lineRule="auto"/>
        <w:tabs>
          <w:tab w:leader="none" w:pos="83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Indebtedness of Viacom not to exceed $1.0 billion in the aggregate at any time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EVENTS OF DEFAULT. The following are Events of Default under the Indenture:</w:t>
      </w:r>
    </w:p>
    <w:p>
      <w:pPr>
        <w:spacing w:after="0" w:line="175" w:lineRule="exact"/>
        <w:rPr>
          <w:sz w:val="20"/>
          <w:szCs w:val="20"/>
          <w:color w:val="auto"/>
        </w:rPr>
      </w:pPr>
    </w:p>
    <w:p>
      <w:pPr>
        <w:ind w:right="3799" w:firstLine="423"/>
        <w:spacing w:after="0" w:line="242" w:lineRule="auto"/>
        <w:tabs>
          <w:tab w:leader="none" w:pos="753"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on any Viacom Debenture when it becomes due and payable, and continuance of such default for a period of 30 days whether or not such payment shall be prohibited by the subordination provisions of the Indenture; or</w:t>
      </w:r>
    </w:p>
    <w:p>
      <w:pPr>
        <w:spacing w:after="0" w:line="164" w:lineRule="exact"/>
        <w:rPr>
          <w:rFonts w:ascii="Courier New" w:cs="Courier New" w:eastAsia="Courier New" w:hAnsi="Courier New"/>
          <w:sz w:val="14"/>
          <w:szCs w:val="14"/>
          <w:color w:val="auto"/>
        </w:rPr>
      </w:pPr>
    </w:p>
    <w:p>
      <w:pPr>
        <w:ind w:right="3619" w:firstLine="423"/>
        <w:spacing w:after="0" w:line="242" w:lineRule="auto"/>
        <w:tabs>
          <w:tab w:leader="none" w:pos="83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Viacom Debenture at its Maturity; upon acceleration, redemption or when otherwise due and payable, whether or not such payment shall be prohibited by the subordination provisions of the Indenture; or</w:t>
      </w:r>
    </w:p>
    <w:p>
      <w:pPr>
        <w:spacing w:after="0" w:line="164" w:lineRule="exact"/>
        <w:rPr>
          <w:rFonts w:ascii="Courier New" w:cs="Courier New" w:eastAsia="Courier New" w:hAnsi="Courier New"/>
          <w:sz w:val="14"/>
          <w:szCs w:val="14"/>
          <w:color w:val="auto"/>
        </w:rPr>
      </w:pPr>
    </w:p>
    <w:p>
      <w:pPr>
        <w:ind w:right="3619" w:firstLine="423"/>
        <w:spacing w:after="0" w:line="242" w:lineRule="auto"/>
        <w:tabs>
          <w:tab w:leader="none" w:pos="92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redemption payment on any Viacom Debenture when it becomes due and payable, and continuance of such default for a period of 30 days whether or not such payment shall be prohibited by the subordination provisions of the Indenture; or</w:t>
      </w:r>
    </w:p>
    <w:p>
      <w:pPr>
        <w:spacing w:after="0" w:line="164" w:lineRule="exact"/>
        <w:rPr>
          <w:rFonts w:ascii="Courier New" w:cs="Courier New" w:eastAsia="Courier New" w:hAnsi="Courier New"/>
          <w:sz w:val="14"/>
          <w:szCs w:val="14"/>
          <w:color w:val="auto"/>
        </w:rPr>
      </w:pPr>
    </w:p>
    <w:p>
      <w:pPr>
        <w:ind w:right="3539" w:firstLine="423"/>
        <w:spacing w:after="0" w:line="243" w:lineRule="auto"/>
        <w:tabs>
          <w:tab w:leader="none" w:pos="83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Viacom in the Indenture (other than a covenant or warranty a default in whose performance or whose breach elsewhere in the Indenture specifically dealt with), and continuance of such default or breach for a period of 60 days after there has been given, by registered or certified mail, to Viacom and the Agent Bank by the Trustee or to Viacom, the Trustee and the Agent Bank by the holders of at least 25% in principal amount of the outstanding securities a written notice specifying such default or breach and requiring it to be remedied and stating that such notice is a "Notice of Default" under the Indenture; or</w:t>
      </w:r>
    </w:p>
    <w:p>
      <w:pPr>
        <w:spacing w:after="0" w:line="164" w:lineRule="exact"/>
        <w:rPr>
          <w:rFonts w:ascii="Courier New" w:cs="Courier New" w:eastAsia="Courier New" w:hAnsi="Courier New"/>
          <w:sz w:val="14"/>
          <w:szCs w:val="14"/>
          <w:color w:val="auto"/>
        </w:rPr>
      </w:pPr>
    </w:p>
    <w:p>
      <w:pPr>
        <w:ind w:right="3539" w:firstLine="423"/>
        <w:spacing w:after="0" w:line="243" w:lineRule="auto"/>
        <w:tabs>
          <w:tab w:leader="none" w:pos="753"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Viacom or any Restricted Subsidiary of Viacom in an involuntary case or proceeding under any applicable federal or state bankruptcy, insolvency, reorganization or other similar law or (B) a decree or order adjudging Viacom or any such Restricted Subsidiary a bankrupt or insolvent, or approving as properly filed a petition seeking reorganization, arrangement, adjustment or composition of or in respect of Viacom or any such Restricted Subsidiary under any applicable federal or state law, or appointing a custodian, receiver, liquidator, assignee, trustee, sequestrator or other similar official of Viacom or any such Restricted Subsidiary or of any substantial part of its property, or ordering the winding up or liquidation of its affairs, and the continuance of any such decree or order for relief or any such other decree or order unstayed and in effect for a period of 60 consecutive days; provided that, in the case of any such Restricted Subsidiary, the entry of such a decree or order shall not constitute an Event of Default under the Indenture unless the claims of such Restricted Subsidiary's creditors shall, in the aggregate, be in excess of $[50,000,000]; or</w:t>
      </w:r>
    </w:p>
    <w:p>
      <w:pPr>
        <w:spacing w:after="0" w:line="16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144</w:t>
      </w:r>
    </w:p>
    <w:p>
      <w:pPr>
        <w:sectPr>
          <w:pgSz w:w="11900" w:h="16838" w:orient="portrait"/>
          <w:cols w:equalWidth="0" w:num="1">
            <w:col w:w="9819"/>
          </w:cols>
          <w:pgMar w:left="640" w:top="600" w:right="1440" w:bottom="1440" w:gutter="0" w:footer="0" w:header="0"/>
        </w:sectPr>
      </w:pPr>
    </w:p>
    <w:bookmarkStart w:id="161" w:name="page162"/>
    <w:bookmarkEnd w:id="161"/>
    <w:p>
      <w:pPr>
        <w:ind w:left="420" w:right="3539" w:firstLine="423"/>
        <w:spacing w:after="0" w:line="262" w:lineRule="auto"/>
        <w:tabs>
          <w:tab w:leader="none" w:pos="1257" w:val="left"/>
        </w:tabs>
        <w:numPr>
          <w:ilvl w:val="0"/>
          <w:numId w:val="1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commencement by Viacom or any Restricted Subsidiary of Viacom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Viacom or any such Restricted Subsidiary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Viacom or any such Restricted Subsidiary or of any substantial part of its property, or the making by it of an assignment for the benefit of creditors, or the admission by it in writing of its inability to pay its debts generally as they become due or the taking of corporate action by Viacom or any such Restricted Subsidiary in furtherance of any such action; provided that, in the case of any such Restricted Subsidiary, none of the foregoing actions shall constitute an Event of Default under the Indenture unless the claims of such Restricted Subsidiary's creditors shall, in the aggregate, be in excess of $[50,000,000]; or</w:t>
      </w:r>
    </w:p>
    <w:p>
      <w:pPr>
        <w:spacing w:after="0" w:line="324" w:lineRule="exact"/>
        <w:rPr>
          <w:rFonts w:ascii="Courier New" w:cs="Courier New" w:eastAsia="Courier New" w:hAnsi="Courier New"/>
          <w:sz w:val="13"/>
          <w:szCs w:val="13"/>
          <w:color w:val="auto"/>
        </w:rPr>
      </w:pPr>
    </w:p>
    <w:p>
      <w:pPr>
        <w:ind w:left="420" w:right="3539" w:firstLine="423"/>
        <w:spacing w:after="0" w:line="242" w:lineRule="auto"/>
        <w:tabs>
          <w:tab w:leader="none" w:pos="13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money judgment in an amount in excess of $[50,000,000] against Viacom or any Restricted Subsidiary of Viacom which has become final and not subject to appeal, and the continuance of any such judgment unstayed, in effect and unpaid for a period of 60 days. (Section 501)</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If an Event of Default (other than an Event of Default specified in (v) or</w:t>
      </w:r>
    </w:p>
    <w:p>
      <w:pPr>
        <w:spacing w:after="0" w:line="5" w:lineRule="exact"/>
        <w:rPr>
          <w:sz w:val="20"/>
          <w:szCs w:val="20"/>
          <w:color w:val="auto"/>
        </w:rPr>
      </w:pPr>
    </w:p>
    <w:p>
      <w:pPr>
        <w:ind w:right="3539" w:firstLine="6"/>
        <w:spacing w:after="0" w:line="263" w:lineRule="auto"/>
        <w:tabs>
          <w:tab w:leader="none" w:pos="418"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above) occurs and is continuing, then in every such case the Trustee or the holders of not less than 25% in principal amount of the outstanding Viacom Merger Debentures or Viacom Exchange Debentures may, and the Trustee at the request of such holders shall, declare due and payable immediately the unpaid principal of (and premium, if any) and accrued interest in respect of each Viacom Merger Debenture or Viacom Exchange Debenture then outstanding, as the case may be (the "Default Amount"). Upon such declaration, the Default Amount shall become due and payable on all outstanding Viacom Debentures (i) if the Credit Agreement is not in effect, immediately, or (ii) if the Credit Agreement is in effect, upon the first to occur of (a) an acceleration under the Credit Agreement and (b) the fifth business day after receipt by Viacom and by the Agent Bank of written notice of such declaration unless (in the absence of an acceleration under the Credit Agreement) on or prior to such fifth business day Viacom shall have discharged the Indebtedness, if any, that is the subject of such Event of Default or otherwise cured the default relating to such Event of Default and shall have given written notice of such discharge or cure to the Trustee and the Agent Bank. Notwithstanding any other provision of the Indenture relating to acceleration of maturity, rescission and annulment, if an Event of Default specified in (v) or (vi) above occurs, then the Default Amount shall ipso facto become and be immediately due and payable without any declaration or other act on the part of the Trustee or any holder. (Section 502)</w:t>
      </w:r>
    </w:p>
    <w:p>
      <w:pPr>
        <w:spacing w:after="0" w:line="312"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At any time after such a declaration of acceleration, but before a judgment or decree for payment of the money due has been obtained by the Trustee, the holders of a majority in principal amount of the outstanding Viacom Merger Debentures or Viacom Exchange Debentures may, under certain circumstances, rescind or annul such declaration and its consequences if the Company (without violating the subordination provisions of the Indenture) has paid or deposited with the Trustee a sum sufficient to pay all overdue interest and other required amounts and if all Events of Default, other than the nonpayment of accelerated principal, premium, if any, and interest, have been cured or waived as provided in the Indenture. (Section 502) The holders of not less than a majority in principal amount of the Viacom Merger Debentures or Viacom Exchange Debentures then outstanding also have the right to waive certain past Defaults under the Indenture, except a Default (a) in the payment of principal of, premium, if any, or interest on, any Viacom Merger Debentures or Viacom Exchange Debentures or</w:t>
      </w:r>
    </w:p>
    <w:p>
      <w:pPr>
        <w:spacing w:after="0" w:line="2" w:lineRule="exact"/>
        <w:rPr>
          <w:sz w:val="20"/>
          <w:szCs w:val="20"/>
          <w:color w:val="auto"/>
        </w:rPr>
      </w:pPr>
    </w:p>
    <w:p>
      <w:pPr>
        <w:ind w:right="3699" w:firstLine="6"/>
        <w:spacing w:after="0" w:line="241" w:lineRule="auto"/>
        <w:tabs>
          <w:tab w:leader="none" w:pos="3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any other provision of the Indenture that cannot be modified or amended without the consent of the holder of each outstanding Viacom Debenture affected thereby. (Section 513)</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39"/>
          </w:cols>
          <w:pgMar w:left="220" w:top="603" w:right="1440" w:bottom="1440" w:gutter="0" w:footer="0" w:header="0"/>
        </w:sectPr>
      </w:pPr>
    </w:p>
    <w:bookmarkStart w:id="162" w:name="page163"/>
    <w:bookmarkEnd w:id="162"/>
    <w:p>
      <w:pPr>
        <w:ind w:right="3539" w:firstLine="418"/>
        <w:spacing w:after="0" w:line="243" w:lineRule="auto"/>
        <w:rPr>
          <w:sz w:val="20"/>
          <w:szCs w:val="20"/>
          <w:color w:val="auto"/>
        </w:rPr>
      </w:pPr>
      <w:r>
        <w:rPr>
          <w:rFonts w:ascii="Courier New" w:cs="Courier New" w:eastAsia="Courier New" w:hAnsi="Courier New"/>
          <w:sz w:val="14"/>
          <w:szCs w:val="14"/>
          <w:color w:val="auto"/>
        </w:rPr>
        <w:t>No Holder of any Viacom Debentures issued under the Indenture has any right to institute any proceeding with respect to such Indenture or for any remedy thereunder, unless (i) such holder has previously given to the Trustee written notice of a continuing Event of Default under the Indenture, (ii) the holders of at least 25% in principal amount of the outstanding Viacom Merger Debentures or Viacom Exchange Debentures, as the case may be, have made written request, and offered reasonable indemnity, to the Trustee to institute such proceeding as Trustee under the Indenture and (iii) the Trustee has not received from the holders of a majority in principal amount of the outstanding Viacom Merger Debentures or Viacom Exchange Debentures, as the case may be, a direction inconsistent with such request, and the Trustee has failed to institute such proceeding within 60 days after receipt of such notice. Such limitations do not apply, however, to a suit instituted by a holder of a Viacom Merger Debenture or Viacom Exchange Debenture for the enforcement of payment of the principal of, premium, if any, or interest on, such Viacom Merger Debenture or Viacom Exchange Debenture on or after the respective due dates expressed in such Viacom Merger Debenture or Viacom Exchange Debenture.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During the existence of an Event of Default, the Trustee is required to exercise such rights and powers vested in it under the Indenture and use the same degree of care and skill in its exercise thereof as a prudent person would exercise under the circumstances in the conduct of such person's own affairs. Subject to the provisions of the Indenture relating to the duties of the Trustee, in case an Event of Default shall occur and be continuing, the Trustee is not under any obligation to exercise any of its rights or powers under the Indenture at the request or direction of any of the holders unless such holders shall have offered the Trustee reasonable security or indemnity against the costs, expenses and liabilities which might be incurred by it in compliance with such request or direction. (Section 602) Subject to certain provisions concerning the rights of the Trustee, the holders of a majority in principal amount of the outstanding Viacom Merger Debentures or Viacom Exchange Debentures have the right to direct the time, method and place of conducting any proceeding for any remedy available to the Trustee, or exercising any trust or power conferred on the Trustee under the Indenture. (Section 512)</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Viacom is required to furnish to the Trustee annual statements as to the performance by Viacom of its obligations under the Indenture . Viacom is also required, so long as any of the Viacom Debentures are outstanding, to notify the Trustee of the occurrence of any default. (Section 1007)</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DEFEASANCE OR COVENANT DEFEASANCE OF INDENTURE. Viacom may, at its option and at any time, elect to defease and have the obligations of Viacom discharged with respect to the outstanding Viacom Debentures ("defeasance"). Such defeasance means that Viacom shall be deemed to have paid and discharged the entire indebtedness represented by the outstanding Viacom Debentures and to have satisfied all other obligations under the Viacom Debentures and the Indenture, except for (i) the rights of holders of the outstanding Viacom Debentures to receive, solely from the trust fund described below, payments in respect of the principal of, premium, if any, and interest on such Viacom Debentures when such payments are due, (ii) Viacom's obligations with respect to the Viacom Debentures concerning issuing temporary Viacom Debentures, registration of Viacom Debentures, replacement of mutilated, destroyed, lost or stolen Viacom Debentures and the maintenance of an office or agency for payment and money for security payments held in trust, (iii) the rights, powers, trusts, duties and immunities of the Trustee under the Indenture, and (iv) the defeasance provisions of the Indenture. (Section 1202) In addition, Viacom may, at its option and at any time, elect to have its obligations released with respect to certain covenants that are described in the Indenture with respect to the outstanding Viacom Debentures ("covenant defeasance") and any omission to comply with such obligations shall not constitute a Default or an Event of Default with respect to the Viacom Debentures. (Section 1203)</w:t>
      </w:r>
    </w:p>
    <w:p>
      <w:pPr>
        <w:spacing w:after="0" w:line="168"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In order to exercise either defeasance or covenant defeasance, (i) Viacom shall irrevocably deposit with the Trustee, as trust funds in trust, for the benefit of the holders of the Viacom Merger Debentures or Viacom Exchange Debentures, money in an amount, U.S. Government Obligations (as defined in the Indenture), or a combination thereof, in such amount as will be sufficient, in the opinion of a nationally recognized firm of independent public accountants, to pay and discharge (a) each installment of the</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146</w:t>
      </w:r>
    </w:p>
    <w:p>
      <w:pPr>
        <w:sectPr>
          <w:pgSz w:w="11900" w:h="16838" w:orient="portrait"/>
          <w:cols w:equalWidth="0" w:num="1">
            <w:col w:w="10239"/>
          </w:cols>
          <w:pgMar w:left="220" w:top="603"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principal of (and premium, if any, on) and interest on the outstanding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to Stated Maturity (of each such installment) on the day on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payments are due and payable in accordance with the terms of the 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 any mandatory sinking fund payments or analogous payments applicable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outstanding Viacom Debentures on the due dates thereof; (ii) Viacom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delivered to the Trustee an opinion of counsel to the effect that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the outstanding Viacom Merger Debentures or Viacom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will not recognize income, gain or loss for federal income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as a result of such defeasance or covenant defeasance, as the case may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and will be subject to federal income tax on the same amounts, in the same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manner and at the same times as would have been the case if such defeasance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 defeasance, as the case may be, had not occurred; (iii) no Default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shall have occurred and be continuing on the date of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 or insofar as clauses (v) and (vi) under the first paragraph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is concerned, at any time during the period ending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91st day after the date of deposit or, if longer, ending on the day following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expiration of the longest preference period applicable to Viacom in respect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such deposit; (iv) such defeasance or covenant defeasance shall not result 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breach or violation of, or constitute a default under, the Indenture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agreement or instrument to which Viacom is a party or by which it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bound; (v) such defeasance or covenant defeasance shall not (a) cause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to have a conflicting interest as defined in TIA Section 310(b)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for purposes of the TIA with respect to any securities of Viacom or</w:t>
      </w:r>
    </w:p>
    <w:p>
      <w:pPr>
        <w:spacing w:after="0" w:line="5" w:lineRule="exact"/>
        <w:rPr>
          <w:sz w:val="20"/>
          <w:szCs w:val="20"/>
          <w:color w:val="auto"/>
        </w:rPr>
      </w:pPr>
    </w:p>
    <w:p>
      <w:pPr>
        <w:ind w:right="3539" w:firstLine="6"/>
        <w:spacing w:after="0" w:line="243" w:lineRule="auto"/>
        <w:tabs>
          <w:tab w:leader="none" w:pos="33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trust arising from such deposit to constitute, unless it is qualified as, a regulated investment company under the Investment Company Act of 1940, as amended, (vi) such defeasance or covenant defeasance shall not cause any Viacom Debentures then listed on any registered securities exchange under the Exchange Act to be delisted, and (vii) Viacom shall have delivered to the Trustee an officers' certificate and an opinion of counsel, each stating that all conditions precedent and subsequent provided for relating to either the defeasance or the covenant defeasance, as the case may be, have been complied with. (Section 1204)</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SATISFACTION AND DISCHARGE. The Indenture will be discharged and will cease to be of further effect (except as to surviving rights of registration of transfer or exchange of Viacom Debentures, as expressly provided for in the Indenture) as to all outstanding Viacom Debentures issued under the Indenture when either (i) such Viacom Debentures theretofore authenticated and delivered (except lost, stolen or destroyed Viacom Debentures which have been replaced or paid and Viacom Debentures for whose payment money has theretofore been deposited in trust and thereafter repaid or discharged from such trust as provided in the Indenture) have been delivered to the Trustee for cancellation or (ii) all such Viacom Debentures not theretofore delivered to the Trustee for cancellation have become due and payable, or will become due and payable or are to be called for redemption within one year, Viacom has irrevocably deposited or caused to be deposited with the Trustee money or U.S. Government Obligations, or a combination thereof, in such amounts as will be sufficient to pay the entire indebtedness on such Viacom Debentures for principal (and premium, if any) and interest to the date of deposit (if such Viacom Debentures are then due and payable) or to the applicable maturity or redemption date (as the case may be), and Viacom has paid all sums payable by it under the Indenture. In addition, Viacom must deliver to the Trustee an officers' certificate and an opinion of counsel stating that all conditions precedent to satisfaction and discharge have been complied with. (Section 401)</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MERGER OR CONSOLIDATION. The Indenture provides that, except as permitted by the Credit Agreement, so long as any Viacom Debentures are outstanding, Viacom may not enter into a transaction resulting in a consolidation merger, sale or transfer of all or substantially all of its assets unless (i) the successor Person is either Viacom or a U.S. Person which assumes through a supplemental indenture all obligations under the Viacom Debentures and the Indenture, (ii) immediately before and immediately after giving pro forma effect to the transaction, there exists no Event of Default or event which after notice or lapse of time or both would become an Event of Default, and (iii) after giving pro forma effect to the transaction, Viacom could incur at least $1.00 of Senior Indebtedness pursuant to the provisions under the Limitation of Senior Indebtedness. The foregoing restriction does not apply to any merger, consolidation, sale or transfer with or between Viacom and any Restricted Subsidiary or with or between Restricted Subsidiaries. (Section 801)</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147</w:t>
      </w:r>
    </w:p>
    <w:p>
      <w:pPr>
        <w:sectPr>
          <w:pgSz w:w="11900" w:h="16838" w:orient="portrait"/>
          <w:cols w:equalWidth="0" w:num="1">
            <w:col w:w="10239"/>
          </w:cols>
          <w:pgMar w:left="220" w:top="600" w:right="1440" w:bottom="1440" w:gutter="0" w:footer="0" w:header="0"/>
        </w:sectPr>
      </w:pPr>
    </w:p>
    <w:bookmarkStart w:id="164" w:name="page165"/>
    <w:bookmarkEnd w:id="164"/>
    <w:p>
      <w:pPr>
        <w:ind w:right="3539" w:firstLine="418"/>
        <w:spacing w:after="0" w:line="243" w:lineRule="auto"/>
        <w:rPr>
          <w:sz w:val="20"/>
          <w:szCs w:val="20"/>
          <w:color w:val="auto"/>
        </w:rPr>
      </w:pPr>
      <w:r>
        <w:rPr>
          <w:rFonts w:ascii="Courier New" w:cs="Courier New" w:eastAsia="Courier New" w:hAnsi="Courier New"/>
          <w:sz w:val="14"/>
          <w:szCs w:val="14"/>
          <w:color w:val="auto"/>
        </w:rPr>
        <w:t>MODIFICATION OR WAIVER. Modification and amendment of the Indenture may be made by Viacom and the Trustee with the consent of the holders of not less than a majority in principal amount of all outstanding Viacom Debentures, provided that no such modification or amendment may, without the consent of the holder of each outstanding Viacom Debenture, among other things: (i) change the Stated Maturity of the principal of or any installment of principal of or interest on any Viacom Debenture; (ii) reduce the principal amount or the rate of interest on, or any premium payable upon the redemption of, any Viacom Debenture; (iii) impair the right to institute suit for the enforcement of any such payment after the Stated Maturity thereof or any Redemption Date therefor; (iv) reduce the above-stated percentage of holders of outstanding Viacom Debentures, as the case may be, necessary to modify or amend the Indenture or to consent to any waiver thereunder or (v) modify any of the provisions of the Indenture relating to the subordination of the Viacom Debentures in a manner adverse to the holders thereof. (Section 902)</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Modification and amendment of the Indenture may be made by Viacom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without the consent of any holder, for any of the following purposes:</w:t>
      </w:r>
    </w:p>
    <w:p>
      <w:pPr>
        <w:spacing w:after="0" w:line="5" w:lineRule="exact"/>
        <w:rPr>
          <w:sz w:val="20"/>
          <w:szCs w:val="20"/>
          <w:color w:val="auto"/>
        </w:rPr>
      </w:pPr>
    </w:p>
    <w:p>
      <w:pPr>
        <w:ind w:right="3619" w:firstLine="6"/>
        <w:spacing w:after="0" w:line="265" w:lineRule="auto"/>
        <w:tabs>
          <w:tab w:leader="none" w:pos="335" w:val="left"/>
        </w:tabs>
        <w:numPr>
          <w:ilvl w:val="0"/>
          <w:numId w:val="1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evidence the succession of another Person to Viacom as obligor under the Indenture; (ii) to add to the covenants of Viacom for the benefit of the holders; (iii) to add additional Events of Default; (iv) to provide for the acceptance of appointment by a successor Trustee; or (v) to cure any ambiguity, defect or inconsistency in the Indenture, provided such action does not adversely affect the interest of holders in any material respect. (Section 901)</w:t>
      </w:r>
    </w:p>
    <w:p>
      <w:pPr>
        <w:spacing w:after="0" w:line="151"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CERTAIN DEFINITIONS. Set forth below is a summary of certain defined terms used in the Indenture. Reference is made to the Indenture for the full definition of all such terms, as well as any other capitalized terms used herein for which no definition is provided.</w:t>
      </w:r>
    </w:p>
    <w:p>
      <w:pPr>
        <w:spacing w:after="0" w:line="165"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"Agent Bank" means any agent or agents from time to time under the Credit Agreement, or any successor or successors thereto.</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"Capitalized Lease" means any Indebtedness represented by a lease obligation of a Person incurred with respect to real property or equipment acquired or leased by such Person and used in its business that is required to be recorded as a capital lease in accordance with generally accepted accounting principles consistently applied as in effect from time to time (other than in respect of telecommunications equipment, including without limitation, satellite transponders).</w:t>
      </w:r>
    </w:p>
    <w:p>
      <w:pPr>
        <w:spacing w:after="0" w:line="16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"Consolidated Fixed Coverage Ratio" means [to come].</w:t>
      </w:r>
    </w:p>
    <w:p>
      <w:pPr>
        <w:spacing w:after="0" w:line="166" w:lineRule="exact"/>
        <w:rPr>
          <w:sz w:val="20"/>
          <w:szCs w:val="20"/>
          <w:color w:val="auto"/>
        </w:rPr>
      </w:pPr>
    </w:p>
    <w:p>
      <w:pPr>
        <w:ind w:right="4039" w:firstLine="418"/>
        <w:spacing w:after="0" w:line="239" w:lineRule="auto"/>
        <w:rPr>
          <w:sz w:val="20"/>
          <w:szCs w:val="20"/>
          <w:color w:val="auto"/>
        </w:rPr>
      </w:pPr>
      <w:r>
        <w:rPr>
          <w:rFonts w:ascii="Courier New" w:cs="Courier New" w:eastAsia="Courier New" w:hAnsi="Courier New"/>
          <w:sz w:val="14"/>
          <w:szCs w:val="14"/>
          <w:color w:val="auto"/>
        </w:rPr>
        <w:t>"Credit Agreement" means any credit agreement under which Viacom is a borrower, in the principal amount of at least $100 million.</w:t>
      </w:r>
    </w:p>
    <w:p>
      <w:pPr>
        <w:spacing w:after="0" w:line="167" w:lineRule="exact"/>
        <w:rPr>
          <w:sz w:val="20"/>
          <w:szCs w:val="20"/>
          <w:color w:val="auto"/>
        </w:rPr>
      </w:pPr>
    </w:p>
    <w:p>
      <w:pPr>
        <w:ind w:right="4199" w:firstLine="418"/>
        <w:spacing w:after="0" w:line="239" w:lineRule="auto"/>
        <w:rPr>
          <w:sz w:val="20"/>
          <w:szCs w:val="20"/>
          <w:color w:val="auto"/>
        </w:rPr>
      </w:pPr>
      <w:r>
        <w:rPr>
          <w:rFonts w:ascii="Courier New" w:cs="Courier New" w:eastAsia="Courier New" w:hAnsi="Courier New"/>
          <w:sz w:val="14"/>
          <w:szCs w:val="14"/>
          <w:color w:val="auto"/>
        </w:rPr>
        <w:t>"Date of Issuance" means the day on which the Viacom Debentures are originally issued by Viacom.</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"Indebtedness" of any person means, without duplication, whether contingent or otherwise, any (i) obligation for money borrowed, (ii) obligation evidenced by bonds, debentures, notes or other similar instruments, (iii) reimbursement obligations in respect of letters of credit or other similar instruments, (iv) obligations under Capitalized Leases (other than in respect of telecommunications equipment including, without limitation, satellite transponders [and theme park equipment], (v) indebtedness of any third party secured by a Lien on the assets of such Person, and (vi) indebtedness of any Restricted Subsidiary guaranteed by Viacom or any other Restricted Subsidiary. When used with respect to Viacom or any Restricted Subsidiary, the term "Indebtedness" excludes (i) any Indebtedness of Viacom to a Restricted Subsidiary or any Restricted Subsidiary to another Restricted Subsidiary or to Viacom and (ii) any guarantee by Viacom of Indebtedness of any Restricted Subsidiary or any guarantee by a Restricted Subsidiary of Indebtedness of Viacom or any other Restricted Subsidiary. For the purpose of determining the outstanding principal amount of Indebtedness at any date, the amount of Indebtedness issued at a price less than the principal amount thereof or represented by a</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39"/>
          </w:cols>
          <w:pgMar w:left="220" w:top="603" w:right="1440" w:bottom="1440" w:gutter="0" w:footer="0" w:header="0"/>
        </w:sectPr>
      </w:pPr>
    </w:p>
    <w:bookmarkStart w:id="165" w:name="page166"/>
    <w:bookmarkEnd w:id="165"/>
    <w:p>
      <w:pPr>
        <w:ind w:right="3539"/>
        <w:spacing w:after="0" w:line="241" w:lineRule="auto"/>
        <w:rPr>
          <w:sz w:val="20"/>
          <w:szCs w:val="20"/>
          <w:color w:val="auto"/>
        </w:rPr>
      </w:pPr>
      <w:r>
        <w:rPr>
          <w:rFonts w:ascii="Courier New" w:cs="Courier New" w:eastAsia="Courier New" w:hAnsi="Courier New"/>
          <w:sz w:val="14"/>
          <w:szCs w:val="14"/>
          <w:color w:val="auto"/>
        </w:rPr>
        <w:t>Capitalized Lease shall be equal to the amount of the liability in respect thereof at such date determined in accordance with generally accepted accounting principles.</w:t>
      </w:r>
    </w:p>
    <w:p>
      <w:pPr>
        <w:spacing w:after="0" w:line="166" w:lineRule="exact"/>
        <w:rPr>
          <w:sz w:val="20"/>
          <w:szCs w:val="20"/>
          <w:color w:val="auto"/>
        </w:rPr>
      </w:pPr>
    </w:p>
    <w:p>
      <w:pPr>
        <w:ind w:right="3799" w:firstLine="418"/>
        <w:spacing w:after="0" w:line="239" w:lineRule="auto"/>
        <w:rPr>
          <w:sz w:val="20"/>
          <w:szCs w:val="20"/>
          <w:color w:val="auto"/>
        </w:rPr>
      </w:pPr>
      <w:r>
        <w:rPr>
          <w:rFonts w:ascii="Courier New" w:cs="Courier New" w:eastAsia="Courier New" w:hAnsi="Courier New"/>
          <w:sz w:val="14"/>
          <w:szCs w:val="14"/>
          <w:color w:val="auto"/>
        </w:rPr>
        <w:t>"Liens" means pledges, mortgages, liens, encumbrances and other security interests.</w:t>
      </w:r>
    </w:p>
    <w:p>
      <w:pPr>
        <w:spacing w:after="0" w:line="167" w:lineRule="exact"/>
        <w:rPr>
          <w:sz w:val="20"/>
          <w:szCs w:val="20"/>
          <w:color w:val="auto"/>
        </w:rPr>
      </w:pPr>
    </w:p>
    <w:p>
      <w:pPr>
        <w:ind w:right="3619" w:firstLine="418"/>
        <w:spacing w:after="0" w:line="269" w:lineRule="auto"/>
        <w:rPr>
          <w:sz w:val="20"/>
          <w:szCs w:val="20"/>
          <w:color w:val="auto"/>
        </w:rPr>
      </w:pPr>
      <w:r>
        <w:rPr>
          <w:rFonts w:ascii="Courier New" w:cs="Courier New" w:eastAsia="Courier New" w:hAnsi="Courier New"/>
          <w:sz w:val="13"/>
          <w:szCs w:val="13"/>
          <w:color w:val="auto"/>
        </w:rPr>
        <w:t>"Person" means any individual, corporation, partnership, joint venture, association, joint-stock company, trust, unincorporated organization or government or any agency or political subdivision thereof, or any other entity.</w:t>
      </w:r>
    </w:p>
    <w:p>
      <w:pPr>
        <w:spacing w:after="0" w:line="14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"Principal Property" means any parcel of real property, related fixtures, plant or equipment (other than telecommunications equipment, including, without limitation, satellite transponders) owned by Viacom or any wholly owned Subsidiary and located in the United States, the book value of which on the date of determination exceeds $500 million, other than any such real property, related fixtures, plant or equipment, which, as determined in good faith by the Board of Directors of Viacom, is not of material importance to the total business conducted by Viacom and its Subsidiaries, taken as a whole.</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"Restricted Subsidiary" means any corporation a majority of the outstanding voting stock of which is owned, directly or indirectly, by Viacom or by one or more of its subsidiaries, or by Viacom and one or more of its subsidiaries, which is incorporated under the laws of a State of the United States, and which owns a Principal Property.</w:t>
      </w:r>
    </w:p>
    <w:p>
      <w:pPr>
        <w:spacing w:after="0" w:line="166" w:lineRule="exact"/>
        <w:rPr>
          <w:sz w:val="20"/>
          <w:szCs w:val="20"/>
          <w:color w:val="auto"/>
        </w:rPr>
      </w:pPr>
    </w:p>
    <w:p>
      <w:pPr>
        <w:ind w:right="3539" w:firstLine="418"/>
        <w:spacing w:after="0" w:line="267" w:lineRule="auto"/>
        <w:rPr>
          <w:sz w:val="20"/>
          <w:szCs w:val="20"/>
          <w:color w:val="auto"/>
        </w:rPr>
      </w:pPr>
      <w:r>
        <w:rPr>
          <w:rFonts w:ascii="Courier New" w:cs="Courier New" w:eastAsia="Courier New" w:hAnsi="Courier New"/>
          <w:sz w:val="13"/>
          <w:szCs w:val="13"/>
          <w:color w:val="auto"/>
        </w:rPr>
        <w:t>"Stated Maturity", when used with respect to any Viacom Debenture or any installment of principal thereof or interest thereon, means the date specified in such Viacom Debenture as the fixed date on which the principal of such Viacom Debenture or such installment of principal or interest is due and payable.</w:t>
      </w:r>
    </w:p>
    <w:p>
      <w:pPr>
        <w:sectPr>
          <w:pgSz w:w="11900" w:h="16838" w:orient="portrait"/>
          <w:cols w:equalWidth="0" w:num="1">
            <w:col w:w="10239"/>
          </w:cols>
          <w:pgMar w:left="220" w:top="603" w:right="1440" w:bottom="1440" w:gutter="0" w:footer="0" w:header="0"/>
        </w:sectPr>
      </w:pPr>
    </w:p>
    <w:p>
      <w:pPr>
        <w:spacing w:after="0" w:line="149"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THE TRUSTEE.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will serve as trustee under the</w:t>
      </w:r>
    </w:p>
    <w:p>
      <w:pPr>
        <w:spacing w:after="0" w:line="332" w:lineRule="exact"/>
        <w:rPr>
          <w:sz w:val="20"/>
          <w:szCs w:val="20"/>
          <w:color w:val="auto"/>
        </w:rPr>
      </w:pPr>
    </w:p>
    <w:p>
      <w:pPr>
        <w:sectPr>
          <w:pgSz w:w="11900" w:h="16838" w:orient="portrait"/>
          <w:cols w:equalWidth="0" w:num="2">
            <w:col w:w="2800" w:space="720"/>
            <w:col w:w="6719"/>
          </w:cols>
          <w:pgMar w:left="220" w:top="603" w:right="1440" w:bottom="1440" w:gutter="0" w:footer="0" w:header="0"/>
          <w:type w:val="continuous"/>
        </w:sectPr>
      </w:pPr>
    </w:p>
    <w:p>
      <w:pPr>
        <w:ind w:left="420"/>
        <w:spacing w:after="0"/>
        <w:rPr>
          <w:sz w:val="20"/>
          <w:szCs w:val="20"/>
          <w:color w:val="auto"/>
        </w:rPr>
      </w:pPr>
      <w:r>
        <w:rPr>
          <w:rFonts w:ascii="Courier New" w:cs="Courier New" w:eastAsia="Courier New" w:hAnsi="Courier New"/>
          <w:sz w:val="14"/>
          <w:szCs w:val="14"/>
          <w:color w:val="auto"/>
        </w:rPr>
        <w:t>VIACOM MERGER DEBENTURES. The Viacom Merger Debentures will be limited to</w:t>
      </w:r>
    </w:p>
    <w:p>
      <w:pPr>
        <w:spacing w:after="0" w:line="5" w:lineRule="exact"/>
        <w:rPr>
          <w:sz w:val="20"/>
          <w:szCs w:val="20"/>
          <w:color w:val="auto"/>
        </w:rPr>
      </w:pPr>
    </w:p>
    <w:p>
      <w:pPr>
        <w:ind w:right="4199" w:firstLine="6"/>
        <w:spacing w:after="0" w:line="239" w:lineRule="auto"/>
        <w:tabs>
          <w:tab w:leader="none" w:pos="753"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aggregate principal amount and will mature 12 years from the Paramount Effective Time.</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Interest. The Viacom Merger Debentures will bear interest from</w:t>
      </w:r>
    </w:p>
    <w:p>
      <w:pPr>
        <w:spacing w:after="0" w:line="5" w:lineRule="exact"/>
        <w:rPr>
          <w:sz w:val="20"/>
          <w:szCs w:val="20"/>
          <w:color w:val="auto"/>
        </w:rPr>
      </w:pPr>
    </w:p>
    <w:p>
      <w:pPr>
        <w:ind w:right="3539" w:firstLine="1010"/>
        <w:spacing w:after="0" w:line="243" w:lineRule="auto"/>
        <w:tabs>
          <w:tab w:leader="none" w:pos="117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1994 or from the most recent Interest Payment Date to which interest has been paid, at a rate of 8% per annum, payable semi-annually on January 15 and July 15 (each an "Interest Payment Date") of each year, commencing on January 1, 1995, to holders of record at the close of business on the January 1 and July 1 next preceding each Interest Payment Date, except that the initial record date will be December 15, 1994. Interest will be computed on the basis of a 360-day year of twelve 30-day months. Payment of the principal of (and premium, if any, on) and interest on Viacom Merger Debentures will be made at the office or agency of Viacom maintained for that purpose in The City of New York, or at such other office or agency of Viacom as may be maintained for such purpose, in such coin or currency of the United States of America as at the time of payment is legal tender for payment of public and private debts; provided, however, that payment of interest may be made at the option of Viacom (i) by check mailed to the address of the Person entitled thereto as such address shall appear on the Security Register or (ii) by transfer to an account maintained by the payee located in the United States.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Optional Redemption. The Viacom Merger Debentures may not be redeemed prior to the fifth anniversary of the Paramount Effective Time. On or after that date, Viacom may, at its option, redeem the Viacom Merger Debentures, in whole or in part, from time to time, at the redemption prices (expressed as a percentage of principal amount) set forth below, together with accrued and unpaid interest, if any, to the redemption date: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20"/>
                <w:szCs w:val="20"/>
                <w:color w:val="auto"/>
              </w:rPr>
            </w:pPr>
            <w:r>
              <w:rPr>
                <w:rFonts w:ascii="Courier New" w:cs="Courier New" w:eastAsia="Courier New" w:hAnsi="Courier New"/>
                <w:sz w:val="14"/>
                <w:szCs w:val="14"/>
                <w:color w:val="auto"/>
              </w:rPr>
              <w:t>IF REDEEMED DURING THE 12 MONTH PERIOD BEGINNING ON THE</w:t>
            </w:r>
          </w:p>
        </w:tc>
        <w:tc>
          <w:tcPr>
            <w:tcW w:w="1680" w:type="dxa"/>
            <w:vAlign w:val="bottom"/>
          </w:tcPr>
          <w:p>
            <w:pPr>
              <w:spacing w:after="0"/>
              <w:rPr>
                <w:sz w:val="13"/>
                <w:szCs w:val="13"/>
                <w:color w:val="auto"/>
              </w:rPr>
            </w:pP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ANNIVERSARY OF THE PARAMOUNT EFFECTIVE DATE INDICATED BELOW</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PERCENTAGE</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w w:val="93"/>
              </w:rPr>
              <w:t>- - - - ------------------------------------------------------------------------------</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w w:val="98"/>
              </w:rPr>
              <w:t>-------------</w:t>
            </w:r>
          </w:p>
        </w:tc>
      </w:tr>
      <w:tr>
        <w:trPr>
          <w:trHeight w:val="322"/>
        </w:trPr>
        <w:tc>
          <w:tcPr>
            <w:tcW w:w="6780" w:type="dxa"/>
            <w:vAlign w:val="bottom"/>
          </w:tcPr>
          <w:p>
            <w:pPr>
              <w:spacing w:after="0"/>
              <w:rPr>
                <w:sz w:val="20"/>
                <w:szCs w:val="20"/>
                <w:color w:val="auto"/>
              </w:rPr>
            </w:pPr>
            <w:r>
              <w:rPr>
                <w:rFonts w:ascii="Courier New" w:cs="Courier New" w:eastAsia="Courier New" w:hAnsi="Courier New"/>
                <w:sz w:val="14"/>
                <w:szCs w:val="14"/>
                <w:color w:val="auto"/>
              </w:rPr>
              <w:t>Fifth.........................................................................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103%</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Sixth.........................................................................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102%</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Seventh.......................................................................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101%</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Eighth and thereafter.........................................................</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100%</w:t>
            </w:r>
          </w:p>
        </w:tc>
      </w:tr>
      <w:tr>
        <w:trPr>
          <w:trHeight w:val="483"/>
        </w:trPr>
        <w:tc>
          <w:tcPr>
            <w:tcW w:w="6780" w:type="dxa"/>
            <w:vAlign w:val="bottom"/>
          </w:tcPr>
          <w:p>
            <w:pPr>
              <w:ind w:left="3180"/>
              <w:spacing w:after="0"/>
              <w:rPr>
                <w:sz w:val="20"/>
                <w:szCs w:val="20"/>
                <w:color w:val="auto"/>
              </w:rPr>
            </w:pPr>
            <w:r>
              <w:rPr>
                <w:rFonts w:ascii="Courier New" w:cs="Courier New" w:eastAsia="Courier New" w:hAnsi="Courier New"/>
                <w:sz w:val="14"/>
                <w:szCs w:val="14"/>
                <w:color w:val="auto"/>
              </w:rPr>
              <w:t>149</w:t>
            </w:r>
          </w:p>
        </w:tc>
        <w:tc>
          <w:tcPr>
            <w:tcW w:w="1680" w:type="dxa"/>
            <w:vAlign w:val="bottom"/>
          </w:tcPr>
          <w:p>
            <w:pPr>
              <w:spacing w:after="0"/>
              <w:rPr>
                <w:sz w:val="24"/>
                <w:szCs w:val="24"/>
                <w:color w:val="auto"/>
              </w:rPr>
            </w:pPr>
          </w:p>
        </w:tc>
      </w:tr>
    </w:tbl>
    <w:p>
      <w:pPr>
        <w:sectPr>
          <w:pgSz w:w="11900" w:h="16838" w:orient="portrait"/>
          <w:cols w:equalWidth="0" w:num="1">
            <w:col w:w="10239"/>
          </w:cols>
          <w:pgMar w:left="220" w:top="603" w:right="1440" w:bottom="1440" w:gutter="0" w:footer="0" w:header="0"/>
          <w:type w:val="continuous"/>
        </w:sectPr>
      </w:pPr>
    </w:p>
    <w:bookmarkStart w:id="166" w:name="page167"/>
    <w:bookmarkEnd w:id="166"/>
    <w:p>
      <w:pPr>
        <w:ind w:right="3799" w:firstLine="418"/>
        <w:spacing w:after="0" w:line="239" w:lineRule="auto"/>
        <w:rPr>
          <w:sz w:val="20"/>
          <w:szCs w:val="20"/>
          <w:color w:val="auto"/>
        </w:rPr>
      </w:pPr>
      <w:r>
        <w:rPr>
          <w:rFonts w:ascii="Courier New" w:cs="Courier New" w:eastAsia="Courier New" w:hAnsi="Courier New"/>
          <w:sz w:val="14"/>
          <w:szCs w:val="14"/>
          <w:color w:val="auto"/>
        </w:rPr>
        <w:t>The Viacom Merger Debentures are not subject to any mandatory redemption and are not entitled to any sinking fund.</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Viacom Merger Debentures to be redeemed. (Section 1104) If less than all of the Viacom Merger Debentures are to be redeemed, the Trustee shall select the Viacom Merger Debentures to be redeemed by such method that the Trustee considers fair and appropriate and which may provide for the selection for redemption of portions of the principal of Viacom Merger Debentures; provided, however, that no such partial redemption shall reduce the portion of the principal amount of a Viacom Merger Debenture not redeemed to less than $1,000. (Section 1103)</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Exchange for Series C Preferred Stock. Viacom may, at its option, on or after the earlier of (i) January 1, 1995, but only if the Blockbuster Merger has not been consummated by such date, and (ii) the acquisition by a third party of beneficial ownership of a majority of the outstanding voting securities of Blockbuster, exchange the Viacom Merger Debentures, in whole but not in part, for shares of Viacom's Series C Preferred Stock. Holders of Viacom Merger Debentures so exchanged will be entitled to receive one fully paid and nonassessable share of Series C Preferred Stock for each $50 in principal amount of Viacom Merger Debentures. At the time of the exchange, dividends on the Series C Preferred Stock will be deemed to have accrued from the date of issuance of the Viacom Merger Debentures, and no accrued interest will be paid with respect to the Viacom Merger Debentures. (Section 1401)</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VIACOM EXCHANGE DEBENTURES. The Viacom Exchange Debentures will be limited in aggregate principal amount to an amount equal to the aggregate liquidation preference of the Series C Preferred Stock exchanged and will mature 20 years from the Paramount Effective Time.</w:t>
      </w:r>
    </w:p>
    <w:p>
      <w:pPr>
        <w:spacing w:after="0" w:line="16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Interest. The Viacom Exchange Debentures will bear interest from the date on which the Viacom Exchange Debentures are issued in exchange for the outstanding shares of Series C Preferred Stock (the "Exchange Date"), payable semi-annually on January 15 and July 15 (each an "Interest Payment Date") of each year, commencing on the first such date after the Exchange Date, at the rate of 5% per annum until the tenth anniversary of the Paramount Effective Time and, thereafter, at the rate of 10% per annum, to holders of record at the close of business on the January 1 and July 1 next preceding each Interest Payment Date. Interest will be computed on the basis of a 360-day year of twelve 30-day months. Payment of the principal of (and premium, if any, on) and interest on Viacom Exchange Debentures will be made at the office or agency of Viacom maintained for that purpose in The City of New York, or at such other office or agency of Viacom as may be maintained for such purpose, in such coin or currency of the United States of America as at the time of payment is legal tender for payment of public and private debts; provided, however, that payment of interest may be made at the option of Viacom (i) by check mailed to the address of the Person entitled hereto as such address shall appear on the Security Register or</w:t>
      </w:r>
    </w:p>
    <w:p>
      <w:pPr>
        <w:spacing w:after="0" w:line="153" w:lineRule="exact"/>
        <w:rPr>
          <w:sz w:val="20"/>
          <w:szCs w:val="20"/>
          <w:color w:val="auto"/>
        </w:rPr>
      </w:pPr>
    </w:p>
    <w:p>
      <w:pPr>
        <w:ind w:right="3879" w:firstLine="6"/>
        <w:spacing w:after="0" w:line="239" w:lineRule="auto"/>
        <w:tabs>
          <w:tab w:leader="none" w:pos="418"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transfer to an account maintained by the payee located in the United States.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Optional Redemption. The Viacom Exchange Debentures may not be redeemed prior to the fifth anniversary of the Paramount Effective Time. On or after that date, Viacom may, at its option, redeem the Viacom Exchange Debentures, in whole or in part, from time to time, at the redemption prices (expressed as a percentage of principal amount) set forth below, together with accrued and unpaid interest, if any, to the redemption date: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20"/>
                <w:szCs w:val="20"/>
                <w:color w:val="auto"/>
              </w:rPr>
            </w:pPr>
            <w:r>
              <w:rPr>
                <w:rFonts w:ascii="Courier New" w:cs="Courier New" w:eastAsia="Courier New" w:hAnsi="Courier New"/>
                <w:sz w:val="14"/>
                <w:szCs w:val="14"/>
                <w:color w:val="auto"/>
              </w:rPr>
              <w:t>IF REDEEMED DURING THE 12 MONTH PERIOD BEGINNING ON THE</w:t>
            </w:r>
          </w:p>
        </w:tc>
        <w:tc>
          <w:tcPr>
            <w:tcW w:w="1680" w:type="dxa"/>
            <w:vAlign w:val="bottom"/>
          </w:tcPr>
          <w:p>
            <w:pPr>
              <w:spacing w:after="0"/>
              <w:rPr>
                <w:sz w:val="13"/>
                <w:szCs w:val="13"/>
                <w:color w:val="auto"/>
              </w:rPr>
            </w:pP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ANNIVERSARY OF THE PARAMOUNT EFFECTIVE DATE INDICATED BELOW</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PERCENTAGE</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w w:val="93"/>
              </w:rPr>
              <w:t>- - - - ------------------------------------------------------------------------------</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w w:val="98"/>
              </w:rPr>
              <w:t>-------------</w:t>
            </w:r>
          </w:p>
        </w:tc>
      </w:tr>
      <w:tr>
        <w:trPr>
          <w:trHeight w:val="322"/>
        </w:trPr>
        <w:tc>
          <w:tcPr>
            <w:tcW w:w="6780" w:type="dxa"/>
            <w:vAlign w:val="bottom"/>
          </w:tcPr>
          <w:p>
            <w:pPr>
              <w:spacing w:after="0"/>
              <w:rPr>
                <w:sz w:val="20"/>
                <w:szCs w:val="20"/>
                <w:color w:val="auto"/>
              </w:rPr>
            </w:pPr>
            <w:r>
              <w:rPr>
                <w:rFonts w:ascii="Courier New" w:cs="Courier New" w:eastAsia="Courier New" w:hAnsi="Courier New"/>
                <w:sz w:val="14"/>
                <w:szCs w:val="14"/>
                <w:color w:val="auto"/>
              </w:rPr>
              <w:t>Fifth.........................................................................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105%</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Sixth.........................................................................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104%</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Seventh.......................................................................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103%</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Eighth........................................................................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102%</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Ninth.........................................................................</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101%</w:t>
            </w:r>
          </w:p>
        </w:tc>
      </w:tr>
      <w:tr>
        <w:trPr>
          <w:trHeight w:val="161"/>
        </w:trPr>
        <w:tc>
          <w:tcPr>
            <w:tcW w:w="6780" w:type="dxa"/>
            <w:vAlign w:val="bottom"/>
          </w:tcPr>
          <w:p>
            <w:pPr>
              <w:spacing w:after="0"/>
              <w:rPr>
                <w:sz w:val="20"/>
                <w:szCs w:val="20"/>
                <w:color w:val="auto"/>
              </w:rPr>
            </w:pPr>
            <w:r>
              <w:rPr>
                <w:rFonts w:ascii="Courier New" w:cs="Courier New" w:eastAsia="Courier New" w:hAnsi="Courier New"/>
                <w:sz w:val="14"/>
                <w:szCs w:val="14"/>
                <w:color w:val="auto"/>
              </w:rPr>
              <w:t>Tenth and thereafter..........................................................</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100%</w:t>
            </w:r>
          </w:p>
        </w:tc>
      </w:tr>
      <w:tr>
        <w:trPr>
          <w:trHeight w:val="483"/>
        </w:trPr>
        <w:tc>
          <w:tcPr>
            <w:tcW w:w="6780" w:type="dxa"/>
            <w:vAlign w:val="bottom"/>
          </w:tcPr>
          <w:p>
            <w:pPr>
              <w:ind w:left="3180"/>
              <w:spacing w:after="0"/>
              <w:rPr>
                <w:sz w:val="20"/>
                <w:szCs w:val="20"/>
                <w:color w:val="auto"/>
              </w:rPr>
            </w:pPr>
            <w:r>
              <w:rPr>
                <w:rFonts w:ascii="Courier New" w:cs="Courier New" w:eastAsia="Courier New" w:hAnsi="Courier New"/>
                <w:sz w:val="14"/>
                <w:szCs w:val="14"/>
                <w:color w:val="auto"/>
              </w:rPr>
              <w:t>150</w:t>
            </w:r>
          </w:p>
        </w:tc>
        <w:tc>
          <w:tcPr>
            <w:tcW w:w="1680" w:type="dxa"/>
            <w:vAlign w:val="bottom"/>
          </w:tcPr>
          <w:p>
            <w:pPr>
              <w:spacing w:after="0"/>
              <w:rPr>
                <w:sz w:val="24"/>
                <w:szCs w:val="24"/>
                <w:color w:val="auto"/>
              </w:rPr>
            </w:pPr>
          </w:p>
        </w:tc>
      </w:tr>
    </w:tbl>
    <w:p>
      <w:pPr>
        <w:sectPr>
          <w:pgSz w:w="11900" w:h="16838" w:orient="portrait"/>
          <w:cols w:equalWidth="0" w:num="1">
            <w:col w:w="10239"/>
          </w:cols>
          <w:pgMar w:left="220" w:top="603" w:right="1440" w:bottom="1440" w:gutter="0" w:footer="0" w:header="0"/>
        </w:sectPr>
      </w:pPr>
    </w:p>
    <w:bookmarkStart w:id="167" w:name="page168"/>
    <w:bookmarkEnd w:id="167"/>
    <w:p>
      <w:pPr>
        <w:ind w:right="3619" w:firstLine="418"/>
        <w:spacing w:after="0" w:line="239" w:lineRule="auto"/>
        <w:rPr>
          <w:sz w:val="20"/>
          <w:szCs w:val="20"/>
          <w:color w:val="auto"/>
        </w:rPr>
      </w:pPr>
      <w:r>
        <w:rPr>
          <w:rFonts w:ascii="Courier New" w:cs="Courier New" w:eastAsia="Courier New" w:hAnsi="Courier New"/>
          <w:sz w:val="14"/>
          <w:szCs w:val="14"/>
          <w:color w:val="auto"/>
        </w:rPr>
        <w:t>The Viacom Exchange Debentures are not subject to any mandatory redemption and are not entitled to any sinking fund.</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Viacom Exchange Debentures to be redeemed. (Section 1104) If less than all of the Viacom Exchange Debentures are to be redeemed, the Trustee shall select the Viacom Exchange Debentures to be redeemed by such method that the Trustee considers fair and appropriate and which may provide for the selection for redemption of portions of the principal of Viacom Exchange Debentures; provided, however, that no such partial redemption shall reduce the portion of the principal amount of a Viacom Exchange Debenture not redeemed to less than $1,000. (Section 1103)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TRADING/LISTING. 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w w:val="99"/>
              </w:rPr>
              <w:t>1994 Viacom filed an application to cause</w:t>
            </w:r>
          </w:p>
        </w:tc>
      </w:tr>
      <w:tr>
        <w:trPr>
          <w:trHeight w:val="161"/>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the Viacom Merger Debentures</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to be issued in the Paramount Merger to be approved</w:t>
            </w:r>
          </w:p>
        </w:tc>
      </w:tr>
      <w:tr>
        <w:trPr>
          <w:trHeight w:val="161"/>
        </w:trPr>
        <w:tc>
          <w:tcPr>
            <w:tcW w:w="2400" w:type="dxa"/>
            <w:vAlign w:val="bottom"/>
          </w:tcPr>
          <w:p>
            <w:pPr>
              <w:spacing w:after="0"/>
              <w:rPr>
                <w:sz w:val="20"/>
                <w:szCs w:val="20"/>
                <w:color w:val="auto"/>
              </w:rPr>
            </w:pPr>
            <w:r>
              <w:rPr>
                <w:rFonts w:ascii="Courier New" w:cs="Courier New" w:eastAsia="Courier New" w:hAnsi="Courier New"/>
                <w:sz w:val="14"/>
                <w:szCs w:val="14"/>
                <w:color w:val="auto"/>
              </w:rPr>
              <w:t>for listing on the AMEX, and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3480" w:type="dxa"/>
            <w:vAlign w:val="bottom"/>
          </w:tcPr>
          <w:p>
            <w:pPr>
              <w:ind w:left="460"/>
              <w:spacing w:after="0"/>
              <w:rPr>
                <w:sz w:val="20"/>
                <w:szCs w:val="20"/>
                <w:color w:val="auto"/>
              </w:rPr>
            </w:pPr>
            <w:r>
              <w:rPr>
                <w:rFonts w:ascii="Courier New" w:cs="Courier New" w:eastAsia="Courier New" w:hAnsi="Courier New"/>
                <w:sz w:val="14"/>
                <w:szCs w:val="14"/>
                <w:color w:val="auto"/>
              </w:rPr>
              <w:t>, 1994 Viacom received approval for</w:t>
            </w:r>
          </w:p>
        </w:tc>
      </w:tr>
      <w:tr>
        <w:trPr>
          <w:trHeight w:val="161"/>
        </w:trPr>
        <w:tc>
          <w:tcPr>
            <w:tcW w:w="2400" w:type="dxa"/>
            <w:vAlign w:val="bottom"/>
          </w:tcPr>
          <w:p>
            <w:pPr>
              <w:spacing w:after="0"/>
              <w:rPr>
                <w:sz w:val="20"/>
                <w:szCs w:val="20"/>
                <w:color w:val="auto"/>
              </w:rPr>
            </w:pPr>
            <w:r>
              <w:rPr>
                <w:rFonts w:ascii="Courier New" w:cs="Courier New" w:eastAsia="Courier New" w:hAnsi="Courier New"/>
                <w:sz w:val="14"/>
                <w:szCs w:val="14"/>
                <w:color w:val="auto"/>
              </w:rPr>
              <w:t>listing, subject to official</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notice of</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issuance.</w:t>
            </w:r>
          </w:p>
        </w:tc>
      </w:tr>
    </w:tbl>
    <w:p>
      <w:pPr>
        <w:spacing w:after="0" w:line="166"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Viacom has agreed to use its reasonable best efforts to cause the Viacom Exchange Debentures to be approved for listing on the AMEX prior to the issuance thereof.</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151</w:t>
      </w:r>
    </w:p>
    <w:p>
      <w:pPr>
        <w:sectPr>
          <w:pgSz w:w="11900" w:h="16838" w:orient="portrait"/>
          <w:cols w:equalWidth="0" w:num="1">
            <w:col w:w="10239"/>
          </w:cols>
          <w:pgMar w:left="220" w:top="603" w:right="1440" w:bottom="1440" w:gutter="0" w:footer="0" w:header="0"/>
        </w:sectPr>
      </w:pPr>
    </w:p>
    <w:bookmarkStart w:id="168" w:name="page169"/>
    <w:bookmarkEnd w:id="168"/>
    <w:p>
      <w:pPr>
        <w:jc w:val="center"/>
        <w:ind w:right="3539"/>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following is a summary of material differences between the rights of holders of Viacom Common Stock and the rights of holders of Paramount Common Stock. As each of Viacom and Paramount is organized under the laws of Delaware, these differences arise principally from provisions of the charter and by-laws of each of Viacom and Paramount, as well as the existence of Paramount's Rights Agreement.</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following summaries do not purport to be complete statements of the rights of Viacom stockholders under Viacom's Restated Certificate of Incorporation and By-laws as compared with the rights of Paramount stockholders under Paramount's Certificate of Incorporation, By-laws and Rights Agreement or a complete description of the specific provisions referred to herein. The identification of specific differences is not meant to indicate that other equal or more significant differences do not exist. These summaries are qualified in their entirety by reference to the DGCL and governing corporate instruments of Viacom and Paramount, to which stockholders are referred. The terms of Viacom's capital stock are described in greater detail under "Description of Viacom Capital Stock."</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VOTE REQUIRED FOR CERTAIN TRANSACTIONS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Powers and Rights of Viacom Class A Common Stock and Viacom Class B Common Stock. Except as otherwise expressly provided below, all issued and outstanding shares of Viacom Class A Common Stock and Viacom Class B Common Stock are identical and entitle the holders to the same rights and privileges. With respect to all matters upon which stockholders are entitled to vote, holders of outstanding shares of Viacom Class A Common Stock vote together with the holders of any other outstanding shares of capital stock of Viacom entitled to vote, without regard to class, and every holder of outstanding shares of Viacom Class A Common Stock is entitled to cast one vote in person or by proxy for each share of Viacom Class A Common Stock outstanding in such stockholder's name. Except as otherwise required by the DGCL, the holders of outstanding shares of Viacom Class B Common Stock are not entitled to any votes upon any questions presented to stockholders of Viacom.</w:t>
      </w:r>
    </w:p>
    <w:p>
      <w:pPr>
        <w:spacing w:after="0" w:line="165"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Paramount Common Stock is not divided into classes and entitles holders thereof to one vote for each share on each matter upon which stockholders have the right to vote.</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Certain Business Combinations. Viacom's Restated Certificate of Incorporation and By-laws do not contain any supermajority voting provisions or any other provisions relating to the approval of business combinations and other transactions by holders of Viacom Class A Common Stock.</w:t>
      </w:r>
    </w:p>
    <w:p>
      <w:pPr>
        <w:spacing w:after="0" w:line="16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Paramount's Certificate of Incorporation requires the affirmative vote of 80% of the voting power of the then outstanding shares of Voting Stock (as defined therein) to approve any merger or other Business Combination (as defined therein), which term includes a merger with an Interested Stockholder or an Affiliate of an Interested Stockholder (as defined therein), the sale, issuance or transfer of Paramount's assets or securities to an Interested Stockholder or an Affiliate of an Interested Stockholder in exchange for cash or securities or other property with a fair market value of $25 million or more, the adoption of a plan of liquidation and certain similar extraordinary corporate transactions which would have the effect of increasing the proportionate interest in Paramount of an Interested Stockholder or an Affiliate of an Interested Stockholder, unless (a) the transaction has been approved by a majority of the Disinterested Directors (as defined therein) or (b) the terms of the Business Combination and parties thereto satisfy certain specified tests and conditions.</w:t>
      </w:r>
    </w:p>
    <w:p>
      <w:pPr>
        <w:spacing w:after="0" w:line="15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Removal of Directors. Both Viacom's and Paramount's By-laws provide that any director may be removed with or without cause at any time by the affirmative vote of the holders of record of a majority of all the issued and outstanding stock entitled to vote for the election of directors at a special meeting of the stockholders called for that purpose. Viacom's By-laws also provide that any director may be removed for cause by the affirmative vote of a majority of the entire board of directors.</w:t>
      </w:r>
    </w:p>
    <w:p>
      <w:pPr>
        <w:spacing w:after="0" w:line="16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39"/>
          </w:cols>
          <w:pgMar w:left="220" w:top="600" w:right="1440" w:bottom="1440" w:gutter="0" w:footer="0" w:header="0"/>
        </w:sectPr>
      </w:pPr>
    </w:p>
    <w:bookmarkStart w:id="169" w:name="page170"/>
    <w:bookmarkEnd w:id="169"/>
    <w:p>
      <w:pPr>
        <w:ind w:right="3539" w:firstLine="418"/>
        <w:spacing w:after="0" w:line="242" w:lineRule="auto"/>
        <w:rPr>
          <w:sz w:val="20"/>
          <w:szCs w:val="20"/>
          <w:color w:val="auto"/>
        </w:rPr>
      </w:pPr>
      <w:r>
        <w:rPr>
          <w:rFonts w:ascii="Courier New" w:cs="Courier New" w:eastAsia="Courier New" w:hAnsi="Courier New"/>
          <w:sz w:val="14"/>
          <w:szCs w:val="14"/>
          <w:color w:val="auto"/>
        </w:rPr>
        <w:t>Amendments of Certificate of Incorporation. Viacom's Restated Certificate of Incorporation does not contain any supermajority voting provisions for the amendment thereof. Under the DGCL, unless otherwise specified in a corporation's Certificate of Incorporation, all amendments to such Certificate of Incorporation must be approved by the affirmative vote of holders of a majority of the shares of capital stock entitled to vote thereon, unless a class vote is required under the DGCL.</w:t>
      </w:r>
    </w:p>
    <w:p>
      <w:pPr>
        <w:spacing w:after="0" w:line="329"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Paramount's Certificate of Incorporation provides that the affirmative vote of the holders of at least 80% of the voting power of all the shares of Paramount entitled to vote generally in the election of directors, voting together as a single class, is required to alter, amend or repeal Article XI, regarding business combinations, or Article XII, regarding the requirement that the holders of Paramount Common Stock can act only at annual or special meetings. Paramount reserves the right from time to time to alter, amend or repeal other provisions of the Paramount Certificate of Incorporation in the manner prescribed by the DGCL.</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MEETINGS OF STOCKHOLDERS; STOCKHOLDER ACTION BY WRITTEN CONSENT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Viacom's By-laws provide that a special meeting of stockholders may be called by the affirmative vote of a majority of its Board of Directors, the Chairman of the Board, the Vice Chairman of the Board or the President and shall be called by the Chairman of the Board, the Vice Chairman of the Board, the President or Secretary at the request in writing of the holders of record of at least 50.1% of the aggregate voting power of all outstanding shares of capital stock of Viacom entitled to vote generally in the election of directors, acting together as a single class.</w:t>
      </w:r>
    </w:p>
    <w:p>
      <w:pPr>
        <w:spacing w:after="0" w:line="169"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Article XII of Paramount's Certificate of Incorporation provides that a special meeting of stockholders may be called only by the Board of Directors pursuant to a resolution approved by a majority of the entire Board of Directors or by the Chief Executive Officer of Paramount. The affirmative vote of 80% of the voting power of all the shares of Paramount entitled to vote generally in the election of directors, voting together as a single class, is required to alter, amend or repeal Article XII or to adopt any provision inconsistent therewith.</w:t>
      </w:r>
    </w:p>
    <w:p>
      <w:pPr>
        <w:spacing w:after="0" w:line="169" w:lineRule="exact"/>
        <w:rPr>
          <w:sz w:val="20"/>
          <w:szCs w:val="20"/>
          <w:color w:val="auto"/>
        </w:rPr>
      </w:pPr>
    </w:p>
    <w:p>
      <w:pPr>
        <w:ind w:right="3539" w:firstLine="418"/>
        <w:spacing w:after="0" w:line="239" w:lineRule="auto"/>
        <w:rPr>
          <w:sz w:val="20"/>
          <w:szCs w:val="20"/>
          <w:color w:val="auto"/>
        </w:rPr>
      </w:pPr>
      <w:r>
        <w:rPr>
          <w:rFonts w:ascii="Courier New" w:cs="Courier New" w:eastAsia="Courier New" w:hAnsi="Courier New"/>
          <w:sz w:val="14"/>
          <w:szCs w:val="14"/>
          <w:color w:val="auto"/>
        </w:rPr>
        <w:t>Viacom's Restated Certificate of Incorporation and By-laws do not set forth procedures regarding stockholder nomination of directors.</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Article III, Section 15 of Paramount's By-laws provides that any stockholder may nominate candidates for election as directors of Paramount; provided, however, that not less than 60 days prior to the date of the anniversary of the annual meeting held in the prior year, in the case of an annual meeting, or, in the case of a special meeting called for the purpose of electing directors, not more than 10 days following the earlier of the date of notice of such special meeting or the date on which a public announcement of such meeting is made, any stockholder who intends to make a nomination at the meeting delivers written notice to the Secretary of Paramount setting forth (i) the name and address of the stockholder who intends to make the nomination and of the person or persons to be nominated; (ii) a representation that the stockholder is a holder of record of stock of Paramount specified in such notice, is or will be entitled to vote at such meeting and intends to appear in person or by proxy at the meeting to nominate the person or persons specified in the notice; (iii) a statement that the nominee (or nominees) is willing to be nominated; and (iv) such other information concerning each such nominee as would be required under the rules of the Commission in a proxy statement soliciting proxies for the election of such nominee and in a Schedule 14B (or other comparable required filing then in effect) under the Exchange Act.</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addition to any other requirements relating to amendments to Paramount's By-laws, no proposal by any stockholder to repeal or amend Article III, Section 15 of Paramount's By-laws may be brought before any meeting of the stockholders of Paramount unless written notice is given of (i) such proposed repeal or the substance of such proposed amendment; (ii) the name and address of the stockholder who intends to propose such repeal or amendment; and (iii) a representation that the stockholder is a holder</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153</w:t>
      </w:r>
    </w:p>
    <w:p>
      <w:pPr>
        <w:sectPr>
          <w:pgSz w:w="11900" w:h="16838" w:orient="portrait"/>
          <w:cols w:equalWidth="0" w:num="1">
            <w:col w:w="10239"/>
          </w:cols>
          <w:pgMar w:left="220" w:top="603" w:right="1440" w:bottom="1440" w:gutter="0" w:footer="0" w:header="0"/>
        </w:sectPr>
      </w:pPr>
    </w:p>
    <w:bookmarkStart w:id="170" w:name="page171"/>
    <w:bookmarkEnd w:id="170"/>
    <w:p>
      <w:pPr>
        <w:ind w:right="3539"/>
        <w:spacing w:after="0" w:line="242" w:lineRule="auto"/>
        <w:rPr>
          <w:sz w:val="20"/>
          <w:szCs w:val="20"/>
          <w:color w:val="auto"/>
        </w:rPr>
      </w:pPr>
      <w:r>
        <w:rPr>
          <w:rFonts w:ascii="Courier New" w:cs="Courier New" w:eastAsia="Courier New" w:hAnsi="Courier New"/>
          <w:sz w:val="14"/>
          <w:szCs w:val="14"/>
          <w:color w:val="auto"/>
        </w:rPr>
        <w:t>of record of stock of Paramount specified in such notice, is or will be entitled to vote at such meeting and intends to appear in person or by proxy at the meeting to make the proposal. Such notice must be given in the manner and at the time specified in Article III, Section 15 of Paramount's By-laws.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Viacom's By-laws provide that any action required to be taken at any annual or special meeting of stockholders of Viacom, or any action which may be taken at any annual or special meeting of such stockholders, may be taken without a meeting, without prior notice and without a vote, if a consent in writing, setting forth the action so taken, shall be signed by stockholders representing not less than the minimum number of votes that would be necessary to authorize or take such action at a meeting at which all shares entitled to vote thereon were present and voted. Prompt notice of the taking of such action without a meeting by less than unanimous written consent shall be given to those stockholders who have not consented in writing.</w:t>
      </w:r>
    </w:p>
    <w:p>
      <w:pPr>
        <w:spacing w:after="0" w:line="164" w:lineRule="exact"/>
        <w:rPr>
          <w:sz w:val="20"/>
          <w:szCs w:val="20"/>
          <w:color w:val="auto"/>
        </w:rPr>
      </w:pPr>
    </w:p>
    <w:p>
      <w:pPr>
        <w:ind w:right="3799" w:firstLine="418"/>
        <w:spacing w:after="0" w:line="241" w:lineRule="auto"/>
        <w:rPr>
          <w:sz w:val="20"/>
          <w:szCs w:val="20"/>
          <w:color w:val="auto"/>
        </w:rPr>
      </w:pPr>
      <w:r>
        <w:rPr>
          <w:rFonts w:ascii="Courier New" w:cs="Courier New" w:eastAsia="Courier New" w:hAnsi="Courier New"/>
          <w:sz w:val="14"/>
          <w:szCs w:val="14"/>
          <w:color w:val="auto"/>
        </w:rPr>
        <w:t>Article XII of Paramount's Certificate of Incorporation prohibits the holders of Paramount Common Stock from acting by written consent in lieu of a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PLANS</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Viacom. Viacom does not have a stockholder rights plan.</w:t>
      </w:r>
    </w:p>
    <w:p>
      <w:pPr>
        <w:spacing w:after="0" w:line="32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Paramount. The following is a description of the Rights Agreement. By unanimous written consent effective March 1, 1994, the Paramount Board approved an amendment to the Rights Agreement providing that the consummation of the Offer would not cause the Rights to become exerciseable.</w:t>
      </w:r>
    </w:p>
    <w:p>
      <w:pPr>
        <w:spacing w:after="0" w:line="165"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On September 7, 1988, the Board of Directors of Paramount declared a dividend distribution of one Right for each outstanding share of Paramount's Common Stock. The distribution was paid as of September 19, 1988 to stockholders of record on that date. Each Right entitles the registered holder to purchase from Paramount one share of Paramount Common Stock at a purchase price of $200 per share (the "Purchase Price"). The Paramount Board has also authorized the issuance of one Right (subject to adjustment) with respect to each share of Paramount Common Stock that becomes outstanding between September 18, 1988 and the Distribution Date (as defined below). The following is a description of the Rights Agreement, as amended, and the Rights issued thereunder.</w:t>
      </w:r>
    </w:p>
    <w:p>
      <w:pPr>
        <w:spacing w:after="0" w:line="15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Until the close of business on the Distribution Date (which date shall not be deemed to have occurred solely by reason of: (x) 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which will occur on the earlier of (i) the tenth day following a public announcement that a person or group of affiliated or associated persons (each, an "Acquiring Person" (which term shall not include Viacom or any of its affiliates which would otherwise become Acquiring Persons solely by reason of: (x) 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has acquired, or obtained the right to acquire, beneficial ownership of 15% or more of the outstanding Paramount Common Stock (the "Stock Acquisition Date" (which date shall not be deemed to have occurred solely by reason of:</w:t>
      </w:r>
    </w:p>
    <w:p>
      <w:pPr>
        <w:spacing w:after="0" w:line="2" w:lineRule="exact"/>
        <w:rPr>
          <w:sz w:val="20"/>
          <w:szCs w:val="20"/>
          <w:color w:val="auto"/>
        </w:rPr>
      </w:pPr>
    </w:p>
    <w:p>
      <w:pPr>
        <w:ind w:right="3619" w:firstLine="6"/>
        <w:spacing w:after="0" w:line="243" w:lineRule="auto"/>
        <w:tabs>
          <w:tab w:leader="none" w:pos="33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or (ii) a date fixed by the Board of Directors of Paramount after the commencement of a tender offer or exchange offer which would result in the ownership of 30% or more of the outstanding Paramount Common Stock, the Rights will be represented by and transferred with, and only with, the Paramount Common Stock. Until the Distribution Date, new certificates issued for Paramount Common Stock after September 19, 1988 will contain a legend incorporating the Rights Agreement by reference, and the surrender for transfer of any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154</w:t>
      </w:r>
    </w:p>
    <w:p>
      <w:pPr>
        <w:sectPr>
          <w:pgSz w:w="11900" w:h="16838" w:orient="portrait"/>
          <w:cols w:equalWidth="0" w:num="1">
            <w:col w:w="10239"/>
          </w:cols>
          <w:pgMar w:left="220" w:top="603" w:right="1440" w:bottom="1440" w:gutter="0" w:footer="0" w:header="0"/>
        </w:sectPr>
      </w:pPr>
    </w:p>
    <w:bookmarkStart w:id="171" w:name="page172"/>
    <w:bookmarkEnd w:id="171"/>
    <w:p>
      <w:pPr>
        <w:ind w:right="3539"/>
        <w:spacing w:after="0" w:line="242" w:lineRule="auto"/>
        <w:rPr>
          <w:sz w:val="20"/>
          <w:szCs w:val="20"/>
          <w:color w:val="auto"/>
        </w:rPr>
      </w:pPr>
      <w:r>
        <w:rPr>
          <w:rFonts w:ascii="Courier New" w:cs="Courier New" w:eastAsia="Courier New" w:hAnsi="Courier New"/>
          <w:sz w:val="14"/>
          <w:szCs w:val="14"/>
          <w:color w:val="auto"/>
        </w:rPr>
        <w:t>of Paramount's Common Stock certificates will also constitute the transfer of the Rights associated with Paramount Common Stock represented by such certificate. As soon as practicable following the Distribution Date, separate Right certificates will be mailed to holders of record of Paramount Common Stock as of the close of business on the Distribution Date, and thereafter the separate certificates alone will evidence the Rights.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at the earliest of (i) the close of business on September 30, 1998, (ii) the time at which the Rights are redeemed by Paramount as described below and (iii) immediately prior to the Effective Time of the Paramount Merger.</w:t>
      </w:r>
    </w:p>
    <w:p>
      <w:pPr>
        <w:spacing w:after="0" w:line="32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Purchase Price payable, and the number of shares of Paramount Common Stock or other securities or property issuable, upon exercise of the Rights are subject to adjustment from time to time to prevent dilution (i) in the event of a stock dividend on, or a subdivision, combination or reclassification of the Paramount Common Stock, (ii) upon the grant to holders of the Paramount Common Stock of certain rights or warrants to subscribe for Paramount Common Stock or convertible securities at less than the current market price of the Common Stock or (iii) upon the distribution to holders of Paramount Common Stock of evidences of indebtedness or assets (excluding regular cash dividends and dividends payable in Paramount Common Stock) or of subscription rights or warrants (other than those referred to above).</w:t>
      </w:r>
    </w:p>
    <w:p>
      <w:pPr>
        <w:spacing w:after="0" w:line="32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Unless the Rights are earlier redeemed, in the event that, after the Stock Acquisition Date, Paramount was to be acquired in a merger or other business combination (in which any shares of Paramount's Common Stock are changed into or exchanged for other securities or assets) or more than 50% of the assets or earning power of Paramount and its subsidiaries (taken as a whole) were to be sold or transferred in one or a series of related transactions, the Rights Agreement provides that proper provision shall be made so that each holder of record of a Right will from and after such date have the right to receive, upon payment of the Purchase Price, that number of shares of common stock of the acquiring company having a market value at the time of such transaction equal to two times the Purchase Price.</w:t>
      </w:r>
    </w:p>
    <w:p>
      <w:pPr>
        <w:spacing w:after="0" w:line="32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 the event that any person becomes an Acquiring Person, each holder of a Right, other than the Acquiring Person, will have the right to receive, upon payment of the Purchase Price, a number of shares of Paramount Common Stock having a market value equal to twice the Purchase Price. To the extent that insufficient shares of Paramount Common Stock are available for the exercise in full of the Rights, holders of Rights will receive upon exercise shares of Paramount Common Stock to the extent available and then cash, property or other securities of Paramount (which may be accompanied by a reduction in the Purchase Price), in proportions determined by Paramount, so that the aggregate value received is equal to twice the Purchase Price. Rights are not exercisable following the Stock Acquisition Date until the expiration of the period during which the Rights may be redeemed as described below. Notwithstanding the foregoing, following the Stock Acquisition Date, Rights that are (and, under certain circumstances, Rights that were) beneficially owned by an Acquiring Person will be null and void.</w:t>
      </w:r>
    </w:p>
    <w:p>
      <w:pPr>
        <w:spacing w:after="0" w:line="166"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No fractional shares of Paramount Common Stock or other Paramount securities will be issued upon exercise of the Rights and, in lieu thereof, a payment in cash will be made to the holder of such Rights equal to the same fraction of the current market value of a share of Paramount Common Stock or other Paramount securities.</w:t>
      </w:r>
    </w:p>
    <w:p>
      <w:pPr>
        <w:spacing w:after="0" w:line="32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At any time until ten days following the Stock Acquisition Date (subject to extension by the Board of Directors), the Board of Directors may cause Paramount to redeem the Rights in whole, but not in part, at a price of $.01 per Right, subject to adjustment (the "Redemption Price"). Immediately upon the action of the Board of Directors authorizing redemption of the Rights, the right to exercise the Rights will terminate, and the holders of Rights will only be entitled to receive the Redemption Price without any interest thereon.</w:t>
      </w:r>
    </w:p>
    <w:p>
      <w:pPr>
        <w:spacing w:after="0" w:line="168" w:lineRule="exact"/>
        <w:rPr>
          <w:sz w:val="20"/>
          <w:szCs w:val="20"/>
          <w:color w:val="auto"/>
        </w:rPr>
      </w:pPr>
    </w:p>
    <w:p>
      <w:pPr>
        <w:jc w:val="both"/>
        <w:ind w:right="3699" w:firstLine="418"/>
        <w:spacing w:after="0" w:line="241" w:lineRule="auto"/>
        <w:rPr>
          <w:sz w:val="20"/>
          <w:szCs w:val="20"/>
          <w:color w:val="auto"/>
        </w:rPr>
      </w:pPr>
      <w:r>
        <w:rPr>
          <w:rFonts w:ascii="Courier New" w:cs="Courier New" w:eastAsia="Courier New" w:hAnsi="Courier New"/>
          <w:sz w:val="14"/>
          <w:szCs w:val="14"/>
          <w:color w:val="auto"/>
        </w:rPr>
        <w:t>For as long as the Rights are then redeemable, Paramount may, except with respect to the Redemption Price or the final date of expiration of the Rights, amend the Rights in any manner,</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155</w:t>
      </w:r>
    </w:p>
    <w:p>
      <w:pPr>
        <w:sectPr>
          <w:pgSz w:w="11900" w:h="16838" w:orient="portrait"/>
          <w:cols w:equalWidth="0" w:num="1">
            <w:col w:w="10239"/>
          </w:cols>
          <w:pgMar w:left="220" w:top="603" w:right="1440" w:bottom="1440" w:gutter="0" w:footer="0" w:header="0"/>
        </w:sectPr>
      </w:pPr>
    </w:p>
    <w:bookmarkStart w:id="172" w:name="page173"/>
    <w:bookmarkEnd w:id="172"/>
    <w:p>
      <w:pPr>
        <w:ind w:right="3699"/>
        <w:spacing w:after="0" w:line="242" w:lineRule="auto"/>
        <w:rPr>
          <w:sz w:val="20"/>
          <w:szCs w:val="20"/>
          <w:color w:val="auto"/>
        </w:rPr>
      </w:pPr>
      <w:r>
        <w:rPr>
          <w:rFonts w:ascii="Courier New" w:cs="Courier New" w:eastAsia="Courier New" w:hAnsi="Courier New"/>
          <w:sz w:val="14"/>
          <w:szCs w:val="14"/>
          <w:color w:val="auto"/>
        </w:rPr>
        <w:t>including an amendment to extend the time period in which the Rights may be redeemed. At any time when the Rights are not then redeemable, Paramount may amend the Rights in any manner that does not adversely affect the interests of holders of the Rights as such.</w:t>
      </w:r>
    </w:p>
    <w:p>
      <w:pPr>
        <w:spacing w:after="0" w:line="326"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Until a Right is exercised, the holder, as such, will have no rights as a stockholder of Paramount, including, without limitation, the right to vote or to receive dividends.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TRANSACTIONS</w:t>
            </w: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CERTAIN</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w w:val="99"/>
              </w:rPr>
              <w:t>PERSONS IN PARAMOUNT</w:t>
            </w:r>
          </w:p>
        </w:tc>
        <w:tc>
          <w:tcPr>
            <w:tcW w:w="2060" w:type="dxa"/>
            <w:vAlign w:val="bottom"/>
          </w:tcPr>
          <w:p>
            <w:pPr>
              <w:ind w:left="60"/>
              <w:spacing w:after="0"/>
              <w:rPr>
                <w:sz w:val="20"/>
                <w:szCs w:val="20"/>
                <w:color w:val="auto"/>
              </w:rPr>
            </w:pPr>
            <w:r>
              <w:rPr>
                <w:rFonts w:ascii="Courier New" w:cs="Courier New" w:eastAsia="Courier New" w:hAnsi="Courier New"/>
                <w:sz w:val="14"/>
                <w:szCs w:val="14"/>
                <w:color w:val="auto"/>
              </w:rPr>
              <w:t>COMMON STOCK</w:t>
            </w:r>
          </w:p>
        </w:tc>
      </w:tr>
      <w:tr>
        <w:trPr>
          <w:trHeight w:val="322"/>
        </w:trPr>
        <w:tc>
          <w:tcPr>
            <w:tcW w:w="1980" w:type="dxa"/>
            <w:vAlign w:val="bottom"/>
          </w:tcPr>
          <w:p>
            <w:pPr>
              <w:jc w:val="right"/>
              <w:ind w:right="910"/>
              <w:spacing w:after="0"/>
              <w:rPr>
                <w:sz w:val="20"/>
                <w:szCs w:val="20"/>
                <w:color w:val="auto"/>
              </w:rPr>
            </w:pPr>
            <w:r>
              <w:rPr>
                <w:rFonts w:ascii="Courier New" w:cs="Courier New" w:eastAsia="Courier New" w:hAnsi="Courier New"/>
                <w:sz w:val="14"/>
                <w:szCs w:val="14"/>
                <w:color w:val="auto"/>
              </w:rPr>
              <w:t>Since [</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1994,</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w w:val="99"/>
              </w:rPr>
              <w:t>60 days prior to the</w:t>
            </w:r>
          </w:p>
        </w:tc>
        <w:tc>
          <w:tcPr>
            <w:tcW w:w="2060" w:type="dxa"/>
            <w:vAlign w:val="bottom"/>
          </w:tcPr>
          <w:p>
            <w:pPr>
              <w:ind w:left="60"/>
              <w:spacing w:after="0"/>
              <w:rPr>
                <w:sz w:val="20"/>
                <w:szCs w:val="20"/>
                <w:color w:val="auto"/>
              </w:rPr>
            </w:pPr>
            <w:r>
              <w:rPr>
                <w:rFonts w:ascii="Courier New" w:cs="Courier New" w:eastAsia="Courier New" w:hAnsi="Courier New"/>
                <w:sz w:val="14"/>
                <w:szCs w:val="14"/>
                <w:color w:val="auto"/>
              </w:rPr>
              <w:t>initial filing of the</w:t>
            </w:r>
          </w:p>
        </w:tc>
      </w:tr>
      <w:tr>
        <w:trPr>
          <w:trHeight w:val="161"/>
        </w:trPr>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w w:val="99"/>
              </w:rPr>
              <w:t>Schedule 13E-3, through</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 1994, none of</w:t>
            </w:r>
          </w:p>
        </w:tc>
        <w:tc>
          <w:tcPr>
            <w:tcW w:w="2060" w:type="dxa"/>
            <w:vAlign w:val="bottom"/>
          </w:tcPr>
          <w:p>
            <w:pPr>
              <w:ind w:left="60"/>
              <w:spacing w:after="0"/>
              <w:rPr>
                <w:sz w:val="20"/>
                <w:szCs w:val="20"/>
                <w:color w:val="auto"/>
              </w:rPr>
            </w:pPr>
            <w:r>
              <w:rPr>
                <w:rFonts w:ascii="Courier New" w:cs="Courier New" w:eastAsia="Courier New" w:hAnsi="Courier New"/>
                <w:sz w:val="14"/>
                <w:szCs w:val="14"/>
                <w:color w:val="auto"/>
                <w:w w:val="98"/>
              </w:rPr>
              <w:t>Sumner M. Redstone, NAI,</w:t>
            </w:r>
          </w:p>
        </w:tc>
      </w:tr>
    </w:tbl>
    <w:p>
      <w:pPr>
        <w:spacing w:after="0" w:line="5"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3"/>
          <w:szCs w:val="13"/>
          <w:color w:val="auto"/>
        </w:rPr>
        <w:t>Viacom or Paramount, any majority-owned subsidiary thereof, any current director or executive officer thereof and no pension, profit-sharing or similar plan of Sumner M. Redstone, NAI, Viacom or Paramount has effected any purchases or sales of Paramount Common Stock except for (i) the sale of 52,000 shares of Paramount Common Stock by Ronald L. Nelson on March 22, 1994, (ii) the sale of 38,608 shares of Paramount Common Stock by James A. Pattison on March 21, 1994 and</w:t>
      </w:r>
    </w:p>
    <w:p>
      <w:pPr>
        <w:spacing w:after="0" w:line="1" w:lineRule="exact"/>
        <w:rPr>
          <w:sz w:val="20"/>
          <w:szCs w:val="20"/>
          <w:color w:val="auto"/>
        </w:rPr>
      </w:pPr>
    </w:p>
    <w:p>
      <w:pPr>
        <w:ind w:right="3539" w:firstLine="6"/>
        <w:spacing w:after="0" w:line="242" w:lineRule="auto"/>
        <w:tabs>
          <w:tab w:leader="none" w:pos="50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7,500 shares of Paramount Common Stock by Jerry Sherman on February 25, 1994. In addition, none of Sumner M. Redstone, NAI nor Viacom has purchased any shares of Paramount Common Stock since March 2, 1994, the day such parties became affiliates of Paramount pursuant to the Offer. See "Summary--Comparative Stock Prices" for a description of purchases of shares of Paramount Common Stock by Paramount since October 31, 1991.</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156</w:t>
      </w:r>
    </w:p>
    <w:p>
      <w:pPr>
        <w:sectPr>
          <w:pgSz w:w="11900" w:h="16838" w:orient="portrait"/>
          <w:cols w:equalWidth="0" w:num="1">
            <w:col w:w="10239"/>
          </w:cols>
          <w:pgMar w:left="220" w:top="603" w:right="1440" w:bottom="1440" w:gutter="0" w:footer="0" w:header="0"/>
        </w:sectPr>
      </w:pPr>
    </w:p>
    <w:bookmarkStart w:id="173" w:name="page174"/>
    <w:bookmarkEnd w:id="173"/>
    <w:p>
      <w:pPr>
        <w:ind w:left="76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CAPITAL STOCK</w:t>
      </w:r>
    </w:p>
    <w:p>
      <w:pPr>
        <w:spacing w:after="0" w:line="166" w:lineRule="exact"/>
        <w:rPr>
          <w:sz w:val="20"/>
          <w:szCs w:val="20"/>
          <w:color w:val="auto"/>
        </w:rPr>
      </w:pPr>
    </w:p>
    <w:p>
      <w:pPr>
        <w:ind w:right="3600" w:firstLine="418"/>
        <w:spacing w:after="0" w:line="242" w:lineRule="auto"/>
        <w:rPr>
          <w:sz w:val="20"/>
          <w:szCs w:val="20"/>
          <w:color w:val="auto"/>
        </w:rPr>
      </w:pPr>
      <w:r>
        <w:rPr>
          <w:rFonts w:ascii="Courier New" w:cs="Courier New" w:eastAsia="Courier New" w:hAnsi="Courier New"/>
          <w:sz w:val="14"/>
          <w:szCs w:val="14"/>
          <w:color w:val="auto"/>
        </w:rPr>
        <w:t>Set forth below, as of April 1, 1994 (and without giving effect to the transactions contemplated by the Mergers), is certain information concerning beneficial ownership of Viacom Common Stock by (i) each director of Viacom, (ii) each of the executive officers named below, (iii) all executive officers and directors of Viacom as a group, and (iv) holders of 5% or more of the outstanding Viacom Common Stock. The following table excludes shares of Viacom Class B Common Stock issuable upon conversion of the Viacom Preferred Stock.</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gridSpan w:val="4"/>
          </w:tcPr>
          <w:p>
            <w:pPr>
              <w:jc w:val="right"/>
              <w:ind w:right="850"/>
              <w:spacing w:after="0"/>
              <w:rPr>
                <w:sz w:val="20"/>
                <w:szCs w:val="20"/>
                <w:color w:val="auto"/>
              </w:rPr>
            </w:pPr>
            <w:r>
              <w:rPr>
                <w:rFonts w:ascii="Courier New" w:cs="Courier New" w:eastAsia="Courier New" w:hAnsi="Courier New"/>
                <w:sz w:val="14"/>
                <w:szCs w:val="14"/>
                <w:color w:val="auto"/>
              </w:rPr>
              <w:t>SHARES OF VIACOM COMMON STOCK BENEFICIALLY OWNED</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TITLE OF</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CLASS</w:t>
            </w: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1"/>
        </w:trPr>
        <w:tc>
          <w:tcPr>
            <w:tcW w:w="4600" w:type="dxa"/>
            <w:vAlign w:val="bottom"/>
          </w:tcPr>
          <w:p>
            <w:pPr>
              <w:spacing w:after="0"/>
              <w:rPr>
                <w:sz w:val="13"/>
                <w:szCs w:val="13"/>
                <w:color w:val="auto"/>
              </w:rPr>
            </w:pPr>
          </w:p>
        </w:tc>
        <w:tc>
          <w:tcPr>
            <w:tcW w:w="1440" w:type="dxa"/>
            <w:vAlign w:val="bottom"/>
            <w:gridSpan w:val="2"/>
          </w:tcPr>
          <w:p>
            <w:pPr>
              <w:jc w:val="center"/>
              <w:ind w:right="270"/>
              <w:spacing w:after="0"/>
              <w:rPr>
                <w:sz w:val="20"/>
                <w:szCs w:val="20"/>
                <w:color w:val="auto"/>
              </w:rPr>
            </w:pPr>
            <w:r>
              <w:rPr>
                <w:rFonts w:ascii="Courier New" w:cs="Courier New" w:eastAsia="Courier New" w:hAnsi="Courier New"/>
                <w:sz w:val="14"/>
                <w:szCs w:val="14"/>
                <w:color w:val="auto"/>
                <w:w w:val="97"/>
              </w:rPr>
              <w:t>OF COMMON</w:t>
            </w: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NUMBER OF</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OPTION</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PERCENT OF</w:t>
            </w:r>
          </w:p>
        </w:tc>
      </w:tr>
      <w:tr>
        <w:trPr>
          <w:trHeight w:val="161"/>
        </w:trPr>
        <w:tc>
          <w:tcPr>
            <w:tcW w:w="4600" w:type="dxa"/>
            <w:vAlign w:val="bottom"/>
          </w:tcPr>
          <w:p>
            <w:pPr>
              <w:ind w:left="420"/>
              <w:spacing w:after="0"/>
              <w:rPr>
                <w:sz w:val="20"/>
                <w:szCs w:val="20"/>
                <w:color w:val="auto"/>
              </w:rPr>
            </w:pPr>
            <w:r>
              <w:rPr>
                <w:rFonts w:ascii="Courier New" w:cs="Courier New" w:eastAsia="Courier New" w:hAnsi="Courier New"/>
                <w:sz w:val="14"/>
                <w:szCs w:val="14"/>
                <w:color w:val="auto"/>
              </w:rPr>
              <w:t>NAME</w:t>
            </w:r>
          </w:p>
        </w:tc>
        <w:tc>
          <w:tcPr>
            <w:tcW w:w="1440" w:type="dxa"/>
            <w:vAlign w:val="bottom"/>
            <w:gridSpan w:val="2"/>
          </w:tcPr>
          <w:p>
            <w:pPr>
              <w:jc w:val="center"/>
              <w:ind w:right="270"/>
              <w:spacing w:after="0"/>
              <w:rPr>
                <w:sz w:val="20"/>
                <w:szCs w:val="20"/>
                <w:color w:val="auto"/>
              </w:rPr>
            </w:pPr>
            <w:r>
              <w:rPr>
                <w:rFonts w:ascii="Courier New" w:cs="Courier New" w:eastAsia="Courier New" w:hAnsi="Courier New"/>
                <w:sz w:val="14"/>
                <w:szCs w:val="14"/>
                <w:color w:val="auto"/>
                <w:w w:val="99"/>
              </w:rPr>
              <w:t>STOCK</w:t>
            </w:r>
          </w:p>
        </w:tc>
        <w:tc>
          <w:tcPr>
            <w:tcW w:w="166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SHARES</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SHARES(1)</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CLASS</w:t>
            </w:r>
          </w:p>
        </w:tc>
      </w:tr>
      <w:tr>
        <w:trPr>
          <w:trHeight w:val="161"/>
        </w:trPr>
        <w:tc>
          <w:tcPr>
            <w:tcW w:w="5280" w:type="dxa"/>
            <w:vAlign w:val="bottom"/>
            <w:gridSpan w:val="2"/>
          </w:tcPr>
          <w:p>
            <w:pPr>
              <w:spacing w:after="0"/>
              <w:rPr>
                <w:sz w:val="20"/>
                <w:szCs w:val="20"/>
                <w:color w:val="auto"/>
              </w:rPr>
            </w:pPr>
            <w:r>
              <w:rPr>
                <w:rFonts w:ascii="Courier New" w:cs="Courier New" w:eastAsia="Courier New" w:hAnsi="Courier New"/>
                <w:sz w:val="14"/>
                <w:szCs w:val="14"/>
                <w:color w:val="auto"/>
              </w:rPr>
              <w:t>- - - - -----------------------------------------------------</w:t>
            </w:r>
          </w:p>
        </w:tc>
        <w:tc>
          <w:tcPr>
            <w:tcW w:w="5020" w:type="dxa"/>
            <w:vAlign w:val="bottom"/>
            <w:gridSpan w:val="4"/>
          </w:tcPr>
          <w:p>
            <w:pPr>
              <w:spacing w:after="0"/>
              <w:rPr>
                <w:sz w:val="20"/>
                <w:szCs w:val="20"/>
                <w:color w:val="auto"/>
              </w:rPr>
            </w:pPr>
            <w:r>
              <w:rPr>
                <w:rFonts w:ascii="Courier New" w:cs="Courier New" w:eastAsia="Courier New" w:hAnsi="Courier New"/>
                <w:sz w:val="14"/>
                <w:szCs w:val="14"/>
                <w:color w:val="auto"/>
                <w:w w:val="99"/>
              </w:rPr>
              <w:t>--------------  --------------------  ---------  -----------</w:t>
            </w:r>
          </w:p>
        </w:tc>
      </w:tr>
      <w:tr>
        <w:trPr>
          <w:trHeight w:val="32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George S. Abrams.....................................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200(2)</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Frank J. Biondi, Jr..................................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415(3)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24,000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178,318(3)(4)</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114,000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Neil S. Braun........................................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232(3)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10,000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236(3)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46,000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Philippe P. Dauman...................................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1,000</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8,300</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William C. Ferguson..................................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3"/>
                <w:szCs w:val="13"/>
                <w:color w:val="auto"/>
              </w:rPr>
            </w:pP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John W. Goddard......................................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4,371(3)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15,000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4,377(3)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69,000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H. Wayne Huizenga....................................</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3"/>
                <w:szCs w:val="13"/>
                <w:color w:val="auto"/>
              </w:rPr>
            </w:pP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Ken Miller...........................................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Amusements, Inc.............................</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45,547,214(5)</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85.2%</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46,565,414(5)</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51.7%</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Brent D. Redstone....................................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3"/>
                <w:szCs w:val="13"/>
                <w:color w:val="auto"/>
              </w:rPr>
            </w:pP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Sumner M. Redstone...................................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45,547,294(5)</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85.2%</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46,565,494(5)</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580"/>
              <w:spacing w:after="0"/>
              <w:rPr>
                <w:sz w:val="20"/>
                <w:szCs w:val="20"/>
                <w:color w:val="auto"/>
              </w:rPr>
            </w:pPr>
            <w:r>
              <w:rPr>
                <w:rFonts w:ascii="Courier New" w:cs="Courier New" w:eastAsia="Courier New" w:hAnsi="Courier New"/>
                <w:sz w:val="14"/>
                <w:szCs w:val="14"/>
                <w:color w:val="auto"/>
              </w:rPr>
              <w:t>51.7%</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Frederic V. Salerno..................................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3"/>
                <w:szCs w:val="13"/>
                <w:color w:val="auto"/>
              </w:rPr>
            </w:pPr>
          </w:p>
        </w:tc>
        <w:tc>
          <w:tcPr>
            <w:tcW w:w="1660" w:type="dxa"/>
            <w:vAlign w:val="bottom"/>
          </w:tcPr>
          <w:p>
            <w:pPr>
              <w:jc w:val="right"/>
              <w:ind w:right="51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William Schwartz.....................................</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Mark M. Weinstein....................................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318(3)</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7,500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324(3)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34,500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other</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1"/>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than Mr. Sumner Redstone (22 persons)..............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14,363(3)</w:t>
            </w:r>
          </w:p>
        </w:tc>
        <w:tc>
          <w:tcPr>
            <w:tcW w:w="920" w:type="dxa"/>
            <w:vAlign w:val="bottom"/>
          </w:tcPr>
          <w:p>
            <w:pPr>
              <w:ind w:left="340"/>
              <w:spacing w:after="0"/>
              <w:rPr>
                <w:sz w:val="20"/>
                <w:szCs w:val="20"/>
                <w:color w:val="auto"/>
              </w:rPr>
            </w:pPr>
            <w:r>
              <w:rPr>
                <w:rFonts w:ascii="Courier New" w:cs="Courier New" w:eastAsia="Courier New" w:hAnsi="Courier New"/>
                <w:sz w:val="14"/>
                <w:szCs w:val="14"/>
                <w:color w:val="auto"/>
              </w:rPr>
              <w:t>76,350</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161"/>
        </w:trPr>
        <w:tc>
          <w:tcPr>
            <w:tcW w:w="4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6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200,273(3)</w:t>
            </w:r>
          </w:p>
        </w:tc>
        <w:tc>
          <w:tcPr>
            <w:tcW w:w="9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385,839</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bl>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6" w:lineRule="exact"/>
        <w:rPr>
          <w:sz w:val="20"/>
          <w:szCs w:val="20"/>
          <w:color w:val="auto"/>
        </w:rPr>
      </w:pPr>
    </w:p>
    <w:p>
      <w:pPr>
        <w:ind w:left="340" w:right="3680" w:hanging="334"/>
        <w:spacing w:after="0" w:line="262" w:lineRule="auto"/>
        <w:tabs>
          <w:tab w:leader="none" w:pos="340" w:val="left"/>
        </w:tabs>
        <w:numPr>
          <w:ilvl w:val="0"/>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Reflects shares of Viacom Class A Common Stock or Viacom Class B Common Stock subject to options to purchase such shares which on December 31, 1993 were unexercised but were exercisable within a period of 60 days from that date. These shares are excluded from the column headed "Number of Shares".</w:t>
      </w:r>
    </w:p>
    <w:p>
      <w:pPr>
        <w:ind w:left="340" w:right="3680" w:hanging="334"/>
        <w:spacing w:after="0" w:line="242" w:lineRule="auto"/>
        <w:tabs>
          <w:tab w:leader="none" w:pos="3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Messrs. Abrams, Miller and Schwartz participate in a Deferred Compensation Plan in which their directors' fees are converted into stock units. Messrs. Abrams, Miller and Schwartz have been credited with 3,306, 3,021 and 3,052 Viacom Class A Common Stock units, respectively, and 3,477, 3,164 and 3,196 Viacom Class B Common Stock units, respectively.</w:t>
      </w:r>
    </w:p>
    <w:p>
      <w:pPr>
        <w:spacing w:after="0" w:line="4" w:lineRule="exact"/>
        <w:rPr>
          <w:rFonts w:ascii="Courier New" w:cs="Courier New" w:eastAsia="Courier New" w:hAnsi="Courier New"/>
          <w:sz w:val="14"/>
          <w:szCs w:val="14"/>
          <w:color w:val="auto"/>
        </w:rPr>
      </w:pPr>
    </w:p>
    <w:p>
      <w:pPr>
        <w:ind w:left="340" w:right="4180" w:hanging="334"/>
        <w:spacing w:after="0" w:line="239" w:lineRule="auto"/>
        <w:tabs>
          <w:tab w:leader="none" w:pos="3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held through Viacom International's 401(k) plan as of December 31, 1993.</w:t>
      </w:r>
    </w:p>
    <w:p>
      <w:pPr>
        <w:spacing w:after="0" w:line="5" w:lineRule="exact"/>
        <w:rPr>
          <w:rFonts w:ascii="Courier New" w:cs="Courier New" w:eastAsia="Courier New" w:hAnsi="Courier New"/>
          <w:sz w:val="14"/>
          <w:szCs w:val="14"/>
          <w:color w:val="auto"/>
        </w:rPr>
      </w:pPr>
    </w:p>
    <w:p>
      <w:pPr>
        <w:ind w:left="340" w:right="3680" w:hanging="334"/>
        <w:spacing w:after="0" w:line="241" w:lineRule="auto"/>
        <w:tabs>
          <w:tab w:leader="none" w:pos="3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177,897 shares held as a result of the accelerated valuation and payment of Mr. Biondi's Long-Term Incentive Plan phantom shares in December 1992.</w:t>
      </w:r>
    </w:p>
    <w:p>
      <w:pPr>
        <w:spacing w:after="0" w:line="4" w:lineRule="exact"/>
        <w:rPr>
          <w:rFonts w:ascii="Courier New" w:cs="Courier New" w:eastAsia="Courier New" w:hAnsi="Courier New"/>
          <w:sz w:val="14"/>
          <w:szCs w:val="14"/>
          <w:color w:val="auto"/>
        </w:rPr>
      </w:pPr>
    </w:p>
    <w:p>
      <w:pPr>
        <w:ind w:left="340" w:right="3680" w:hanging="334"/>
        <w:spacing w:after="0" w:line="242" w:lineRule="auto"/>
        <w:tabs>
          <w:tab w:leader="none" w:pos="3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80 shares of each class of such Viacom Common Stock owned directly by Mr. Redstone, all shares are owned of record by NAI. Mr. Redstone is the Chairman and the beneficial owner of a controlling interest in NAI and, accordingly, beneficially owns all such shares.</w:t>
      </w:r>
    </w:p>
    <w:p>
      <w:pPr>
        <w:spacing w:after="0" w:line="1" w:lineRule="exact"/>
        <w:rPr>
          <w:rFonts w:ascii="Courier New" w:cs="Courier New" w:eastAsia="Courier New" w:hAnsi="Courier New"/>
          <w:sz w:val="14"/>
          <w:szCs w:val="14"/>
          <w:color w:val="auto"/>
        </w:rPr>
      </w:pPr>
    </w:p>
    <w:p>
      <w:pPr>
        <w:ind w:left="340" w:hanging="334"/>
        <w:spacing w:after="0"/>
        <w:tabs>
          <w:tab w:leader="none" w:pos="3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157</w:t>
      </w:r>
    </w:p>
    <w:p>
      <w:pPr>
        <w:sectPr>
          <w:pgSz w:w="11900" w:h="16838" w:orient="portrait"/>
          <w:cols w:equalWidth="0" w:num="1">
            <w:col w:w="10300"/>
          </w:cols>
          <w:pgMar w:left="220" w:top="600" w:right="137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59"/>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PARAMOUNT</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CAPITAL STOCK</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22"/>
        </w:trPr>
        <w:tc>
          <w:tcPr>
            <w:tcW w:w="72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The following table sets forth, as of March 31, 1994, the aggregate amount</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and percentage of Paramount Common Stock beneficially owned by Sumner M.</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800" w:type="dxa"/>
            <w:vAlign w:val="bottom"/>
          </w:tcPr>
          <w:p>
            <w:pPr>
              <w:spacing w:after="0"/>
              <w:rPr>
                <w:sz w:val="20"/>
                <w:szCs w:val="20"/>
                <w:color w:val="auto"/>
              </w:rPr>
            </w:pPr>
            <w:r>
              <w:rPr>
                <w:rFonts w:ascii="Courier New" w:cs="Courier New" w:eastAsia="Courier New" w:hAnsi="Courier New"/>
                <w:sz w:val="14"/>
                <w:szCs w:val="14"/>
                <w:color w:val="auto"/>
              </w:rPr>
              <w:t>Redstone,</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by each current executive officer and director of Paramount, NAI and</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Viacom and by certain pension, profit-sharing and similar plans of Paramount.</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Any such person whose name does not appear did not beneficially own any</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Paramount</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Common Stock as of March 31, 1994. The table also sets forth, as of</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80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6400" w:type="dxa"/>
            <w:vAlign w:val="bottom"/>
          </w:tcPr>
          <w:p>
            <w:pPr>
              <w:ind w:left="40"/>
              <w:spacing w:after="0"/>
              <w:rPr>
                <w:sz w:val="20"/>
                <w:szCs w:val="20"/>
                <w:color w:val="auto"/>
              </w:rPr>
            </w:pPr>
            <w:r>
              <w:rPr>
                <w:rFonts w:ascii="Courier New" w:cs="Courier New" w:eastAsia="Courier New" w:hAnsi="Courier New"/>
                <w:sz w:val="14"/>
                <w:szCs w:val="14"/>
                <w:color w:val="auto"/>
              </w:rPr>
              <w:t>1994, the aggregate amount and percentage of Paramount Common Stock</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beneficially owned by all current directors and executive officers, as a group,</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of each of Paramount, NAI and Viacom. Except as otherwise indicated, no pension,</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profit-sharing or similar plan of Paramount, Sumner M. Redstone, NAI or Viacom</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owns any Paramount Common Stock.</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22"/>
        </w:trPr>
        <w:tc>
          <w:tcPr>
            <w:tcW w:w="800" w:type="dxa"/>
            <w:vAlign w:val="bottom"/>
          </w:tcPr>
          <w:p>
            <w:pPr>
              <w:spacing w:after="0"/>
              <w:rPr>
                <w:sz w:val="24"/>
                <w:szCs w:val="24"/>
                <w:color w:val="auto"/>
              </w:rPr>
            </w:pPr>
          </w:p>
        </w:tc>
        <w:tc>
          <w:tcPr>
            <w:tcW w:w="6400" w:type="dxa"/>
            <w:vAlign w:val="bottom"/>
          </w:tcPr>
          <w:p>
            <w:pPr>
              <w:ind w:left="380"/>
              <w:spacing w:after="0"/>
              <w:rPr>
                <w:sz w:val="20"/>
                <w:szCs w:val="20"/>
                <w:color w:val="auto"/>
              </w:rPr>
            </w:pPr>
            <w:r>
              <w:rPr>
                <w:rFonts w:ascii="Courier New" w:cs="Courier New" w:eastAsia="Courier New" w:hAnsi="Courier New"/>
                <w:sz w:val="14"/>
                <w:szCs w:val="14"/>
                <w:color w:val="auto"/>
              </w:rPr>
              <w:t>SHARES OF PARAMOUNT COMMON STOCK BENEFICIALLY OWNED</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3"/>
        </w:trPr>
        <w:tc>
          <w:tcPr>
            <w:tcW w:w="8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NUMBER OF SHARES</w:t>
            </w:r>
          </w:p>
        </w:tc>
        <w:tc>
          <w:tcPr>
            <w:tcW w:w="1000" w:type="dxa"/>
            <w:vAlign w:val="bottom"/>
          </w:tcPr>
          <w:p>
            <w:pPr>
              <w:spacing w:after="0"/>
              <w:rPr>
                <w:sz w:val="24"/>
                <w:szCs w:val="24"/>
                <w:color w:val="auto"/>
              </w:rPr>
            </w:pPr>
          </w:p>
        </w:tc>
      </w:tr>
      <w:tr>
        <w:trPr>
          <w:trHeight w:val="161"/>
        </w:trPr>
        <w:tc>
          <w:tcPr>
            <w:tcW w:w="8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6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OF PARAMOUNT</w:t>
            </w:r>
          </w:p>
        </w:tc>
        <w:tc>
          <w:tcPr>
            <w:tcW w:w="1000" w:type="dxa"/>
            <w:vAlign w:val="bottom"/>
          </w:tcPr>
          <w:p>
            <w:pPr>
              <w:spacing w:after="0"/>
              <w:rPr>
                <w:sz w:val="13"/>
                <w:szCs w:val="13"/>
                <w:color w:val="auto"/>
              </w:rPr>
            </w:pPr>
          </w:p>
        </w:tc>
      </w:tr>
      <w:tr>
        <w:trPr>
          <w:trHeight w:val="161"/>
        </w:trPr>
        <w:tc>
          <w:tcPr>
            <w:tcW w:w="8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6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COMMON STOCK</w:t>
            </w:r>
          </w:p>
        </w:tc>
        <w:tc>
          <w:tcPr>
            <w:tcW w:w="10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PERCENT</w:t>
            </w:r>
          </w:p>
        </w:tc>
      </w:tr>
      <w:tr>
        <w:trPr>
          <w:trHeight w:val="161"/>
        </w:trPr>
        <w:tc>
          <w:tcPr>
            <w:tcW w:w="8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60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2"/>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Martin S. Davis(1)...................................................................</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824,379</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0.67</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Earl H. Doppelt......................................................................</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13,696</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.01</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Irving R. Fischer....................................................................</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2,413</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Robert C. Greenberg..................................................................</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54</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Rudolph L. Hertlein..................................................................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4,502</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Lawrence E. Levinson.................................................................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6,747</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Ronald L. Nelson.....................................................................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86,740</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0.07</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Donald Oresman(2)....................................................................</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1,313,696</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1.07</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Jerry Sherman........................................................................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1,153</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Paramount Employee Stock Ownership Plan..............................................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365,946</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.30</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Paramount Employees' Savings Plan....................................................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568,530</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.46</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Paramount Long-Term Performance Plan.................................................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64,986</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.05</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Prentice Hall Computer Publishing Division Retirement Plan...........................</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4,255</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Directors and Executive Officers of Paramount as a group.............................</w:t>
            </w:r>
          </w:p>
        </w:tc>
        <w:tc>
          <w:tcPr>
            <w:tcW w:w="16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2,253,380</w:t>
            </w:r>
          </w:p>
        </w:tc>
        <w:tc>
          <w:tcPr>
            <w:tcW w:w="10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1.84</w:t>
            </w: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Directors and Executive Officers of NAI as a group...................................</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200" w:type="dxa"/>
            <w:vAlign w:val="bottom"/>
            <w:gridSpan w:val="2"/>
          </w:tcPr>
          <w:p>
            <w:pPr>
              <w:spacing w:after="0"/>
              <w:rPr>
                <w:sz w:val="20"/>
                <w:szCs w:val="20"/>
                <w:color w:val="auto"/>
              </w:rPr>
            </w:pPr>
            <w:r>
              <w:rPr>
                <w:rFonts w:ascii="Courier New" w:cs="Courier New" w:eastAsia="Courier New" w:hAnsi="Courier New"/>
                <w:sz w:val="14"/>
                <w:szCs w:val="14"/>
                <w:color w:val="auto"/>
              </w:rPr>
              <w:t>Directors and Executive Officers of Viacom as a group................................</w:t>
            </w:r>
          </w:p>
        </w:tc>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327"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The above individuals have sole voting and investment power, unless otherwise indicated. Ownership of less than .01% of Paramount Common Stock is shown by an asterisk. It has been assumed that all stock options that are exercisable were exercised.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6" w:lineRule="exact"/>
        <w:rPr>
          <w:sz w:val="20"/>
          <w:szCs w:val="20"/>
          <w:color w:val="auto"/>
        </w:rPr>
      </w:pPr>
    </w:p>
    <w:p>
      <w:pPr>
        <w:ind w:left="340" w:right="3799" w:hanging="334"/>
        <w:spacing w:after="0" w:line="241" w:lineRule="auto"/>
        <w:tabs>
          <w:tab w:leader="none" w:pos="3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42,968 shares owned by a charitable foundation of which he is an officer and director and 103,454 shares owned by a charitable remainder trust of which he is a beneficiary.</w:t>
      </w:r>
    </w:p>
    <w:p>
      <w:pPr>
        <w:spacing w:after="0" w:line="165" w:lineRule="exact"/>
        <w:rPr>
          <w:rFonts w:ascii="Courier New" w:cs="Courier New" w:eastAsia="Courier New" w:hAnsi="Courier New"/>
          <w:sz w:val="14"/>
          <w:szCs w:val="14"/>
          <w:color w:val="auto"/>
        </w:rPr>
      </w:pPr>
    </w:p>
    <w:p>
      <w:pPr>
        <w:ind w:left="340" w:right="3539" w:hanging="334"/>
        <w:spacing w:after="0" w:line="239" w:lineRule="auto"/>
        <w:tabs>
          <w:tab w:leader="none" w:pos="3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co-trustee, Mr. Oresman shares voting and investment power over 977,592 shares owned by a trust.</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158</w:t>
      </w:r>
    </w:p>
    <w:p>
      <w:pPr>
        <w:sectPr>
          <w:pgSz w:w="11900" w:h="16838" w:orient="portrait"/>
          <w:cols w:equalWidth="0" w:num="1">
            <w:col w:w="10239"/>
          </w:cols>
          <w:pgMar w:left="220" w:top="600" w:right="1440" w:bottom="1440" w:gutter="0" w:footer="0" w:header="0"/>
        </w:sectPr>
      </w:pPr>
    </w:p>
    <w:bookmarkStart w:id="175" w:name="page176"/>
    <w:bookmarkEnd w:id="175"/>
    <w:p>
      <w:pPr>
        <w:jc w:val="center"/>
        <w:ind w:right="3619"/>
        <w:spacing w:after="0"/>
        <w:rPr>
          <w:sz w:val="20"/>
          <w:szCs w:val="20"/>
          <w:color w:val="auto"/>
        </w:rPr>
      </w:pPr>
      <w:r>
        <w:rPr>
          <w:rFonts w:ascii="Courier New" w:cs="Courier New" w:eastAsia="Courier New" w:hAnsi="Courier New"/>
          <w:sz w:val="14"/>
          <w:szCs w:val="14"/>
          <w:color w:val="auto"/>
        </w:rPr>
        <w:t>STOCKHOLDERS OWNING MORE THAN 5% OF PARAMOUNT COMMON STOCK(A)</w:t>
      </w:r>
    </w:p>
    <w:p>
      <w:pPr>
        <w:spacing w:after="0" w:line="166" w:lineRule="exact"/>
        <w:rPr>
          <w:sz w:val="20"/>
          <w:szCs w:val="20"/>
          <w:color w:val="auto"/>
        </w:rPr>
      </w:pPr>
    </w:p>
    <w:p>
      <w:pPr>
        <w:ind w:right="3799" w:firstLine="418"/>
        <w:spacing w:after="0" w:line="241" w:lineRule="auto"/>
        <w:rPr>
          <w:sz w:val="20"/>
          <w:szCs w:val="20"/>
          <w:color w:val="auto"/>
        </w:rPr>
      </w:pPr>
      <w:r>
        <w:rPr>
          <w:rFonts w:ascii="Courier New" w:cs="Courier New" w:eastAsia="Courier New" w:hAnsi="Courier New"/>
          <w:sz w:val="14"/>
          <w:szCs w:val="14"/>
          <w:color w:val="auto"/>
        </w:rPr>
        <w:t>As of March 31, 1994, to the best of Paramount's knowledge, no person beneficially owned more than five percent of the outstanding Paramount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6" w:lineRule="exact"/>
        <w:rPr>
          <w:sz w:val="20"/>
          <w:szCs w:val="20"/>
          <w:color w:val="auto"/>
        </w:rPr>
      </w:pPr>
    </w:p>
    <w:p>
      <w:pPr>
        <w:ind w:left="340" w:right="3959" w:hanging="334"/>
        <w:spacing w:after="0" w:line="239" w:lineRule="auto"/>
        <w:tabs>
          <w:tab w:leader="none" w:pos="3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61,657,432 shares of Paramount Common Stock acquired by Viacom pursuant to the Offer.</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MATTERS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 REQUIRED</w:t>
      </w:r>
    </w:p>
    <w:p>
      <w:pPr>
        <w:spacing w:after="0" w:line="166"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FCC Approvals. Paramount (through subsidiaries which it controls) owns and operates seven broadcast television stations: WKBD (TV) (Detroit), WTXF (TV) (Philadelphia), KRRT (TV) (Kerrville, TX), WLFL (TV) (Raleigh/Durham), WDCA-(TV) (Washington, D.C.), KTXA (TV) (Arlington, TX) and KTXH (TV) (Houston). These stations are subject to FCC regulation under which licenses are granted when and if the FCC finds the public interest, convenience and necessity will be served thereby. The FCC is also empowered to modify and revoke such licenses.</w:t>
      </w:r>
    </w:p>
    <w:p>
      <w:pPr>
        <w:spacing w:after="0" w:line="153"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Additionally, the Communications Act and FCC Regulations prohibit the transfer of control of any license, or the assignment of any license, or the transfer or assignment of any rights arising thereunder, without prior FCC approval and requires that the FCC find that the proposed transfer or assignment would serve the public interest, convenience and necessity. The FCC will consider the applicant's legal, financial, technical and other qualifications to operate the licensed entities for the transfer to be approved.</w:t>
      </w:r>
    </w:p>
    <w:p>
      <w:pPr>
        <w:spacing w:after="0" w:line="153" w:lineRule="exact"/>
        <w:rPr>
          <w:sz w:val="20"/>
          <w:szCs w:val="20"/>
          <w:color w:val="auto"/>
        </w:rPr>
      </w:pPr>
    </w:p>
    <w:p>
      <w:pPr>
        <w:ind w:right="3879" w:firstLine="418"/>
        <w:spacing w:after="0" w:line="242" w:lineRule="auto"/>
        <w:rPr>
          <w:sz w:val="20"/>
          <w:szCs w:val="20"/>
          <w:color w:val="auto"/>
        </w:rPr>
      </w:pPr>
      <w:r>
        <w:rPr>
          <w:rFonts w:ascii="Courier New" w:cs="Courier New" w:eastAsia="Courier New" w:hAnsi="Courier New"/>
          <w:sz w:val="14"/>
          <w:szCs w:val="14"/>
          <w:color w:val="auto"/>
        </w:rPr>
        <w:t>Consummation of the Offer resulted in the acquisition of control of Paramount and thus required prior FCC approval. Such approval was granted on March 8, 1994, pursuant to an application filed in September 1993 (the "Application")</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Paramount has an approximately 6.4% interest in Combined Broadcasting, Inc. ("Combined"), which owns television stations in Chicago, Philadelphia and Miami. Because of Paramount's interest in Combined, the combined company will have an interest in more than the 12 television stations allowed by the FCC's rules. The combined company has taken the steps necessary to achieve compliance with the FCC's multiple ownership rules by placing Paramount's existing interest in Combined into an insulated voting trust, which interest, under FCC rules, is not considered for purposes of determining compliance with the FCC's multiple ownership requirements.</w:t>
      </w:r>
    </w:p>
    <w:p>
      <w:pPr>
        <w:spacing w:after="0" w:line="164"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Pursuant to a transaction consummated on November 1, 1993, Viacom owns two AM and two FM stations serving the Washington, D.C. area. The combined company will therefore own four radio stations and a television station in Washington, D.C. Pursuant to the FCC order granting the Application, the combined company has a period of eighteen months following consummation of the Paramount Merger, in which to divest two of the radio stations (one AM and one FM).</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ANTITRUST APPROVALS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Under the HSR Act and the rules promulgated thereunder by the FTC, certain acquisition transactions may not be consummated unless notice has been given and certain information has been furnished to the Antitrust Division of the United States Department of Justice (the "Antitrust Division") and the FTC and specified waiting period requirements have been satisfied. Viacom and Paramount each filed with the Antitrust Division and the FTC a Notification and Report Form with respect to the Original Merger Agreement on September 21, 1993. Accordingly, the waiting period under the HSR Act applicable to the acquisition of Paramount and the shares of Paramount Common Stock by Viacom expired on October 21, 1993. The expiration of the HSR Act waiting period does not preclude the Antitrust Division or the FTC from challenging the Paramount Merger on antitrust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159</w:t>
      </w:r>
    </w:p>
    <w:p>
      <w:pPr>
        <w:sectPr>
          <w:pgSz w:w="11900" w:h="16838" w:orient="portrait"/>
          <w:cols w:equalWidth="0" w:num="1">
            <w:col w:w="10239"/>
          </w:cols>
          <w:pgMar w:left="220" w:top="600" w:right="1440" w:bottom="1440" w:gutter="0" w:footer="0" w:header="0"/>
        </w:sectPr>
      </w:pPr>
    </w:p>
    <w:bookmarkStart w:id="176" w:name="page177"/>
    <w:bookmarkEnd w:id="176"/>
    <w:p>
      <w:pPr>
        <w:ind w:right="3619"/>
        <w:spacing w:after="0" w:line="242" w:lineRule="auto"/>
        <w:rPr>
          <w:sz w:val="20"/>
          <w:szCs w:val="20"/>
          <w:color w:val="auto"/>
        </w:rPr>
      </w:pPr>
      <w:r>
        <w:rPr>
          <w:rFonts w:ascii="Courier New" w:cs="Courier New" w:eastAsia="Courier New" w:hAnsi="Courier New"/>
          <w:sz w:val="14"/>
          <w:szCs w:val="14"/>
          <w:color w:val="auto"/>
        </w:rPr>
        <w:t>grounds. State Attorneys General and private parties may also bring legal actions under the federal or state antitrust laws under certain circumstances. Based upon an examination of information available to Viacom and Paramount relating to the businesses in which Viacom, Paramount and their respective subsidiaries are engaged, Viacom and Paramount believe that the consummation of the Paramount Merger will not violate the antitrust laws.</w:t>
      </w:r>
    </w:p>
    <w:p>
      <w:pPr>
        <w:spacing w:after="0" w:line="32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Competition Act of Canada and Investment Canada Act. Subject to certain thresholds, Canada's Competition Act requires prenotification to the Director of Investigation and Research (the "Director") of an acquisition of voting shares of a corporation that directly or through subsidiaries conducts an operating business in Canada where the parties to the transaction and their affiliates have assets in Canada, or annual gross revenues from sales in, from or into Canada, in excess of C$400 million, and where the corporation whose shares are being acquired or its affiliates own Canadian assets the value of which exceeds C$35 million, or the gross revenues from sales in or from Canada generated from such assets exceeds C$35 million in the last fiscal year (a "Notifiable Transaction").</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 transaction is a Notifiable Transaction, subject to certain exemptions, a prescribed filing must be made with the Director, and the transaction may not be completed prior to the expiration or earlier termination of the applicable waiting period after such filing has been delivered to the Director. The relevant waiting period is seven or 21 days, depending on the type of filing that the acquiror makes with the Director. If the Director determines that the transaction is likely to lessen competition substantially in any relevant market, he may attempt to obtain an order preventing the completion or implementation of the transaction.</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Even if a transaction is not a Notifiable Transaction, the Director has the right, prior to and for a period of up to three years after its implementation, to review the transaction to determine if it is likely to lessen competition substantially in any market in Canada. Where the Director concludes that such a substantial lessening of competition is likely to occur, he may take steps to prevent the completion of the transaction or to seek other relief (including divestiture) in respect of a completed transaction.</w:t>
      </w:r>
    </w:p>
    <w:p>
      <w:pPr>
        <w:spacing w:after="0" w:line="32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On October 29, 1993, Viacom made the necessary prenotification filing and the applicable seven-day waiting period has expired. On November 19, 1993, Viacom was advised by the Director that based on his review of the information provided by Paramount and Viacom, he did not intend to challenge the completion of the transaction (although he may re-examine the matter within a period of three years following implementation of the transaction).</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Investment Canada Act (the "ICA") requires that notice of the acquisition of "control" by "non-Canadians" (as defined in the ICA) be furnished to Investment Canada, a Canadian governmental agency (the "Agency"), and that certain of these investments to acquire control of a Canadian business be reviewed and approved by the Minister (as defined in the ICA) as investments that are "likely to be of net benefit" to Canada based upon criteria set forth in the ICA. Transactions which involve the acquisition of control of "cultural business" will be subject to review and approval under the ICA. Some of Paramount's Canadian businesses are engaged primarily in "cultural businesses" as defined in the ICA so the acquisition is reviewable. An indirect acquisition of a corporation in Canada carrying on a Canadian business through the purchase of voting shares of a corporation incorporated outside of Canada may be implemented without prior approval but the application for review must be filed not later than 30 days after the acquisition. Where the Minister does not approve an acquisition, he shall issue to the investor a notice which will have the effect of precluding the completion of the acquisition or, if the acquisition has been implemented, requiring divestiture of the acquisition. On April 11, 1994, Viacom filed an Application for Review with the Agency in connection with its purchase of the majority of the outstanding shares of Paramount Common Stock. The Agency's review of Viacom's Application will not result in any delay in completion of the Paramount Merger.</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Foreign Approvals. In connection with the Paramount Merger, Viacom has made mandatory pre-acquisition notification filings with the German Federal Cartel Office on October 29, 1993, and with the Irish Department of Enterprise and Employment on November 4, 1993, and a voluntary pre-acquisition</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160</w:t>
      </w:r>
    </w:p>
    <w:p>
      <w:pPr>
        <w:sectPr>
          <w:pgSz w:w="11900" w:h="16838" w:orient="portrait"/>
          <w:cols w:equalWidth="0" w:num="1">
            <w:col w:w="10239"/>
          </w:cols>
          <w:pgMar w:left="220" w:top="603" w:right="1440" w:bottom="1440" w:gutter="0" w:footer="0" w:header="0"/>
        </w:sectPr>
      </w:pPr>
    </w:p>
    <w:bookmarkStart w:id="177" w:name="page178"/>
    <w:bookmarkEnd w:id="177"/>
    <w:p>
      <w:pPr>
        <w:ind w:right="3539"/>
        <w:spacing w:after="0" w:line="243" w:lineRule="auto"/>
        <w:rPr>
          <w:sz w:val="20"/>
          <w:szCs w:val="20"/>
          <w:color w:val="auto"/>
        </w:rPr>
      </w:pPr>
      <w:r>
        <w:rPr>
          <w:rFonts w:ascii="Courier New" w:cs="Courier New" w:eastAsia="Courier New" w:hAnsi="Courier New"/>
          <w:sz w:val="14"/>
          <w:szCs w:val="14"/>
          <w:color w:val="auto"/>
        </w:rPr>
        <w:t>notification filing with the Office of Fair Trading in the United Kingdom on October 28, 1993. Viacom has been informed in writing by the relevant governmental authority in each of these jurisdictions that such authority will take no action against the Paramount Merger. Accordingly, with Viacom having complied with the relevant pre-merger filing requirements in these jurisdictions, the laws of such jurisdictions do not prohibit the consummation of the Paramount Merger. Viacom and Paramount conduct operations in a number of other foreign countries, some of which have voluntary merger notification systems. It is recognized that certain filings may not be made and certain approvals may not be obtained prior to the date of the Paramount Special Meeting, the Viacom Special Meeting or the Paramount Effective Time in those countries in which filings or approvals are not as a matter of practice required to be made or obtained prior to the consummation of a merger transaction. The failure to make any such filings or to obtain any such approvals is not anticipated to have a material effect on the Paramount Merger or the combined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LITIGATIONS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On September 13, 1993, four putative class actions were filed in the Court of Chancery in the State of Delaware on behalf of Paramount stockholders alleging causes of action arising out of the proposed merger of Viacom and Paramount: Isquith, et al. v. Paramount Communications Inc., et al., Civ. Action No. 13117; Tuchman v. Paramount Communications Inc., et al., Civ. Action No. 13119; Segesta, et al. v. Paramount Communications Inc., et al., Civ. Action No. 13120; and Goldberg, et al. v. Davis, et al., Civ. Action No. 13121. Also on September 13, 1993, two putative class action complaints were filed in New York Supreme Court, New York County: Rubenstein v. Paramount Communications Inc., et al., Index No. 93123169; and Tuchman, et al. v. Paramount Communications Inc., et al., Index No. 93123202 (the "New York Actions"). On September 14, 1993, three additional putative class actions were filed in Delaware Chancery Court: Sonem Partners, Ltd. v. Paramount Communications Inc., et al., Civ. Action No. 13123; Schwartz v. Davis, et al., Civ. Action No. 13124; and Soshtain, et al. v. Paramount Communications Inc., et al., Civ. Action No. 13126. On September 17, another putative class complaint was filed in Delaware Chancery Court: Sorrentino, et al. v. Davis, et al., Civ. Action No. 13133. On September 20, 1993, the Isquith, et al. v. Paramount Communications Inc., et al. complaint was amended and recaptioned Rubenstein, et al. v. Paramount Communications Inc., et al. On September 22, 1993 and September 23, 1993, respectively, two more putative class action complaints were filed in the Delaware Chancery Court: Hagne v. Davis, et al., Civ. Action No. 13141; and Dwyer v. Davis, et al., Civ. Action No. 13143. Two additional putative class action complaints were filed in the Delaware Chancery Court on September 27, 1993: Citron v. Davis et al., Civ. Action No. 13147; and John P. McCarthy Profit Sharing Plan v. Davis et al., Civ. Action No. 13148. On September 28, 1993, another putative class action complaint was filed in Delaware Chancery Court: Sonet, et al. v. Paramount Communications Inc., et al., Civ. Action No. 13152. The defendants in these actions include Paramount and certain of its directors and, except for the Dwyer action, Viacom, and in the Segesta and Soshtain actions and the New York Actions, Sumner Redstone. The New York Actions also named as a defendant Frank J. Biondi, Jr., President and Chief Executive Officer of Viacom. The Dwyer and Sonet actions erroneously identified defendant James A. Nicholas as a current director of Paramount. In addition, the New York Actions incorrectly identify defendants Earl H. Doppelt, Rudolph L. Hertlein, Lawrence E. Levinson, Eugene I. Meyers and Jerry Sherman (executive officers of Paramount) as Paramount directors. The stockholder lawsuits alleged substantially similar causes of action for breaches of fiduciary duty against Paramount and the Paramount Board, and alleged that Viacom (and in the Segesta and Soshtain actions and the New York Actions, Mr. Redstone) aided and abetted those breaches of duty. The New York Actions also alleged that defendant Biondi aided and abetted purported breaches of fiduciary duties by Paramount's directors. The stockholder actions, except for the Sonet action, sought inter alia to enjoin the proposed merger of Viacom and Paramount on the ground that the consideration to be paid was inadequate and unfair and that the Paramount Board has failed to maximize stockholder value. Certain of the shareholder actions, including the Sonet action, sought to enjoin the operation of certain provisions of the Original Merger Agreement and the Original Stock Option Agreement and also sought to enjoin the operation of the</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161</w:t>
      </w:r>
    </w:p>
    <w:p>
      <w:pPr>
        <w:sectPr>
          <w:pgSz w:w="11900" w:h="16838" w:orient="portrait"/>
          <w:cols w:equalWidth="0" w:num="1">
            <w:col w:w="10239"/>
          </w:cols>
          <w:pgMar w:left="220" w:top="603" w:right="1440" w:bottom="1440" w:gutter="0" w:footer="0" w:header="0"/>
        </w:sectPr>
      </w:pPr>
    </w:p>
    <w:bookmarkStart w:id="178" w:name="page179"/>
    <w:bookmarkEnd w:id="178"/>
    <w:p>
      <w:pPr>
        <w:ind w:right="3539"/>
        <w:spacing w:after="0" w:line="243" w:lineRule="auto"/>
        <w:rPr>
          <w:sz w:val="20"/>
          <w:szCs w:val="20"/>
          <w:color w:val="auto"/>
        </w:rPr>
      </w:pPr>
      <w:r>
        <w:rPr>
          <w:rFonts w:ascii="Courier New" w:cs="Courier New" w:eastAsia="Courier New" w:hAnsi="Courier New"/>
          <w:sz w:val="14"/>
          <w:szCs w:val="14"/>
          <w:color w:val="auto"/>
        </w:rPr>
        <w:t>Rights Agreement. On September 27, 1993, the Delaware Chancery Court entered an order consolidating Civ. Action Nos. 13117, 13119, 13120, 13121, 13123, 13124, 13126, 13133, 13141, and 13143 as In re Paramount Communications Inc. Shareholders Litigation, Consolidated Civ. Action No. 13117. Also on September 27, 1993, all plaintiffs, except for plaintiffs in the Citron, John P. McCarthy Profit Sharing Plan and Sonet actions and plaintiffs in the New York Actions, filed a motion for preliminary injunctive relief and also filed a motion for expedited discovery. On October 23, 1993, the Delaware Chancery Court entered a supplemental order consolidating Citron v. Davis et al., Civ. Action No. 13147, and John P. McCarthy Profit Sharing Plan v. Davis et al., Civ. Action No. 13148, with and into In re Paramount Communications Inc. Shareholders Litigation, Consolidated Civ. Action No. 13117.</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October 26, 1993, an additional putative class action and derivative complaint was filed in Delaware Chancery Court on behalf of Paramount stockholders: B.T.Z. Inc. v. Davis, et al., Civ. Action No. 13219. The defendants in this case included Paramount and certain of its directors. Viacom was not named as a defendant. Plaintiffs' derivative cause of action alleged, inter alia, that demand had not been made on the Paramount Board because of the circumstances of the case, or alternatively, because demand would be futile. This lawsuit alleged causes of action for breaches of fiduciary duty against Paramount and the Paramount Board. In addition, this lawsuit alleged a cause of action for interference with contract and with prospective advantage on the ground that the director defendants interfered with the plaintiffs' contractual and common law rights to sell their shares in lawful transactions and interfered with plaintiffs' prospective advantage in any such transactions. The action sought, inter alia, to enjoin the operation of certain provisions of the October 24 Merger Agreement and the Amended Stock Option Agreement to enjoin the operation of the Rights Agreement and to require that Paramount be auctioned to the highest bidder. This action was consolidated with and into In re Paramount Communications Inc. Shareholders Litigation, consolidated Civ. Action No. 13117. On November 5, 1993, plaintiffs in In re Paramount Communications Inc. Shareholders Litigation, Consolidated Civ. Action No. 13117, filed a Consolidated and Amended Class Action Complaint (the "Amended Consolidated Complaint"), which named Paramount, its directors and Viacom as defendants. The Amended Consolidated Complaint alleged, inter alia, that Paramount's directors committed various breaches of their fiduciary duties and that Viacom aided and abetted those purported breaches. Plaintiffs in the consolidated action sought, inter alia, an injunction against the operation of the October 24 Merger Agreement and the Amended Stock Option Agreement on the ground that Paramount's directors failed to maximize shareholder value, and an order preventing defendants from consummating a merger with Viacom or from withdrawing measures such as the Rights Agreement unless Paramount conducted an auction for Paramount.</w:t>
      </w:r>
    </w:p>
    <w:p>
      <w:pPr>
        <w:spacing w:after="0" w:line="171"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The request for injunctive relief raised in these stockholder actions was addressed by the Delaware courts in conjunction with the QVC litigation, as described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ANTITRUST LITIGATION</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September 23, 1993, Viacom International filed an action in the United States District Court for the Southern District of New York styled Viacom International Inc. v. Tele-Communications, Inc., et al., Case No. 93 Civ. 6658, against Tele-Communications, Inc. ("TCI"), Liberty, Satellite Services, Inc. ("SSI"), Encore Media Corp., Netlink USA, and QVC. The complaint alleges violations of Sections 1 and 2 of the Sherman Act, Section 7 of the Clayton Act, Section 12 of the Cable Act, and New York's Donnelly Act, and tortious interference, against all defendants, and a breach of contract claim against defendants TCI and SSI only. In addition to other relief, Viacom International seeks injunctive relief against defendants' anticompetitive conduct, including enjoining the consummation of QVC's proposed acquisition of Paramount, and damages in an amount to be determined at trial, including trebled damages and attorneys' fees under the Sherman and Clayton Acts.</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162</w:t>
      </w:r>
    </w:p>
    <w:p>
      <w:pPr>
        <w:sectPr>
          <w:pgSz w:w="11900" w:h="16838" w:orient="portrait"/>
          <w:cols w:equalWidth="0" w:num="1">
            <w:col w:w="10239"/>
          </w:cols>
          <w:pgMar w:left="220" w:top="603" w:right="1440" w:bottom="1440" w:gutter="0" w:footer="0" w:header="0"/>
        </w:sectPr>
      </w:pPr>
    </w:p>
    <w:bookmarkStart w:id="179" w:name="page180"/>
    <w:bookmarkEnd w:id="179"/>
    <w:p>
      <w:pPr>
        <w:ind w:right="3539" w:firstLine="418"/>
        <w:spacing w:after="0" w:line="243" w:lineRule="auto"/>
        <w:rPr>
          <w:sz w:val="20"/>
          <w:szCs w:val="20"/>
          <w:color w:val="auto"/>
        </w:rPr>
      </w:pPr>
      <w:r>
        <w:rPr>
          <w:rFonts w:ascii="Courier New" w:cs="Courier New" w:eastAsia="Courier New" w:hAnsi="Courier New"/>
          <w:sz w:val="14"/>
          <w:szCs w:val="14"/>
          <w:color w:val="auto"/>
        </w:rPr>
        <w:t>The 19 claims for relief in the complaint are based on allegations that defendants, controlled by John C. Malone, exert monopoly power in the U.S. cable industry through their control over approximately one in four of all cable households in the United States. Among other things, the complaint alleges that defendants conspired to force SNI to enter into a merger with a Malone-controlled pay television service; defendants have attempted to eliminate The Movie Channel from at least 28 of TCI's systems and have plans to eliminate The Movie Channel from another 27 such systems; defendants have conspired with General Instrument Corporation ("GI") to entrench GI's monopoly power in the markets for digital compression and encryption systems and to use such monopoly power to weaken and eliminate the defendants' competitors; and TCI's construction of a central authorization center to illegally control the distribution of programming services through refusals to deal and denial of direct access. On November 9, 1993, Viacom International amended its complaint in Viacom International Inc. v. Tele-Communications, Inc., et al., Case No. 93 Civ. 6658, to add Comcast Corporation as an additional defendant and to incorporate into the allegations additional anticompetitive activities by the defendants. Viacom plans to pursue all of its claims vigorously.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LITIGATION</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On October 21, 1993, QVC commenced an action in the Court of Chancery for the State of Delaware styled QVC Network, Inc. v. Paramount Communications Inc., et al., Civ. Action No. 13208. This lawsuit alleged causes of action arising out of the Original Merger Agreement, the QVC proposal made to the Paramount Board on September 20, 1993, and the announcement of the First QVC Offer. The suit alleged various breaches of fiduciary duties against Paramount and certain members of the Paramount Board, and alleged that Viacom aided and abetted those breaches of duty.</w:t>
      </w:r>
    </w:p>
    <w:p>
      <w:pPr>
        <w:spacing w:after="0" w:line="169"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suit sought to enjoin: (i) various provisions of the Original Merger Agreement; (ii) consummation of the merger of Viacom and Paramount; (iii) the payment of any money or issuance of any stock by Paramount pursuant to the Original Merger Agreement; (iv) any actions by the Paramount Board designed to impede a bidding contest for Paramount; and (v) any actions by Viacom intended to cause Paramount to forgo any transaction other than the merger of Viacom and Paramount. The suit also sought a declaratory judgment that: (i) various provisions of the Original Merger Agreement were unlawful; (ii) Paramount's refusal to negotiate a merger with QVC was a breach of the fiduciary duties of the directors of Paramount; (iii) any rights purportedly acquired by Viacom pursuant to the Original Merger Agreement were null and void; and (iv) consummation of the merger of Viacom and Paramount, as contemplated by the Original Merger Agreement, was unlawful. In addition, the suit sought rescission of any transaction consummated pursuant to the Original Merger Agreement prior to a final judgment of the Chancery Court and damages flowing therefrom.</w:t>
      </w:r>
    </w:p>
    <w:p>
      <w:pPr>
        <w:spacing w:after="0" w:line="15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On October 28, 1993, QVC filed a motion in Delaware Chancery Court for leave to file a First Amended and Supplemental Complaint to amend and supplement the QVC Network action. On October 29, 1993, defendants consented to the filing of this amended complaint, and on that date, the First Amended and Supplemented Complaint was filed with the court. The named defendants in the First Amended and Supplemental Complaint were identical to the named defendants in the initial complaint, with the exception that one named defendant in the initial complaint, Ronald L. Nelson, was no longer a named defendant. QVC alleged causes of action for breaches of fiduciary duties against Paramount and the Paramount Board and alleged that Viacom aided and abetted certain of those breaches of duty. The amended complaint alleged one additional breach of fiduciary duty claim against Paramount and the named directors of Paramount. The action sought, inter alia, to enjoin any steps to carry out the October 24 Merger Agreement on the ground that certain provisions of the October 24 Merger Agreement and the Amended Stock Option Agreement were allegedly unlawful and purportedly were entered into in breach of Paramount's directors' fiduciary duties. QVC also filed a motion for preliminary injunctive relief. Oral argument on such motion was heard on November 16, 1993.</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163</w:t>
      </w:r>
    </w:p>
    <w:p>
      <w:pPr>
        <w:sectPr>
          <w:pgSz w:w="11900" w:h="16838" w:orient="portrait"/>
          <w:cols w:equalWidth="0" w:num="1">
            <w:col w:w="10239"/>
          </w:cols>
          <w:pgMar w:left="220" w:top="602" w:right="1440" w:bottom="1440" w:gutter="0" w:footer="0" w:header="0"/>
        </w:sectPr>
      </w:pPr>
    </w:p>
    <w:bookmarkStart w:id="180" w:name="page181"/>
    <w:bookmarkEnd w:id="180"/>
    <w:p>
      <w:pPr>
        <w:jc w:val="both"/>
        <w:ind w:right="3539" w:firstLine="418"/>
        <w:spacing w:after="0" w:line="241" w:lineRule="auto"/>
        <w:rPr>
          <w:sz w:val="20"/>
          <w:szCs w:val="20"/>
          <w:color w:val="auto"/>
        </w:rPr>
      </w:pPr>
      <w:r>
        <w:rPr>
          <w:rFonts w:ascii="Courier New" w:cs="Courier New" w:eastAsia="Courier New" w:hAnsi="Courier New"/>
          <w:sz w:val="14"/>
          <w:szCs w:val="14"/>
          <w:color w:val="auto"/>
        </w:rPr>
        <w:t>On November 24, 1993, the Delaware Court of Chancery issued the Preliminary Injunction Order (the "Preliminary Injunction Order") sought by QVC and certain stockholders of Paramount pursuant to which:</w:t>
      </w:r>
    </w:p>
    <w:p>
      <w:pPr>
        <w:spacing w:after="0" w:line="166" w:lineRule="exact"/>
        <w:rPr>
          <w:sz w:val="20"/>
          <w:szCs w:val="20"/>
          <w:color w:val="auto"/>
        </w:rPr>
      </w:pPr>
    </w:p>
    <w:p>
      <w:pPr>
        <w:ind w:left="1000" w:right="3539" w:hanging="325"/>
        <w:spacing w:after="0" w:line="242" w:lineRule="auto"/>
        <w:tabs>
          <w:tab w:leader="none" w:pos="10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was preliminarily enjoined absent further order of the Court from amending the Rights Agreement, redeeming the rights under the Rights Agreement or taking any other action under the Rights Agreement to facilitate the Second Viacom Offer or the merger of Viacom and Paramount.</w:t>
      </w:r>
    </w:p>
    <w:p>
      <w:pPr>
        <w:spacing w:after="0" w:line="165" w:lineRule="exact"/>
        <w:rPr>
          <w:rFonts w:ascii="Courier New" w:cs="Courier New" w:eastAsia="Courier New" w:hAnsi="Courier New"/>
          <w:sz w:val="14"/>
          <w:szCs w:val="14"/>
          <w:color w:val="auto"/>
        </w:rPr>
      </w:pPr>
    </w:p>
    <w:p>
      <w:pPr>
        <w:ind w:left="1000" w:right="3699" w:hanging="325"/>
        <w:spacing w:after="0" w:line="242" w:lineRule="auto"/>
        <w:tabs>
          <w:tab w:leader="none" w:pos="10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and Viacom were enjoined from (i) taking any action to exercise, cash out, enforce, effectuate or consummate any term or provision of the Amended Stock Option Agreement or (ii) causing Paramount or its subsidiaries or affiliates to pay money, transfer assets or issue securities of Paramount to Viacom or any of its affiliates or subsidiaries other than in the ordinary course of business or pursuant to the termination fee contemplated by the Amended Stock Option Agreement.</w:t>
      </w:r>
    </w:p>
    <w:p>
      <w:pPr>
        <w:spacing w:after="0" w:line="168" w:lineRule="exact"/>
        <w:rPr>
          <w:rFonts w:ascii="Courier New" w:cs="Courier New" w:eastAsia="Courier New" w:hAnsi="Courier New"/>
          <w:sz w:val="14"/>
          <w:szCs w:val="14"/>
          <w:color w:val="auto"/>
        </w:rPr>
      </w:pPr>
    </w:p>
    <w:p>
      <w:pPr>
        <w:ind w:left="1000" w:right="3699" w:hanging="325"/>
        <w:spacing w:after="0" w:line="239" w:lineRule="auto"/>
        <w:tabs>
          <w:tab w:leader="none" w:pos="10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QVC's motion to enjoin payment of the termination fee contemplated by the Amended Stock Option Agreement was denied.</w:t>
      </w:r>
    </w:p>
    <w:p>
      <w:pPr>
        <w:spacing w:after="0" w:line="167" w:lineRule="exact"/>
        <w:rPr>
          <w:sz w:val="20"/>
          <w:szCs w:val="20"/>
          <w:color w:val="auto"/>
        </w:rPr>
      </w:pPr>
    </w:p>
    <w:p>
      <w:pPr>
        <w:ind w:right="3619" w:firstLine="418"/>
        <w:spacing w:after="0" w:line="269" w:lineRule="auto"/>
        <w:rPr>
          <w:sz w:val="20"/>
          <w:szCs w:val="20"/>
          <w:color w:val="auto"/>
        </w:rPr>
      </w:pPr>
      <w:r>
        <w:rPr>
          <w:rFonts w:ascii="Courier New" w:cs="Courier New" w:eastAsia="Courier New" w:hAnsi="Courier New"/>
          <w:sz w:val="13"/>
          <w:szCs w:val="13"/>
          <w:color w:val="auto"/>
        </w:rPr>
        <w:t>In addition to the Preliminary Injunction Order, the Delaware Court of Chancery issued on November 24, 1993 a separate order certifying an appeal from the Preliminary Injunction Order to the Supreme Court of the State of Delaware.</w:t>
      </w:r>
    </w:p>
    <w:p>
      <w:pPr>
        <w:spacing w:after="0" w:line="148" w:lineRule="exact"/>
        <w:rPr>
          <w:sz w:val="20"/>
          <w:szCs w:val="20"/>
          <w:color w:val="auto"/>
        </w:rPr>
      </w:pPr>
    </w:p>
    <w:p>
      <w:pPr>
        <w:jc w:val="both"/>
        <w:ind w:right="3539" w:firstLine="418"/>
        <w:spacing w:after="0" w:line="242" w:lineRule="auto"/>
        <w:rPr>
          <w:sz w:val="20"/>
          <w:szCs w:val="20"/>
          <w:color w:val="auto"/>
        </w:rPr>
      </w:pPr>
      <w:r>
        <w:rPr>
          <w:rFonts w:ascii="Courier New" w:cs="Courier New" w:eastAsia="Courier New" w:hAnsi="Courier New"/>
          <w:sz w:val="14"/>
          <w:szCs w:val="14"/>
          <w:color w:val="auto"/>
        </w:rPr>
        <w:t>On the same day, Paramount and Viacom filed a notice of appeal with respect to the Preliminary Injunction Order. The Supreme Court of the State of Delaware, pursuant to an Order dated November 29, 1993, accepted the appeal and scheduled oral argument on the appeal for December 9, 1993.</w:t>
      </w:r>
    </w:p>
    <w:p>
      <w:pPr>
        <w:spacing w:after="0" w:line="165"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On December 9, 1993, the Supreme Court of the State of Delaware issued an order (the "Order") pursuant to which the Court, among other things: (1) affirmed the order of the Delaware Chancery Court entered November 24, 1993; and</w:t>
      </w:r>
    </w:p>
    <w:p>
      <w:pPr>
        <w:ind w:right="4039" w:firstLine="6"/>
        <w:spacing w:after="0" w:line="239" w:lineRule="auto"/>
        <w:tabs>
          <w:tab w:leader="none" w:pos="33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remanded the proceeding to the Delaware Chancery Court for proceedings consistent with the Order.</w:t>
      </w:r>
    </w:p>
    <w:p>
      <w:pPr>
        <w:spacing w:after="0" w:line="167"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These cases are still pending; however, Viacom believes the issues to be moot. The only issue outstanding relates to the payment of attorneys' fees and Paramount and Viacom have agreed that any fees awarded by the Delaware Chancery Court will be paid by Paramount or Viacom, subject to Paramount's and Viacom's right to contest any fee requests that may be made and to appeal any decision made on such requests to the Delaware Supreme Court. Plaintiffs' counsel has acknowledged the right of Paramount and Viacom to assert in opposition to such requests any argument that would have been available to Paramount stockholders had attorneys' fees and expenses been sought directly from them.</w:t>
      </w:r>
    </w:p>
    <w:p>
      <w:pPr>
        <w:spacing w:after="0" w:line="14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164</w:t>
      </w:r>
    </w:p>
    <w:p>
      <w:pPr>
        <w:sectPr>
          <w:pgSz w:w="11900" w:h="16838" w:orient="portrait"/>
          <w:cols w:equalWidth="0" w:num="1">
            <w:col w:w="10239"/>
          </w:cols>
          <w:pgMar w:left="220" w:top="603" w:right="1440" w:bottom="1440" w:gutter="0" w:footer="0" w:header="0"/>
        </w:sectPr>
      </w:pPr>
    </w:p>
    <w:bookmarkStart w:id="181" w:name="page182"/>
    <w:bookmarkEnd w:id="181"/>
    <w:p>
      <w:pPr>
        <w:jc w:val="center"/>
        <w:ind w:right="3539"/>
        <w:spacing w:after="0"/>
        <w:rPr>
          <w:sz w:val="20"/>
          <w:szCs w:val="20"/>
          <w:color w:val="auto"/>
        </w:rPr>
      </w:pPr>
      <w:r>
        <w:rPr>
          <w:rFonts w:ascii="Courier New" w:cs="Courier New" w:eastAsia="Courier New" w:hAnsi="Courier New"/>
          <w:sz w:val="14"/>
          <w:szCs w:val="14"/>
          <w:color w:val="auto"/>
        </w:rPr>
        <w:t>DISSENTING STOCKHOLDERS' RIGHTS OF APPRAISAL</w:t>
      </w:r>
    </w:p>
    <w:p>
      <w:pPr>
        <w:spacing w:after="0" w:line="166"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If the Paramount Merger is consummated, holders of shares of Paramount Common Stock are entitled to appraisal rights under Section 262 of the DGCL ("Section 262"), provided that they comply with the conditions established by Section 262.</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SECTION 262 IS REPRINTED IN ITS ENTIRETY AS ANNEX V TO THIS PROXY STATEMENT/PROSPECTUS. THE FOLLOWING DISCUSSION IS NOT A COMPLETE STATEMENT OF THE LAW RELATING TO APPRAISAL RIGHTS AND IS QUALIFIED IN ITS ENTIRETY BY REFERENCE TO ANNEX V. THIS DISCUSSION AND ANNEX V SHOULD BE REVIEWED CAREFULLY BY ANY HOLDER WHO WISHES TO EXERCISE STATUTORY APPRAISAL RIGHTS OR WHO WISHES TO PRESERVE THE RIGHT TO DO SO, AS FAILURE TO COMPLY WITH THE PROCEDURES SET FORTH HEREIN OR THEREIN WILL RESULT IN THE LOSS OF APPRAISAL RIGHTS.</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 record holder of shares of Paramount Common Stock who makes the demand described below with respect to such shares, who continuously is the record holder of such shares through the Paramount Effective Time, who otherwise complies with the statutory requirements of Section 262 and who neither votes in favor of the Paramount Merger Agreement nor consents thereto in writing will be entitled to an appraisal by the Delaware Court of Chancery (the "Delaware Court") of the fair value of his or her shares of Paramount Common Stock. All references in this summary of appraisal rights to a "stockholder" or "holders of shares of Paramount Common Stock" are to the record holder or holders of shares of Paramount Common Stock. Except as set forth herein, stockholders of Paramount will not be entitled to appraisal rights in connection with the Paramount Merger. Stockholders of Viacom will have no appraisal rights in connection with the Paramount Merger.</w:t>
      </w:r>
    </w:p>
    <w:p>
      <w:pPr>
        <w:spacing w:after="0" w:line="200" w:lineRule="exact"/>
        <w:rPr>
          <w:sz w:val="20"/>
          <w:szCs w:val="20"/>
          <w:color w:val="auto"/>
        </w:rPr>
      </w:pPr>
    </w:p>
    <w:p>
      <w:pPr>
        <w:spacing w:after="0" w:line="287"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Under Section 262, where a merger is to be submitted for approval at a meeting of stockholders, as in the Paramount Special Meeting, not less than 20 days prior to the meeting, a constituent corporation must notify each of the holders of its stock for which appraisal rights are available that such appraisal rights are available and include in each such notice a copy of Section</w:t>
      </w:r>
    </w:p>
    <w:p>
      <w:pPr>
        <w:spacing w:after="0" w:line="1" w:lineRule="exact"/>
        <w:rPr>
          <w:sz w:val="20"/>
          <w:szCs w:val="20"/>
          <w:color w:val="auto"/>
        </w:rPr>
      </w:pPr>
    </w:p>
    <w:p>
      <w:pPr>
        <w:ind w:right="3619" w:firstLine="6"/>
        <w:spacing w:after="0" w:line="239" w:lineRule="auto"/>
        <w:tabs>
          <w:tab w:leader="none" w:pos="418"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Proxy Statement/Prospectus shall constitute such notice to the record holders of Paramount Common Stock.</w:t>
      </w:r>
    </w:p>
    <w:p>
      <w:pPr>
        <w:spacing w:after="0" w:line="32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Holders of shares of Paramount Common Stock who desire to exercise their appraisal rights must not vote in favor of the Paramount Merger Agreement and must deliver a separate written demand for appraisal to Paramount prior to the vote by the stockholders of Paramount on the Paramount Merger Agreement. A stockholder who signs and returns a proxy without expressly directing by checking the applicable boxes on the reverse side of the proxy card enclosed herewith that his or her shares of Paramount Common Stock be voted against the proposal or that an abstention be registered with respect to his or her shares of Paramount Common Stock in connection with the proposal will effectively have thereby waived his or her appraisal rights as to those shares of Paramount Common Stock because, in the absence of express contrary instructions, such shares of Paramount Common Stock will be voted in favor of the proposal. See "The Meetings--Voting of Proxies." Accordingly, a stockholder who desires to perfect appraisal rights with respect to any of his or her shares of Paramount Common Stock must, as one of the procedural steps involved in such perfection, either (i) refrain from executing and returning the enclosed proxy card and from voting in person in favor of the proposal to approve the Paramount Merger Agreement, or (ii) check either the "Against" or the "Abstain" box next to the proposal on such card or affirmatively vote in person against the proposal or register in person an abstention with respect thereto. A demand for appraisal must be executed by or on behalf of the stockholder of record and must reasonably inform Paramount of the identity of the stockholder of record and that such record stockholder intends thereby to demand appraisal of the Paramount Common Stock. A person having a beneficial interest in shares of Paramount Common Stock that are held of record in the name of another person, such as a broker, fiduciary or other nominee, must act promptly to cause the record holder to follow the steps summarized herein properly and in a timely manner to perfect whatever appraisal rights are available. If the shares of Paramount Common Stock are owned of record by a person other than the beneficial owner, including a broker, fiduciary (such as a trustee, guardian or custodian) or other nominee, such demand must be executed by or for the record owner. If the shares of Paramount Common Stock are owned of record by more than one person, as in a</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165</w:t>
      </w:r>
    </w:p>
    <w:p>
      <w:pPr>
        <w:sectPr>
          <w:pgSz w:w="11900" w:h="16838" w:orient="portrait"/>
          <w:cols w:equalWidth="0" w:num="1">
            <w:col w:w="10239"/>
          </w:cols>
          <w:pgMar w:left="220" w:top="600" w:right="1440" w:bottom="1440" w:gutter="0" w:footer="0" w:header="0"/>
        </w:sectPr>
      </w:pPr>
    </w:p>
    <w:bookmarkStart w:id="182" w:name="page183"/>
    <w:bookmarkEnd w:id="182"/>
    <w:p>
      <w:pPr>
        <w:ind w:right="3699"/>
        <w:spacing w:after="0" w:line="242" w:lineRule="auto"/>
        <w:rPr>
          <w:sz w:val="20"/>
          <w:szCs w:val="20"/>
          <w:color w:val="auto"/>
        </w:rPr>
      </w:pPr>
      <w:r>
        <w:rPr>
          <w:rFonts w:ascii="Courier New" w:cs="Courier New" w:eastAsia="Courier New" w:hAnsi="Courier New"/>
          <w:sz w:val="14"/>
          <w:szCs w:val="14"/>
          <w:color w:val="auto"/>
        </w:rPr>
        <w:t>joint tenancy or tenancy in common, such demand must be executed by or for all joint owners. An authorized agent, including an agent for two or more joint owners, may execute the demand for appraisal for a stockholder of record; however, the agent must identify the record owner and expressly disclose the fact that, in exercising the demand, such person is acting as agent for the record owner.</w:t>
      </w:r>
    </w:p>
    <w:p>
      <w:pPr>
        <w:spacing w:after="0" w:line="32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 record owner, such as a broker, fiduciary or other nominee, who holds shares of Paramount Common Stock as a nominee for others, may exercise appraisal rights with respect to the shares held for all or less than all beneficial owners of shares as to which such person is the record owner. In such case, the written demand must set forth the number of shares covered by such demand. Where the number of shares is not expressly stated, the demand will be presumed to cover all shares of Paramount Common Stock outstanding in the name of such record owner.</w:t>
      </w:r>
    </w:p>
    <w:p>
      <w:pPr>
        <w:spacing w:after="0" w:line="330"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A stockholder who elects to exercise appraisal rights should mail or deliver his or her written demand to: Viacom International Inc., 1515 Broadway, New York, New York 10036, Attention: Philippe P. Dauman, Secretary.</w:t>
      </w:r>
    </w:p>
    <w:p>
      <w:pPr>
        <w:spacing w:after="0" w:line="166" w:lineRule="exact"/>
        <w:rPr>
          <w:sz w:val="20"/>
          <w:szCs w:val="20"/>
          <w:color w:val="auto"/>
        </w:rPr>
      </w:pPr>
    </w:p>
    <w:p>
      <w:pPr>
        <w:jc w:val="both"/>
        <w:ind w:right="3539" w:firstLine="418"/>
        <w:spacing w:after="0" w:line="242" w:lineRule="auto"/>
        <w:rPr>
          <w:sz w:val="20"/>
          <w:szCs w:val="20"/>
          <w:color w:val="auto"/>
        </w:rPr>
      </w:pPr>
      <w:r>
        <w:rPr>
          <w:rFonts w:ascii="Courier New" w:cs="Courier New" w:eastAsia="Courier New" w:hAnsi="Courier New"/>
          <w:sz w:val="14"/>
          <w:szCs w:val="14"/>
          <w:color w:val="auto"/>
        </w:rPr>
        <w:t>The written demand for appraisal should specify the stockholder's name and mailing address, the number of shares of Paramount Common Stock owned, and that the stockholder is thereby demanding appraisal of his or her shares. A proxy or vote against the Paramount Merger Agreement will not by itself constitute such a demand. Within ten days after the Paramount Effective Time, the combined company must provide notice of the Paramount Effective Time to all stockholders who have complied with Section 262.</w:t>
      </w:r>
    </w:p>
    <w:p>
      <w:pPr>
        <w:spacing w:after="0" w:line="168"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Within 120 days after the Paramount Effective Time, either the combined company or any stockholder who has complied with the required conditions of Section 262 may file a petition in the Delaware Court, with a copy served on the combined company in the case of a petition filed by a stockholder, demanding a determination of the fair value of the shares of all dissenting stockholders. There is no present intent on the part of Viacom to file an appraisal petition and stockholders seeking to exercise appraisal rights should not assume that the combined company will file such a petition or that the combined company will initiate any negotiations with respect to the fair value of such shares. Accordingly, Paramount stockholders who desire to have their shares appraised should initiate any petitions necessary for the perfection of their appraisal rights within the time periods and in the manner prescribed in Section 262. Within 120 days after the Paramount Effective Time, any stockholder who has theretofore complied with the applicable provisions of Section 262 will be entitled, upon written request, to receive from the combined company a statement setting forth the aggregate number of shares of Paramount Common Stock not voting in favor of the Paramount Merger Agreement and with respect to which demands for appraisal were received by Paramount and the number of holders of such shares. Such statement must be mailed within 10 days after the written request therefor has been received by the combined company.</w:t>
      </w:r>
    </w:p>
    <w:p>
      <w:pPr>
        <w:spacing w:after="0" w:line="313"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If a petition for an appraisal is timely filed, at the hearing on such petition, the Delaware Court will determine which stockholders are entitled to appraisal rights. The Delaware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Delaware Court may dismiss the proceedings as to such stockholder. Where proceedings are not dismissed, the Delaware Court will appraise the shares of Paramount Common Stock owned by such stockholders, determining the fair value of such shares exclusive of any element of value arising from the accomplishment or expectation of the Paramount Merger, together with a fair rate of interest, if any, to be paid upon the amount determined to be the fair value. In determining fair value, the Delaware Court is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w:t>
      </w:r>
    </w:p>
    <w:p>
      <w:pPr>
        <w:ind w:left="3180"/>
        <w:spacing w:after="0"/>
        <w:rPr>
          <w:sz w:val="20"/>
          <w:szCs w:val="20"/>
          <w:color w:val="auto"/>
        </w:rPr>
      </w:pPr>
      <w:r>
        <w:rPr>
          <w:rFonts w:ascii="Courier New" w:cs="Courier New" w:eastAsia="Courier New" w:hAnsi="Courier New"/>
          <w:sz w:val="14"/>
          <w:szCs w:val="14"/>
          <w:color w:val="auto"/>
        </w:rPr>
        <w:t>166</w:t>
      </w:r>
    </w:p>
    <w:p>
      <w:pPr>
        <w:sectPr>
          <w:pgSz w:w="11900" w:h="16838" w:orient="portrait"/>
          <w:cols w:equalWidth="0" w:num="1">
            <w:col w:w="10239"/>
          </w:cols>
          <w:pgMar w:left="220" w:top="603" w:right="1440" w:bottom="1440" w:gutter="0" w:footer="0" w:header="0"/>
        </w:sectPr>
      </w:pPr>
    </w:p>
    <w:bookmarkStart w:id="183" w:name="page184"/>
    <w:bookmarkEnd w:id="183"/>
    <w:p>
      <w:pPr>
        <w:ind w:right="3539"/>
        <w:spacing w:after="0" w:line="243" w:lineRule="auto"/>
        <w:rPr>
          <w:sz w:val="20"/>
          <w:szCs w:val="20"/>
          <w:color w:val="auto"/>
        </w:rPr>
      </w:pPr>
      <w:r>
        <w:rPr>
          <w:rFonts w:ascii="Courier New" w:cs="Courier New" w:eastAsia="Courier New" w:hAnsi="Courier New"/>
          <w:sz w:val="14"/>
          <w:szCs w:val="14"/>
          <w:color w:val="auto"/>
        </w:rPr>
        <w:t>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which could be ascertained as of the date of the merger which throw light on future prospects of the merged corporation. In Weinberger, the Delaware Supreme Court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w:t>
      </w:r>
    </w:p>
    <w:p>
      <w:pPr>
        <w:spacing w:after="0" w:line="164"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Holders of shares of Paramount Common Stock considering seeking appraisal should recognize that the fair value of their shares determined under Section 262 could be more than, the same as or less than the consideration they are entitled to receive pursuant to the Paramount Merger Agreement if they do not seek appraisal of their shares. The cost of the appraisal proceeding may be determined by the Delaware Court and taxed against the parties as the Delaware Court deems equitable in the circumstances. Upon application of a dissenting stockholder of Paramount, the Delaware Court may order that all or a portion of the expenses incurred by any dissenting stockholder in connection with the appraisal proceeding, including without limitation, reasonable attorney's fees and the fees and expenses of experts, be charged pro rata against the value of all shares of stock entitled to appraisal.</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Any holder of shares of Paramount Common Stock who has duly demanded appraisal in compliance with Section 262 will not, after the Paramount Effective Time, be entitled to vote for any purpose any shares subject to such demand or to receive payment of dividends or other distributions on such shares, except for dividends or distributions payable to stockholders of record at a date prior to the Paramount Effective Time.</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At any time within 60 days after the Paramount Effective Time, any stockholder will have the right to withdraw such demand for appraisal and to accept the terms offered in the Paramount Merger; after this period, the stockholder may withdraw such demand for appraisal only with the consent of the combined company. If no petition for appraisal is filed with the Delaware Court within 120 days after the Paramount Effective Time, stockholders' rights to appraisal shall cease, and all holders of shares of Paramount Common Stock will be entitled to receive the consideration offered pursuant to the Paramount Merger Agreement. Inasmuch as the combined company has no obligation to file such a petition, and Viacom has no present intention to do so, any holder of shares of Paramount Common Stock who desires such a petition to be filed is advised to file it on a timely basis. Any stockholder may withdraw such stockholder's demand for appraisal by delivering to the combined company a written withdrawal of his or her demand for appraisal and acceptance of the Paramount Merger, except (i) that any such attempt to withdraw made more than 60 days after the Paramount Effective Time will require written approval of the combined company and (ii) that no appraisal proceeding in the Court of Chancery shall be dismissed as to any stockholder without the approval of the Court, and such approval may be conditioned upon such terms as the Court deems just.</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EXPERTS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financial statements incorporated in this Proxy Statement/Prospectus by reference to the Annual Report on Form 10-K of Viacom for the year ended December 31, 1993 have been so incorporated in reliance on the reports of Price Waterhouse, independent accountants, given on the authority of such firm as experts in auditing and accounting.</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consolidated financial statements of Paramount incorporated by reference in this Proxy Statement/Prospectus and Registration Statement at April 30, 1993 and at October 31, 1992 and 1991, and for the six-month period ended April 30, 1993, and for each of the three years in the period ended October 31, 1992 included in its Transition Report on Form 10-K for the six months ended April 30,</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167</w:t>
      </w:r>
    </w:p>
    <w:p>
      <w:pPr>
        <w:sectPr>
          <w:pgSz w:w="11900" w:h="16838" w:orient="portrait"/>
          <w:cols w:equalWidth="0" w:num="1">
            <w:col w:w="10239"/>
          </w:cols>
          <w:pgMar w:left="220" w:top="603" w:right="1440" w:bottom="1440" w:gutter="0" w:footer="0" w:header="0"/>
        </w:sectPr>
      </w:pPr>
    </w:p>
    <w:bookmarkStart w:id="184" w:name="page185"/>
    <w:bookmarkEnd w:id="184"/>
    <w:p>
      <w:pPr>
        <w:ind w:right="3619"/>
        <w:spacing w:after="0" w:line="242" w:lineRule="auto"/>
        <w:rPr>
          <w:sz w:val="20"/>
          <w:szCs w:val="20"/>
          <w:color w:val="auto"/>
        </w:rPr>
      </w:pPr>
      <w:r>
        <w:rPr>
          <w:rFonts w:ascii="Courier New" w:cs="Courier New" w:eastAsia="Courier New" w:hAnsi="Courier New"/>
          <w:sz w:val="14"/>
          <w:szCs w:val="14"/>
          <w:color w:val="auto"/>
        </w:rPr>
        <w:t>1993, as amended by Form 10-K/A Amendments No. 1, 2 and 3 have been audited by Ernst &amp; Young, independent auditors, as set forth in their reports thereon included therein and incorporated herein by reference. Such consolidated financial statements are incorporated herein by reference in reliance upon such reports given upon the authority of such firm as experts in accounting and auditing.</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consolidated financial statements and schedules of Blockbuster as of December 31, 1993 and 1991 and for the three years ended December 31, 1993 incorporated by reference in this Proxy Statement/Prospectus have been audited by Arthur Andersen &amp; Co., independent certified public accountants, as indicated in their reports with respect thereto, and are incorporated by reference herein in reliance upon the authority of said firm as experts in accounting and auditing in giving said reports.</w:t>
      </w:r>
    </w:p>
    <w:p>
      <w:pPr>
        <w:spacing w:after="0" w:line="168"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consolidated financial statements at May 31, 1992 and 1991 and for each of the three years in the period ended May 31, 1992 of Sound Warehouse, Inc. and subsidiary and the financial statements at December 31, 1991 and 1990 and for each of the three years in the period ended December 31, 1991 of Show Industries, Inc. incorporated by reference in this Proxy Statement/Prospectus have been audited by Price Waterhouse, independent accountants, as set forth in their reports thereon. The financial statements of Sound Warehouse, Inc. and Show Industries, Inc. incorporated by reference in this Proxy Statement/Prospectus have been so incorporated in reliance on the reports of Price Waterhouse, independent accountants, given on the authority of said firm as experts in auditing and accounting.</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consolidated financial statements of Spelling Entertainment Group Inc. incorporated by reference in this Proxy Statement/Prospectus and Registration Statement and included in Blockbuster Entertainment Corporation's Current Report on Form 8-K dated March 31, 1993, have been audited by Ernst &amp; Young, independent auditors,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169"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The consolidated financial statements of Super Club as of April 3, 1993, and for the fifty-two week period then ended, incorporated by reference in this Proxy Statement/Prospectus and included in Blockbuster's Current Report on Form 8-K dated November 5, 1993, have been incorporated by reference herein in reliance upon the report of KPMG Peat Marwick, independent certified public accountants, incorporated by reference herein, and upon the authority of said firm as experts in auditing and accounting. The report of KPMG Peat Marwick refers to a change in the method of depreciating certain new release copies of video rental cassettes.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OPINIONS</w:t>
      </w:r>
    </w:p>
    <w:p>
      <w:pPr>
        <w:spacing w:after="0" w:line="166" w:lineRule="exact"/>
        <w:rPr>
          <w:sz w:val="20"/>
          <w:szCs w:val="20"/>
          <w:color w:val="auto"/>
        </w:rPr>
      </w:pPr>
    </w:p>
    <w:p>
      <w:pPr>
        <w:ind w:right="3539" w:firstLine="418"/>
        <w:spacing w:after="0" w:line="265" w:lineRule="auto"/>
        <w:rPr>
          <w:sz w:val="20"/>
          <w:szCs w:val="20"/>
          <w:color w:val="auto"/>
        </w:rPr>
      </w:pPr>
      <w:r>
        <w:rPr>
          <w:rFonts w:ascii="Courier New" w:cs="Courier New" w:eastAsia="Courier New" w:hAnsi="Courier New"/>
          <w:sz w:val="13"/>
          <w:szCs w:val="13"/>
          <w:color w:val="auto"/>
        </w:rPr>
        <w:t>The legality of the Viacom Class B Common Stock, the Viacom Merger Debentures, the CVRs and the Viacom Warrants being offered hereby will be passed upon for Viacom by Shearman &amp; Sterling, New York, New York. Simpson Thacher &amp; Bartlett, counsel to Paramount, and Shearman &amp; Sterling, counsel to Viacom, will render certain opinions with respect to matters of Federal income tax law. See discussion under "Special Factors--Certain Federal Income Tax Consequences."</w:t>
      </w:r>
    </w:p>
    <w:p>
      <w:pPr>
        <w:spacing w:after="0" w:line="14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10239"/>
          </w:cols>
          <w:pgMar w:left="220" w:top="603" w:right="1440" w:bottom="1440" w:gutter="0" w:footer="0" w:header="0"/>
        </w:sectPr>
      </w:pPr>
    </w:p>
    <w:bookmarkStart w:id="185" w:name="page186"/>
    <w:bookmarkEnd w:id="185"/>
    <w:p>
      <w:pPr>
        <w:ind w:left="2440"/>
        <w:spacing w:after="0"/>
        <w:rPr>
          <w:sz w:val="20"/>
          <w:szCs w:val="20"/>
          <w:color w:val="auto"/>
        </w:rPr>
      </w:pPr>
      <w:r>
        <w:rPr>
          <w:rFonts w:ascii="Courier New" w:cs="Courier New" w:eastAsia="Courier New" w:hAnsi="Courier New"/>
          <w:sz w:val="14"/>
          <w:szCs w:val="14"/>
          <w:color w:val="auto"/>
        </w:rPr>
        <w:t>STOCKHOLDER PROPOSALS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Any Viacom stockholder who wishes to submit a proposal for presentation to the 1995 Annual Meeting of Stockholders must submit the proposal to Viacom, 1515 Broadway, New York, New York 10036, Attention: Secretary, not later than December 30, 1994, for inclusion, if appropriate, in Viacom's proxy statement and the form of proxy relating to the 1995 Annual Meeting.</w:t>
      </w:r>
    </w:p>
    <w:p>
      <w:pPr>
        <w:spacing w:after="0" w:line="32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PHILIPPE P. DAUMAN</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Secretary</w:t>
      </w:r>
    </w:p>
    <w:p>
      <w:pPr>
        <w:spacing w:after="0" w:line="32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PHILIPPE P. DAUMAN</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Secretary</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169</w:t>
      </w:r>
    </w:p>
    <w:p>
      <w:pPr>
        <w:sectPr>
          <w:pgSz w:w="11900" w:h="16838" w:orient="portrait"/>
          <w:cols w:equalWidth="0" w:num="1">
            <w:col w:w="10239"/>
          </w:cols>
          <w:pgMar w:left="220" w:top="600" w:right="1440" w:bottom="1440" w:gutter="0" w:footer="0" w:header="0"/>
        </w:sectPr>
      </w:pPr>
    </w:p>
    <w:bookmarkStart w:id="186" w:name="page187"/>
    <w:bookmarkEnd w:id="186"/>
    <w:p>
      <w:pPr>
        <w:ind w:left="3780"/>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1515 BROADWAY</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NEW YORK, NEW YORK 10036</w:t>
      </w:r>
    </w:p>
    <w:p>
      <w:pPr>
        <w:spacing w:after="0" w:line="166" w:lineRule="exact"/>
        <w:rPr>
          <w:sz w:val="20"/>
          <w:szCs w:val="20"/>
          <w:color w:val="auto"/>
        </w:rPr>
      </w:pPr>
    </w:p>
    <w:p>
      <w:pPr>
        <w:ind w:right="3619" w:firstLine="251"/>
        <w:spacing w:after="0" w:line="262" w:lineRule="auto"/>
        <w:rPr>
          <w:sz w:val="20"/>
          <w:szCs w:val="20"/>
          <w:color w:val="auto"/>
        </w:rPr>
      </w:pPr>
      <w:r>
        <w:rPr>
          <w:rFonts w:ascii="Courier New" w:cs="Courier New" w:eastAsia="Courier New" w:hAnsi="Courier New"/>
          <w:sz w:val="13"/>
          <w:szCs w:val="13"/>
          <w:color w:val="auto"/>
        </w:rPr>
        <w:t>The undersigned hereby appoints Frank J. Biondi, Jr. and Philippe P. Dauman, and each of them, as proxies with full power of substitution, to represent and to vote on behalf of the undersigned all of the shares of Class A Common Stock of Viacom Inc. which the undersigned is entitled to vote at the Special Meeting</w:t>
      </w:r>
    </w:p>
    <w:p>
      <w:pPr>
        <w:spacing w:after="0" w:line="1"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of Stockholders to be held at [ ], New York, New York on [DAY], [DATE], at [TIME], and at any adjournments or postponements thereof, upon the following proposal more fully described in the Notice of Special Meeting of Stockholders and the VIACOM INC. and PARAMOUNT COMMUNICATIONS INC. Joint Proxy Statement/Prospectus.</w:t>
      </w:r>
    </w:p>
    <w:p>
      <w:pPr>
        <w:spacing w:after="0" w:line="166" w:lineRule="exact"/>
        <w:rPr>
          <w:sz w:val="20"/>
          <w:szCs w:val="20"/>
          <w:color w:val="auto"/>
        </w:rPr>
      </w:pPr>
    </w:p>
    <w:p>
      <w:pPr>
        <w:ind w:right="3699"/>
        <w:spacing w:after="0" w:line="239" w:lineRule="auto"/>
        <w:rPr>
          <w:sz w:val="20"/>
          <w:szCs w:val="20"/>
          <w:color w:val="auto"/>
        </w:rPr>
      </w:pPr>
      <w:r>
        <w:rPr>
          <w:rFonts w:ascii="Courier New" w:cs="Courier New" w:eastAsia="Courier New" w:hAnsi="Courier New"/>
          <w:sz w:val="14"/>
          <w:szCs w:val="14"/>
          <w:color w:val="auto"/>
        </w:rPr>
        <w:t>The proxies are directed to vote as specified below and in their discretion on all other matters.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(1), (2), (3), (4) and (5).</w:t>
      </w:r>
    </w:p>
    <w:p>
      <w:pPr>
        <w:spacing w:after="0" w:line="166" w:lineRule="exact"/>
        <w:rPr>
          <w:sz w:val="20"/>
          <w:szCs w:val="20"/>
          <w:color w:val="auto"/>
        </w:rPr>
      </w:pPr>
    </w:p>
    <w:p>
      <w:pPr>
        <w:ind w:right="3699" w:firstLine="6"/>
        <w:spacing w:after="0" w:line="242" w:lineRule="auto"/>
        <w:tabs>
          <w:tab w:leader="none" w:pos="25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AND ADOPT THE SECOND AMENDED AND RESTATED AGREEMENT AND PLAN OF MERGER PROVIDING FOR A BUSINESS COMBINATION TRANSACTION BETWEEN PARAMOUNT COMMUNICATIONS INC. AND VIACOM INC., INCLUDING THE APPROVAL OF THE ISSUANCE OF SHARES OF SECURITIES OF VIACOM INC. IN CONNECTION THEREWITH.</w:t>
      </w:r>
    </w:p>
    <w:p>
      <w:pPr>
        <w:spacing w:after="0" w:line="162" w:lineRule="exact"/>
        <w:rPr>
          <w:sz w:val="20"/>
          <w:szCs w:val="20"/>
          <w:color w:val="auto"/>
        </w:rPr>
      </w:pPr>
    </w:p>
    <w:p>
      <w:pPr>
        <w:ind w:left="1840"/>
        <w:spacing w:after="0"/>
        <w:tabs>
          <w:tab w:leader="none" w:pos="2660" w:val="left"/>
          <w:tab w:leader="none" w:pos="3840" w:val="left"/>
        </w:tabs>
        <w:rPr>
          <w:sz w:val="20"/>
          <w:szCs w:val="20"/>
          <w:color w:val="auto"/>
        </w:rPr>
      </w:pPr>
      <w:r>
        <w:rPr>
          <w:rFonts w:ascii="Courier New" w:cs="Courier New" w:eastAsia="Courier New" w:hAnsi="Courier New"/>
          <w:sz w:val="14"/>
          <w:szCs w:val="14"/>
          <w:color w:val="auto"/>
        </w:rPr>
        <w:t>/ / FOR</w:t>
        <w:tab/>
        <w:t>/ / AGAINST</w:t>
      </w:r>
      <w:r>
        <w:rPr>
          <w:sz w:val="20"/>
          <w:szCs w:val="20"/>
          <w:color w:val="auto"/>
        </w:rPr>
        <w:tab/>
      </w:r>
      <w:r>
        <w:rPr>
          <w:rFonts w:ascii="Courier New" w:cs="Courier New" w:eastAsia="Courier New" w:hAnsi="Courier New"/>
          <w:sz w:val="13"/>
          <w:szCs w:val="13"/>
          <w:color w:val="auto"/>
        </w:rPr>
        <w:t>/ / ABSTAIN</w:t>
      </w:r>
    </w:p>
    <w:p>
      <w:pPr>
        <w:spacing w:after="0" w:line="166" w:lineRule="exact"/>
        <w:rPr>
          <w:sz w:val="20"/>
          <w:szCs w:val="20"/>
          <w:color w:val="auto"/>
        </w:rPr>
      </w:pPr>
    </w:p>
    <w:p>
      <w:pPr>
        <w:ind w:right="3619" w:firstLine="6"/>
        <w:spacing w:after="0" w:line="241" w:lineRule="auto"/>
        <w:tabs>
          <w:tab w:leader="none" w:pos="25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PROPOSAL TO APPROVE THE ADOPTION OF AN AMENDMENT TO THE RESTATED CERTIFICATE OF INCORPORATION OF VIACOM INC. TO INCREASE THE AUTHORIZED NUMBER OF SHARES OF CLASS A COMMON STOCK.</w:t>
      </w:r>
    </w:p>
    <w:p>
      <w:pPr>
        <w:spacing w:after="0" w:line="163" w:lineRule="exact"/>
        <w:rPr>
          <w:sz w:val="20"/>
          <w:szCs w:val="20"/>
          <w:color w:val="auto"/>
        </w:rPr>
      </w:pPr>
    </w:p>
    <w:p>
      <w:pPr>
        <w:ind w:left="1840"/>
        <w:spacing w:after="0"/>
        <w:tabs>
          <w:tab w:leader="none" w:pos="2660" w:val="left"/>
          <w:tab w:leader="none" w:pos="3840" w:val="left"/>
        </w:tabs>
        <w:rPr>
          <w:sz w:val="20"/>
          <w:szCs w:val="20"/>
          <w:color w:val="auto"/>
        </w:rPr>
      </w:pPr>
      <w:r>
        <w:rPr>
          <w:rFonts w:ascii="Courier New" w:cs="Courier New" w:eastAsia="Courier New" w:hAnsi="Courier New"/>
          <w:sz w:val="14"/>
          <w:szCs w:val="14"/>
          <w:color w:val="auto"/>
        </w:rPr>
        <w:t>/ / FOR</w:t>
        <w:tab/>
        <w:t>/ / AGAINST</w:t>
      </w:r>
      <w:r>
        <w:rPr>
          <w:sz w:val="20"/>
          <w:szCs w:val="20"/>
          <w:color w:val="auto"/>
        </w:rPr>
        <w:tab/>
      </w:r>
      <w:r>
        <w:rPr>
          <w:rFonts w:ascii="Courier New" w:cs="Courier New" w:eastAsia="Courier New" w:hAnsi="Courier New"/>
          <w:sz w:val="13"/>
          <w:szCs w:val="13"/>
          <w:color w:val="auto"/>
        </w:rPr>
        <w:t>/ / ABSTAIN</w:t>
      </w:r>
    </w:p>
    <w:p>
      <w:pPr>
        <w:spacing w:after="0" w:line="166" w:lineRule="exact"/>
        <w:rPr>
          <w:sz w:val="20"/>
          <w:szCs w:val="20"/>
          <w:color w:val="auto"/>
        </w:rPr>
      </w:pPr>
    </w:p>
    <w:p>
      <w:pPr>
        <w:ind w:right="3619" w:firstLine="6"/>
        <w:spacing w:after="0" w:line="241" w:lineRule="auto"/>
        <w:tabs>
          <w:tab w:leader="none" w:pos="25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PROPOSAL TO APPROVE THE ADOPTION OF AN AMENDMENT TO THE RESTATED CERTIFICATE OF INCORPORATION OF VIACOM INC. TO INCREASE THE AUTHORIZED NUMBER OF SHARES OF CLASS B COMMON STOCK.</w:t>
      </w:r>
    </w:p>
    <w:p>
      <w:pPr>
        <w:spacing w:after="0" w:line="163" w:lineRule="exact"/>
        <w:rPr>
          <w:sz w:val="20"/>
          <w:szCs w:val="20"/>
          <w:color w:val="auto"/>
        </w:rPr>
      </w:pPr>
    </w:p>
    <w:p>
      <w:pPr>
        <w:ind w:left="1840"/>
        <w:spacing w:after="0"/>
        <w:tabs>
          <w:tab w:leader="none" w:pos="2660" w:val="left"/>
          <w:tab w:leader="none" w:pos="3840" w:val="left"/>
        </w:tabs>
        <w:rPr>
          <w:sz w:val="20"/>
          <w:szCs w:val="20"/>
          <w:color w:val="auto"/>
        </w:rPr>
      </w:pPr>
      <w:r>
        <w:rPr>
          <w:rFonts w:ascii="Courier New" w:cs="Courier New" w:eastAsia="Courier New" w:hAnsi="Courier New"/>
          <w:sz w:val="14"/>
          <w:szCs w:val="14"/>
          <w:color w:val="auto"/>
        </w:rPr>
        <w:t>/ / FOR</w:t>
        <w:tab/>
        <w:t>/ / AGAINST</w:t>
      </w:r>
      <w:r>
        <w:rPr>
          <w:sz w:val="20"/>
          <w:szCs w:val="20"/>
          <w:color w:val="auto"/>
        </w:rPr>
        <w:tab/>
      </w:r>
      <w:r>
        <w:rPr>
          <w:rFonts w:ascii="Courier New" w:cs="Courier New" w:eastAsia="Courier New" w:hAnsi="Courier New"/>
          <w:sz w:val="13"/>
          <w:szCs w:val="13"/>
          <w:color w:val="auto"/>
        </w:rPr>
        <w:t>/ / ABSTAIN</w:t>
      </w:r>
    </w:p>
    <w:p>
      <w:pPr>
        <w:spacing w:after="0" w:line="166" w:lineRule="exact"/>
        <w:rPr>
          <w:sz w:val="20"/>
          <w:szCs w:val="20"/>
          <w:color w:val="auto"/>
        </w:rPr>
      </w:pPr>
    </w:p>
    <w:p>
      <w:pPr>
        <w:ind w:right="3619" w:firstLine="6"/>
        <w:spacing w:after="0" w:line="241" w:lineRule="auto"/>
        <w:tabs>
          <w:tab w:leader="none" w:pos="25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PREVIOUSLY APPROVED, PROPOSAL TO APPROVE THE ADOPTION OF AN AMENDMENT TO THE RESTATED CERTIFICATE OF INCORPORATION OF VIACOM INC. TO INCREASE THE AUTHORIZED NUMBER OF SHARES OF PREFERRED STOCK.</w:t>
      </w:r>
    </w:p>
    <w:p>
      <w:pPr>
        <w:spacing w:after="0" w:line="163" w:lineRule="exact"/>
        <w:rPr>
          <w:sz w:val="20"/>
          <w:szCs w:val="20"/>
          <w:color w:val="auto"/>
        </w:rPr>
      </w:pPr>
    </w:p>
    <w:p>
      <w:pPr>
        <w:jc w:val="center"/>
        <w:ind w:right="3619"/>
        <w:spacing w:after="0"/>
        <w:tabs>
          <w:tab w:leader="none" w:pos="220" w:val="left"/>
          <w:tab w:leader="none" w:pos="240" w:val="left"/>
        </w:tabs>
        <w:rPr>
          <w:sz w:val="20"/>
          <w:szCs w:val="20"/>
          <w:color w:val="auto"/>
        </w:rPr>
      </w:pPr>
      <w:r>
        <w:rPr>
          <w:rFonts w:ascii="Courier New" w:cs="Courier New" w:eastAsia="Courier New" w:hAnsi="Courier New"/>
          <w:sz w:val="14"/>
          <w:szCs w:val="14"/>
          <w:color w:val="auto"/>
        </w:rPr>
        <w:t>/ / FOR</w:t>
        <w:tab/>
        <w:t>/ / AGAINST</w:t>
      </w:r>
      <w:r>
        <w:rPr>
          <w:sz w:val="20"/>
          <w:szCs w:val="20"/>
          <w:color w:val="auto"/>
        </w:rPr>
        <w:tab/>
      </w:r>
      <w:r>
        <w:rPr>
          <w:rFonts w:ascii="Courier New" w:cs="Courier New" w:eastAsia="Courier New" w:hAnsi="Courier New"/>
          <w:sz w:val="13"/>
          <w:szCs w:val="13"/>
          <w:color w:val="auto"/>
        </w:rPr>
        <w:t>/ / ABSTAIN</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continued on reverse side</w:t>
      </w:r>
    </w:p>
    <w:p>
      <w:pPr>
        <w:sectPr>
          <w:pgSz w:w="11900" w:h="16838" w:orient="portrait"/>
          <w:cols w:equalWidth="0" w:num="1">
            <w:col w:w="10239"/>
          </w:cols>
          <w:pgMar w:left="220" w:top="600" w:right="1440" w:bottom="1440" w:gutter="0" w:footer="0" w:header="0"/>
        </w:sectPr>
      </w:pPr>
    </w:p>
    <w:bookmarkStart w:id="187" w:name="page188"/>
    <w:bookmarkEnd w:id="187"/>
    <w:p>
      <w:pPr>
        <w:ind w:right="3619" w:firstLine="6"/>
        <w:spacing w:after="0" w:line="269" w:lineRule="auto"/>
        <w:tabs>
          <w:tab w:leader="none" w:pos="251" w:val="left"/>
        </w:tabs>
        <w:numPr>
          <w:ilvl w:val="0"/>
          <w:numId w:val="1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NOT PREVIOUSLY APPROVED, PROPOSAL TO APPROVE THE ADOPTION OF AN AMENDMENT TO THE RESTATED CERTIFICATE OF INCORPORATION OF VIACOM INC. TO INCREASE THE MAXIMUM NUMBER OF DIRECTORS CONSTITUTING THE ENTIRE BOARD FROM 12 TO 20.</w:t>
      </w:r>
    </w:p>
    <w:p>
      <w:pPr>
        <w:spacing w:after="0" w:line="146" w:lineRule="exact"/>
        <w:rPr>
          <w:sz w:val="20"/>
          <w:szCs w:val="20"/>
          <w:color w:val="auto"/>
        </w:rPr>
      </w:pPr>
    </w:p>
    <w:p>
      <w:pPr>
        <w:ind w:left="1840"/>
        <w:spacing w:after="0"/>
        <w:tabs>
          <w:tab w:leader="none" w:pos="2660" w:val="left"/>
          <w:tab w:leader="none" w:pos="3840" w:val="left"/>
        </w:tabs>
        <w:rPr>
          <w:sz w:val="20"/>
          <w:szCs w:val="20"/>
          <w:color w:val="auto"/>
        </w:rPr>
      </w:pPr>
      <w:r>
        <w:rPr>
          <w:rFonts w:ascii="Courier New" w:cs="Courier New" w:eastAsia="Courier New" w:hAnsi="Courier New"/>
          <w:sz w:val="14"/>
          <w:szCs w:val="14"/>
          <w:color w:val="auto"/>
        </w:rPr>
        <w:t>/ / FOR</w:t>
        <w:tab/>
        <w:t>/ / AGAINST</w:t>
      </w:r>
      <w:r>
        <w:rPr>
          <w:sz w:val="20"/>
          <w:szCs w:val="20"/>
          <w:color w:val="auto"/>
        </w:rPr>
        <w:tab/>
      </w:r>
      <w:r>
        <w:rPr>
          <w:rFonts w:ascii="Courier New" w:cs="Courier New" w:eastAsia="Courier New" w:hAnsi="Courier New"/>
          <w:sz w:val="13"/>
          <w:szCs w:val="13"/>
          <w:color w:val="auto"/>
        </w:rPr>
        <w:t>/ / ABSTAIN</w:t>
      </w:r>
    </w:p>
    <w:p>
      <w:pPr>
        <w:spacing w:after="0" w:line="166" w:lineRule="exact"/>
        <w:rPr>
          <w:sz w:val="20"/>
          <w:szCs w:val="20"/>
          <w:color w:val="auto"/>
        </w:rPr>
      </w:pPr>
    </w:p>
    <w:p>
      <w:pPr>
        <w:ind w:right="3959" w:firstLine="335"/>
        <w:spacing w:after="0" w:line="241" w:lineRule="auto"/>
        <w:rPr>
          <w:sz w:val="20"/>
          <w:szCs w:val="20"/>
          <w:color w:val="auto"/>
        </w:rPr>
      </w:pPr>
      <w:r>
        <w:rPr>
          <w:rFonts w:ascii="Courier New" w:cs="Courier New" w:eastAsia="Courier New" w:hAnsi="Courier New"/>
          <w:sz w:val="14"/>
          <w:szCs w:val="14"/>
          <w:color w:val="auto"/>
        </w:rPr>
        <w:t>THIS PROXY IS SOLICITED ON BEHALF OF THE BOARD OF DIRECTORS OF VIACOM INC. THIS PROXY WHEN PROPERLY EXECUTED WILL BE VOTED IN THE MANNER DIRECTED HEREIN BY THE UNDERSIGNED STOCKHOLDER.</w:t>
      </w:r>
    </w:p>
    <w:p>
      <w:pPr>
        <w:spacing w:after="0" w:line="3"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Please sign exactly as name(s)</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appears below. When shares are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held by joint tenants, both</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should sign. When signing as</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attorney, executor,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administrator, trustee or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guardian, please give full</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title as such. If a</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corporation, please sign in</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full corporate name by</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President or other authorized</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officer. If a partnership,</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please sign in partnership name</w:t>
      </w:r>
    </w:p>
    <w:p>
      <w:pPr>
        <w:spacing w:after="0" w:line="11"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by authorized person.</w:t>
      </w:r>
    </w:p>
    <w:p>
      <w:pPr>
        <w:spacing w:after="0" w:line="166"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Dated: ........................</w:t>
      </w:r>
    </w:p>
    <w:p>
      <w:pPr>
        <w:spacing w:after="0" w:line="175"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Signature: ....................</w:t>
      </w:r>
    </w:p>
    <w:p>
      <w:pPr>
        <w:spacing w:after="0" w:line="175"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Signature if held jointly</w:t>
      </w:r>
    </w:p>
    <w:p>
      <w:pPr>
        <w:sectPr>
          <w:pgSz w:w="11900" w:h="16838" w:orient="portrait"/>
          <w:cols w:equalWidth="0" w:num="1">
            <w:col w:w="10239"/>
          </w:cols>
          <w:pgMar w:left="220" w:top="603" w:right="1440" w:bottom="1440" w:gutter="0" w:footer="0" w:header="0"/>
        </w:sectPr>
      </w:pPr>
    </w:p>
    <w:bookmarkStart w:id="188" w:name="page189"/>
    <w:bookmarkEnd w:id="188"/>
    <w:p>
      <w:pPr>
        <w:ind w:left="620"/>
        <w:spacing w:after="0"/>
        <w:rPr>
          <w:sz w:val="20"/>
          <w:szCs w:val="20"/>
          <w:color w:val="auto"/>
        </w:rPr>
      </w:pPr>
      <w:r>
        <w:rPr>
          <w:rFonts w:ascii="Courier New" w:cs="Courier New" w:eastAsia="Courier New" w:hAnsi="Courier New"/>
          <w:sz w:val="13"/>
          <w:szCs w:val="13"/>
          <w:color w:val="auto"/>
        </w:rPr>
        <w:t>[ANNUAL MEETING PROXY CARD TO COME]</w:t>
      </w:r>
    </w:p>
    <w:p>
      <w:pPr>
        <w:sectPr>
          <w:pgSz w:w="11900" w:h="16838" w:orient="portrait"/>
          <w:cols w:equalWidth="0" w:num="1">
            <w:col w:w="9019"/>
          </w:cols>
          <w:pgMar w:left="1440" w:top="603" w:right="1440" w:bottom="1440" w:gutter="0" w:footer="0" w:header="0"/>
        </w:sectPr>
      </w:pPr>
    </w:p>
    <w:bookmarkStart w:id="189" w:name="page190"/>
    <w:bookmarkEnd w:id="189"/>
    <w:p>
      <w:pPr>
        <w:ind w:left="3440"/>
        <w:spacing w:after="0"/>
        <w:rPr>
          <w:sz w:val="20"/>
          <w:szCs w:val="20"/>
          <w:color w:val="auto"/>
        </w:rPr>
      </w:pPr>
      <w:r>
        <w:rPr>
          <w:rFonts w:ascii="Courier New" w:cs="Courier New" w:eastAsia="Courier New" w:hAnsi="Courier New"/>
          <w:sz w:val="14"/>
          <w:szCs w:val="14"/>
          <w:color w:val="auto"/>
        </w:rPr>
        <w:t>PRELIMINARY COPIES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15 COLUMBUS CIRCLE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NEW YORK, NEW YORK 10023-7780</w:t>
      </w:r>
    </w:p>
    <w:p>
      <w:pPr>
        <w:spacing w:after="0" w:line="166" w:lineRule="exact"/>
        <w:rPr>
          <w:sz w:val="20"/>
          <w:szCs w:val="20"/>
          <w:color w:val="auto"/>
        </w:rPr>
      </w:pPr>
    </w:p>
    <w:p>
      <w:pPr>
        <w:ind w:right="3539"/>
        <w:spacing w:after="0" w:line="264" w:lineRule="auto"/>
        <w:rPr>
          <w:sz w:val="20"/>
          <w:szCs w:val="20"/>
          <w:color w:val="auto"/>
        </w:rPr>
      </w:pPr>
      <w:r>
        <w:rPr>
          <w:rFonts w:ascii="Courier New" w:cs="Courier New" w:eastAsia="Courier New" w:hAnsi="Courier New"/>
          <w:sz w:val="13"/>
          <w:szCs w:val="13"/>
          <w:color w:val="auto"/>
        </w:rPr>
        <w:t>THE UNDERSIGNED HEREBY APPOINTS FRANK J. BIONDI, JR. AND PHILIPPE P. DAUMAN, AND EACH OF THEM, AS PROXIES WITH FULL POWER OF SUBSTITUTION, TO REPRESENT AND TO VOTE ON BEHALF OF THE UNDERSIGNED ALL OF THE SHARES OF COMMON STOCK OF PARAMOUNT COMMUNICATIONS INC. WHICH THE UNDERSIGNED IS ENTITLED TO VOTE AT THE SPECIAL MEETING OF STOCKHOLDERS TO BE HELD AT [PLACE] ON [DAY], [DATE], AT [TIME], AND AT ANY ADJOURNMENTS OR POSTPONEMENTS THEREOF, UPON THE FOLLOWING PROPOSAL MORE FULLY DESCRIBED IN THE NOTICE OF SPECIAL MEETING OF STOCKHOLDERS AND THE VIACOM INC. AND PARAMOUNT COMMUNICATIONS INC. JOINT PROXY STATEMENT/PROSPECTUS.</w:t>
      </w:r>
    </w:p>
    <w:p>
      <w:pPr>
        <w:spacing w:after="0" w:line="152" w:lineRule="exact"/>
        <w:rPr>
          <w:sz w:val="20"/>
          <w:szCs w:val="20"/>
          <w:color w:val="auto"/>
        </w:rPr>
      </w:pPr>
    </w:p>
    <w:p>
      <w:pPr>
        <w:jc w:val="both"/>
        <w:ind w:right="3799"/>
        <w:spacing w:after="0" w:line="241" w:lineRule="auto"/>
        <w:rPr>
          <w:sz w:val="20"/>
          <w:szCs w:val="20"/>
          <w:color w:val="auto"/>
        </w:rPr>
      </w:pPr>
      <w:r>
        <w:rPr>
          <w:rFonts w:ascii="Courier New" w:cs="Courier New" w:eastAsia="Courier New" w:hAnsi="Courier New"/>
          <w:sz w:val="14"/>
          <w:szCs w:val="14"/>
          <w:color w:val="auto"/>
        </w:rPr>
        <w:t>YOU ARE ENCOURAGED TO SPECIFY YOUR CHOICE BY MARKING THE APPROPRIATE BOX, BUT YOU NEED NOT MARK ANY BOX IF YOU WISH TO VOTE IN ACCORDANCE WITH THE BOARD OF DIRECTORS' RECOMMENDATION.</w:t>
      </w:r>
    </w:p>
    <w:p>
      <w:pPr>
        <w:spacing w:after="0" w:line="166"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3"/>
          <w:szCs w:val="13"/>
          <w:color w:val="auto"/>
        </w:rPr>
        <w:t>THIS PROXY WHEN PROPERLY EXECUTED WILL BE VOTED IN THE MANNER DIRECTED HEREIN. IF NO DIRECTION IS GIVEN, THIS PROXY WILL BE VOTED FOR THE PROPOSAL TO APPROVE THE SECOND AMENDED AND RESTATED AGREEMENT AND PLAN OF MERGER PROVIDING FOR A BUSINESS COMBINATION TRANSACTION BETWEEN PARAMOUNT COMMUNICATIONS INC. AND VIACOM INC., AND IN THE DISCRETION OF THE PROXIES ON ALL OTHER MATTERS.</w:t>
      </w:r>
    </w:p>
    <w:p>
      <w:pPr>
        <w:spacing w:after="0" w:line="152"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YOUR SIGNATURE ON THE PROXY IS YOUR ACKNOWLEDGEMENT OF RECEIPT OF THE NOTICE OF SPECIAL MEETING OF STOCKHOLDERS AND THE JOINT PROXY STATEMENT, BOTH DATED [DATE].</w:t>
      </w:r>
    </w:p>
    <w:p>
      <w:pPr>
        <w:spacing w:after="0" w:line="166"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4"/>
          <w:szCs w:val="14"/>
          <w:color w:val="auto"/>
        </w:rPr>
        <w:t>THE SIGNER HEREBY REVOKES ALL PROXIES HERETOFORE GIVEN BY THE SIGNER TO VOTE AT SAID MEETING OR ANY ADJOURNMENTS OR POSTPONEMENTS THEREOF.</w:t>
      </w:r>
    </w:p>
    <w:p>
      <w:pPr>
        <w:spacing w:after="0" w:line="167" w:lineRule="exact"/>
        <w:rPr>
          <w:sz w:val="20"/>
          <w:szCs w:val="20"/>
          <w:color w:val="auto"/>
        </w:rPr>
      </w:pPr>
    </w:p>
    <w:p>
      <w:pPr>
        <w:ind w:right="3699"/>
        <w:spacing w:after="0" w:line="239" w:lineRule="auto"/>
        <w:rPr>
          <w:sz w:val="20"/>
          <w:szCs w:val="20"/>
          <w:color w:val="auto"/>
        </w:rPr>
      </w:pPr>
      <w:r>
        <w:rPr>
          <w:rFonts w:ascii="Courier New" w:cs="Courier New" w:eastAsia="Courier New" w:hAnsi="Courier New"/>
          <w:sz w:val="14"/>
          <w:szCs w:val="14"/>
          <w:color w:val="auto"/>
        </w:rPr>
        <w:t>THE PROXIES ARE DIRECTED TO VOTE AS SPECIFIED BELOW AND IN THEIR DISCRETION ON ALL OTHER MATTERS.</w:t>
      </w:r>
    </w:p>
    <w:p>
      <w:pPr>
        <w:spacing w:after="0" w:line="167" w:lineRule="exact"/>
        <w:rPr>
          <w:sz w:val="20"/>
          <w:szCs w:val="20"/>
          <w:color w:val="auto"/>
        </w:rPr>
      </w:pPr>
    </w:p>
    <w:p>
      <w:pPr>
        <w:ind w:right="3619"/>
        <w:spacing w:after="0" w:line="269" w:lineRule="auto"/>
        <w:rPr>
          <w:sz w:val="20"/>
          <w:szCs w:val="20"/>
          <w:color w:val="auto"/>
        </w:rPr>
      </w:pPr>
      <w:r>
        <w:rPr>
          <w:rFonts w:ascii="Courier New" w:cs="Courier New" w:eastAsia="Courier New" w:hAnsi="Courier New"/>
          <w:sz w:val="13"/>
          <w:szCs w:val="13"/>
          <w:color w:val="auto"/>
        </w:rPr>
        <w:t>THE BOARD OF DIRECTORS RECOMMENDS A VOTE FOR THE PROPOSAL TO APPROVE THE SECOND AMENDED AND RESTATED AGREEMENT AND PLAN OF MERGER PROVIDING FOR A BUSINESS COMBINATION TRANSACTION BETWEEN PARAMOUNT COMMUNICATIONS INC. AND VIACOM INC.</w:t>
      </w:r>
    </w:p>
    <w:p>
      <w:pPr>
        <w:spacing w:after="0" w:line="146" w:lineRule="exact"/>
        <w:rPr>
          <w:sz w:val="20"/>
          <w:szCs w:val="20"/>
          <w:color w:val="auto"/>
        </w:rPr>
      </w:pPr>
    </w:p>
    <w:p>
      <w:pPr>
        <w:ind w:left="340"/>
        <w:spacing w:after="0"/>
        <w:tabs>
          <w:tab w:leader="none" w:pos="2580" w:val="left"/>
          <w:tab w:leader="none" w:pos="518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3"/>
          <w:szCs w:val="13"/>
          <w:color w:val="auto"/>
        </w:rPr>
        <w:t>/ / ABSTAIN</w:t>
      </w:r>
    </w:p>
    <w:p>
      <w:pPr>
        <w:sectPr>
          <w:pgSz w:w="11900" w:h="16838" w:orient="portrait"/>
          <w:cols w:equalWidth="0" w:num="1">
            <w:col w:w="10239"/>
          </w:cols>
          <w:pgMar w:left="220" w:top="600" w:right="1440" w:bottom="1440" w:gutter="0" w:footer="0" w:header="0"/>
        </w:sectPr>
      </w:pPr>
    </w:p>
    <w:bookmarkStart w:id="190" w:name="page191"/>
    <w:bookmarkEnd w:id="190"/>
    <w:p>
      <w:pPr>
        <w:ind w:right="3879" w:firstLine="335"/>
        <w:spacing w:after="0" w:line="241" w:lineRule="auto"/>
        <w:rPr>
          <w:sz w:val="20"/>
          <w:szCs w:val="20"/>
          <w:color w:val="auto"/>
        </w:rPr>
      </w:pPr>
      <w:r>
        <w:rPr>
          <w:rFonts w:ascii="Courier New" w:cs="Courier New" w:eastAsia="Courier New" w:hAnsi="Courier New"/>
          <w:sz w:val="14"/>
          <w:szCs w:val="14"/>
          <w:color w:val="auto"/>
        </w:rPr>
        <w:t>THIS PROXY IS SOLICITED ON BEHALF OF THE BOARD OF DIRECTORS OF PARAMOUNT COMMUNICATIONS INC. THIS PROXY WHEN PROPERLY EXECUTED WILL BE VOTED IN THE MANNER DIRECTED HEREIN BY THE UNDERSIGNED STOCKHOLDER.</w:t>
      </w:r>
    </w:p>
    <w:p>
      <w:pPr>
        <w:spacing w:after="0" w:line="163"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PLEASE SIGN EXACTLY AS NAME(S)</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APPEARS BELOW. WHEN SHARES ARE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HELD BY JOINT TENANTS, BOTH</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SHOULD SIGN. WHEN SIGNING AS</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ATTORNEY, EXECUTOR,</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ADMINISTRATOR, TRUSTEE OR</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3"/>
          <w:szCs w:val="13"/>
          <w:color w:val="auto"/>
        </w:rPr>
        <w:t>GUARDIAN, PLEASE GIVE FULL TITLE</w:t>
      </w:r>
    </w:p>
    <w:p>
      <w:pPr>
        <w:spacing w:after="0" w:line="11"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AS SUCH. IF A CORPORATION,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PLEASE SIGN IN FULL CORPORATE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NAME BY PRESIDENT OR OTHER</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AUTHORIZED OFFICER. IF A</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PARTNERSHIP, PLEASE SIGN IN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PARTNERSHIP NAME BY AUTHORIZED</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PERSON.</w:t>
      </w:r>
    </w:p>
    <w:p>
      <w:pPr>
        <w:spacing w:after="0" w:line="166" w:lineRule="exact"/>
        <w:rPr>
          <w:sz w:val="20"/>
          <w:szCs w:val="20"/>
          <w:color w:val="auto"/>
        </w:rPr>
      </w:pPr>
    </w:p>
    <w:p>
      <w:pPr>
        <w:ind w:left="4020"/>
        <w:spacing w:after="0"/>
        <w:rPr>
          <w:sz w:val="20"/>
          <w:szCs w:val="20"/>
          <w:color w:val="auto"/>
        </w:rPr>
      </w:pPr>
      <w:r>
        <w:rPr>
          <w:rFonts w:ascii="Courier New" w:cs="Courier New" w:eastAsia="Courier New" w:hAnsi="Courier New"/>
          <w:sz w:val="13"/>
          <w:szCs w:val="13"/>
          <w:color w:val="auto"/>
        </w:rPr>
        <w:t>DATED: .........................</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3"/>
          <w:szCs w:val="13"/>
          <w:color w:val="auto"/>
        </w:rPr>
        <w:t>SIGNATURE: .....................</w:t>
      </w:r>
    </w:p>
    <w:p>
      <w:pPr>
        <w:spacing w:after="0" w:line="175"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4"/>
          <w:szCs w:val="14"/>
          <w:color w:val="auto"/>
        </w:rPr>
        <w:t>SIGNATURE IF HELD JOINTLY</w:t>
      </w:r>
    </w:p>
    <w:p>
      <w:pPr>
        <w:sectPr>
          <w:pgSz w:w="11900" w:h="16838" w:orient="portrait"/>
          <w:cols w:equalWidth="0" w:num="1">
            <w:col w:w="10239"/>
          </w:cols>
          <w:pgMar w:left="220" w:top="603" w:right="1440" w:bottom="1440" w:gutter="0" w:footer="0" w:header="0"/>
        </w:sectPr>
      </w:pPr>
    </w:p>
    <w:bookmarkStart w:id="191" w:name="page192"/>
    <w:bookmarkEnd w:id="191"/>
    <w:p>
      <w:pPr>
        <w:spacing w:after="0"/>
        <w:tabs>
          <w:tab w:leader="none" w:pos="1080" w:val="left"/>
          <w:tab w:leader="none" w:pos="5260" w:val="left"/>
        </w:tabs>
        <w:rPr>
          <w:sz w:val="20"/>
          <w:szCs w:val="20"/>
          <w:color w:val="auto"/>
        </w:rPr>
      </w:pPr>
      <w:r>
        <w:rPr>
          <w:rFonts w:ascii="Courier New" w:cs="Courier New" w:eastAsia="Courier New" w:hAnsi="Courier New"/>
          <w:sz w:val="14"/>
          <w:szCs w:val="14"/>
          <w:color w:val="auto"/>
        </w:rPr>
        <w:t>PRELIMINARY</w:t>
        <w:tab/>
        <w:t>COPIES</w:t>
      </w:r>
      <w:r>
        <w:rPr>
          <w:sz w:val="20"/>
          <w:szCs w:val="20"/>
          <w:color w:val="auto"/>
        </w:rPr>
        <w:tab/>
      </w:r>
      <w:r>
        <w:rPr>
          <w:rFonts w:ascii="Courier New" w:cs="Courier New" w:eastAsia="Courier New" w:hAnsi="Courier New"/>
          <w:sz w:val="13"/>
          <w:szCs w:val="13"/>
          <w:color w:val="auto"/>
        </w:rPr>
        <w:t>ANNEX I</w:t>
      </w:r>
    </w:p>
    <w:p>
      <w:pPr>
        <w:sectPr>
          <w:pgSz w:w="11900" w:h="16838" w:orient="portrait"/>
          <w:cols w:equalWidth="0" w:num="1">
            <w:col w:w="10239"/>
          </w:cols>
          <w:pgMar w:left="220" w:top="7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60"/>
        <w:spacing w:after="0"/>
        <w:rPr>
          <w:sz w:val="20"/>
          <w:szCs w:val="20"/>
          <w:color w:val="auto"/>
        </w:rPr>
      </w:pPr>
      <w:r>
        <w:rPr>
          <w:rFonts w:ascii="Courier New" w:cs="Courier New" w:eastAsia="Courier New" w:hAnsi="Courier New"/>
          <w:sz w:val="13"/>
          <w:szCs w:val="13"/>
          <w:color w:val="auto"/>
        </w:rPr>
        <w:t>PARAMOUNT MERGER AGREEMENT</w:t>
      </w:r>
    </w:p>
    <w:p>
      <w:pPr>
        <w:sectPr>
          <w:pgSz w:w="11900" w:h="16838" w:orient="portrait"/>
          <w:cols w:equalWidth="0" w:num="1">
            <w:col w:w="10239"/>
          </w:cols>
          <w:pgMar w:left="220" w:top="761" w:right="1440" w:bottom="1440" w:gutter="0" w:footer="0" w:header="0"/>
          <w:type w:val="continuous"/>
        </w:sectPr>
      </w:pPr>
    </w:p>
    <w:bookmarkStart w:id="192" w:name="page193"/>
    <w:bookmarkEnd w:id="192"/>
    <w:p>
      <w:pPr>
        <w:jc w:val="center"/>
        <w:ind w:right="439"/>
        <w:spacing w:after="0"/>
        <w:rPr>
          <w:sz w:val="20"/>
          <w:szCs w:val="20"/>
          <w:color w:val="auto"/>
        </w:rPr>
      </w:pPr>
      <w:r>
        <w:rPr>
          <w:rFonts w:ascii="Courier New" w:cs="Courier New" w:eastAsia="Courier New" w:hAnsi="Courier New"/>
          <w:sz w:val="14"/>
          <w:szCs w:val="14"/>
          <w:color w:val="auto"/>
        </w:rPr>
        <w:t>ANNEX I</w:t>
      </w:r>
    </w:p>
    <w:p>
      <w:pPr>
        <w:spacing w:after="0" w:line="200" w:lineRule="exact"/>
        <w:rPr>
          <w:sz w:val="20"/>
          <w:szCs w:val="20"/>
          <w:color w:val="auto"/>
        </w:rPr>
      </w:pPr>
    </w:p>
    <w:p>
      <w:pPr>
        <w:spacing w:after="0" w:line="28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[Conformed Copy]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AMENDED AND RESTATED</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AGREEMENT AND PLAN OF MERGER</w:t>
      </w:r>
    </w:p>
    <w:p>
      <w:pPr>
        <w:spacing w:after="0" w:line="16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4"/>
          <w:szCs w:val="14"/>
          <w:color w:val="auto"/>
        </w:rPr>
        <w:t>between</w:t>
      </w:r>
    </w:p>
    <w:p>
      <w:pPr>
        <w:spacing w:after="0" w:line="16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4"/>
          <w:szCs w:val="14"/>
          <w:color w:val="auto"/>
        </w:rPr>
        <w:t>VIACOM INC.</w:t>
      </w:r>
    </w:p>
    <w:p>
      <w:pPr>
        <w:spacing w:after="0" w:line="16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4"/>
          <w:szCs w:val="14"/>
          <w:color w:val="auto"/>
        </w:rPr>
        <w:t>and</w:t>
      </w:r>
    </w:p>
    <w:p>
      <w:pPr>
        <w:spacing w:after="0" w:line="16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PARAMOUNT COMMUNICATIONS INC.</w:t>
      </w:r>
    </w:p>
    <w:p>
      <w:pPr>
        <w:spacing w:after="0" w:line="16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Dated as of 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9399"/>
          </w:cols>
          <w:pgMar w:left="1060" w:top="600" w:right="1440" w:bottom="1440" w:gutter="0" w:footer="0" w:header="0"/>
        </w:sectPr>
      </w:pPr>
    </w:p>
    <w:bookmarkStart w:id="193" w:name="page194"/>
    <w:bookmarkEnd w:id="193"/>
    <w:p>
      <w:pPr>
        <w:ind w:left="1840"/>
        <w:spacing w:after="0"/>
        <w:rPr>
          <w:sz w:val="20"/>
          <w:szCs w:val="20"/>
          <w:color w:val="auto"/>
        </w:rPr>
      </w:pPr>
      <w:r>
        <w:rPr>
          <w:rFonts w:ascii="Courier New" w:cs="Courier New" w:eastAsia="Courier New" w:hAnsi="Courier New"/>
          <w:sz w:val="14"/>
          <w:szCs w:val="14"/>
          <w:color w:val="auto"/>
        </w:rPr>
        <w:t>Index of Defined Terms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0"/>
          <w:szCs w:val="20"/>
          <w:color w:val="auto"/>
        </w:rPr>
      </w:pPr>
    </w:p>
    <w:p>
      <w:pPr>
        <w:ind w:left="4360"/>
        <w:spacing w:after="0"/>
        <w:rPr>
          <w:sz w:val="20"/>
          <w:szCs w:val="20"/>
          <w:color w:val="auto"/>
        </w:rPr>
      </w:pPr>
      <w:r>
        <w:rPr>
          <w:rFonts w:ascii="Courier New" w:cs="Courier New" w:eastAsia="Courier New" w:hAnsi="Courier New"/>
          <w:sz w:val="13"/>
          <w:szCs w:val="13"/>
          <w:color w:val="auto"/>
        </w:rPr>
        <w:t>Section</w:t>
      </w:r>
    </w:p>
    <w:p>
      <w:pPr>
        <w:spacing w:after="0" w:line="14" w:lineRule="exact"/>
        <w:rPr>
          <w:sz w:val="20"/>
          <w:szCs w:val="20"/>
          <w:color w:val="auto"/>
        </w:rPr>
      </w:pPr>
    </w:p>
    <w:p>
      <w:pPr>
        <w:ind w:left="436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9399"/>
          </w:cols>
          <w:pgMar w:left="1060" w:top="761" w:right="1440" w:bottom="1440" w:gutter="0" w:footer="0" w:header="0"/>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Blockbuster Subscription Agreement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Sky Laws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 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Fraction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Exchange Ratio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Exchange Ratio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Competing Transaction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Exchange Ratio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 Exchange Ratio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Law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Cash Consideration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Debenture Trustee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Exemption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Expiration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 Exchange Ratio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Election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fully diluted basis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Entity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PREAMBLE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3.5</w:t>
      </w:r>
    </w:p>
    <w:p>
      <w:pPr>
        <w:spacing w:after="0" w:line="166" w:lineRule="exact"/>
        <w:rPr>
          <w:sz w:val="20"/>
          <w:szCs w:val="20"/>
          <w:color w:val="auto"/>
        </w:rPr>
      </w:pPr>
    </w:p>
    <w:p>
      <w:pPr>
        <w:sectPr>
          <w:pgSz w:w="11900" w:h="16838" w:orient="portrait"/>
          <w:cols w:equalWidth="0" w:num="2">
            <w:col w:w="3460" w:space="720"/>
            <w:col w:w="5219"/>
          </w:cols>
          <w:pgMar w:left="1060" w:top="761"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3"/>
          <w:szCs w:val="13"/>
          <w:color w:val="auto"/>
        </w:rPr>
        <w:t>i</w:t>
      </w:r>
    </w:p>
    <w:p>
      <w:pPr>
        <w:sectPr>
          <w:pgSz w:w="11900" w:h="16838" w:orient="portrait"/>
          <w:cols w:equalWidth="0" w:num="1">
            <w:col w:w="9399"/>
          </w:cols>
          <w:pgMar w:left="1060" w:top="761" w:right="1440" w:bottom="1440" w:gutter="0" w:footer="0" w:header="0"/>
          <w:type w:val="continuous"/>
        </w:sectPr>
      </w:pPr>
    </w:p>
    <w:bookmarkStart w:id="194" w:name="page195"/>
    <w:bookmarkEnd w:id="194"/>
    <w:p>
      <w:pPr>
        <w:jc w:val="right"/>
        <w:ind w:right="3959"/>
        <w:spacing w:after="0"/>
        <w:rPr>
          <w:sz w:val="20"/>
          <w:szCs w:val="20"/>
          <w:color w:val="auto"/>
        </w:rPr>
      </w:pPr>
      <w:r>
        <w:rPr>
          <w:rFonts w:ascii="Courier New" w:cs="Courier New" w:eastAsia="Courier New" w:hAnsi="Courier New"/>
          <w:sz w:val="14"/>
          <w:szCs w:val="14"/>
          <w:color w:val="auto"/>
        </w:rPr>
        <w:t>2</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Index of Defined Terms (cont'd)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Section</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399"/>
          </w:cols>
          <w:pgMar w:left="1060" w:top="761" w:right="1440" w:bottom="1440" w:gutter="0" w:footer="0" w:header="0"/>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HSR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Stock Option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Indemnified Parties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Paramount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Viacom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Debenture Trustee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Condition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 Fraction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Documents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to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Offer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Offeror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Exemption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Expiration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1992 Balance Sheet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Disclosure Schedule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Indentures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Paramount Material Adverse Effect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Plans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Preferred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SEC Reports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Triggering Event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Cash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 Representatives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Condition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14D-1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14D-9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Election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Election Number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PREAMBLE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166" w:lineRule="exact"/>
        <w:rPr>
          <w:sz w:val="20"/>
          <w:szCs w:val="20"/>
          <w:color w:val="auto"/>
        </w:rPr>
      </w:pPr>
    </w:p>
    <w:p>
      <w:pPr>
        <w:sectPr>
          <w:pgSz w:w="11900" w:h="16838" w:orient="portrait"/>
          <w:cols w:equalWidth="0" w:num="2">
            <w:col w:w="3460" w:space="720"/>
            <w:col w:w="5219"/>
          </w:cols>
          <w:pgMar w:left="1060" w:top="761"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3"/>
          <w:szCs w:val="13"/>
          <w:color w:val="auto"/>
        </w:rPr>
        <w:t>ii</w:t>
      </w:r>
    </w:p>
    <w:p>
      <w:pPr>
        <w:sectPr>
          <w:pgSz w:w="11900" w:h="16838" w:orient="portrait"/>
          <w:cols w:equalWidth="0" w:num="1">
            <w:col w:w="9399"/>
          </w:cols>
          <w:pgMar w:left="1060" w:top="761" w:right="1440" w:bottom="1440" w:gutter="0" w:footer="0" w:header="0"/>
          <w:type w:val="continuous"/>
        </w:sectPr>
      </w:pPr>
    </w:p>
    <w:bookmarkStart w:id="195" w:name="page196"/>
    <w:bookmarkEnd w:id="195"/>
    <w:p>
      <w:pPr>
        <w:jc w:val="right"/>
        <w:ind w:right="3959"/>
        <w:spacing w:after="0"/>
        <w:rPr>
          <w:sz w:val="20"/>
          <w:szCs w:val="20"/>
          <w:color w:val="auto"/>
        </w:rPr>
      </w:pPr>
      <w:r>
        <w:rPr>
          <w:rFonts w:ascii="Courier New" w:cs="Courier New" w:eastAsia="Courier New" w:hAnsi="Courier New"/>
          <w:sz w:val="14"/>
          <w:szCs w:val="14"/>
          <w:color w:val="auto"/>
        </w:rPr>
        <w:t>3</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Index of Defined Terms (cont'd)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Section</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399"/>
          </w:cols>
          <w:pgMar w:left="1060" w:top="761" w:right="1440" w:bottom="1440" w:gutter="0" w:footer="0" w:header="0"/>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Fraction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Stockholder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Election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Meetings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Surviving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Warrant Exchange Ratio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Warrants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common control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Certificate Amendments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1992 Balance Sheet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A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B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Disclosure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Exchange Debenture Indenture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Debentures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Preferred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International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Material Adverse Effect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 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Plans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Preferred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SEC Reports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Series A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Triggering Event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Vote Matter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PREAMBLE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166" w:lineRule="exact"/>
        <w:rPr>
          <w:sz w:val="20"/>
          <w:szCs w:val="20"/>
          <w:color w:val="auto"/>
        </w:rPr>
      </w:pPr>
    </w:p>
    <w:p>
      <w:pPr>
        <w:sectPr>
          <w:pgSz w:w="11900" w:h="16838" w:orient="portrait"/>
          <w:cols w:equalWidth="0" w:num="2">
            <w:col w:w="3460" w:space="720"/>
            <w:col w:w="5219"/>
          </w:cols>
          <w:pgMar w:left="1060" w:top="761"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3"/>
          <w:szCs w:val="13"/>
          <w:color w:val="auto"/>
        </w:rPr>
        <w:t>iii</w:t>
      </w:r>
    </w:p>
    <w:p>
      <w:pPr>
        <w:sectPr>
          <w:pgSz w:w="11900" w:h="16838" w:orient="portrait"/>
          <w:cols w:equalWidth="0" w:num="1">
            <w:col w:w="9399"/>
          </w:cols>
          <w:pgMar w:left="1060" w:top="761" w:right="1440" w:bottom="1440" w:gutter="0" w:footer="0" w:header="0"/>
          <w:type w:val="continuous"/>
        </w:sectPr>
      </w:pPr>
    </w:p>
    <w:bookmarkStart w:id="196" w:name="page197"/>
    <w:bookmarkEnd w:id="196"/>
    <w:p>
      <w:pPr>
        <w:ind w:left="1640"/>
        <w:spacing w:after="0"/>
        <w:rPr>
          <w:sz w:val="20"/>
          <w:szCs w:val="20"/>
          <w:color w:val="auto"/>
        </w:rPr>
      </w:pPr>
      <w:r>
        <w:rPr>
          <w:rFonts w:ascii="Courier New" w:cs="Courier New" w:eastAsia="Courier New" w:hAnsi="Courier New"/>
          <w:sz w:val="14"/>
          <w:szCs w:val="14"/>
          <w:color w:val="auto"/>
        </w:rPr>
        <w:t>TABLE OF CONTENTS</w:t>
      </w:r>
    </w:p>
    <w:p>
      <w:pPr>
        <w:spacing w:after="0" w:line="2"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1"/>
        </w:trPr>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2"/>
        </w:trPr>
        <w:tc>
          <w:tcPr>
            <w:tcW w:w="1140" w:type="dxa"/>
            <w:vAlign w:val="bottom"/>
          </w:tcPr>
          <w:p>
            <w:pPr>
              <w:spacing w:after="0"/>
              <w:rPr>
                <w:sz w:val="24"/>
                <w:szCs w:val="24"/>
                <w:color w:val="auto"/>
              </w:rPr>
            </w:pPr>
          </w:p>
        </w:tc>
        <w:tc>
          <w:tcPr>
            <w:tcW w:w="3540" w:type="dxa"/>
            <w:vAlign w:val="bottom"/>
          </w:tcPr>
          <w:p>
            <w:pPr>
              <w:jc w:val="right"/>
              <w:ind w:right="1930"/>
              <w:spacing w:after="0"/>
              <w:rPr>
                <w:sz w:val="20"/>
                <w:szCs w:val="20"/>
                <w:color w:val="auto"/>
              </w:rPr>
            </w:pPr>
            <w:r>
              <w:rPr>
                <w:rFonts w:ascii="Courier New" w:cs="Courier New" w:eastAsia="Courier New" w:hAnsi="Courier New"/>
                <w:sz w:val="14"/>
                <w:szCs w:val="14"/>
                <w:color w:val="auto"/>
              </w:rPr>
              <w:t>ARTICLE I</w:t>
            </w:r>
          </w:p>
        </w:tc>
        <w:tc>
          <w:tcPr>
            <w:tcW w:w="340" w:type="dxa"/>
            <w:vAlign w:val="bottom"/>
          </w:tcPr>
          <w:p>
            <w:pPr>
              <w:spacing w:after="0"/>
              <w:rPr>
                <w:sz w:val="24"/>
                <w:szCs w:val="24"/>
                <w:color w:val="auto"/>
              </w:rPr>
            </w:pPr>
          </w:p>
        </w:tc>
      </w:tr>
      <w:tr>
        <w:trPr>
          <w:trHeight w:val="322"/>
        </w:trPr>
        <w:tc>
          <w:tcPr>
            <w:tcW w:w="114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THE MERGER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The Merger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1.2.</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Closing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Effective Time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1.4.</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Effect of the Merger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1.5.</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Certificate of Incorporation; By-Laws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1.6.</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Conversion of Securities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1.7.</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Exchange of Certificates and Cash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1.8.</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Stock Transfer Books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1.9.</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Stock Options; Payment Rights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1"/>
        </w:trPr>
        <w:tc>
          <w:tcPr>
            <w:tcW w:w="468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1.10. Dissenting Shares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22"/>
        </w:trPr>
        <w:tc>
          <w:tcPr>
            <w:tcW w:w="1140" w:type="dxa"/>
            <w:vAlign w:val="bottom"/>
          </w:tcPr>
          <w:p>
            <w:pPr>
              <w:spacing w:after="0"/>
              <w:rPr>
                <w:sz w:val="24"/>
                <w:szCs w:val="24"/>
                <w:color w:val="auto"/>
              </w:rPr>
            </w:pPr>
          </w:p>
        </w:tc>
        <w:tc>
          <w:tcPr>
            <w:tcW w:w="3540" w:type="dxa"/>
            <w:vAlign w:val="bottom"/>
          </w:tcPr>
          <w:p>
            <w:pPr>
              <w:jc w:val="right"/>
              <w:ind w:right="1850"/>
              <w:spacing w:after="0"/>
              <w:rPr>
                <w:sz w:val="20"/>
                <w:szCs w:val="20"/>
                <w:color w:val="auto"/>
              </w:rPr>
            </w:pPr>
            <w:r>
              <w:rPr>
                <w:rFonts w:ascii="Courier New" w:cs="Courier New" w:eastAsia="Courier New" w:hAnsi="Courier New"/>
                <w:sz w:val="14"/>
                <w:szCs w:val="14"/>
                <w:color w:val="auto"/>
              </w:rPr>
              <w:t>ARTICLE II</w:t>
            </w:r>
          </w:p>
        </w:tc>
        <w:tc>
          <w:tcPr>
            <w:tcW w:w="340" w:type="dxa"/>
            <w:vAlign w:val="bottom"/>
          </w:tcPr>
          <w:p>
            <w:pPr>
              <w:spacing w:after="0"/>
              <w:rPr>
                <w:sz w:val="24"/>
                <w:szCs w:val="24"/>
                <w:color w:val="auto"/>
              </w:rPr>
            </w:pPr>
          </w:p>
        </w:tc>
      </w:tr>
      <w:tr>
        <w:trPr>
          <w:trHeight w:val="322"/>
        </w:trPr>
        <w:tc>
          <w:tcPr>
            <w:tcW w:w="114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THE OFFER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2.1.</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The Offer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2.2.</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Action by Paramount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2.3.</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Receipt of Common Stock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2.4.</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Completion Certificate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2.5.</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Termination of the Offer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2.6.</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Board of Directors; Section 14(f)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22"/>
        </w:trPr>
        <w:tc>
          <w:tcPr>
            <w:tcW w:w="1140" w:type="dxa"/>
            <w:vAlign w:val="bottom"/>
          </w:tcPr>
          <w:p>
            <w:pPr>
              <w:spacing w:after="0"/>
              <w:rPr>
                <w:sz w:val="24"/>
                <w:szCs w:val="24"/>
                <w:color w:val="auto"/>
              </w:rPr>
            </w:pPr>
          </w:p>
        </w:tc>
        <w:tc>
          <w:tcPr>
            <w:tcW w:w="3540" w:type="dxa"/>
            <w:vAlign w:val="bottom"/>
          </w:tcPr>
          <w:p>
            <w:pPr>
              <w:jc w:val="right"/>
              <w:ind w:right="1850"/>
              <w:spacing w:after="0"/>
              <w:rPr>
                <w:sz w:val="20"/>
                <w:szCs w:val="20"/>
                <w:color w:val="auto"/>
              </w:rPr>
            </w:pPr>
            <w:r>
              <w:rPr>
                <w:rFonts w:ascii="Courier New" w:cs="Courier New" w:eastAsia="Courier New" w:hAnsi="Courier New"/>
                <w:sz w:val="14"/>
                <w:szCs w:val="14"/>
                <w:color w:val="auto"/>
              </w:rPr>
              <w:t>ARTICLE III</w:t>
            </w:r>
          </w:p>
        </w:tc>
        <w:tc>
          <w:tcPr>
            <w:tcW w:w="340" w:type="dxa"/>
            <w:vAlign w:val="bottom"/>
          </w:tcPr>
          <w:p>
            <w:pPr>
              <w:spacing w:after="0"/>
              <w:rPr>
                <w:sz w:val="24"/>
                <w:szCs w:val="24"/>
                <w:color w:val="auto"/>
              </w:rPr>
            </w:pPr>
          </w:p>
        </w:tc>
      </w:tr>
      <w:tr>
        <w:trPr>
          <w:trHeight w:val="322"/>
        </w:trPr>
        <w:tc>
          <w:tcPr>
            <w:tcW w:w="4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REPRESENTATIONS AND WARRANTIES OF PARAMOUNT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Organization and Qualification;</w:t>
            </w:r>
          </w:p>
        </w:tc>
        <w:tc>
          <w:tcPr>
            <w:tcW w:w="340" w:type="dxa"/>
            <w:vAlign w:val="bottom"/>
          </w:tcPr>
          <w:p>
            <w:pPr>
              <w:spacing w:after="0"/>
              <w:rPr>
                <w:sz w:val="13"/>
                <w:szCs w:val="13"/>
                <w:color w:val="auto"/>
              </w:rPr>
            </w:pPr>
          </w:p>
        </w:tc>
      </w:tr>
      <w:tr>
        <w:trPr>
          <w:trHeight w:val="161"/>
        </w:trPr>
        <w:tc>
          <w:tcPr>
            <w:tcW w:w="1140" w:type="dxa"/>
            <w:vAlign w:val="bottom"/>
          </w:tcPr>
          <w:p>
            <w:pPr>
              <w:spacing w:after="0"/>
              <w:rPr>
                <w:sz w:val="13"/>
                <w:szCs w:val="13"/>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Subsidiaries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3.2.</w:t>
            </w:r>
          </w:p>
        </w:tc>
        <w:tc>
          <w:tcPr>
            <w:tcW w:w="38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Certificate of Incorporation and By-Laws .  22</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3.3.</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Capitalization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3.4.</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Authority Relative to This Agreement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3.5.</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No Conflict; Required Filings and</w:t>
            </w:r>
          </w:p>
        </w:tc>
        <w:tc>
          <w:tcPr>
            <w:tcW w:w="340" w:type="dxa"/>
            <w:vAlign w:val="bottom"/>
          </w:tcPr>
          <w:p>
            <w:pPr>
              <w:spacing w:after="0"/>
              <w:rPr>
                <w:sz w:val="13"/>
                <w:szCs w:val="13"/>
                <w:color w:val="auto"/>
              </w:rPr>
            </w:pPr>
          </w:p>
        </w:tc>
      </w:tr>
      <w:tr>
        <w:trPr>
          <w:trHeight w:val="161"/>
        </w:trPr>
        <w:tc>
          <w:tcPr>
            <w:tcW w:w="1140" w:type="dxa"/>
            <w:vAlign w:val="bottom"/>
          </w:tcPr>
          <w:p>
            <w:pPr>
              <w:spacing w:after="0"/>
              <w:rPr>
                <w:sz w:val="13"/>
                <w:szCs w:val="13"/>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Consents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3.6.</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Compliance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3.7.</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SEC Filings; Financial Statements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3.8.</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Absence of Certain Changes or Events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3.9.</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Absence of Litigation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3.10.</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Employee Benefit Plans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Trademarks, Patents and Copyrights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3.12.</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Taxes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3.13.</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Amendment to Rights Agreement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3.14.</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Opinion of Financial Advisor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3.15.</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Vote Required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3.16.</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w w:val="99"/>
              </w:rPr>
              <w:t>Brokers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019"/>
          </w:cols>
          <w:pgMar w:left="1440" w:top="1083" w:right="1440" w:bottom="1440" w:gutter="0" w:footer="0" w:header="0"/>
        </w:sectPr>
      </w:pPr>
    </w:p>
    <w:bookmarkStart w:id="197" w:name="page198"/>
    <w:bookmarkEnd w:id="197"/>
    <w:p>
      <w:pPr>
        <w:jc w:val="right"/>
        <w:ind w:right="395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ARTICLE IV</w:t>
      </w:r>
    </w:p>
    <w:p>
      <w:pPr>
        <w:spacing w:after="0" w:line="163"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REPRESENTATIONS AND WARRANTIES OF VIACOM . . . .</w:t>
      </w:r>
      <w:r>
        <w:rPr>
          <w:sz w:val="20"/>
          <w:szCs w:val="20"/>
          <w:color w:val="auto"/>
        </w:rPr>
        <w:tab/>
      </w:r>
      <w:r>
        <w:rPr>
          <w:rFonts w:ascii="Courier New" w:cs="Courier New" w:eastAsia="Courier New" w:hAnsi="Courier New"/>
          <w:sz w:val="13"/>
          <w:szCs w:val="13"/>
          <w:color w:val="auto"/>
        </w:rPr>
        <w:t>31</w:t>
      </w:r>
    </w:p>
    <w:p>
      <w:pPr>
        <w:spacing w:after="0" w:line="2" w:lineRule="exact"/>
        <w:rPr>
          <w:sz w:val="20"/>
          <w:szCs w:val="20"/>
          <w:color w:val="auto"/>
        </w:rPr>
      </w:pPr>
    </w:p>
    <w:p>
      <w:pPr>
        <w:ind w:left="40"/>
        <w:spacing w:after="0"/>
        <w:tabs>
          <w:tab w:leader="none" w:pos="1200" w:val="left"/>
        </w:tabs>
        <w:rPr>
          <w:sz w:val="20"/>
          <w:szCs w:val="20"/>
          <w:color w:val="auto"/>
        </w:rPr>
      </w:pPr>
      <w:r>
        <w:rPr>
          <w:rFonts w:ascii="Courier New" w:cs="Courier New" w:eastAsia="Courier New" w:hAnsi="Courier New"/>
          <w:sz w:val="14"/>
          <w:szCs w:val="14"/>
          <w:color w:val="auto"/>
        </w:rPr>
        <w:t>SECTION 4.1.</w:t>
      </w:r>
      <w:r>
        <w:rPr>
          <w:sz w:val="20"/>
          <w:szCs w:val="20"/>
          <w:color w:val="auto"/>
        </w:rPr>
        <w:tab/>
      </w:r>
      <w:r>
        <w:rPr>
          <w:rFonts w:ascii="Courier New" w:cs="Courier New" w:eastAsia="Courier New" w:hAnsi="Courier New"/>
          <w:sz w:val="13"/>
          <w:szCs w:val="13"/>
          <w:color w:val="auto"/>
        </w:rPr>
        <w:t>Organization and Qualification;</w:t>
      </w:r>
    </w:p>
    <w:p>
      <w:pPr>
        <w:spacing w:after="0" w:line="2" w:lineRule="exact"/>
        <w:rPr>
          <w:sz w:val="20"/>
          <w:szCs w:val="20"/>
          <w:color w:val="auto"/>
        </w:rPr>
      </w:pPr>
    </w:p>
    <w:p>
      <w:pPr>
        <w:jc w:val="right"/>
        <w:ind w:right="3959"/>
        <w:spacing w:after="0"/>
        <w:tabs>
          <w:tab w:leader="none" w:pos="2580" w:val="left"/>
          <w:tab w:leader="none" w:pos="140" w:val="left"/>
        </w:tabs>
        <w:rPr>
          <w:sz w:val="20"/>
          <w:szCs w:val="20"/>
          <w:color w:val="auto"/>
        </w:rPr>
      </w:pPr>
      <w:r>
        <w:rPr>
          <w:rFonts w:ascii="Courier New" w:cs="Courier New" w:eastAsia="Courier New" w:hAnsi="Courier New"/>
          <w:sz w:val="14"/>
          <w:szCs w:val="14"/>
          <w:color w:val="auto"/>
        </w:rPr>
        <w:t>Subsidiaries</w:t>
        <w:tab/>
        <w:t>. . . . . . . . . . . . . .</w:t>
      </w:r>
      <w:r>
        <w:rPr>
          <w:sz w:val="20"/>
          <w:szCs w:val="20"/>
          <w:color w:val="auto"/>
        </w:rPr>
        <w:tab/>
      </w:r>
      <w:r>
        <w:rPr>
          <w:rFonts w:ascii="Courier New" w:cs="Courier New" w:eastAsia="Courier New" w:hAnsi="Courier New"/>
          <w:sz w:val="13"/>
          <w:szCs w:val="13"/>
          <w:color w:val="auto"/>
        </w:rPr>
        <w:t>31</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4.2.</w:t>
        <w:tab/>
        <w:t>Certificate of Incorporation and By-Laws .</w:t>
      </w:r>
      <w:r>
        <w:rPr>
          <w:sz w:val="20"/>
          <w:szCs w:val="20"/>
          <w:color w:val="auto"/>
        </w:rPr>
        <w:tab/>
      </w:r>
      <w:r>
        <w:rPr>
          <w:rFonts w:ascii="Courier New" w:cs="Courier New" w:eastAsia="Courier New" w:hAnsi="Courier New"/>
          <w:sz w:val="13"/>
          <w:szCs w:val="13"/>
          <w:color w:val="auto"/>
        </w:rPr>
        <w:t>31</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4.3.</w:t>
        <w:tab/>
        <w:t>Capitalization . . . . . . . . . . . . . .</w:t>
      </w:r>
      <w:r>
        <w:rPr>
          <w:sz w:val="20"/>
          <w:szCs w:val="20"/>
          <w:color w:val="auto"/>
        </w:rPr>
        <w:tab/>
      </w:r>
      <w:r>
        <w:rPr>
          <w:rFonts w:ascii="Courier New" w:cs="Courier New" w:eastAsia="Courier New" w:hAnsi="Courier New"/>
          <w:sz w:val="13"/>
          <w:szCs w:val="13"/>
          <w:color w:val="auto"/>
        </w:rPr>
        <w:t>32</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4.4.</w:t>
        <w:tab/>
        <w:t>Authority Relative to This Agreement . . .</w:t>
      </w:r>
      <w:r>
        <w:rPr>
          <w:sz w:val="20"/>
          <w:szCs w:val="20"/>
          <w:color w:val="auto"/>
        </w:rPr>
        <w:tab/>
      </w:r>
      <w:r>
        <w:rPr>
          <w:rFonts w:ascii="Courier New" w:cs="Courier New" w:eastAsia="Courier New" w:hAnsi="Courier New"/>
          <w:sz w:val="13"/>
          <w:szCs w:val="13"/>
          <w:color w:val="auto"/>
        </w:rPr>
        <w:t>34</w:t>
      </w:r>
    </w:p>
    <w:p>
      <w:pPr>
        <w:spacing w:after="0" w:line="2" w:lineRule="exact"/>
        <w:rPr>
          <w:sz w:val="20"/>
          <w:szCs w:val="20"/>
          <w:color w:val="auto"/>
        </w:rPr>
      </w:pPr>
    </w:p>
    <w:p>
      <w:pPr>
        <w:ind w:left="40"/>
        <w:spacing w:after="0"/>
        <w:tabs>
          <w:tab w:leader="none" w:pos="1200" w:val="left"/>
        </w:tabs>
        <w:rPr>
          <w:sz w:val="20"/>
          <w:szCs w:val="20"/>
          <w:color w:val="auto"/>
        </w:rPr>
      </w:pPr>
      <w:r>
        <w:rPr>
          <w:rFonts w:ascii="Courier New" w:cs="Courier New" w:eastAsia="Courier New" w:hAnsi="Courier New"/>
          <w:sz w:val="14"/>
          <w:szCs w:val="14"/>
          <w:color w:val="auto"/>
        </w:rPr>
        <w:t>SECTION 4.5.</w:t>
      </w:r>
      <w:r>
        <w:rPr>
          <w:sz w:val="20"/>
          <w:szCs w:val="20"/>
          <w:color w:val="auto"/>
        </w:rPr>
        <w:tab/>
      </w:r>
      <w:r>
        <w:rPr>
          <w:rFonts w:ascii="Courier New" w:cs="Courier New" w:eastAsia="Courier New" w:hAnsi="Courier New"/>
          <w:sz w:val="13"/>
          <w:szCs w:val="13"/>
          <w:color w:val="auto"/>
        </w:rPr>
        <w:t>No Conflict; Required Filings and</w:t>
      </w:r>
    </w:p>
    <w:p>
      <w:pPr>
        <w:spacing w:after="0" w:line="2" w:lineRule="exact"/>
        <w:rPr>
          <w:sz w:val="20"/>
          <w:szCs w:val="20"/>
          <w:color w:val="auto"/>
        </w:rPr>
      </w:pPr>
    </w:p>
    <w:p>
      <w:pPr>
        <w:jc w:val="right"/>
        <w:ind w:right="3959"/>
        <w:spacing w:after="0"/>
        <w:tabs>
          <w:tab w:leader="none" w:pos="2900" w:val="left"/>
          <w:tab w:leader="none" w:pos="140" w:val="left"/>
        </w:tabs>
        <w:rPr>
          <w:sz w:val="20"/>
          <w:szCs w:val="20"/>
          <w:color w:val="auto"/>
        </w:rPr>
      </w:pPr>
      <w:r>
        <w:rPr>
          <w:rFonts w:ascii="Courier New" w:cs="Courier New" w:eastAsia="Courier New" w:hAnsi="Courier New"/>
          <w:sz w:val="14"/>
          <w:szCs w:val="14"/>
          <w:color w:val="auto"/>
        </w:rPr>
        <w:t>Consents</w:t>
        <w:tab/>
        <w:t>. . . . . . . . . . . . . . . .</w:t>
      </w:r>
      <w:r>
        <w:rPr>
          <w:sz w:val="20"/>
          <w:szCs w:val="20"/>
          <w:color w:val="auto"/>
        </w:rPr>
        <w:tab/>
      </w:r>
      <w:r>
        <w:rPr>
          <w:rFonts w:ascii="Courier New" w:cs="Courier New" w:eastAsia="Courier New" w:hAnsi="Courier New"/>
          <w:sz w:val="13"/>
          <w:szCs w:val="13"/>
          <w:color w:val="auto"/>
        </w:rPr>
        <w:t>34</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4.6.</w:t>
        <w:tab/>
        <w:t>Compliance . . . . . . . . . . . . . . . .</w:t>
      </w:r>
      <w:r>
        <w:rPr>
          <w:sz w:val="20"/>
          <w:szCs w:val="20"/>
          <w:color w:val="auto"/>
        </w:rPr>
        <w:tab/>
      </w:r>
      <w:r>
        <w:rPr>
          <w:rFonts w:ascii="Courier New" w:cs="Courier New" w:eastAsia="Courier New" w:hAnsi="Courier New"/>
          <w:sz w:val="13"/>
          <w:szCs w:val="13"/>
          <w:color w:val="auto"/>
        </w:rPr>
        <w:t>35</w:t>
      </w:r>
    </w:p>
    <w:p>
      <w:pPr>
        <w:spacing w:after="0" w:line="2" w:lineRule="exact"/>
        <w:rPr>
          <w:sz w:val="20"/>
          <w:szCs w:val="20"/>
          <w:color w:val="auto"/>
        </w:rPr>
      </w:pPr>
    </w:p>
    <w:p>
      <w:pPr>
        <w:ind w:left="40"/>
        <w:spacing w:after="0"/>
        <w:tabs>
          <w:tab w:leader="none" w:pos="1200" w:val="left"/>
          <w:tab w:leader="none" w:pos="4120" w:val="left"/>
          <w:tab w:leader="none" w:pos="4880" w:val="left"/>
        </w:tabs>
        <w:rPr>
          <w:sz w:val="20"/>
          <w:szCs w:val="20"/>
          <w:color w:val="auto"/>
        </w:rPr>
      </w:pPr>
      <w:r>
        <w:rPr>
          <w:rFonts w:ascii="Courier New" w:cs="Courier New" w:eastAsia="Courier New" w:hAnsi="Courier New"/>
          <w:sz w:val="14"/>
          <w:szCs w:val="14"/>
          <w:color w:val="auto"/>
        </w:rPr>
        <w:t>SECTION 4.7.</w:t>
        <w:tab/>
        <w:t>SEC Filings; Financial Statements</w:t>
        <w:tab/>
        <w:t>. . . .</w:t>
      </w:r>
      <w:r>
        <w:rPr>
          <w:sz w:val="20"/>
          <w:szCs w:val="20"/>
          <w:color w:val="auto"/>
        </w:rPr>
        <w:tab/>
      </w:r>
      <w:r>
        <w:rPr>
          <w:rFonts w:ascii="Courier New" w:cs="Courier New" w:eastAsia="Courier New" w:hAnsi="Courier New"/>
          <w:sz w:val="13"/>
          <w:szCs w:val="13"/>
          <w:color w:val="auto"/>
        </w:rPr>
        <w:t>36</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4.8.</w:t>
        <w:tab/>
        <w:t>Absence of Certain Changes or Events . . .</w:t>
      </w:r>
      <w:r>
        <w:rPr>
          <w:sz w:val="20"/>
          <w:szCs w:val="20"/>
          <w:color w:val="auto"/>
        </w:rPr>
        <w:tab/>
      </w:r>
      <w:r>
        <w:rPr>
          <w:rFonts w:ascii="Courier New" w:cs="Courier New" w:eastAsia="Courier New" w:hAnsi="Courier New"/>
          <w:sz w:val="13"/>
          <w:szCs w:val="13"/>
          <w:color w:val="auto"/>
        </w:rPr>
        <w:t>37</w:t>
      </w:r>
    </w:p>
    <w:p>
      <w:pPr>
        <w:spacing w:after="0" w:line="2" w:lineRule="exact"/>
        <w:rPr>
          <w:sz w:val="20"/>
          <w:szCs w:val="20"/>
          <w:color w:val="auto"/>
        </w:rPr>
      </w:pPr>
    </w:p>
    <w:p>
      <w:pPr>
        <w:ind w:left="40"/>
        <w:spacing w:after="0"/>
        <w:tabs>
          <w:tab w:leader="none" w:pos="1200" w:val="left"/>
          <w:tab w:leader="none" w:pos="3120" w:val="left"/>
          <w:tab w:leader="none" w:pos="4880" w:val="left"/>
        </w:tabs>
        <w:rPr>
          <w:sz w:val="20"/>
          <w:szCs w:val="20"/>
          <w:color w:val="auto"/>
        </w:rPr>
      </w:pPr>
      <w:r>
        <w:rPr>
          <w:rFonts w:ascii="Courier New" w:cs="Courier New" w:eastAsia="Courier New" w:hAnsi="Courier New"/>
          <w:sz w:val="14"/>
          <w:szCs w:val="14"/>
          <w:color w:val="auto"/>
        </w:rPr>
        <w:t>SECTION 4.9.</w:t>
        <w:tab/>
        <w:t>Absence of Litigation</w:t>
        <w:tab/>
        <w:t>. . . . . . . . . .</w:t>
      </w:r>
      <w:r>
        <w:rPr>
          <w:sz w:val="20"/>
          <w:szCs w:val="20"/>
          <w:color w:val="auto"/>
        </w:rPr>
        <w:tab/>
      </w:r>
      <w:r>
        <w:rPr>
          <w:rFonts w:ascii="Courier New" w:cs="Courier New" w:eastAsia="Courier New" w:hAnsi="Courier New"/>
          <w:sz w:val="13"/>
          <w:szCs w:val="13"/>
          <w:color w:val="auto"/>
        </w:rPr>
        <w:t>37</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4.10. Employee Benefit Plans . . . . . . . . . .</w:t>
      </w:r>
      <w:r>
        <w:rPr>
          <w:sz w:val="20"/>
          <w:szCs w:val="20"/>
          <w:color w:val="auto"/>
        </w:rPr>
        <w:tab/>
      </w:r>
      <w:r>
        <w:rPr>
          <w:rFonts w:ascii="Courier New" w:cs="Courier New" w:eastAsia="Courier New" w:hAnsi="Courier New"/>
          <w:sz w:val="13"/>
          <w:szCs w:val="13"/>
          <w:color w:val="auto"/>
        </w:rPr>
        <w:t>38</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4.11. Trademarks, Patents and Copyrights . . . .</w:t>
      </w:r>
      <w:r>
        <w:rPr>
          <w:sz w:val="20"/>
          <w:szCs w:val="20"/>
          <w:color w:val="auto"/>
        </w:rPr>
        <w:tab/>
      </w:r>
      <w:r>
        <w:rPr>
          <w:rFonts w:ascii="Courier New" w:cs="Courier New" w:eastAsia="Courier New" w:hAnsi="Courier New"/>
          <w:sz w:val="13"/>
          <w:szCs w:val="13"/>
          <w:color w:val="auto"/>
        </w:rPr>
        <w:t>38</w:t>
      </w:r>
    </w:p>
    <w:p>
      <w:pPr>
        <w:spacing w:after="0" w:line="2" w:lineRule="exact"/>
        <w:rPr>
          <w:sz w:val="20"/>
          <w:szCs w:val="20"/>
          <w:color w:val="auto"/>
        </w:rPr>
      </w:pPr>
    </w:p>
    <w:p>
      <w:pPr>
        <w:ind w:left="40"/>
        <w:spacing w:after="0"/>
        <w:tabs>
          <w:tab w:leader="none" w:pos="1780" w:val="left"/>
          <w:tab w:leader="none" w:pos="4880" w:val="left"/>
        </w:tabs>
        <w:rPr>
          <w:sz w:val="20"/>
          <w:szCs w:val="20"/>
          <w:color w:val="auto"/>
        </w:rPr>
      </w:pPr>
      <w:r>
        <w:rPr>
          <w:rFonts w:ascii="Courier New" w:cs="Courier New" w:eastAsia="Courier New" w:hAnsi="Courier New"/>
          <w:sz w:val="14"/>
          <w:szCs w:val="14"/>
          <w:color w:val="auto"/>
        </w:rPr>
        <w:t>SECTION 4.12. Taxes</w:t>
        <w:tab/>
        <w:t>. . . . . . . . . . . . . . . . . .</w:t>
      </w:r>
      <w:r>
        <w:rPr>
          <w:sz w:val="20"/>
          <w:szCs w:val="20"/>
          <w:color w:val="auto"/>
        </w:rPr>
        <w:tab/>
      </w:r>
      <w:r>
        <w:rPr>
          <w:rFonts w:ascii="Courier New" w:cs="Courier New" w:eastAsia="Courier New" w:hAnsi="Courier New"/>
          <w:sz w:val="13"/>
          <w:szCs w:val="13"/>
          <w:color w:val="auto"/>
        </w:rPr>
        <w:t>39</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4.13. Opinion of Financial Advisor . . . . . . .</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40"/>
        <w:spacing w:after="0"/>
        <w:tabs>
          <w:tab w:leader="none" w:pos="2440" w:val="left"/>
          <w:tab w:leader="none" w:pos="4880" w:val="left"/>
        </w:tabs>
        <w:rPr>
          <w:sz w:val="20"/>
          <w:szCs w:val="20"/>
          <w:color w:val="auto"/>
        </w:rPr>
      </w:pPr>
      <w:r>
        <w:rPr>
          <w:rFonts w:ascii="Courier New" w:cs="Courier New" w:eastAsia="Courier New" w:hAnsi="Courier New"/>
          <w:sz w:val="14"/>
          <w:szCs w:val="14"/>
          <w:color w:val="auto"/>
        </w:rPr>
        <w:t>SECTION 4.14. Vote Required</w:t>
        <w:tab/>
        <w:t>. . . . . . . . . . . . . .</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40"/>
        <w:spacing w:after="0"/>
        <w:tabs>
          <w:tab w:leader="none" w:pos="4280" w:val="left"/>
          <w:tab w:leader="none" w:pos="4880" w:val="left"/>
        </w:tabs>
        <w:rPr>
          <w:sz w:val="20"/>
          <w:szCs w:val="20"/>
          <w:color w:val="auto"/>
        </w:rPr>
      </w:pPr>
      <w:r>
        <w:rPr>
          <w:rFonts w:ascii="Courier New" w:cs="Courier New" w:eastAsia="Courier New" w:hAnsi="Courier New"/>
          <w:sz w:val="14"/>
          <w:szCs w:val="14"/>
          <w:color w:val="auto"/>
        </w:rPr>
        <w:t>SECTION 4.15. Ownership of Paramount Common Stock</w:t>
        <w:tab/>
        <w:t>. . .</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40"/>
        <w:spacing w:after="0"/>
        <w:tabs>
          <w:tab w:leader="none" w:pos="1940" w:val="left"/>
          <w:tab w:leader="none" w:pos="4880" w:val="left"/>
        </w:tabs>
        <w:rPr>
          <w:sz w:val="20"/>
          <w:szCs w:val="20"/>
          <w:color w:val="auto"/>
        </w:rPr>
      </w:pPr>
      <w:r>
        <w:rPr>
          <w:rFonts w:ascii="Courier New" w:cs="Courier New" w:eastAsia="Courier New" w:hAnsi="Courier New"/>
          <w:sz w:val="14"/>
          <w:szCs w:val="14"/>
          <w:color w:val="auto"/>
        </w:rPr>
        <w:t>SECTION 4.16. Brokers</w:t>
        <w:tab/>
        <w:t>. . . . . . . . . . . . . . . . .</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40"/>
        <w:spacing w:after="0"/>
        <w:tabs>
          <w:tab w:leader="none" w:pos="2120" w:val="left"/>
          <w:tab w:leader="none" w:pos="4880" w:val="left"/>
        </w:tabs>
        <w:rPr>
          <w:sz w:val="20"/>
          <w:szCs w:val="20"/>
          <w:color w:val="auto"/>
        </w:rPr>
      </w:pPr>
      <w:r>
        <w:rPr>
          <w:rFonts w:ascii="Courier New" w:cs="Courier New" w:eastAsia="Courier New" w:hAnsi="Courier New"/>
          <w:sz w:val="14"/>
          <w:szCs w:val="14"/>
          <w:color w:val="auto"/>
        </w:rPr>
        <w:t>SECTION 4.17. Financing</w:t>
        <w:tab/>
        <w:t>. . . . . . . . . . . . . . . .</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40"/>
        <w:spacing w:after="0"/>
        <w:tabs>
          <w:tab w:leader="none" w:pos="3280" w:val="left"/>
          <w:tab w:leader="none" w:pos="4880" w:val="left"/>
        </w:tabs>
        <w:rPr>
          <w:sz w:val="20"/>
          <w:szCs w:val="20"/>
          <w:color w:val="auto"/>
        </w:rPr>
      </w:pPr>
      <w:r>
        <w:rPr>
          <w:rFonts w:ascii="Courier New" w:cs="Courier New" w:eastAsia="Courier New" w:hAnsi="Courier New"/>
          <w:sz w:val="14"/>
          <w:szCs w:val="14"/>
          <w:color w:val="auto"/>
        </w:rPr>
        <w:t>SECTION 4.18. Purchases of Securities</w:t>
        <w:tab/>
        <w:t>. . . . . . . . .</w:t>
      </w:r>
      <w:r>
        <w:rPr>
          <w:sz w:val="20"/>
          <w:szCs w:val="20"/>
          <w:color w:val="auto"/>
        </w:rPr>
        <w:tab/>
      </w:r>
      <w:r>
        <w:rPr>
          <w:rFonts w:ascii="Courier New" w:cs="Courier New" w:eastAsia="Courier New" w:hAnsi="Courier New"/>
          <w:sz w:val="13"/>
          <w:szCs w:val="13"/>
          <w:color w:val="auto"/>
        </w:rPr>
        <w:t>40</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SECTION 4.19. Representations in Blockbuster Merger</w:t>
      </w:r>
    </w:p>
    <w:p>
      <w:pPr>
        <w:spacing w:after="0" w:line="2"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Agreement . . . . . . . . . . . . . . . .</w:t>
      </w:r>
      <w:r>
        <w:rPr>
          <w:sz w:val="20"/>
          <w:szCs w:val="20"/>
          <w:color w:val="auto"/>
        </w:rPr>
        <w:tab/>
      </w:r>
      <w:r>
        <w:rPr>
          <w:rFonts w:ascii="Courier New" w:cs="Courier New" w:eastAsia="Courier New" w:hAnsi="Courier New"/>
          <w:sz w:val="13"/>
          <w:szCs w:val="13"/>
          <w:color w:val="auto"/>
        </w:rPr>
        <w:t>41</w:t>
      </w:r>
    </w:p>
    <w:p>
      <w:pPr>
        <w:spacing w:after="0" w:line="163"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ARTICLE V</w:t>
      </w:r>
    </w:p>
    <w:p>
      <w:pPr>
        <w:spacing w:after="0" w:line="163"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CONDUCT OF BUSINESSES PENDING THE MERGER . . . .</w:t>
      </w:r>
      <w:r>
        <w:rPr>
          <w:sz w:val="20"/>
          <w:szCs w:val="20"/>
          <w:color w:val="auto"/>
        </w:rPr>
        <w:tab/>
      </w:r>
      <w:r>
        <w:rPr>
          <w:rFonts w:ascii="Courier New" w:cs="Courier New" w:eastAsia="Courier New" w:hAnsi="Courier New"/>
          <w:sz w:val="13"/>
          <w:szCs w:val="13"/>
          <w:color w:val="auto"/>
        </w:rPr>
        <w:t>41</w:t>
      </w:r>
    </w:p>
    <w:p>
      <w:pPr>
        <w:spacing w:after="0" w:line="2" w:lineRule="exact"/>
        <w:rPr>
          <w:sz w:val="20"/>
          <w:szCs w:val="20"/>
          <w:color w:val="auto"/>
        </w:rPr>
      </w:pPr>
    </w:p>
    <w:p>
      <w:pPr>
        <w:ind w:left="40"/>
        <w:spacing w:after="0"/>
        <w:tabs>
          <w:tab w:leader="none" w:pos="1200" w:val="left"/>
        </w:tabs>
        <w:rPr>
          <w:sz w:val="20"/>
          <w:szCs w:val="20"/>
          <w:color w:val="auto"/>
        </w:rPr>
      </w:pPr>
      <w:r>
        <w:rPr>
          <w:rFonts w:ascii="Courier New" w:cs="Courier New" w:eastAsia="Courier New" w:hAnsi="Courier New"/>
          <w:sz w:val="14"/>
          <w:szCs w:val="14"/>
          <w:color w:val="auto"/>
        </w:rPr>
        <w:t>SECTION 5.1.</w:t>
      </w:r>
      <w:r>
        <w:rPr>
          <w:sz w:val="20"/>
          <w:szCs w:val="20"/>
          <w:color w:val="auto"/>
        </w:rPr>
        <w:tab/>
      </w:r>
      <w:r>
        <w:rPr>
          <w:rFonts w:ascii="Courier New" w:cs="Courier New" w:eastAsia="Courier New" w:hAnsi="Courier New"/>
          <w:sz w:val="13"/>
          <w:szCs w:val="13"/>
          <w:color w:val="auto"/>
        </w:rPr>
        <w:t>Conduct of Respective Businesses by</w:t>
      </w:r>
    </w:p>
    <w:p>
      <w:pPr>
        <w:spacing w:after="0" w:line="2"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Paramount and Viacom Pending the Merger .</w:t>
      </w:r>
      <w:r>
        <w:rPr>
          <w:sz w:val="20"/>
          <w:szCs w:val="20"/>
          <w:color w:val="auto"/>
        </w:rPr>
        <w:tab/>
      </w:r>
      <w:r>
        <w:rPr>
          <w:rFonts w:ascii="Courier New" w:cs="Courier New" w:eastAsia="Courier New" w:hAnsi="Courier New"/>
          <w:sz w:val="13"/>
          <w:szCs w:val="13"/>
          <w:color w:val="auto"/>
        </w:rPr>
        <w:t>41</w:t>
      </w:r>
    </w:p>
    <w:p>
      <w:pPr>
        <w:spacing w:after="0" w:line="163"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ARTICLE VI</w:t>
      </w:r>
    </w:p>
    <w:p>
      <w:pPr>
        <w:spacing w:after="0" w:line="163"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ADDITIONAL COVENANTS . . . . . . . . .</w:t>
      </w:r>
      <w:r>
        <w:rPr>
          <w:sz w:val="20"/>
          <w:szCs w:val="20"/>
          <w:color w:val="auto"/>
        </w:rPr>
        <w:tab/>
      </w:r>
      <w:r>
        <w:rPr>
          <w:rFonts w:ascii="Courier New" w:cs="Courier New" w:eastAsia="Courier New" w:hAnsi="Courier New"/>
          <w:sz w:val="13"/>
          <w:szCs w:val="13"/>
          <w:color w:val="auto"/>
        </w:rPr>
        <w:t>43</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6.1.</w:t>
        <w:tab/>
        <w:t>Access to Information; Confidentiality . .</w:t>
      </w:r>
      <w:r>
        <w:rPr>
          <w:sz w:val="20"/>
          <w:szCs w:val="20"/>
          <w:color w:val="auto"/>
        </w:rPr>
        <w:tab/>
      </w:r>
      <w:r>
        <w:rPr>
          <w:rFonts w:ascii="Courier New" w:cs="Courier New" w:eastAsia="Courier New" w:hAnsi="Courier New"/>
          <w:sz w:val="13"/>
          <w:szCs w:val="13"/>
          <w:color w:val="auto"/>
        </w:rPr>
        <w:t>43</w:t>
      </w:r>
    </w:p>
    <w:p>
      <w:pPr>
        <w:spacing w:after="0" w:line="2" w:lineRule="exact"/>
        <w:rPr>
          <w:sz w:val="20"/>
          <w:szCs w:val="20"/>
          <w:color w:val="auto"/>
        </w:rPr>
      </w:pPr>
    </w:p>
    <w:p>
      <w:pPr>
        <w:ind w:left="40"/>
        <w:spacing w:after="0"/>
        <w:tabs>
          <w:tab w:leader="none" w:pos="1200" w:val="left"/>
          <w:tab w:leader="none" w:pos="3120" w:val="left"/>
          <w:tab w:leader="none" w:pos="4880" w:val="left"/>
        </w:tabs>
        <w:rPr>
          <w:sz w:val="20"/>
          <w:szCs w:val="20"/>
          <w:color w:val="auto"/>
        </w:rPr>
      </w:pPr>
      <w:r>
        <w:rPr>
          <w:rFonts w:ascii="Courier New" w:cs="Courier New" w:eastAsia="Courier New" w:hAnsi="Courier New"/>
          <w:sz w:val="14"/>
          <w:szCs w:val="14"/>
          <w:color w:val="auto"/>
        </w:rPr>
        <w:t>SECTION 6.2.</w:t>
        <w:tab/>
        <w:t>Intentionally omitted</w:t>
        <w:tab/>
        <w:t>. . . . . . . . . .</w:t>
      </w:r>
      <w:r>
        <w:rPr>
          <w:sz w:val="20"/>
          <w:szCs w:val="20"/>
          <w:color w:val="auto"/>
        </w:rPr>
        <w:tab/>
      </w:r>
      <w:r>
        <w:rPr>
          <w:rFonts w:ascii="Courier New" w:cs="Courier New" w:eastAsia="Courier New" w:hAnsi="Courier New"/>
          <w:sz w:val="13"/>
          <w:szCs w:val="13"/>
          <w:color w:val="auto"/>
        </w:rPr>
        <w:t>44</w:t>
      </w:r>
    </w:p>
    <w:p>
      <w:pPr>
        <w:spacing w:after="0" w:line="2" w:lineRule="exact"/>
        <w:rPr>
          <w:sz w:val="20"/>
          <w:szCs w:val="20"/>
          <w:color w:val="auto"/>
        </w:rPr>
      </w:pPr>
    </w:p>
    <w:p>
      <w:pPr>
        <w:ind w:left="40"/>
        <w:spacing w:after="0"/>
        <w:tabs>
          <w:tab w:leader="none" w:pos="1200" w:val="left"/>
        </w:tabs>
        <w:rPr>
          <w:sz w:val="20"/>
          <w:szCs w:val="20"/>
          <w:color w:val="auto"/>
        </w:rPr>
      </w:pPr>
      <w:r>
        <w:rPr>
          <w:rFonts w:ascii="Courier New" w:cs="Courier New" w:eastAsia="Courier New" w:hAnsi="Courier New"/>
          <w:sz w:val="14"/>
          <w:szCs w:val="14"/>
          <w:color w:val="auto"/>
        </w:rPr>
        <w:t>SECTION 6.3.</w:t>
      </w:r>
      <w:r>
        <w:rPr>
          <w:sz w:val="20"/>
          <w:szCs w:val="20"/>
          <w:color w:val="auto"/>
        </w:rPr>
        <w:tab/>
      </w:r>
      <w:r>
        <w:rPr>
          <w:rFonts w:ascii="Courier New" w:cs="Courier New" w:eastAsia="Courier New" w:hAnsi="Courier New"/>
          <w:sz w:val="13"/>
          <w:szCs w:val="13"/>
          <w:color w:val="auto"/>
        </w:rPr>
        <w:t>Directors' and Officers' Indemnification</w:t>
      </w:r>
    </w:p>
    <w:p>
      <w:pPr>
        <w:spacing w:after="0" w:line="2"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and Insurance . . . . . . . . . . . . . .</w:t>
      </w:r>
      <w:r>
        <w:rPr>
          <w:sz w:val="20"/>
          <w:szCs w:val="20"/>
          <w:color w:val="auto"/>
        </w:rPr>
        <w:tab/>
      </w:r>
      <w:r>
        <w:rPr>
          <w:rFonts w:ascii="Courier New" w:cs="Courier New" w:eastAsia="Courier New" w:hAnsi="Courier New"/>
          <w:sz w:val="13"/>
          <w:szCs w:val="13"/>
          <w:color w:val="auto"/>
        </w:rPr>
        <w:t>44</w:t>
      </w:r>
    </w:p>
    <w:p>
      <w:pPr>
        <w:spacing w:after="0" w:line="2" w:lineRule="exact"/>
        <w:rPr>
          <w:sz w:val="20"/>
          <w:szCs w:val="20"/>
          <w:color w:val="auto"/>
        </w:rPr>
      </w:pPr>
    </w:p>
    <w:p>
      <w:pPr>
        <w:ind w:left="40"/>
        <w:spacing w:after="0"/>
        <w:tabs>
          <w:tab w:leader="none" w:pos="1200" w:val="left"/>
          <w:tab w:leader="none" w:pos="3960" w:val="left"/>
          <w:tab w:leader="none" w:pos="4880" w:val="left"/>
        </w:tabs>
        <w:rPr>
          <w:sz w:val="20"/>
          <w:szCs w:val="20"/>
          <w:color w:val="auto"/>
        </w:rPr>
      </w:pPr>
      <w:r>
        <w:rPr>
          <w:rFonts w:ascii="Courier New" w:cs="Courier New" w:eastAsia="Courier New" w:hAnsi="Courier New"/>
          <w:sz w:val="14"/>
          <w:szCs w:val="14"/>
          <w:color w:val="auto"/>
        </w:rPr>
        <w:t>SECTION 6.4.</w:t>
        <w:tab/>
        <w:t>Notification of Certain Matters</w:t>
        <w:tab/>
        <w:t>. . . . .</w:t>
      </w:r>
      <w:r>
        <w:rPr>
          <w:sz w:val="20"/>
          <w:szCs w:val="20"/>
          <w:color w:val="auto"/>
        </w:rPr>
        <w:tab/>
      </w:r>
      <w:r>
        <w:rPr>
          <w:rFonts w:ascii="Courier New" w:cs="Courier New" w:eastAsia="Courier New" w:hAnsi="Courier New"/>
          <w:sz w:val="13"/>
          <w:szCs w:val="13"/>
          <w:color w:val="auto"/>
        </w:rPr>
        <w:t>45</w:t>
      </w:r>
    </w:p>
    <w:p>
      <w:pPr>
        <w:spacing w:after="0" w:line="2" w:lineRule="exact"/>
        <w:rPr>
          <w:sz w:val="20"/>
          <w:szCs w:val="20"/>
          <w:color w:val="auto"/>
        </w:rPr>
      </w:pPr>
    </w:p>
    <w:p>
      <w:pPr>
        <w:ind w:left="40"/>
        <w:spacing w:after="0"/>
        <w:tabs>
          <w:tab w:leader="none" w:pos="1200" w:val="left"/>
          <w:tab w:leader="none" w:pos="2440" w:val="left"/>
          <w:tab w:leader="none" w:pos="4880" w:val="left"/>
        </w:tabs>
        <w:rPr>
          <w:sz w:val="20"/>
          <w:szCs w:val="20"/>
          <w:color w:val="auto"/>
        </w:rPr>
      </w:pPr>
      <w:r>
        <w:rPr>
          <w:rFonts w:ascii="Courier New" w:cs="Courier New" w:eastAsia="Courier New" w:hAnsi="Courier New"/>
          <w:sz w:val="14"/>
          <w:szCs w:val="14"/>
          <w:color w:val="auto"/>
        </w:rPr>
        <w:t>SECTION 6.5.</w:t>
        <w:tab/>
        <w:t>Tax Treatment</w:t>
        <w:tab/>
        <w:t>. . . . . . . . . . . . . .</w:t>
      </w:r>
      <w:r>
        <w:rPr>
          <w:sz w:val="20"/>
          <w:szCs w:val="20"/>
          <w:color w:val="auto"/>
        </w:rPr>
        <w:tab/>
      </w:r>
      <w:r>
        <w:rPr>
          <w:rFonts w:ascii="Courier New" w:cs="Courier New" w:eastAsia="Courier New" w:hAnsi="Courier New"/>
          <w:sz w:val="13"/>
          <w:szCs w:val="13"/>
          <w:color w:val="auto"/>
        </w:rPr>
        <w:t>45</w:t>
      </w:r>
    </w:p>
    <w:p>
      <w:pPr>
        <w:spacing w:after="0" w:line="2" w:lineRule="exact"/>
        <w:rPr>
          <w:sz w:val="20"/>
          <w:szCs w:val="20"/>
          <w:color w:val="auto"/>
        </w:rPr>
      </w:pPr>
    </w:p>
    <w:p>
      <w:pPr>
        <w:ind w:left="40"/>
        <w:spacing w:after="0"/>
        <w:tabs>
          <w:tab w:leader="none" w:pos="1200" w:val="left"/>
        </w:tabs>
        <w:rPr>
          <w:sz w:val="20"/>
          <w:szCs w:val="20"/>
          <w:color w:val="auto"/>
        </w:rPr>
      </w:pPr>
      <w:r>
        <w:rPr>
          <w:rFonts w:ascii="Courier New" w:cs="Courier New" w:eastAsia="Courier New" w:hAnsi="Courier New"/>
          <w:sz w:val="14"/>
          <w:szCs w:val="14"/>
          <w:color w:val="auto"/>
        </w:rPr>
        <w:t>SECTION 6.6.</w:t>
      </w:r>
      <w:r>
        <w:rPr>
          <w:sz w:val="20"/>
          <w:szCs w:val="20"/>
          <w:color w:val="auto"/>
        </w:rPr>
        <w:tab/>
      </w:r>
      <w:r>
        <w:rPr>
          <w:rFonts w:ascii="Courier New" w:cs="Courier New" w:eastAsia="Courier New" w:hAnsi="Courier New"/>
          <w:sz w:val="13"/>
          <w:szCs w:val="13"/>
          <w:color w:val="auto"/>
        </w:rPr>
        <w:t>Registration Statement; Joint Proxy</w:t>
      </w:r>
    </w:p>
    <w:p>
      <w:pPr>
        <w:spacing w:after="0" w:line="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Statement; Offer Documents and Schedule</w:t>
      </w:r>
    </w:p>
    <w:p>
      <w:pPr>
        <w:spacing w:after="0" w:line="2"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14D-9 . . . . . . . . . . . . . . . . . .</w:t>
      </w:r>
      <w:r>
        <w:rPr>
          <w:sz w:val="20"/>
          <w:szCs w:val="20"/>
          <w:color w:val="auto"/>
        </w:rPr>
        <w:tab/>
      </w:r>
      <w:r>
        <w:rPr>
          <w:rFonts w:ascii="Courier New" w:cs="Courier New" w:eastAsia="Courier New" w:hAnsi="Courier New"/>
          <w:sz w:val="13"/>
          <w:szCs w:val="13"/>
          <w:color w:val="auto"/>
        </w:rPr>
        <w:t>46</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6.7.</w:t>
        <w:tab/>
        <w:t>Stockholders' Meetings . . . . . . . . . .</w:t>
      </w:r>
      <w:r>
        <w:rPr>
          <w:sz w:val="20"/>
          <w:szCs w:val="20"/>
          <w:color w:val="auto"/>
        </w:rPr>
        <w:tab/>
      </w:r>
      <w:r>
        <w:rPr>
          <w:rFonts w:ascii="Courier New" w:cs="Courier New" w:eastAsia="Courier New" w:hAnsi="Courier New"/>
          <w:sz w:val="13"/>
          <w:szCs w:val="13"/>
          <w:color w:val="auto"/>
        </w:rPr>
        <w:t>48</w:t>
      </w:r>
    </w:p>
    <w:p>
      <w:pPr>
        <w:spacing w:after="0" w:line="2" w:lineRule="exact"/>
        <w:rPr>
          <w:sz w:val="20"/>
          <w:szCs w:val="20"/>
          <w:color w:val="auto"/>
        </w:rPr>
      </w:pPr>
    </w:p>
    <w:p>
      <w:pPr>
        <w:ind w:left="40"/>
        <w:spacing w:after="0"/>
        <w:tabs>
          <w:tab w:leader="none" w:pos="1200" w:val="left"/>
          <w:tab w:leader="none" w:pos="4880" w:val="left"/>
        </w:tabs>
        <w:rPr>
          <w:sz w:val="20"/>
          <w:szCs w:val="20"/>
          <w:color w:val="auto"/>
        </w:rPr>
      </w:pPr>
      <w:r>
        <w:rPr>
          <w:rFonts w:ascii="Courier New" w:cs="Courier New" w:eastAsia="Courier New" w:hAnsi="Courier New"/>
          <w:sz w:val="14"/>
          <w:szCs w:val="14"/>
          <w:color w:val="auto"/>
        </w:rPr>
        <w:t>SECTION 6.8.</w:t>
        <w:tab/>
        <w:t>Letters of Accountants . . . . . . . . . .</w:t>
      </w:r>
      <w:r>
        <w:rPr>
          <w:sz w:val="20"/>
          <w:szCs w:val="20"/>
          <w:color w:val="auto"/>
        </w:rPr>
        <w:tab/>
      </w:r>
      <w:r>
        <w:rPr>
          <w:rFonts w:ascii="Courier New" w:cs="Courier New" w:eastAsia="Courier New" w:hAnsi="Courier New"/>
          <w:sz w:val="13"/>
          <w:szCs w:val="13"/>
          <w:color w:val="auto"/>
        </w:rPr>
        <w:t>48</w:t>
      </w:r>
    </w:p>
    <w:p>
      <w:pPr>
        <w:spacing w:after="0" w:line="2" w:lineRule="exact"/>
        <w:rPr>
          <w:sz w:val="20"/>
          <w:szCs w:val="20"/>
          <w:color w:val="auto"/>
        </w:rPr>
      </w:pPr>
    </w:p>
    <w:p>
      <w:pPr>
        <w:ind w:left="40"/>
        <w:spacing w:after="0"/>
        <w:tabs>
          <w:tab w:leader="none" w:pos="1200" w:val="left"/>
          <w:tab w:leader="none" w:pos="2780" w:val="left"/>
          <w:tab w:leader="none" w:pos="4880" w:val="left"/>
        </w:tabs>
        <w:rPr>
          <w:sz w:val="20"/>
          <w:szCs w:val="20"/>
          <w:color w:val="auto"/>
        </w:rPr>
      </w:pPr>
      <w:r>
        <w:rPr>
          <w:rFonts w:ascii="Courier New" w:cs="Courier New" w:eastAsia="Courier New" w:hAnsi="Courier New"/>
          <w:sz w:val="14"/>
          <w:szCs w:val="14"/>
          <w:color w:val="auto"/>
        </w:rPr>
        <w:t>SECTION 6.9.</w:t>
        <w:tab/>
        <w:t>Employee Benefits</w:t>
        <w:tab/>
        <w:t>. . . . . . . . . . . .</w:t>
      </w:r>
      <w:r>
        <w:rPr>
          <w:sz w:val="20"/>
          <w:szCs w:val="20"/>
          <w:color w:val="auto"/>
        </w:rPr>
        <w:tab/>
      </w:r>
      <w:r>
        <w:rPr>
          <w:rFonts w:ascii="Courier New" w:cs="Courier New" w:eastAsia="Courier New" w:hAnsi="Courier New"/>
          <w:sz w:val="13"/>
          <w:szCs w:val="13"/>
          <w:color w:val="auto"/>
        </w:rPr>
        <w:t>48</w:t>
      </w:r>
    </w:p>
    <w:p>
      <w:pPr>
        <w:spacing w:after="0" w:line="2" w:lineRule="exact"/>
        <w:rPr>
          <w:sz w:val="20"/>
          <w:szCs w:val="20"/>
          <w:color w:val="auto"/>
        </w:rPr>
      </w:pPr>
    </w:p>
    <w:p>
      <w:pPr>
        <w:ind w:left="40"/>
        <w:spacing w:after="0"/>
        <w:tabs>
          <w:tab w:leader="none" w:pos="4620" w:val="left"/>
          <w:tab w:leader="none" w:pos="4880" w:val="left"/>
        </w:tabs>
        <w:rPr>
          <w:sz w:val="20"/>
          <w:szCs w:val="20"/>
          <w:color w:val="auto"/>
        </w:rPr>
      </w:pPr>
      <w:r>
        <w:rPr>
          <w:rFonts w:ascii="Courier New" w:cs="Courier New" w:eastAsia="Courier New" w:hAnsi="Courier New"/>
          <w:sz w:val="14"/>
          <w:szCs w:val="14"/>
          <w:color w:val="auto"/>
        </w:rPr>
        <w:t>SECTION 6.10. Further Action; Reasonable Best Efforts</w:t>
        <w:tab/>
        <w:t>.</w:t>
      </w:r>
      <w:r>
        <w:rPr>
          <w:sz w:val="20"/>
          <w:szCs w:val="20"/>
          <w:color w:val="auto"/>
        </w:rPr>
        <w:tab/>
      </w:r>
      <w:r>
        <w:rPr>
          <w:rFonts w:ascii="Courier New" w:cs="Courier New" w:eastAsia="Courier New" w:hAnsi="Courier New"/>
          <w:sz w:val="13"/>
          <w:szCs w:val="13"/>
          <w:color w:val="auto"/>
        </w:rPr>
        <w:t>49</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6.11. Debt Instruments . . . . . . . . . . . . .</w:t>
      </w:r>
      <w:r>
        <w:rPr>
          <w:sz w:val="20"/>
          <w:szCs w:val="20"/>
          <w:color w:val="auto"/>
        </w:rPr>
        <w:tab/>
      </w:r>
      <w:r>
        <w:rPr>
          <w:rFonts w:ascii="Courier New" w:cs="Courier New" w:eastAsia="Courier New" w:hAnsi="Courier New"/>
          <w:sz w:val="13"/>
          <w:szCs w:val="13"/>
          <w:color w:val="auto"/>
        </w:rPr>
        <w:t>50</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6.12. Public Announcements . . . . . . . . . . .</w:t>
      </w:r>
      <w:r>
        <w:rPr>
          <w:sz w:val="20"/>
          <w:szCs w:val="20"/>
          <w:color w:val="auto"/>
        </w:rPr>
        <w:tab/>
      </w:r>
      <w:r>
        <w:rPr>
          <w:rFonts w:ascii="Courier New" w:cs="Courier New" w:eastAsia="Courier New" w:hAnsi="Courier New"/>
          <w:sz w:val="13"/>
          <w:szCs w:val="13"/>
          <w:color w:val="auto"/>
        </w:rPr>
        <w:t>50</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6.13. Listing of Viacom Securities . . . . . . .</w:t>
      </w:r>
      <w:r>
        <w:rPr>
          <w:sz w:val="20"/>
          <w:szCs w:val="20"/>
          <w:color w:val="auto"/>
        </w:rPr>
        <w:tab/>
      </w:r>
      <w:r>
        <w:rPr>
          <w:rFonts w:ascii="Courier New" w:cs="Courier New" w:eastAsia="Courier New" w:hAnsi="Courier New"/>
          <w:sz w:val="13"/>
          <w:szCs w:val="13"/>
          <w:color w:val="auto"/>
        </w:rPr>
        <w:t>50</w:t>
      </w:r>
    </w:p>
    <w:p>
      <w:pPr>
        <w:spacing w:after="0" w:line="2" w:lineRule="exact"/>
        <w:rPr>
          <w:sz w:val="20"/>
          <w:szCs w:val="20"/>
          <w:color w:val="auto"/>
        </w:rPr>
      </w:pPr>
    </w:p>
    <w:p>
      <w:pPr>
        <w:ind w:left="40"/>
        <w:spacing w:after="0"/>
        <w:tabs>
          <w:tab w:leader="none" w:pos="3280" w:val="left"/>
          <w:tab w:leader="none" w:pos="4880" w:val="left"/>
        </w:tabs>
        <w:rPr>
          <w:sz w:val="20"/>
          <w:szCs w:val="20"/>
          <w:color w:val="auto"/>
        </w:rPr>
      </w:pPr>
      <w:r>
        <w:rPr>
          <w:rFonts w:ascii="Courier New" w:cs="Courier New" w:eastAsia="Courier New" w:hAnsi="Courier New"/>
          <w:sz w:val="14"/>
          <w:szCs w:val="14"/>
          <w:color w:val="auto"/>
        </w:rPr>
        <w:t>SECTION 6.14. Affiliates of Paramount</w:t>
        <w:tab/>
        <w:t>. . . . . . . . .</w:t>
      </w:r>
      <w:r>
        <w:rPr>
          <w:sz w:val="20"/>
          <w:szCs w:val="20"/>
          <w:color w:val="auto"/>
        </w:rPr>
        <w:tab/>
      </w:r>
      <w:r>
        <w:rPr>
          <w:rFonts w:ascii="Courier New" w:cs="Courier New" w:eastAsia="Courier New" w:hAnsi="Courier New"/>
          <w:sz w:val="13"/>
          <w:szCs w:val="13"/>
          <w:color w:val="auto"/>
        </w:rPr>
        <w:t>50</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6.15. Conveyance Taxes . . . . . . . . . . . . .</w:t>
      </w:r>
      <w:r>
        <w:rPr>
          <w:sz w:val="20"/>
          <w:szCs w:val="20"/>
          <w:color w:val="auto"/>
        </w:rPr>
        <w:tab/>
      </w:r>
      <w:r>
        <w:rPr>
          <w:rFonts w:ascii="Courier New" w:cs="Courier New" w:eastAsia="Courier New" w:hAnsi="Courier New"/>
          <w:sz w:val="13"/>
          <w:szCs w:val="13"/>
          <w:color w:val="auto"/>
        </w:rPr>
        <w:t>51</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6.16. Rights Agreement . . . . . . . . . . . . .</w:t>
      </w:r>
      <w:r>
        <w:rPr>
          <w:sz w:val="20"/>
          <w:szCs w:val="20"/>
          <w:color w:val="auto"/>
        </w:rPr>
        <w:tab/>
      </w:r>
      <w:r>
        <w:rPr>
          <w:rFonts w:ascii="Courier New" w:cs="Courier New" w:eastAsia="Courier New" w:hAnsi="Courier New"/>
          <w:sz w:val="13"/>
          <w:szCs w:val="13"/>
          <w:color w:val="auto"/>
        </w:rPr>
        <w:t>51</w:t>
      </w:r>
    </w:p>
    <w:p>
      <w:pPr>
        <w:spacing w:after="0" w:line="2" w:lineRule="exact"/>
        <w:rPr>
          <w:sz w:val="20"/>
          <w:szCs w:val="20"/>
          <w:color w:val="auto"/>
        </w:rPr>
      </w:pPr>
    </w:p>
    <w:p>
      <w:pPr>
        <w:ind w:left="40"/>
        <w:spacing w:after="0"/>
        <w:tabs>
          <w:tab w:leader="none" w:pos="3780" w:val="left"/>
          <w:tab w:leader="none" w:pos="4880" w:val="left"/>
        </w:tabs>
        <w:rPr>
          <w:sz w:val="20"/>
          <w:szCs w:val="20"/>
          <w:color w:val="auto"/>
        </w:rPr>
      </w:pPr>
      <w:r>
        <w:rPr>
          <w:rFonts w:ascii="Courier New" w:cs="Courier New" w:eastAsia="Courier New" w:hAnsi="Courier New"/>
          <w:sz w:val="14"/>
          <w:szCs w:val="14"/>
          <w:color w:val="auto"/>
        </w:rPr>
        <w:t>SECTION 6.17. Assumption of Debt and Leases</w:t>
        <w:tab/>
        <w:t>. . . . . .</w:t>
      </w:r>
      <w:r>
        <w:rPr>
          <w:sz w:val="20"/>
          <w:szCs w:val="20"/>
          <w:color w:val="auto"/>
        </w:rPr>
        <w:tab/>
      </w:r>
      <w:r>
        <w:rPr>
          <w:rFonts w:ascii="Courier New" w:cs="Courier New" w:eastAsia="Courier New" w:hAnsi="Courier New"/>
          <w:sz w:val="13"/>
          <w:szCs w:val="13"/>
          <w:color w:val="auto"/>
        </w:rPr>
        <w:t>51</w:t>
      </w:r>
    </w:p>
    <w:p>
      <w:pPr>
        <w:spacing w:after="0" w:line="2" w:lineRule="exact"/>
        <w:rPr>
          <w:sz w:val="20"/>
          <w:szCs w:val="20"/>
          <w:color w:val="auto"/>
        </w:rPr>
      </w:pPr>
    </w:p>
    <w:p>
      <w:pPr>
        <w:ind w:left="40"/>
        <w:spacing w:after="0"/>
        <w:tabs>
          <w:tab w:leader="none" w:pos="2120" w:val="left"/>
          <w:tab w:leader="none" w:pos="4880" w:val="left"/>
        </w:tabs>
        <w:rPr>
          <w:sz w:val="20"/>
          <w:szCs w:val="20"/>
          <w:color w:val="auto"/>
        </w:rPr>
      </w:pPr>
      <w:r>
        <w:rPr>
          <w:rFonts w:ascii="Courier New" w:cs="Courier New" w:eastAsia="Courier New" w:hAnsi="Courier New"/>
          <w:sz w:val="14"/>
          <w:szCs w:val="14"/>
          <w:color w:val="auto"/>
        </w:rPr>
        <w:t>SECTION 6.18. Gains Tax</w:t>
        <w:tab/>
        <w:t>. . . . . . . . . . . . . . . .</w:t>
      </w:r>
      <w:r>
        <w:rPr>
          <w:sz w:val="20"/>
          <w:szCs w:val="20"/>
          <w:color w:val="auto"/>
        </w:rPr>
        <w:tab/>
      </w:r>
      <w:r>
        <w:rPr>
          <w:rFonts w:ascii="Courier New" w:cs="Courier New" w:eastAsia="Courier New" w:hAnsi="Courier New"/>
          <w:sz w:val="13"/>
          <w:szCs w:val="13"/>
          <w:color w:val="auto"/>
        </w:rPr>
        <w:t>51</w:t>
      </w:r>
    </w:p>
    <w:p>
      <w:pPr>
        <w:spacing w:after="0" w:line="2" w:lineRule="exact"/>
        <w:rPr>
          <w:sz w:val="20"/>
          <w:szCs w:val="20"/>
          <w:color w:val="auto"/>
        </w:rPr>
      </w:pPr>
    </w:p>
    <w:p>
      <w:pPr>
        <w:ind w:left="40"/>
        <w:spacing w:after="0"/>
        <w:tabs>
          <w:tab w:leader="none" w:pos="4880" w:val="left"/>
        </w:tabs>
        <w:rPr>
          <w:sz w:val="20"/>
          <w:szCs w:val="20"/>
          <w:color w:val="auto"/>
        </w:rPr>
      </w:pPr>
      <w:r>
        <w:rPr>
          <w:rFonts w:ascii="Courier New" w:cs="Courier New" w:eastAsia="Courier New" w:hAnsi="Courier New"/>
          <w:sz w:val="14"/>
          <w:szCs w:val="14"/>
          <w:color w:val="auto"/>
        </w:rPr>
        <w:t>SECTION 6.19. Reverse Merger . . . . . . . . . . . . . .</w:t>
      </w:r>
      <w:r>
        <w:rPr>
          <w:sz w:val="20"/>
          <w:szCs w:val="20"/>
          <w:color w:val="auto"/>
        </w:rPr>
        <w:tab/>
      </w:r>
      <w:r>
        <w:rPr>
          <w:rFonts w:ascii="Courier New" w:cs="Courier New" w:eastAsia="Courier New" w:hAnsi="Courier New"/>
          <w:sz w:val="13"/>
          <w:szCs w:val="13"/>
          <w:color w:val="auto"/>
        </w:rPr>
        <w:t>52</w:t>
      </w:r>
    </w:p>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9019"/>
          </w:cols>
          <w:pgMar w:left="1440" w:top="761" w:right="1440" w:bottom="1440" w:gutter="0" w:footer="0" w:header="0"/>
        </w:sectPr>
      </w:pPr>
    </w:p>
    <w:bookmarkStart w:id="198" w:name="page199"/>
    <w:bookmarkEnd w:id="198"/>
    <w:p>
      <w:pPr>
        <w:jc w:val="right"/>
        <w:ind w:right="395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0"/>
          <w:szCs w:val="20"/>
          <w:color w:val="auto"/>
        </w:rPr>
      </w:pPr>
    </w:p>
    <w:p>
      <w:pPr>
        <w:jc w:val="both"/>
        <w:ind w:left="420" w:right="3959"/>
        <w:spacing w:after="0" w:line="239" w:lineRule="auto"/>
        <w:rPr>
          <w:sz w:val="20"/>
          <w:szCs w:val="20"/>
          <w:color w:val="auto"/>
        </w:rPr>
      </w:pPr>
      <w:r>
        <w:rPr>
          <w:rFonts w:ascii="Courier New" w:cs="Courier New" w:eastAsia="Courier New" w:hAnsi="Courier New"/>
          <w:sz w:val="14"/>
          <w:szCs w:val="14"/>
          <w:color w:val="auto"/>
        </w:rPr>
        <w:t>SECTION 6.20. Post-Offer Agreements . . . . . . . . . . 52 SECTION 6.21. Transactions With Significant Stockholder</w:t>
      </w:r>
    </w:p>
    <w:p>
      <w:pPr>
        <w:spacing w:after="0" w:line="6" w:lineRule="exact"/>
        <w:rPr>
          <w:sz w:val="20"/>
          <w:szCs w:val="20"/>
          <w:color w:val="auto"/>
        </w:rPr>
      </w:pPr>
    </w:p>
    <w:p>
      <w:pPr>
        <w:jc w:val="both"/>
        <w:ind w:left="420" w:right="3959" w:firstLine="1255"/>
        <w:spacing w:after="0" w:line="239" w:lineRule="auto"/>
        <w:rPr>
          <w:sz w:val="20"/>
          <w:szCs w:val="20"/>
          <w:color w:val="auto"/>
        </w:rPr>
      </w:pPr>
      <w:r>
        <w:rPr>
          <w:rFonts w:ascii="Courier New" w:cs="Courier New" w:eastAsia="Courier New" w:hAnsi="Courier New"/>
          <w:sz w:val="14"/>
          <w:szCs w:val="14"/>
          <w:color w:val="auto"/>
        </w:rPr>
        <w:t>After the Effective Time . . . . . . . . 52 SECTION 6.22. Blockbuster Merger Agreement and</w:t>
      </w:r>
    </w:p>
    <w:p>
      <w:pPr>
        <w:spacing w:after="0" w:line="3" w:lineRule="exact"/>
        <w:rPr>
          <w:sz w:val="20"/>
          <w:szCs w:val="20"/>
          <w:color w:val="auto"/>
        </w:rPr>
      </w:pPr>
    </w:p>
    <w:p>
      <w:pPr>
        <w:jc w:val="right"/>
        <w:ind w:right="3959"/>
        <w:spacing w:after="0"/>
        <w:tabs>
          <w:tab w:leader="none" w:pos="1740" w:val="left"/>
          <w:tab w:leader="none" w:pos="140" w:val="left"/>
        </w:tabs>
        <w:rPr>
          <w:sz w:val="20"/>
          <w:szCs w:val="20"/>
          <w:color w:val="auto"/>
        </w:rPr>
      </w:pPr>
      <w:r>
        <w:rPr>
          <w:rFonts w:ascii="Courier New" w:cs="Courier New" w:eastAsia="Courier New" w:hAnsi="Courier New"/>
          <w:sz w:val="14"/>
          <w:szCs w:val="14"/>
          <w:color w:val="auto"/>
        </w:rPr>
        <w:t>Subscription Agreement</w:t>
        <w:tab/>
        <w:t>. . . . . . . . .</w:t>
      </w:r>
      <w:r>
        <w:rPr>
          <w:sz w:val="20"/>
          <w:szCs w:val="20"/>
          <w:color w:val="auto"/>
        </w:rPr>
        <w:tab/>
      </w:r>
      <w:r>
        <w:rPr>
          <w:rFonts w:ascii="Courier New" w:cs="Courier New" w:eastAsia="Courier New" w:hAnsi="Courier New"/>
          <w:sz w:val="13"/>
          <w:szCs w:val="13"/>
          <w:color w:val="auto"/>
        </w:rPr>
        <w:t>53</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ARTICLE VII</w:t>
      </w:r>
    </w:p>
    <w:p>
      <w:pPr>
        <w:spacing w:after="0" w:line="166" w:lineRule="exact"/>
        <w:rPr>
          <w:sz w:val="20"/>
          <w:szCs w:val="20"/>
          <w:color w:val="auto"/>
        </w:rPr>
      </w:pPr>
    </w:p>
    <w:p>
      <w:pPr>
        <w:ind w:left="420" w:right="3959" w:firstLine="1590"/>
        <w:spacing w:after="0" w:line="239" w:lineRule="auto"/>
        <w:rPr>
          <w:sz w:val="20"/>
          <w:szCs w:val="20"/>
          <w:color w:val="auto"/>
        </w:rPr>
      </w:pPr>
      <w:r>
        <w:rPr>
          <w:rFonts w:ascii="Courier New" w:cs="Courier New" w:eastAsia="Courier New" w:hAnsi="Courier New"/>
          <w:sz w:val="14"/>
          <w:szCs w:val="14"/>
          <w:color w:val="auto"/>
        </w:rPr>
        <w:t>CLOSING CONDITIONS . . . . . . . . . 53 SECTION 7.1. Conditions to Obligations of Each Party</w:t>
      </w:r>
    </w:p>
    <w:p>
      <w:pPr>
        <w:spacing w:after="0" w:line="6" w:lineRule="exact"/>
        <w:rPr>
          <w:sz w:val="20"/>
          <w:szCs w:val="20"/>
          <w:color w:val="auto"/>
        </w:rPr>
      </w:pPr>
    </w:p>
    <w:p>
      <w:pPr>
        <w:jc w:val="both"/>
        <w:ind w:left="420" w:right="3959" w:firstLine="1255"/>
        <w:spacing w:after="0" w:line="239" w:lineRule="auto"/>
        <w:rPr>
          <w:sz w:val="20"/>
          <w:szCs w:val="20"/>
          <w:color w:val="auto"/>
        </w:rPr>
      </w:pPr>
      <w:r>
        <w:rPr>
          <w:rFonts w:ascii="Courier New" w:cs="Courier New" w:eastAsia="Courier New" w:hAnsi="Courier New"/>
          <w:sz w:val="14"/>
          <w:szCs w:val="14"/>
          <w:color w:val="auto"/>
        </w:rPr>
        <w:t>to Effect the Merger . . . . . . . . . . 53 SECTION 7.2. Additional Conditions to Obligations of</w:t>
      </w:r>
    </w:p>
    <w:p>
      <w:pPr>
        <w:spacing w:after="0" w:line="6" w:lineRule="exact"/>
        <w:rPr>
          <w:sz w:val="20"/>
          <w:szCs w:val="20"/>
          <w:color w:val="auto"/>
        </w:rPr>
      </w:pPr>
    </w:p>
    <w:p>
      <w:pPr>
        <w:jc w:val="both"/>
        <w:ind w:left="420" w:right="3959" w:firstLine="1255"/>
        <w:spacing w:after="0" w:line="239" w:lineRule="auto"/>
        <w:rPr>
          <w:sz w:val="20"/>
          <w:szCs w:val="20"/>
          <w:color w:val="auto"/>
        </w:rPr>
      </w:pPr>
      <w:r>
        <w:rPr>
          <w:rFonts w:ascii="Courier New" w:cs="Courier New" w:eastAsia="Courier New" w:hAnsi="Courier New"/>
          <w:sz w:val="14"/>
          <w:szCs w:val="14"/>
          <w:color w:val="auto"/>
        </w:rPr>
        <w:t>Viacom . . . . . . . . . . . . . . . . . 54 SECTION 7.3. Additional Conditions to Obligations of</w:t>
      </w:r>
    </w:p>
    <w:p>
      <w:pPr>
        <w:spacing w:after="0" w:line="3" w:lineRule="exact"/>
        <w:rPr>
          <w:sz w:val="20"/>
          <w:szCs w:val="20"/>
          <w:color w:val="auto"/>
        </w:rPr>
      </w:pPr>
    </w:p>
    <w:p>
      <w:pPr>
        <w:jc w:val="right"/>
        <w:ind w:right="3959"/>
        <w:spacing w:after="0"/>
        <w:tabs>
          <w:tab w:leader="none" w:pos="140" w:val="left"/>
        </w:tabs>
        <w:rPr>
          <w:sz w:val="20"/>
          <w:szCs w:val="20"/>
          <w:color w:val="auto"/>
        </w:rPr>
      </w:pPr>
      <w:r>
        <w:rPr>
          <w:rFonts w:ascii="Courier New" w:cs="Courier New" w:eastAsia="Courier New" w:hAnsi="Courier New"/>
          <w:sz w:val="14"/>
          <w:szCs w:val="14"/>
          <w:color w:val="auto"/>
        </w:rPr>
        <w:t>Paramount . . . . . . . . . . . . . . . .</w:t>
      </w:r>
      <w:r>
        <w:rPr>
          <w:sz w:val="20"/>
          <w:szCs w:val="20"/>
          <w:color w:val="auto"/>
        </w:rPr>
        <w:tab/>
      </w:r>
      <w:r>
        <w:rPr>
          <w:rFonts w:ascii="Courier New" w:cs="Courier New" w:eastAsia="Courier New" w:hAnsi="Courier New"/>
          <w:sz w:val="13"/>
          <w:szCs w:val="13"/>
          <w:color w:val="auto"/>
        </w:rPr>
        <w:t>55</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ARTICLE VIII</w:t>
      </w:r>
    </w:p>
    <w:p>
      <w:pPr>
        <w:spacing w:after="0" w:line="166" w:lineRule="exact"/>
        <w:rPr>
          <w:sz w:val="20"/>
          <w:szCs w:val="20"/>
          <w:color w:val="auto"/>
        </w:rPr>
      </w:pPr>
    </w:p>
    <w:p>
      <w:pPr>
        <w:jc w:val="both"/>
        <w:ind w:left="420" w:right="3959" w:firstLine="920"/>
        <w:spacing w:after="0" w:line="242" w:lineRule="auto"/>
        <w:rPr>
          <w:sz w:val="20"/>
          <w:szCs w:val="20"/>
          <w:color w:val="auto"/>
        </w:rPr>
      </w:pPr>
      <w:r>
        <w:rPr>
          <w:rFonts w:ascii="Courier New" w:cs="Courier New" w:eastAsia="Courier New" w:hAnsi="Courier New"/>
          <w:sz w:val="14"/>
          <w:szCs w:val="14"/>
          <w:color w:val="auto"/>
        </w:rPr>
        <w:t>TERMINATION, AMENDMENT AND WAIVER . . . . . . 56 SECTION 8.1. Termination . . . . . . . . . . . . . . . 56 SECTION 8.2. Effect of Termination . . . . . . . . . . 58 SECTION 8.3. Amendment . . . . . . . . . . . . . . . . 58 SECTION 8.4. Waiver . . . . . . . . . . . . . . . . . . 59 SECTION 8.5. Fees, Expenses and Other Payments . . . . 59</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IX</w:t>
      </w:r>
    </w:p>
    <w:p>
      <w:pPr>
        <w:spacing w:after="0" w:line="163" w:lineRule="exact"/>
        <w:rPr>
          <w:sz w:val="20"/>
          <w:szCs w:val="20"/>
          <w:color w:val="auto"/>
        </w:rPr>
      </w:pPr>
    </w:p>
    <w:p>
      <w:pPr>
        <w:ind w:left="2020"/>
        <w:spacing w:after="0"/>
        <w:tabs>
          <w:tab w:leader="none" w:pos="3660" w:val="left"/>
          <w:tab w:leader="none" w:pos="5260" w:val="left"/>
        </w:tabs>
        <w:rPr>
          <w:sz w:val="20"/>
          <w:szCs w:val="20"/>
          <w:color w:val="auto"/>
        </w:rPr>
      </w:pPr>
      <w:r>
        <w:rPr>
          <w:rFonts w:ascii="Courier New" w:cs="Courier New" w:eastAsia="Courier New" w:hAnsi="Courier New"/>
          <w:sz w:val="14"/>
          <w:szCs w:val="14"/>
          <w:color w:val="auto"/>
        </w:rPr>
        <w:t>GENERAL PROVISIONS</w:t>
        <w:tab/>
        <w:t>. . . . . . . . .</w:t>
      </w:r>
      <w:r>
        <w:rPr>
          <w:sz w:val="20"/>
          <w:szCs w:val="20"/>
          <w:color w:val="auto"/>
        </w:rPr>
        <w:tab/>
      </w:r>
      <w:r>
        <w:rPr>
          <w:rFonts w:ascii="Courier New" w:cs="Courier New" w:eastAsia="Courier New" w:hAnsi="Courier New"/>
          <w:sz w:val="13"/>
          <w:szCs w:val="13"/>
          <w:color w:val="auto"/>
        </w:rPr>
        <w:t>59</w:t>
      </w:r>
    </w:p>
    <w:p>
      <w:pPr>
        <w:spacing w:after="0" w:line="2" w:lineRule="exact"/>
        <w:rPr>
          <w:sz w:val="20"/>
          <w:szCs w:val="20"/>
          <w:color w:val="auto"/>
        </w:rPr>
      </w:pPr>
    </w:p>
    <w:p>
      <w:pPr>
        <w:ind w:left="420"/>
        <w:spacing w:after="0"/>
        <w:tabs>
          <w:tab w:leader="none" w:pos="1580" w:val="left"/>
        </w:tabs>
        <w:rPr>
          <w:sz w:val="20"/>
          <w:szCs w:val="20"/>
          <w:color w:val="auto"/>
        </w:rPr>
      </w:pPr>
      <w:r>
        <w:rPr>
          <w:rFonts w:ascii="Courier New" w:cs="Courier New" w:eastAsia="Courier New" w:hAnsi="Courier New"/>
          <w:sz w:val="14"/>
          <w:szCs w:val="14"/>
          <w:color w:val="auto"/>
        </w:rPr>
        <w:t>SECTION 9.1.</w:t>
      </w:r>
      <w:r>
        <w:rPr>
          <w:sz w:val="20"/>
          <w:szCs w:val="20"/>
          <w:color w:val="auto"/>
        </w:rPr>
        <w:tab/>
      </w:r>
      <w:r>
        <w:rPr>
          <w:rFonts w:ascii="Courier New" w:cs="Courier New" w:eastAsia="Courier New" w:hAnsi="Courier New"/>
          <w:sz w:val="13"/>
          <w:szCs w:val="13"/>
          <w:color w:val="auto"/>
        </w:rPr>
        <w:t>Effectiveness of Representations,</w:t>
      </w:r>
    </w:p>
    <w:p>
      <w:pPr>
        <w:spacing w:after="0" w:line="5" w:lineRule="exact"/>
        <w:rPr>
          <w:sz w:val="20"/>
          <w:szCs w:val="20"/>
          <w:color w:val="auto"/>
        </w:rPr>
      </w:pPr>
    </w:p>
    <w:p>
      <w:pPr>
        <w:jc w:val="both"/>
        <w:ind w:left="420" w:right="3959" w:firstLine="1255"/>
        <w:spacing w:after="0" w:line="243" w:lineRule="auto"/>
        <w:rPr>
          <w:sz w:val="20"/>
          <w:szCs w:val="20"/>
          <w:color w:val="auto"/>
        </w:rPr>
      </w:pPr>
      <w:r>
        <w:rPr>
          <w:rFonts w:ascii="Courier New" w:cs="Courier New" w:eastAsia="Courier New" w:hAnsi="Courier New"/>
          <w:sz w:val="14"/>
          <w:szCs w:val="14"/>
          <w:color w:val="auto"/>
        </w:rPr>
        <w:t>Warranties and Agreements . . . . . . . . 59 SECTION 9.2. Notices . . . . . . . . . . . . . . . . . 60 SECTION 9.3. Certain Definitions . . . . . . . . . . . 61 SECTION 9.4. Time Period . . . . . . . . . . . . . . . 62 SECTION 9.5. Headings . . . . . . . . . . . . . . . . . 62 SECTION 9.6. Severability . . . . . . . . . . . . . . . 62 SECTION 9.7. Entire Agreement . . . . . . . . . . . . . 62 SECTION 9.8. Assignment . . . . . . . . . . . . . . . . 62 SECTION 9.9. Parties in Interest . . . . . . . . . . . 63 SECTION 9.10. Specific Performance . . . . . . . . . . . 63 SECTION 9.11. Governing Law . . . . . . . . . . . . . . 63 SECTION 9.12. Counterparts . . . . . . . . . . . . . . . 63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ANNEX A</w:t>
            </w:r>
          </w:p>
        </w:tc>
        <w:tc>
          <w:tcPr>
            <w:tcW w:w="3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Conditions to the Offer</w:t>
            </w:r>
          </w:p>
        </w:tc>
      </w:tr>
      <w:tr>
        <w:trPr>
          <w:trHeight w:val="16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ANNEX B</w:t>
            </w:r>
          </w:p>
        </w:tc>
        <w:tc>
          <w:tcPr>
            <w:tcW w:w="394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Principal Terms of Viacom Merger Debentures</w:t>
            </w:r>
          </w:p>
        </w:tc>
      </w:tr>
      <w:tr>
        <w:trPr>
          <w:trHeight w:val="16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ANNEX C</w:t>
            </w:r>
          </w:p>
        </w:tc>
        <w:tc>
          <w:tcPr>
            <w:tcW w:w="3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Principal Terms of Contingent Value Rights</w:t>
            </w:r>
          </w:p>
        </w:tc>
      </w:tr>
      <w:tr>
        <w:trPr>
          <w:trHeight w:val="161"/>
        </w:trPr>
        <w:tc>
          <w:tcPr>
            <w:tcW w:w="460" w:type="dxa"/>
            <w:vAlign w:val="bottom"/>
          </w:tcPr>
          <w:p>
            <w:pPr>
              <w:spacing w:after="0"/>
              <w:rPr>
                <w:sz w:val="20"/>
                <w:szCs w:val="20"/>
                <w:color w:val="auto"/>
              </w:rPr>
            </w:pPr>
            <w:r>
              <w:rPr>
                <w:rFonts w:ascii="Courier New" w:cs="Courier New" w:eastAsia="Courier New" w:hAnsi="Courier New"/>
                <w:sz w:val="14"/>
                <w:szCs w:val="14"/>
                <w:color w:val="auto"/>
              </w:rPr>
              <w:t>ANNEX</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Principal Terms of</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Three Year Warrants</w:t>
            </w:r>
          </w:p>
        </w:tc>
      </w:tr>
      <w:tr>
        <w:trPr>
          <w:trHeight w:val="161"/>
        </w:trPr>
        <w:tc>
          <w:tcPr>
            <w:tcW w:w="460" w:type="dxa"/>
            <w:vAlign w:val="bottom"/>
          </w:tcPr>
          <w:p>
            <w:pPr>
              <w:spacing w:after="0"/>
              <w:rPr>
                <w:sz w:val="20"/>
                <w:szCs w:val="20"/>
                <w:color w:val="auto"/>
              </w:rPr>
            </w:pPr>
            <w:r>
              <w:rPr>
                <w:rFonts w:ascii="Courier New" w:cs="Courier New" w:eastAsia="Courier New" w:hAnsi="Courier New"/>
                <w:sz w:val="14"/>
                <w:szCs w:val="14"/>
                <w:color w:val="auto"/>
              </w:rPr>
              <w:t>ANNEX</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Principal Terms of</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Five Year Warrants</w:t>
            </w:r>
          </w:p>
        </w:tc>
      </w:tr>
    </w:tbl>
    <w:p>
      <w:pPr>
        <w:spacing w:after="0" w:line="16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4"/>
          <w:szCs w:val="14"/>
          <w:color w:val="auto"/>
        </w:rPr>
        <w:t>EXHIBIT 6.14</w:t>
      </w:r>
      <w:r>
        <w:rPr>
          <w:sz w:val="20"/>
          <w:szCs w:val="20"/>
          <w:color w:val="auto"/>
        </w:rPr>
        <w:tab/>
      </w:r>
      <w:r>
        <w:rPr>
          <w:rFonts w:ascii="Courier New" w:cs="Courier New" w:eastAsia="Courier New" w:hAnsi="Courier New"/>
          <w:sz w:val="13"/>
          <w:szCs w:val="13"/>
          <w:color w:val="auto"/>
        </w:rPr>
        <w:t>Form of Affiliate Letter</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399"/>
          </w:cols>
          <w:pgMar w:left="1060" w:top="761" w:right="1440" w:bottom="1440" w:gutter="0" w:footer="0" w:header="0"/>
        </w:sectPr>
      </w:pPr>
    </w:p>
    <w:bookmarkStart w:id="199" w:name="page200"/>
    <w:bookmarkEnd w:id="199"/>
    <w:p>
      <w:pPr>
        <w:ind w:right="4959" w:firstLine="837"/>
        <w:spacing w:after="0" w:line="262" w:lineRule="auto"/>
        <w:rPr>
          <w:sz w:val="20"/>
          <w:szCs w:val="20"/>
          <w:color w:val="auto"/>
        </w:rPr>
      </w:pPr>
      <w:r>
        <w:rPr>
          <w:rFonts w:ascii="Courier New" w:cs="Courier New" w:eastAsia="Courier New" w:hAnsi="Courier New"/>
          <w:sz w:val="13"/>
          <w:szCs w:val="13"/>
          <w:color w:val="auto"/>
        </w:rPr>
        <w:t>AMENDED AND RESTATED AGREEMENT AND PLAN OF MERGER, dated as of February 4, 1994 (this "Agreement"), between VIACOM</w:t>
      </w:r>
    </w:p>
    <w:p>
      <w:pPr>
        <w:ind w:left="302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a Delaware corporation ("Viacom"), and PARAMOUNT</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INC., a Delaware corporation ("Paramount"),</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amending and restating the Agreement and Plan of Merger, dated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January 21, 1994, between Viacom and Paramount, as amended (the "January</w:t>
      </w:r>
    </w:p>
    <w:p>
      <w:pPr>
        <w:spacing w:after="0" w:line="14"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2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 I T N E S S E T H :</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 - - - - - - - - -</w:t>
      </w:r>
    </w:p>
    <w:p>
      <w:pPr>
        <w:spacing w:after="0" w:line="327" w:lineRule="exact"/>
        <w:rPr>
          <w:sz w:val="20"/>
          <w:szCs w:val="20"/>
          <w:color w:val="auto"/>
        </w:rPr>
      </w:pPr>
    </w:p>
    <w:p>
      <w:pPr>
        <w:ind w:right="4879" w:firstLine="837"/>
        <w:spacing w:after="0" w:line="242" w:lineRule="auto"/>
        <w:rPr>
          <w:sz w:val="20"/>
          <w:szCs w:val="20"/>
          <w:color w:val="auto"/>
        </w:rPr>
      </w:pPr>
      <w:r>
        <w:rPr>
          <w:rFonts w:ascii="Courier New" w:cs="Courier New" w:eastAsia="Courier New" w:hAnsi="Courier New"/>
          <w:sz w:val="14"/>
          <w:szCs w:val="14"/>
          <w:color w:val="auto"/>
        </w:rPr>
        <w:t>WHEREAS, on January 21, 1994, Viacom and Paramount entered into the January Merger Agreement, pursuant to which Viacom and Paramount agreed to enter into a business combination transaction;</w:t>
      </w:r>
    </w:p>
    <w:p>
      <w:pPr>
        <w:spacing w:after="0" w:line="165" w:lineRule="exact"/>
        <w:rPr>
          <w:sz w:val="20"/>
          <w:szCs w:val="20"/>
          <w:color w:val="auto"/>
        </w:rPr>
      </w:pPr>
    </w:p>
    <w:p>
      <w:pPr>
        <w:ind w:right="4799" w:firstLine="837"/>
        <w:spacing w:after="0" w:line="262" w:lineRule="auto"/>
        <w:rPr>
          <w:sz w:val="20"/>
          <w:szCs w:val="20"/>
          <w:color w:val="auto"/>
        </w:rPr>
      </w:pPr>
      <w:r>
        <w:rPr>
          <w:rFonts w:ascii="Courier New" w:cs="Courier New" w:eastAsia="Courier New" w:hAnsi="Courier New"/>
          <w:sz w:val="13"/>
          <w:szCs w:val="13"/>
          <w:color w:val="auto"/>
        </w:rPr>
        <w:t>WHEREAS, Viacom and Paramount have determined that it is in the best interest of their respective shareholders to enter into this Agreement so as to facilitate the business combination of the two companies through a first-step cash tender offer and a second-step merger, while preserving the ability to proceed with a single-step merger in appropriate circumstances, and in accordance with the General Corporation Law of the State of Delaware ("Delaware Law"), Paramount and Viacom have agreed to</w:t>
      </w:r>
    </w:p>
    <w:p>
      <w:pPr>
        <w:ind w:left="92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enter into a business combination transaction pursuant to which Paramount will merge with and into Viacom (the "Forward Merger")</w:t>
      </w:r>
    </w:p>
    <w:p>
      <w:pPr>
        <w:ind w:left="402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alternatively, a subsidiary of Viacom ("Merger Subsidiary")</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merge with and into Paramount (the "Reverse Merger" and,</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the Forward Merger, the "Merger");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ind w:right="4799" w:firstLine="837"/>
        <w:spacing w:after="0" w:line="262" w:lineRule="auto"/>
        <w:rPr>
          <w:sz w:val="20"/>
          <w:szCs w:val="20"/>
          <w:color w:val="auto"/>
        </w:rPr>
      </w:pPr>
      <w:r>
        <w:rPr>
          <w:rFonts w:ascii="Courier New" w:cs="Courier New" w:eastAsia="Courier New" w:hAnsi="Courier New"/>
          <w:sz w:val="13"/>
          <w:szCs w:val="13"/>
          <w:color w:val="auto"/>
        </w:rPr>
        <w:t>WHEREAS, in furtherance of the Merger, Viacom has amended and supplemented its outstanding tender offer (as amended and supplemented in accordance with this Agreement, the "Offer")</w:t>
      </w:r>
    </w:p>
    <w:p>
      <w:pPr>
        <w:ind w:left="47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to acquire 61,657,432 shares of common stock, par value $1.00 per share, of Paramount ("Paramount Common Stock"), or such greater</w:t>
      </w:r>
    </w:p>
    <w:p>
      <w:pPr>
        <w:ind w:left="184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number of shares as equals 50.1% of the shares of Paramount Common Stock outstanding on a fully diluted basis (as defined in Section 9.3 herein), for $107.00 per Paramount share (the consideration per share of Paramount Common Stock to be paid pursuant to the Offer being referred to as the "Per Share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upon the terms and subject to the conditions of this</w:t>
      </w:r>
    </w:p>
    <w:p>
      <w:pPr>
        <w:spacing w:after="0" w:line="2" w:lineRule="exact"/>
        <w:rPr>
          <w:sz w:val="20"/>
          <w:szCs w:val="20"/>
          <w:color w:val="auto"/>
        </w:rPr>
      </w:pPr>
    </w:p>
    <w:p>
      <w:pPr>
        <w:ind w:left="180" w:hanging="174"/>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the Offer;</w:t>
      </w:r>
    </w:p>
    <w:p>
      <w:pPr>
        <w:spacing w:after="0" w:line="166" w:lineRule="exact"/>
        <w:rPr>
          <w:sz w:val="20"/>
          <w:szCs w:val="20"/>
          <w:color w:val="auto"/>
        </w:rPr>
      </w:pPr>
    </w:p>
    <w:p>
      <w:pPr>
        <w:ind w:right="4879" w:firstLine="837"/>
        <w:spacing w:after="0" w:line="264" w:lineRule="auto"/>
        <w:rPr>
          <w:sz w:val="20"/>
          <w:szCs w:val="20"/>
          <w:color w:val="auto"/>
        </w:rPr>
      </w:pPr>
      <w:r>
        <w:rPr>
          <w:rFonts w:ascii="Courier New" w:cs="Courier New" w:eastAsia="Courier New" w:hAnsi="Courier New"/>
          <w:sz w:val="13"/>
          <w:szCs w:val="13"/>
          <w:color w:val="auto"/>
        </w:rPr>
        <w:t>WHEREAS, the Board of Directors of Paramount has determined that the Merger and the Offer are consistent with and in furtherance of the long-term business strategy of Paramount and are fair to, and in the best interests of, Paramount and the holders of Paramount Common Stock and has approved and adopted this Agreement and has approved the Merger and the other transactions contemplated hereby (including, without limitation, the Offer) and recommended approval and adoption of this Agreement and approval of the Merger by the stockholders of</w:t>
      </w:r>
    </w:p>
    <w:p>
      <w:pPr>
        <w:spacing w:after="0" w:line="1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924" w:right="1440" w:bottom="1440" w:gutter="0" w:footer="0" w:header="0"/>
        </w:sectPr>
      </w:pPr>
    </w:p>
    <w:bookmarkStart w:id="200" w:name="page201"/>
    <w:bookmarkEnd w:id="200"/>
    <w:p>
      <w:pPr>
        <w:jc w:val="right"/>
        <w:ind w:right="4799"/>
        <w:spacing w:after="0"/>
        <w:rPr>
          <w:sz w:val="20"/>
          <w:szCs w:val="20"/>
          <w:color w:val="auto"/>
        </w:rPr>
      </w:pPr>
      <w:r>
        <w:rPr>
          <w:rFonts w:ascii="Courier New" w:cs="Courier New" w:eastAsia="Courier New" w:hAnsi="Courier New"/>
          <w:sz w:val="14"/>
          <w:szCs w:val="14"/>
          <w:color w:val="auto"/>
        </w:rPr>
        <w:t>2</w:t>
      </w:r>
    </w:p>
    <w:p>
      <w:pPr>
        <w:spacing w:after="0" w:line="327" w:lineRule="exact"/>
        <w:rPr>
          <w:sz w:val="20"/>
          <w:szCs w:val="20"/>
          <w:color w:val="auto"/>
        </w:rPr>
      </w:pPr>
    </w:p>
    <w:p>
      <w:pPr>
        <w:ind w:right="4959"/>
        <w:spacing w:after="0" w:line="241" w:lineRule="auto"/>
        <w:rPr>
          <w:sz w:val="20"/>
          <w:szCs w:val="20"/>
          <w:color w:val="auto"/>
        </w:rPr>
      </w:pPr>
      <w:r>
        <w:rPr>
          <w:rFonts w:ascii="Courier New" w:cs="Courier New" w:eastAsia="Courier New" w:hAnsi="Courier New"/>
          <w:sz w:val="14"/>
          <w:szCs w:val="14"/>
          <w:color w:val="auto"/>
        </w:rPr>
        <w:t>Paramount and agreed to continue to recommend that stockholders of Paramount tender their shares of Paramount Common Stock pursuant to the Offer;</w:t>
      </w:r>
    </w:p>
    <w:p>
      <w:pPr>
        <w:spacing w:after="0" w:line="166" w:lineRule="exact"/>
        <w:rPr>
          <w:sz w:val="20"/>
          <w:szCs w:val="20"/>
          <w:color w:val="auto"/>
        </w:rPr>
      </w:pPr>
    </w:p>
    <w:p>
      <w:pPr>
        <w:ind w:right="4879" w:firstLine="837"/>
        <w:spacing w:after="0" w:line="243" w:lineRule="auto"/>
        <w:rPr>
          <w:sz w:val="20"/>
          <w:szCs w:val="20"/>
          <w:color w:val="auto"/>
        </w:rPr>
      </w:pPr>
      <w:r>
        <w:rPr>
          <w:rFonts w:ascii="Courier New" w:cs="Courier New" w:eastAsia="Courier New" w:hAnsi="Courier New"/>
          <w:sz w:val="14"/>
          <w:szCs w:val="14"/>
          <w:color w:val="auto"/>
        </w:rPr>
        <w:t>WHEREAS, the Board of Directors of Viacom has determined that the Merger and the Offer are consistent with and in furtherance of the long-term business strategy of Viacom and are fair to, and in the best interests of, Viacom and its stockholders and has approved and adopted this Agreement and has approved the Merger and the other transactions contemplated hereby (including, without limitation, the making of the Offer) and recommended approval and adoption of this Agreement and approval of the Merger by the holders of the Class A Common Stock, par value $.01 per share, of Viacom (the "Viacom Class A</w:t>
      </w:r>
    </w:p>
    <w:p>
      <w:pPr>
        <w:spacing w:after="0" w:line="1"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WHEREAS, for federal income tax purposes, it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intended that the Forward Merger qualify as a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provisions of Section 368(a) of the 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Revenue Code of 1986, as amended (the "Code"); and</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ind w:right="4799" w:firstLine="837"/>
        <w:spacing w:after="0" w:line="262" w:lineRule="auto"/>
        <w:rPr>
          <w:sz w:val="20"/>
          <w:szCs w:val="20"/>
          <w:color w:val="auto"/>
        </w:rPr>
      </w:pPr>
      <w:r>
        <w:rPr>
          <w:rFonts w:ascii="Courier New" w:cs="Courier New" w:eastAsia="Courier New" w:hAnsi="Courier New"/>
          <w:sz w:val="13"/>
          <w:szCs w:val="13"/>
          <w:color w:val="auto"/>
        </w:rPr>
        <w:t>WHEREAS, concurrently with the execution of the January Merger Agreement and as an inducement to Paramount to enter into the January Merger Agreement, National Amusements, Inc., a Maryland corporation and the majority stockholder of Viacom ("National"), and Paramount entered into a Voting Agreement (the</w:t>
      </w:r>
    </w:p>
    <w:p>
      <w:pPr>
        <w:ind w:left="1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"Voting Agreement") pursuant to which National shall, among other</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1" w:lineRule="auto"/>
        <w:rPr>
          <w:sz w:val="20"/>
          <w:szCs w:val="20"/>
          <w:color w:val="auto"/>
        </w:rPr>
      </w:pPr>
      <w:r>
        <w:rPr>
          <w:rFonts w:ascii="Courier New" w:cs="Courier New" w:eastAsia="Courier New" w:hAnsi="Courier New"/>
          <w:sz w:val="14"/>
          <w:szCs w:val="14"/>
          <w:color w:val="auto"/>
        </w:rPr>
        <w:t>things, vote its shares of Viacom Class A Common Stock in favor of the Merger and the other transactions contemplated by this Agreement, as amended from time to time;</w:t>
      </w:r>
    </w:p>
    <w:p>
      <w:pPr>
        <w:spacing w:after="0" w:line="166" w:lineRule="exact"/>
        <w:rPr>
          <w:sz w:val="20"/>
          <w:szCs w:val="20"/>
          <w:color w:val="auto"/>
        </w:rPr>
      </w:pPr>
    </w:p>
    <w:p>
      <w:pPr>
        <w:ind w:right="4879" w:firstLine="837"/>
        <w:spacing w:after="0" w:line="242" w:lineRule="auto"/>
        <w:rPr>
          <w:sz w:val="20"/>
          <w:szCs w:val="20"/>
          <w:color w:val="auto"/>
        </w:rPr>
      </w:pPr>
      <w:r>
        <w:rPr>
          <w:rFonts w:ascii="Courier New" w:cs="Courier New" w:eastAsia="Courier New" w:hAnsi="Courier New"/>
          <w:sz w:val="14"/>
          <w:szCs w:val="14"/>
          <w:color w:val="auto"/>
        </w:rPr>
        <w:t>NOW, THEREFORE, in consideration of the foregoing and the respective representations, warranties, covenants and agreements set forth in this Agreement, the parties hereto agree as follows:</w:t>
      </w:r>
    </w:p>
    <w:p>
      <w:pPr>
        <w:spacing w:after="0" w:line="32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I</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MERGER</w:t>
      </w:r>
    </w:p>
    <w:p>
      <w:pPr>
        <w:spacing w:after="0" w:line="163" w:lineRule="exact"/>
        <w:rPr>
          <w:sz w:val="20"/>
          <w:szCs w:val="20"/>
          <w:color w:val="auto"/>
        </w:rPr>
      </w:pPr>
    </w:p>
    <w:p>
      <w:pPr>
        <w:ind w:left="840"/>
        <w:spacing w:after="0"/>
        <w:tabs>
          <w:tab w:leader="none" w:pos="2000" w:val="left"/>
          <w:tab w:leader="none" w:pos="3080" w:val="left"/>
        </w:tabs>
        <w:rPr>
          <w:sz w:val="20"/>
          <w:szCs w:val="20"/>
          <w:color w:val="auto"/>
        </w:rPr>
      </w:pPr>
      <w:r>
        <w:rPr>
          <w:rFonts w:ascii="Courier New" w:cs="Courier New" w:eastAsia="Courier New" w:hAnsi="Courier New"/>
          <w:sz w:val="14"/>
          <w:szCs w:val="14"/>
          <w:color w:val="auto"/>
        </w:rPr>
        <w:t>SECTION 1.1.</w:t>
        <w:tab/>
        <w:t>The Merger.</w:t>
      </w:r>
      <w:r>
        <w:rPr>
          <w:sz w:val="20"/>
          <w:szCs w:val="20"/>
          <w:color w:val="auto"/>
        </w:rPr>
        <w:tab/>
      </w:r>
      <w:r>
        <w:rPr>
          <w:rFonts w:ascii="Courier New" w:cs="Courier New" w:eastAsia="Courier New" w:hAnsi="Courier New"/>
          <w:sz w:val="13"/>
          <w:szCs w:val="13"/>
          <w:color w:val="auto"/>
        </w:rPr>
        <w:t>Upon the terms and subject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to the conditions set forth in this Agreement, and in accordance with Delaware Law, at the Effective Time (as defined in Section 1.3), Paramount shall be merged with and into Viacom; provided, however, that if, after consulting with Paramount and</w:t>
      </w:r>
    </w:p>
    <w:p>
      <w:pPr>
        <w:spacing w:after="0"/>
        <w:tabs>
          <w:tab w:leader="none" w:pos="150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right="4879"/>
        <w:spacing w:after="0" w:line="264" w:lineRule="auto"/>
        <w:rPr>
          <w:sz w:val="20"/>
          <w:szCs w:val="20"/>
          <w:color w:val="auto"/>
        </w:rPr>
      </w:pPr>
      <w:r>
        <w:rPr>
          <w:rFonts w:ascii="Courier New" w:cs="Courier New" w:eastAsia="Courier New" w:hAnsi="Courier New"/>
          <w:sz w:val="13"/>
          <w:szCs w:val="13"/>
          <w:color w:val="auto"/>
        </w:rPr>
        <w:t>its professional advisors in good faith, Shearman &amp; Sterling, counsel to Viacom, is unable to deliver an opinion in form and substance reasonably satisfactory to Viacom (such opinion to be based on customary assumptions and representations) that the Forward Merger will qualify as a reorganization under Section 368(a) of the Code, Viacom may elect to cause a subsidiary of Viacom to merge with and into Paramount. As a result of the Forward Merger, the separate corporate existence of Paramount (or, in the case of the Reverse Merger, Merger Subsidiary) shall</w:t>
      </w:r>
    </w:p>
    <w:p>
      <w:pPr>
        <w:spacing w:after="0" w:line="1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761" w:right="1440" w:bottom="1440" w:gutter="0" w:footer="0" w:header="0"/>
        </w:sectPr>
      </w:pPr>
    </w:p>
    <w:bookmarkStart w:id="201" w:name="page202"/>
    <w:bookmarkEnd w:id="201"/>
    <w:p>
      <w:pPr>
        <w:ind w:left="5360"/>
        <w:spacing w:after="0"/>
        <w:rPr>
          <w:sz w:val="20"/>
          <w:szCs w:val="20"/>
          <w:color w:val="auto"/>
        </w:rPr>
      </w:pPr>
      <w:r>
        <w:rPr>
          <w:rFonts w:ascii="Courier New" w:cs="Courier New" w:eastAsia="Courier New" w:hAnsi="Courier New"/>
          <w:sz w:val="14"/>
          <w:szCs w:val="14"/>
          <w:color w:val="auto"/>
        </w:rPr>
        <w:t>3</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cease and Viacom (or, in the case of the Reverse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shall continue as the surviving corporation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(the "Surviving Corporation").</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40"/>
        <w:spacing w:after="0"/>
        <w:tabs>
          <w:tab w:leader="none" w:pos="2000" w:val="left"/>
          <w:tab w:leader="none" w:pos="2840" w:val="left"/>
        </w:tabs>
        <w:rPr>
          <w:sz w:val="20"/>
          <w:szCs w:val="20"/>
          <w:color w:val="auto"/>
        </w:rPr>
      </w:pPr>
      <w:r>
        <w:rPr>
          <w:rFonts w:ascii="Courier New" w:cs="Courier New" w:eastAsia="Courier New" w:hAnsi="Courier New"/>
          <w:sz w:val="14"/>
          <w:szCs w:val="14"/>
          <w:color w:val="auto"/>
        </w:rPr>
        <w:t>SECTION 1.2.</w:t>
        <w:tab/>
        <w:t>Closing.</w:t>
      </w:r>
      <w:r>
        <w:rPr>
          <w:sz w:val="20"/>
          <w:szCs w:val="20"/>
          <w:color w:val="auto"/>
        </w:rPr>
        <w:tab/>
      </w:r>
      <w:r>
        <w:rPr>
          <w:rFonts w:ascii="Courier New" w:cs="Courier New" w:eastAsia="Courier New" w:hAnsi="Courier New"/>
          <w:sz w:val="13"/>
          <w:szCs w:val="13"/>
          <w:color w:val="auto"/>
        </w:rPr>
        <w:t>Unless this Agreement shall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19"/>
        <w:spacing w:after="0" w:line="243" w:lineRule="auto"/>
        <w:rPr>
          <w:sz w:val="20"/>
          <w:szCs w:val="20"/>
          <w:color w:val="auto"/>
        </w:rPr>
      </w:pPr>
      <w:r>
        <w:rPr>
          <w:rFonts w:ascii="Courier New" w:cs="Courier New" w:eastAsia="Courier New" w:hAnsi="Courier New"/>
          <w:sz w:val="14"/>
          <w:szCs w:val="14"/>
          <w:color w:val="auto"/>
        </w:rPr>
        <w:t>have been terminated and the transactions herein contemplated shall have been abandoned pursuant to Section 8.1 and subject to the satisfaction or, if permissible, waiver of the conditions set forth in Article VII, the consummation of the Merger will take place as promptly as practicable (and in any event within two business days) after satisfaction or waiver of the conditions set forth in Article VII, at the offices of Shearman &amp; Sterling, 599 Lexington Avenue, New York, New York, unless another date, time or place is agreed to in writing by the parties hereto.</w:t>
      </w:r>
    </w:p>
    <w:p>
      <w:pPr>
        <w:spacing w:after="0" w:line="161" w:lineRule="exact"/>
        <w:rPr>
          <w:sz w:val="20"/>
          <w:szCs w:val="20"/>
          <w:color w:val="auto"/>
        </w:rPr>
      </w:pPr>
    </w:p>
    <w:p>
      <w:pPr>
        <w:ind w:left="840"/>
        <w:spacing w:after="0"/>
        <w:tabs>
          <w:tab w:leader="none" w:pos="2000" w:val="left"/>
          <w:tab w:leader="none" w:pos="3420" w:val="left"/>
        </w:tabs>
        <w:rPr>
          <w:sz w:val="20"/>
          <w:szCs w:val="20"/>
          <w:color w:val="auto"/>
        </w:rPr>
      </w:pPr>
      <w:r>
        <w:rPr>
          <w:rFonts w:ascii="Courier New" w:cs="Courier New" w:eastAsia="Courier New" w:hAnsi="Courier New"/>
          <w:sz w:val="14"/>
          <w:szCs w:val="14"/>
          <w:color w:val="auto"/>
        </w:rPr>
        <w:t>SECTION 1.3.</w:t>
        <w:tab/>
        <w:t>Effective Time.</w:t>
      </w:r>
      <w:r>
        <w:rPr>
          <w:sz w:val="20"/>
          <w:szCs w:val="20"/>
          <w:color w:val="auto"/>
        </w:rPr>
        <w:tab/>
      </w:r>
      <w:r>
        <w:rPr>
          <w:rFonts w:ascii="Courier New" w:cs="Courier New" w:eastAsia="Courier New" w:hAnsi="Courier New"/>
          <w:sz w:val="13"/>
          <w:szCs w:val="13"/>
          <w:color w:val="auto"/>
        </w:rPr>
        <w:t>As promptly as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practicable after the satisfaction or, if permissible, waiver of the conditions set forth in Article VII, the parties hereto shall cause the Merger to be consummated by filing a certificate of merger (the "Certificate of Merger") with the Secretary of State</w:t>
      </w:r>
    </w:p>
    <w:p>
      <w:pPr>
        <w:ind w:left="110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of the State of Delaware in such form as required by, and executed in accordance with the relevant provisions of, Delaware Law (the date and time of such filing, or such later date or time as set forth therein, being the "Effective Time").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40"/>
        <w:spacing w:after="0"/>
        <w:tabs>
          <w:tab w:leader="none" w:pos="2000" w:val="left"/>
          <w:tab w:leader="none" w:pos="3920" w:val="left"/>
        </w:tabs>
        <w:rPr>
          <w:sz w:val="20"/>
          <w:szCs w:val="20"/>
          <w:color w:val="auto"/>
        </w:rPr>
      </w:pPr>
      <w:r>
        <w:rPr>
          <w:rFonts w:ascii="Courier New" w:cs="Courier New" w:eastAsia="Courier New" w:hAnsi="Courier New"/>
          <w:sz w:val="14"/>
          <w:szCs w:val="14"/>
          <w:color w:val="auto"/>
        </w:rPr>
        <w:t>SECTION 1.4.</w:t>
        <w:tab/>
        <w:t>Effect of the Merger.</w:t>
      </w:r>
      <w:r>
        <w:rPr>
          <w:sz w:val="20"/>
          <w:szCs w:val="20"/>
          <w:color w:val="auto"/>
        </w:rPr>
        <w:tab/>
      </w:r>
      <w:r>
        <w:rPr>
          <w:rFonts w:ascii="Courier New" w:cs="Courier New" w:eastAsia="Courier New" w:hAnsi="Courier New"/>
          <w:sz w:val="13"/>
          <w:szCs w:val="13"/>
          <w:color w:val="auto"/>
        </w:rPr>
        <w:t>At the Effective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Time, the effect of the Merger shall be as provided in the applicable provisions of Delaware Law. Without limiting the generality of the foregoing, and subject thereto, at the Effective Time, except as otherwise provided herein, all the property, rights, privileges, powers and franchises of Viacom (or, in the case of the Reverse Merger, Merger Subsidiary) and Paramount shall vest in the Surviving Corporation, and all debts, liabilities and duties of Viacom (or, in the case of the Reverse Merger, Merger Subsidiary) and Paramount shall become the debts, liabilities and duties of the Surviving Corporation.</w:t>
      </w:r>
    </w:p>
    <w:p>
      <w:pPr>
        <w:spacing w:after="0" w:line="162"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3"/>
          <w:szCs w:val="13"/>
          <w:color w:val="auto"/>
        </w:rPr>
        <w:t>Certificate of Incorporation; By-Laws.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firstLine="6"/>
        <w:spacing w:after="0" w:line="267" w:lineRule="auto"/>
        <w:tabs>
          <w:tab w:leader="none" w:pos="418" w:val="left"/>
        </w:tabs>
        <w:numPr>
          <w:ilvl w:val="0"/>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 the Effective Time of the Forward Merger, the Certificate of Incorporation and the By-Laws of Viacom, as in effect immediately prior to the Effective Time, shall be the Certificate of Incorporation and the By-Laws of the Surviving Corporation.</w:t>
      </w:r>
    </w:p>
    <w:p>
      <w:pPr>
        <w:spacing w:after="0" w:line="149" w:lineRule="exact"/>
        <w:rPr>
          <w:rFonts w:ascii="Courier New" w:cs="Courier New" w:eastAsia="Courier New" w:hAnsi="Courier New"/>
          <w:sz w:val="13"/>
          <w:szCs w:val="13"/>
          <w:color w:val="auto"/>
        </w:rPr>
      </w:pPr>
    </w:p>
    <w:p>
      <w:pPr>
        <w:ind w:right="4959" w:firstLine="424"/>
        <w:spacing w:after="0" w:line="242" w:lineRule="auto"/>
        <w:tabs>
          <w:tab w:leader="none" w:pos="837"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Alternatively, at the Effective Time of the Reverse Merger, the Certificate of Incorporation and By-Laws, respectively, of the Surviving Corporation shall be amended and restated in their entirety to read as the Certificate of Incorporation and By-Laws of Merger Subsidiary.</w:t>
      </w:r>
    </w:p>
    <w:p>
      <w:pPr>
        <w:spacing w:after="0" w:line="163" w:lineRule="exact"/>
        <w:rPr>
          <w:sz w:val="20"/>
          <w:szCs w:val="20"/>
          <w:color w:val="auto"/>
        </w:rPr>
      </w:pPr>
    </w:p>
    <w:p>
      <w:pPr>
        <w:ind w:left="840"/>
        <w:spacing w:after="0"/>
        <w:tabs>
          <w:tab w:leader="none" w:pos="2000" w:val="left"/>
          <w:tab w:leader="none" w:pos="4260" w:val="left"/>
        </w:tabs>
        <w:rPr>
          <w:sz w:val="20"/>
          <w:szCs w:val="20"/>
          <w:color w:val="auto"/>
        </w:rPr>
      </w:pPr>
      <w:r>
        <w:rPr>
          <w:rFonts w:ascii="Courier New" w:cs="Courier New" w:eastAsia="Courier New" w:hAnsi="Courier New"/>
          <w:sz w:val="14"/>
          <w:szCs w:val="14"/>
          <w:color w:val="auto"/>
        </w:rPr>
        <w:t>SECTION 1.6.</w:t>
        <w:tab/>
        <w:t>Conversion of Securities.</w:t>
      </w:r>
      <w:r>
        <w:rPr>
          <w:sz w:val="20"/>
          <w:szCs w:val="20"/>
          <w:color w:val="auto"/>
        </w:rPr>
        <w:tab/>
      </w:r>
      <w:r>
        <w:rPr>
          <w:rFonts w:ascii="Courier New" w:cs="Courier New" w:eastAsia="Courier New" w:hAnsi="Courier New"/>
          <w:sz w:val="13"/>
          <w:szCs w:val="13"/>
          <w:color w:val="auto"/>
        </w:rPr>
        <w:t>At 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1" w:lineRule="auto"/>
        <w:rPr>
          <w:sz w:val="20"/>
          <w:szCs w:val="20"/>
          <w:color w:val="auto"/>
        </w:rPr>
      </w:pPr>
      <w:r>
        <w:rPr>
          <w:rFonts w:ascii="Courier New" w:cs="Courier New" w:eastAsia="Courier New" w:hAnsi="Courier New"/>
          <w:sz w:val="14"/>
          <w:szCs w:val="14"/>
          <w:color w:val="auto"/>
        </w:rPr>
        <w:t>Effective Time, by virtue of the Merger and without any action on the part of Viacom, Paramount or the holders of any of the following securities: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761" w:right="1440" w:bottom="1440" w:gutter="0" w:footer="0" w:header="0"/>
        </w:sectPr>
      </w:pPr>
    </w:p>
    <w:bookmarkStart w:id="202" w:name="page203"/>
    <w:bookmarkEnd w:id="202"/>
    <w:p>
      <w:pPr>
        <w:jc w:val="center"/>
        <w:ind w:right="-140"/>
        <w:spacing w:after="0"/>
        <w:rPr>
          <w:sz w:val="20"/>
          <w:szCs w:val="20"/>
          <w:color w:val="auto"/>
        </w:rPr>
      </w:pPr>
      <w:r>
        <w:rPr>
          <w:rFonts w:ascii="Courier New" w:cs="Courier New" w:eastAsia="Courier New" w:hAnsi="Courier New"/>
          <w:sz w:val="13"/>
          <w:szCs w:val="13"/>
          <w:color w:val="auto"/>
        </w:rPr>
        <w:t>4</w:t>
      </w:r>
    </w:p>
    <w:p>
      <w:pPr>
        <w:spacing w:after="0" w:line="335" w:lineRule="exact"/>
        <w:rPr>
          <w:sz w:val="20"/>
          <w:szCs w:val="20"/>
          <w:color w:val="auto"/>
        </w:rPr>
      </w:pPr>
    </w:p>
    <w:p>
      <w:pPr>
        <w:ind w:right="4879" w:firstLine="423"/>
        <w:spacing w:after="0" w:line="262" w:lineRule="auto"/>
        <w:tabs>
          <w:tab w:leader="none" w:pos="837" w:val="left"/>
        </w:tabs>
        <w:numPr>
          <w:ilvl w:val="0"/>
          <w:numId w:val="1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that the Offer has been consummated prior to the Effective Time, each share of Paramount Common Stock issued and outstanding immediately prior to the Effective Time (other than any shares of Paramount Common Stock to be canceled pursuant to Section 1.6(c) and any Dissenting Shares (as defined in Section 1.10)) shall be converted into the right to receive (A) .93065 shares of Class B common stock, par value $0.01 per share ("Viacom</w:t>
      </w:r>
    </w:p>
    <w:p>
      <w:pPr>
        <w:ind w:left="4180"/>
        <w:spacing w:after="0" w:line="237"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of Viacom, (B) $17.50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8% exchangeable subordinated debentures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 of Viacom having the principal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described in Annex B, (C) .93065 contingent value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of Viacom (the "CVRs") having the principal terms</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Annex C, (D) .50 warrants (the "Three Year</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Warrants") of Viacom having the principal terms described 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D and (E) .30 warrants (the "Five Year Warrants", and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the Three Year Warrants, the "Warrants") of</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having the principal terms described in Annex 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in any event, if between the date</w:t>
      </w:r>
    </w:p>
    <w:p>
      <w:pPr>
        <w:spacing w:after="0" w:line="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of this Agreement and the Effective Time the outstanding shares of Viacom Class B Common Stock or Paramount Common Stock shall have been changed into a different number of shares or a different class, by reason of any stock dividend, subdivision, reclassification, recapitalization, split, combination or exchange of shares, the amounts of Viacom Class B Common Stock, Viacom Merger Debentures, CVRs and Warrants specified above shall be correspondingly adjusted to reflect such stock dividend, subdivision, reclassification, recapitalization, split, combination or exchange of shares. All such shares of Paramount Common Stock shall no longer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1.7 certificates evidencing (a) such number of whole shares of Viacom Class B Common Stock and</w:t>
      </w:r>
    </w:p>
    <w:p>
      <w:pPr>
        <w:spacing w:after="0" w:line="153" w:lineRule="exact"/>
        <w:rPr>
          <w:sz w:val="20"/>
          <w:szCs w:val="20"/>
          <w:color w:val="auto"/>
        </w:rPr>
      </w:pPr>
    </w:p>
    <w:p>
      <w:pPr>
        <w:ind w:right="4799" w:firstLine="4"/>
        <w:spacing w:after="0" w:line="243" w:lineRule="auto"/>
        <w:tabs>
          <w:tab w:leader="none" w:pos="33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number of whole CVRs, Viacom Merger Debentures and Warrants into which such Paramount Common Stock was converted in accordance herewith. The holders of such certificates previously evidencing such shares of Paramount Common Stock outstanding immediately prior to the Effective Time shall cease to have any rights with respect to such shares of Paramount Common Stock except as otherwise provided herein or by law. No fractional share of Viacom Class B Common Stock or fractional CVR, Viacom Merger Debenture or Warrant shall be issued and, in lieu thereof, a cash payment shall be made pursuant to Section 1.7(d).</w:t>
      </w:r>
    </w:p>
    <w:p>
      <w:pPr>
        <w:spacing w:after="0" w:line="164" w:lineRule="exact"/>
        <w:rPr>
          <w:rFonts w:ascii="Courier New" w:cs="Courier New" w:eastAsia="Courier New" w:hAnsi="Courier New"/>
          <w:sz w:val="14"/>
          <w:szCs w:val="14"/>
          <w:color w:val="auto"/>
        </w:rPr>
      </w:pPr>
    </w:p>
    <w:p>
      <w:pPr>
        <w:ind w:right="5639" w:firstLine="423"/>
        <w:spacing w:after="0" w:line="239" w:lineRule="auto"/>
        <w:tabs>
          <w:tab w:leader="none" w:pos="837"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Offer has not been consummated prior to the Effective Time:</w:t>
      </w:r>
    </w:p>
    <w:p>
      <w:pPr>
        <w:spacing w:after="0" w:line="166" w:lineRule="exact"/>
        <w:rPr>
          <w:rFonts w:ascii="Courier New" w:cs="Courier New" w:eastAsia="Courier New" w:hAnsi="Courier New"/>
          <w:sz w:val="14"/>
          <w:szCs w:val="14"/>
          <w:color w:val="auto"/>
        </w:rPr>
      </w:pPr>
    </w:p>
    <w:p>
      <w:pPr>
        <w:ind w:left="420" w:right="5139" w:firstLine="421"/>
        <w:spacing w:after="0" w:line="269" w:lineRule="auto"/>
        <w:tabs>
          <w:tab w:leader="none" w:pos="1257" w:val="left"/>
        </w:tabs>
        <w:numPr>
          <w:ilvl w:val="2"/>
          <w:numId w:val="1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subject to the further provisions of this Section 1.6, each share of Paramount Common Stock issued and outstanding immediately prior to the</w:t>
      </w:r>
    </w:p>
    <w:p>
      <w:pPr>
        <w:spacing w:after="0" w:line="14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9819"/>
          </w:cols>
          <w:pgMar w:left="640" w:top="764" w:right="1440" w:bottom="1440" w:gutter="0" w:footer="0" w:header="0"/>
        </w:sectPr>
      </w:pPr>
    </w:p>
    <w:bookmarkStart w:id="203" w:name="page204"/>
    <w:bookmarkEnd w:id="203"/>
    <w:p>
      <w:pPr>
        <w:jc w:val="center"/>
        <w:ind w:right="279"/>
        <w:spacing w:after="0"/>
        <w:rPr>
          <w:sz w:val="20"/>
          <w:szCs w:val="20"/>
          <w:color w:val="auto"/>
        </w:rPr>
      </w:pPr>
      <w:r>
        <w:rPr>
          <w:rFonts w:ascii="Courier New" w:cs="Courier New" w:eastAsia="Courier New" w:hAnsi="Courier New"/>
          <w:sz w:val="13"/>
          <w:szCs w:val="13"/>
          <w:color w:val="auto"/>
        </w:rPr>
        <w:t>5</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(other than any shares of Paramount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Common Stock to be canceled</w:t>
            </w:r>
          </w:p>
        </w:tc>
        <w:tc>
          <w:tcPr>
            <w:tcW w:w="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pursuant</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to Section 1.6(c)</w:t>
            </w:r>
          </w:p>
        </w:tc>
      </w:tr>
      <w:tr>
        <w:trPr>
          <w:trHeight w:val="161"/>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and any Dissenting Shares),</w:t>
            </w:r>
          </w:p>
        </w:tc>
        <w:tc>
          <w:tcPr>
            <w:tcW w:w="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be</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w w:val="97"/>
              </w:rPr>
              <w:t>converted, subject</w:t>
            </w:r>
          </w:p>
        </w:tc>
      </w:tr>
      <w:tr>
        <w:trPr>
          <w:trHeight w:val="16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 Section 1.7(d), into the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right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receive (A)(i)</w:t>
            </w:r>
          </w:p>
        </w:tc>
      </w:tr>
      <w:tr>
        <w:trPr>
          <w:trHeight w:val="161"/>
        </w:trPr>
        <w:tc>
          <w:tcPr>
            <w:tcW w:w="2300" w:type="dxa"/>
            <w:vAlign w:val="bottom"/>
          </w:tcPr>
          <w:p>
            <w:pPr>
              <w:spacing w:after="0"/>
              <w:rPr>
                <w:sz w:val="20"/>
                <w:szCs w:val="20"/>
                <w:color w:val="auto"/>
              </w:rPr>
            </w:pPr>
            <w:r>
              <w:rPr>
                <w:rFonts w:ascii="Courier New" w:cs="Courier New" w:eastAsia="Courier New" w:hAnsi="Courier New"/>
                <w:sz w:val="14"/>
                <w:szCs w:val="14"/>
                <w:color w:val="auto"/>
              </w:rPr>
              <w:t>.93065 of a share of Viacom</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Common Stock (the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"Class B Exchange Ratio"); (ii) $17.50 principal amount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Merger Debentures (the "Debenture Exchange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(iii) .93065 CVRs (the "CVR Exchange Ratio");</w:t>
      </w:r>
    </w:p>
    <w:p>
      <w:pPr>
        <w:spacing w:after="0" w:line="2"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420" w:hanging="417"/>
        <w:spacing w:after="0"/>
        <w:tabs>
          <w:tab w:leader="none" w:pos="42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Three Year Warrants (the "Three Year Warrant</w:t>
      </w:r>
    </w:p>
    <w:p>
      <w:pPr>
        <w:spacing w:after="0" w:line="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 and (v) .30 Five Year Warrants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 Exchange Ratio", and together with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Class B Exchange Ratio, the Debenture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the CVR Exchange Ratio and Three Year Warrant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 the "Exchange Ratios"), (B) $107.00 in</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cash (the "Per Share Cash Amount") or (C) a combination</w:t>
      </w:r>
    </w:p>
    <w:p>
      <w:pPr>
        <w:spacing w:after="0" w:line="11"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Viacom Class B Common Stock, CVRs,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Debentures, Warrants and cash determined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Sections 1.6(b)(iv), (v) and (vi);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in any event, if between the</w:t>
      </w:r>
    </w:p>
    <w:p>
      <w:pPr>
        <w:spacing w:after="0" w:line="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w:t>
        <w:tab/>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this Agreement and the Effective Time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of Viacom Class B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 or Paramount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have been changed into a different 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or a different class, by reason of any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subdivision, reclassification,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recapitalization, split, combination or exchange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the Exchange Ratios and Per Share Cash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shall be correspondingly adjusted to reflect such stock</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subdivision, reclassification,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recapitalization, split, combination or exchange of</w:t>
      </w:r>
    </w:p>
    <w:p>
      <w:pPr>
        <w:spacing w:after="0" w:line="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shares.</w:t>
        <w:tab/>
        <w:t>All such shares of Paramount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 longer be outstanding and shall automatically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canceled and retired and shall cease to exist,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certificate previously evidencing any such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thereafter represent the right to receive, upon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surrender of such certificate in accordance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of Section 1.7 and in accordance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allocation procedures set forth in this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(i) certificates evidencing (x) such 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 shares of Viacom Class B Common Stock and (y)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number of whole CVRs, Viacom Merger Debentures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into which such Paramount Common Stock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converted in accordance with the Exchange Ratios and/or</w:t>
      </w:r>
    </w:p>
    <w:p>
      <w:pPr>
        <w:spacing w:after="0" w:line="14" w:lineRule="exact"/>
        <w:rPr>
          <w:sz w:val="20"/>
          <w:szCs w:val="20"/>
          <w:color w:val="auto"/>
        </w:rPr>
      </w:pPr>
    </w:p>
    <w:p>
      <w:pPr>
        <w:ind w:right="4799" w:firstLine="3"/>
        <w:spacing w:after="0" w:line="243" w:lineRule="auto"/>
        <w:tabs>
          <w:tab w:leader="none" w:pos="41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Cash Amount multiplied by the number of shares of Paramount Common Stock previously evidenced by the canceled certificate. The holders of such certificates previously evidencing such shares of Paramount Common Stock outstanding immediately prior to the Effective Time shall cease to have any rights with respect to such shares of Paramount Common Stock except as otherwise provided herein or by law. No fractional share of Viacom Class B Common Stock or fractional CVR, Viacom Merger Debenture or Warrant shall be issued and, in lieu thereof, a cash payment shall be made pursuant to Section 1.7(d).</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9399"/>
          </w:cols>
          <w:pgMar w:left="1060" w:top="763" w:right="1440" w:bottom="1440" w:gutter="0" w:footer="0" w:header="0"/>
        </w:sectPr>
      </w:pPr>
    </w:p>
    <w:bookmarkStart w:id="204" w:name="page205"/>
    <w:bookmarkEnd w:id="204"/>
    <w:p>
      <w:pPr>
        <w:jc w:val="center"/>
        <w:ind w:right="279"/>
        <w:spacing w:after="0"/>
        <w:rPr>
          <w:sz w:val="20"/>
          <w:szCs w:val="20"/>
          <w:color w:val="auto"/>
        </w:rPr>
      </w:pPr>
      <w:r>
        <w:rPr>
          <w:rFonts w:ascii="Courier New" w:cs="Courier New" w:eastAsia="Courier New" w:hAnsi="Courier New"/>
          <w:sz w:val="13"/>
          <w:szCs w:val="13"/>
          <w:color w:val="auto"/>
        </w:rPr>
        <w:t>6</w:t>
      </w:r>
    </w:p>
    <w:p>
      <w:pPr>
        <w:spacing w:after="0" w:line="335" w:lineRule="exact"/>
        <w:rPr>
          <w:sz w:val="20"/>
          <w:szCs w:val="20"/>
          <w:color w:val="auto"/>
        </w:rPr>
      </w:pPr>
    </w:p>
    <w:p>
      <w:pPr>
        <w:ind w:right="4799" w:firstLine="337"/>
        <w:spacing w:after="0" w:line="243" w:lineRule="auto"/>
        <w:tabs>
          <w:tab w:leader="none" w:pos="837"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election and allocation procedures set forth in this Section 1.6, each holder of record of shares of Paramount Common Stock as of the record date for the meeting of stockholders of Paramount referred to in Section 6.7 will be entitled to (A) elect to receive certificates evidencing such number of whole shares of Viacom Class B Common Stock and (y) such number of whole CVRs, Viacom Merger Debentures and Warrants into which such number of shares of Paramount Common Stock would be converted in accordance with the Exchange Ratios (a "Securities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(B) elect to receive the Per Share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Amount multiplied by such number of shares of Paramount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 "Cash Election"), or (C) indicate that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holder has no preference as to the receipt of cash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shares of Viacom Class B Common Stock and CVRs,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 and Warrants in exchange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shares of Paramount Common Stock (a</w:t>
      </w:r>
    </w:p>
    <w:p>
      <w:pPr>
        <w:spacing w:after="0" w:line="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"Non-Election").</w:t>
      </w:r>
      <w:r>
        <w:rPr>
          <w:sz w:val="20"/>
          <w:szCs w:val="20"/>
          <w:color w:val="auto"/>
        </w:rPr>
        <w:tab/>
      </w:r>
      <w:r>
        <w:rPr>
          <w:rFonts w:ascii="Courier New" w:cs="Courier New" w:eastAsia="Courier New" w:hAnsi="Courier New"/>
          <w:sz w:val="13"/>
          <w:szCs w:val="13"/>
          <w:color w:val="auto"/>
        </w:rPr>
        <w:t>All such elections shall be made on 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designed for that purpose and mutually acceptable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Viacom and Paramount (a "Form of Election") and</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mailed to holders of record of shares of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as of the record date for the meeting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Paramount referred to in Section 6.7.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 of shares of Paramount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 hold such shares as nominees, trustees or in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 capacities ("Representatives") may</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 multiple Forms of Election, provided that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 certifies that each such Form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covers all the shares of Paramount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held by such Representative for a particular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 entitled to so elect pursuant to the</w:t>
      </w:r>
    </w:p>
    <w:p>
      <w:pPr>
        <w:spacing w:after="0" w:line="2"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4"/>
          <w:szCs w:val="14"/>
          <w:color w:val="auto"/>
        </w:rPr>
        <w:t>first sentence of this Section 1.6(b)(ii).</w:t>
        <w:tab/>
        <w:t>Elections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made by holders of Paramount Common Stock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mailing to the Exchange Agent (as defined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properly completed and signed Forms of Election.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order to be effective, a Form of Election must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by the Exchange Agent no later than the close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business on the last business day prior to the</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4"/>
          <w:szCs w:val="14"/>
          <w:color w:val="auto"/>
        </w:rPr>
        <w:t>Effective Time.</w:t>
      </w:r>
      <w:r>
        <w:rPr>
          <w:sz w:val="20"/>
          <w:szCs w:val="20"/>
          <w:color w:val="auto"/>
        </w:rPr>
        <w:tab/>
      </w:r>
      <w:r>
        <w:rPr>
          <w:rFonts w:ascii="Courier New" w:cs="Courier New" w:eastAsia="Courier New" w:hAnsi="Courier New"/>
          <w:sz w:val="13"/>
          <w:szCs w:val="13"/>
          <w:color w:val="auto"/>
        </w:rPr>
        <w:t>All elections may be revoked until the</w:t>
      </w:r>
    </w:p>
    <w:p>
      <w:pPr>
        <w:spacing w:after="0" w:line="2"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4"/>
          <w:szCs w:val="14"/>
          <w:color w:val="auto"/>
        </w:rPr>
        <w:t>last business day prior to the Effective Time.</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have the discretion, which it may delegate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 or in part to the Exchange Agent, to determine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whether Forms of Election have been properly completed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signed and properly and timely submitted or revoked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to disregard immaterial defects in Forms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and any good faith decision of Viacom 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 in such matters shall be binding and</w:t>
      </w:r>
    </w:p>
    <w:p>
      <w:pPr>
        <w:spacing w:after="0" w:line="2"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4"/>
          <w:szCs w:val="14"/>
          <w:color w:val="auto"/>
        </w:rPr>
        <w:t>conclusive.</w:t>
        <w:tab/>
        <w:t>Neither Viacom nor the Exchange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under any obligation to notify any person of</w:t>
      </w:r>
    </w:p>
    <w:p>
      <w:pPr>
        <w:spacing w:after="0" w:line="2"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any defect in a Form of Election.</w:t>
      </w:r>
      <w:r>
        <w:rPr>
          <w:sz w:val="20"/>
          <w:szCs w:val="20"/>
          <w:color w:val="auto"/>
        </w:rPr>
        <w:tab/>
      </w:r>
      <w:r>
        <w:rPr>
          <w:rFonts w:ascii="Courier New" w:cs="Courier New" w:eastAsia="Courier New" w:hAnsi="Courier New"/>
          <w:sz w:val="13"/>
          <w:szCs w:val="13"/>
          <w:color w:val="auto"/>
        </w:rPr>
        <w:t>Any holder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Paramount Common Stock who fails to make an election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any holder who fails to submit to the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 properly completed and signed and properly and</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I-6</w:t>
      </w:r>
    </w:p>
    <w:p>
      <w:pPr>
        <w:sectPr>
          <w:pgSz w:w="11900" w:h="16838" w:orient="portrait"/>
          <w:cols w:equalWidth="0" w:num="1">
            <w:col w:w="9399"/>
          </w:cols>
          <w:pgMar w:left="1060" w:top="763" w:right="1440" w:bottom="1440" w:gutter="0" w:footer="0" w:header="0"/>
        </w:sectPr>
      </w:pPr>
    </w:p>
    <w:bookmarkStart w:id="205" w:name="page206"/>
    <w:bookmarkEnd w:id="205"/>
    <w:p>
      <w:pPr>
        <w:jc w:val="center"/>
        <w:ind w:right="279"/>
        <w:spacing w:after="0"/>
        <w:rPr>
          <w:sz w:val="20"/>
          <w:szCs w:val="20"/>
          <w:color w:val="auto"/>
        </w:rPr>
      </w:pPr>
      <w:r>
        <w:rPr>
          <w:rFonts w:ascii="Courier New" w:cs="Courier New" w:eastAsia="Courier New" w:hAnsi="Courier New"/>
          <w:sz w:val="13"/>
          <w:szCs w:val="13"/>
          <w:color w:val="auto"/>
        </w:rPr>
        <w:t>7</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timely submitted Form of Election shall be deemed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made a Non-Election.</w:t>
      </w:r>
    </w:p>
    <w:p>
      <w:pPr>
        <w:spacing w:after="0" w:line="166" w:lineRule="exact"/>
        <w:rPr>
          <w:sz w:val="20"/>
          <w:szCs w:val="20"/>
          <w:color w:val="auto"/>
        </w:rPr>
      </w:pPr>
    </w:p>
    <w:p>
      <w:pPr>
        <w:ind w:right="4879" w:firstLine="254"/>
        <w:spacing w:after="0" w:line="262" w:lineRule="auto"/>
        <w:tabs>
          <w:tab w:leader="none" w:pos="837" w:val="left"/>
        </w:tabs>
        <w:numPr>
          <w:ilvl w:val="0"/>
          <w:numId w:val="1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aggregate number of shares of Paramount Common Stock to be converted into the right to receive cash in the Merger (the "Cash Election Number") shall</w:t>
      </w:r>
    </w:p>
    <w:p>
      <w:pPr>
        <w:ind w:left="210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equal to 50.1% of the number of shares of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outstanding immediately prior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and the aggregate number of shares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 to be converted into the right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receive shares of Viacom Class B Common Stock, CVRs,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 and Warrants in the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"Securities Election Number") shall be equal to</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49.9% of the number of shares of Paramount Common Stock</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immediately prior to the Effective Time.</w:t>
      </w:r>
    </w:p>
    <w:p>
      <w:pPr>
        <w:spacing w:after="0" w:line="166" w:lineRule="exact"/>
        <w:rPr>
          <w:sz w:val="20"/>
          <w:szCs w:val="20"/>
          <w:color w:val="auto"/>
        </w:rPr>
      </w:pPr>
    </w:p>
    <w:p>
      <w:pPr>
        <w:ind w:right="5039" w:firstLine="337"/>
        <w:spacing w:after="0" w:line="262" w:lineRule="auto"/>
        <w:tabs>
          <w:tab w:leader="none" w:pos="837" w:val="left"/>
        </w:tabs>
        <w:numPr>
          <w:ilvl w:val="0"/>
          <w:numId w:val="1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aggregate number of shares of Paramount Common Stock with respect to which Cash Elections have been made plus Dissenting Shares (the "Cash Election Shares") exceeds the Cash Election</w:t>
      </w:r>
    </w:p>
    <w:p>
      <w:pPr>
        <w:ind w:left="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3"/>
          <w:szCs w:val="13"/>
          <w:color w:val="auto"/>
        </w:rPr>
      </w:pPr>
    </w:p>
    <w:p>
      <w:pPr>
        <w:ind w:right="5039"/>
        <w:spacing w:after="0" w:line="26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Number, all shares of Paramount Common Stock with respect to which Securities Elections have been made (the "Securities Election Shares") and all shares of</w:t>
      </w:r>
    </w:p>
    <w:p>
      <w:pPr>
        <w:ind w:left="50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3"/>
          <w:szCs w:val="13"/>
          <w:color w:val="auto"/>
        </w:rPr>
      </w:pPr>
    </w:p>
    <w:p>
      <w:pPr>
        <w:ind w:right="5459"/>
        <w:spacing w:after="0" w:line="26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Paramount Common Stock with respect to which Non-Elections have been made (the "Non-Election</w:t>
      </w:r>
    </w:p>
    <w:p>
      <w:pPr>
        <w:ind w:left="294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shall be converted into the right to receive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Viacom Class B Common Stock and CVRs,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Debentures and Warrants, and the Cash Election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(other than Dissenting Shares) shall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converted into the right to receive shares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CVRs, Viacom Merger Debentures,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and cash in the following manner:</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each Cash Election Share (other than Dissenting</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Shares) shall be converted into the right to</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receive (i) an amount in cash, without interest,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equal to the product of (x) the Per Share Cash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Amount and (y) a fraction (the "Cash Fraction"),</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numerator of which shall be the Cash Election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Number and the denominator of which shall be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total number of Cash Election Shares, (ii) a</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number of shares of Viacom Class B Common Stock</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equal to the product of (x) the Class B Exchange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Ratio and (y) a fraction equal to one minus the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Cash Fraction, (iii) a number of CVRs equal to the</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product of (x) the CVR Exchange Ratio and (y) a</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fraction equal to one minus the Cash Fraction,</w:t>
      </w:r>
    </w:p>
    <w:p>
      <w:pPr>
        <w:spacing w:after="0" w:line="5" w:lineRule="exact"/>
        <w:rPr>
          <w:sz w:val="20"/>
          <w:szCs w:val="20"/>
          <w:color w:val="auto"/>
        </w:rPr>
      </w:pPr>
    </w:p>
    <w:p>
      <w:pPr>
        <w:ind w:left="420" w:right="4879" w:firstLine="1"/>
        <w:spacing w:after="0" w:line="262" w:lineRule="auto"/>
        <w:tabs>
          <w:tab w:leader="none" w:pos="838" w:val="left"/>
        </w:tabs>
        <w:numPr>
          <w:ilvl w:val="0"/>
          <w:numId w:val="1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principal amount of Viacom Merger Debentures equal to the product of (x) the Debenture Exchange Ratio and (y) a fraction equal to one minus the Cash Fraction, (v) a number of Three Year Warrants equal to the product of (x) the Three Year Warrant Exchange Ratio and (y) a fraction equal to one minus the Cash Fraction and</w:t>
      </w:r>
    </w:p>
    <w:p>
      <w:pPr>
        <w:ind w:left="840" w:hanging="419"/>
        <w:spacing w:after="0"/>
        <w:tabs>
          <w:tab w:leader="none" w:pos="8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number of Five Year Warrants equal to the</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I-7</w:t>
      </w:r>
    </w:p>
    <w:p>
      <w:pPr>
        <w:sectPr>
          <w:pgSz w:w="11900" w:h="16838" w:orient="portrait"/>
          <w:cols w:equalWidth="0" w:num="1">
            <w:col w:w="9399"/>
          </w:cols>
          <w:pgMar w:left="1060" w:top="764" w:right="1440" w:bottom="1440" w:gutter="0" w:footer="0" w:header="0"/>
        </w:sectPr>
      </w:pPr>
    </w:p>
    <w:bookmarkStart w:id="206" w:name="page207"/>
    <w:bookmarkEnd w:id="206"/>
    <w:p>
      <w:pPr>
        <w:jc w:val="center"/>
        <w:ind w:right="616"/>
        <w:spacing w:after="0"/>
        <w:rPr>
          <w:sz w:val="20"/>
          <w:szCs w:val="20"/>
          <w:color w:val="auto"/>
        </w:rPr>
      </w:pPr>
      <w:r>
        <w:rPr>
          <w:rFonts w:ascii="Courier New" w:cs="Courier New" w:eastAsia="Courier New" w:hAnsi="Courier New"/>
          <w:sz w:val="13"/>
          <w:szCs w:val="13"/>
          <w:color w:val="auto"/>
        </w:rPr>
        <w:t>8</w:t>
      </w:r>
    </w:p>
    <w:p>
      <w:pPr>
        <w:spacing w:after="0" w:line="333"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product of (x) the Five Year Warrant Exchange</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Ratio and (y) a fraction equal to one minus the</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Cash Fraction.</w:t>
      </w:r>
    </w:p>
    <w:p>
      <w:pPr>
        <w:spacing w:after="0" w:line="166" w:lineRule="exact"/>
        <w:rPr>
          <w:sz w:val="20"/>
          <w:szCs w:val="20"/>
          <w:color w:val="auto"/>
        </w:rPr>
      </w:pPr>
    </w:p>
    <w:p>
      <w:pPr>
        <w:ind w:left="-337" w:right="4799" w:firstLine="421"/>
        <w:spacing w:after="0" w:line="243" w:lineRule="auto"/>
        <w:tabs>
          <w:tab w:leader="none" w:pos="49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aggregate number of Securities Election Shares exceeds the Securities Election Number, all Cash Election Shares (other than Dissenting Shares) and all Non-Election Shares shall be converted into the right to receive cash, and all Securities Election Shares shall be converted into the right to receive shares of Viacom Class B Common Stock, CVRs, Viacom Merger Debentures, Warrants and cash in the following manner:</w:t>
      </w:r>
    </w:p>
    <w:p>
      <w:pPr>
        <w:spacing w:after="0" w:line="161"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each Securities Election Share shall be converted</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into the right to receive (i) a number of shares</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of Viacom Class B Common Stock equal to the</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product of (x) the Class B Exchange Ratio and (y)</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a fraction (the "Securities Fraction"), the</w:t>
      </w:r>
    </w:p>
    <w:p>
      <w:pPr>
        <w:spacing w:after="0" w:line="2" w:lineRule="exact"/>
        <w:rPr>
          <w:sz w:val="20"/>
          <w:szCs w:val="20"/>
          <w:color w:val="auto"/>
        </w:rPr>
      </w:pPr>
    </w:p>
    <w:p>
      <w:pPr>
        <w:ind w:left="1503"/>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numerator of which shall be the Securities</w:t>
      </w:r>
    </w:p>
    <w:p>
      <w:pPr>
        <w:spacing w:after="0" w:line="5" w:lineRule="exact"/>
        <w:rPr>
          <w:sz w:val="20"/>
          <w:szCs w:val="20"/>
          <w:color w:val="auto"/>
        </w:rPr>
      </w:pPr>
    </w:p>
    <w:p>
      <w:pPr>
        <w:ind w:left="83"/>
        <w:spacing w:after="0"/>
        <w:rPr>
          <w:sz w:val="20"/>
          <w:szCs w:val="20"/>
          <w:color w:val="auto"/>
        </w:rPr>
      </w:pPr>
      <w:r>
        <w:rPr>
          <w:rFonts w:ascii="Courier New" w:cs="Courier New" w:eastAsia="Courier New" w:hAnsi="Courier New"/>
          <w:sz w:val="13"/>
          <w:szCs w:val="13"/>
          <w:color w:val="auto"/>
        </w:rPr>
        <w:t>Election Number and the denominator of which shall</w:t>
      </w:r>
    </w:p>
    <w:p>
      <w:pPr>
        <w:spacing w:after="0" w:line="14" w:lineRule="exact"/>
        <w:rPr>
          <w:sz w:val="20"/>
          <w:szCs w:val="20"/>
          <w:color w:val="auto"/>
        </w:rPr>
      </w:pPr>
    </w:p>
    <w:p>
      <w:pPr>
        <w:ind w:left="83"/>
        <w:spacing w:after="0"/>
        <w:rPr>
          <w:sz w:val="20"/>
          <w:szCs w:val="20"/>
          <w:color w:val="auto"/>
        </w:rPr>
      </w:pPr>
      <w:r>
        <w:rPr>
          <w:rFonts w:ascii="Courier New" w:cs="Courier New" w:eastAsia="Courier New" w:hAnsi="Courier New"/>
          <w:sz w:val="13"/>
          <w:szCs w:val="13"/>
          <w:color w:val="auto"/>
        </w:rPr>
        <w:t>be the total number of Securities Election Shares,</w:t>
      </w:r>
    </w:p>
    <w:p>
      <w:pPr>
        <w:spacing w:after="0" w:line="14" w:lineRule="exact"/>
        <w:rPr>
          <w:sz w:val="20"/>
          <w:szCs w:val="20"/>
          <w:color w:val="auto"/>
        </w:rPr>
      </w:pPr>
    </w:p>
    <w:p>
      <w:pPr>
        <w:ind w:left="83" w:right="4799" w:firstLine="1"/>
        <w:spacing w:after="0" w:line="262" w:lineRule="auto"/>
        <w:tabs>
          <w:tab w:leader="none" w:pos="501" w:val="left"/>
        </w:tabs>
        <w:numPr>
          <w:ilvl w:val="1"/>
          <w:numId w:val="2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number of CVRs equal to the product of (x) the CVR Exchange Ratio and (y) the Securities Fraction, (iii) the principal amount of Viacom Merger Debentures equal to the product of (x) the Debenture Exchange Ratio and (y) the Securities Fraction, (iv) a number of Three Year Warrants equal to the product of (x) the Three Year Warrant Exchange Ratio and (y) the Securities Fraction,</w:t>
      </w:r>
    </w:p>
    <w:p>
      <w:pPr>
        <w:spacing w:after="0" w:line="1" w:lineRule="exact"/>
        <w:rPr>
          <w:rFonts w:ascii="Courier New" w:cs="Courier New" w:eastAsia="Courier New" w:hAnsi="Courier New"/>
          <w:sz w:val="13"/>
          <w:szCs w:val="13"/>
          <w:color w:val="auto"/>
        </w:rPr>
      </w:pPr>
    </w:p>
    <w:p>
      <w:pPr>
        <w:ind w:left="83" w:right="4799" w:firstLine="1"/>
        <w:spacing w:after="0" w:line="242" w:lineRule="auto"/>
        <w:tabs>
          <w:tab w:leader="none" w:pos="418"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number of Five Year Warrants equal to the product of (x) the Five Year Warrant Exchange Ratio and (y) the Securities Fraction and (vi) an amount in cash, without interest, equal to the product of (x) the Per Share Cash Amount and (y) a fraction equal to one minus the Securities Fraction.</w:t>
      </w:r>
    </w:p>
    <w:p>
      <w:pPr>
        <w:spacing w:after="0" w:line="167" w:lineRule="exact"/>
        <w:rPr>
          <w:rFonts w:ascii="Courier New" w:cs="Courier New" w:eastAsia="Courier New" w:hAnsi="Courier New"/>
          <w:sz w:val="14"/>
          <w:szCs w:val="14"/>
          <w:color w:val="auto"/>
        </w:rPr>
      </w:pPr>
    </w:p>
    <w:p>
      <w:pPr>
        <w:ind w:left="-337" w:right="4879" w:firstLine="337"/>
        <w:spacing w:after="0" w:line="263" w:lineRule="auto"/>
        <w:tabs>
          <w:tab w:leader="none" w:pos="499" w:val="left"/>
        </w:tabs>
        <w:numPr>
          <w:ilvl w:val="0"/>
          <w:numId w:val="2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that neither Section 1.6(b)(iv) nor Section 1.6(b)(v) above is applicable, all Cash Election shares shall be converted into the right to receive cash, all Securities Election Shares shall be converted into the right to receive shares of Viacom Class B Common Stock, CVRs, Viacom Merger Debentures and Warrants, and the Non-Election Shares, if any, shall be converted into the right to receive shares of Viacom Class B Common Stock, CVRs, Viacom Merger Debentures, Warrants and cash in the following manner:</w:t>
      </w:r>
    </w:p>
    <w:p>
      <w:pPr>
        <w:spacing w:after="0" w:line="154"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each Non-Election Share shall be converted into</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the right to receive (i) an amount in cash,</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without interest, equal to the product of (x) the</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Per Share Cash Amount and (y) a fraction (the</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"Non-Election Fraction"), the numerator of which</w:t>
      </w:r>
    </w:p>
    <w:p>
      <w:pPr>
        <w:spacing w:after="0" w:line="2" w:lineRule="exact"/>
        <w:rPr>
          <w:sz w:val="20"/>
          <w:szCs w:val="20"/>
          <w:color w:val="auto"/>
        </w:rPr>
      </w:pPr>
    </w:p>
    <w:p>
      <w:pPr>
        <w:ind w:left="163"/>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83"/>
        <w:spacing w:after="0"/>
        <w:rPr>
          <w:sz w:val="20"/>
          <w:szCs w:val="20"/>
          <w:color w:val="auto"/>
        </w:rPr>
      </w:pPr>
      <w:r>
        <w:rPr>
          <w:rFonts w:ascii="Courier New" w:cs="Courier New" w:eastAsia="Courier New" w:hAnsi="Courier New"/>
          <w:sz w:val="14"/>
          <w:szCs w:val="14"/>
          <w:color w:val="auto"/>
        </w:rPr>
        <w:t>shall be the excess of the Cash Election Number</w:t>
      </w:r>
    </w:p>
    <w:p>
      <w:pPr>
        <w:spacing w:after="0" w:line="163" w:lineRule="exact"/>
        <w:rPr>
          <w:sz w:val="20"/>
          <w:szCs w:val="20"/>
          <w:color w:val="auto"/>
        </w:rPr>
      </w:pPr>
    </w:p>
    <w:p>
      <w:pPr>
        <w:ind w:left="2183"/>
        <w:spacing w:after="0"/>
        <w:rPr>
          <w:sz w:val="20"/>
          <w:szCs w:val="20"/>
          <w:color w:val="auto"/>
        </w:rPr>
      </w:pPr>
      <w:r>
        <w:rPr>
          <w:rFonts w:ascii="Courier New" w:cs="Courier New" w:eastAsia="Courier New" w:hAnsi="Courier New"/>
          <w:sz w:val="14"/>
          <w:szCs w:val="14"/>
          <w:color w:val="auto"/>
        </w:rPr>
        <w:t>I-8</w:t>
      </w:r>
    </w:p>
    <w:p>
      <w:pPr>
        <w:sectPr>
          <w:pgSz w:w="11900" w:h="16838" w:orient="portrait"/>
          <w:cols w:equalWidth="0" w:num="1">
            <w:col w:w="9062"/>
          </w:cols>
          <w:pgMar w:left="1397" w:top="764" w:right="1440" w:bottom="1440" w:gutter="0" w:footer="0" w:header="0"/>
        </w:sectPr>
      </w:pPr>
    </w:p>
    <w:bookmarkStart w:id="207" w:name="page208"/>
    <w:bookmarkEnd w:id="207"/>
    <w:p>
      <w:pPr>
        <w:jc w:val="right"/>
        <w:ind w:right="4799"/>
        <w:spacing w:after="0"/>
        <w:rPr>
          <w:sz w:val="20"/>
          <w:szCs w:val="20"/>
          <w:color w:val="auto"/>
        </w:rPr>
      </w:pPr>
      <w:r>
        <w:rPr>
          <w:rFonts w:ascii="Courier New" w:cs="Courier New" w:eastAsia="Courier New" w:hAnsi="Courier New"/>
          <w:sz w:val="14"/>
          <w:szCs w:val="14"/>
          <w:color w:val="auto"/>
        </w:rPr>
        <w:t>9</w:t>
      </w:r>
    </w:p>
    <w:p>
      <w:pPr>
        <w:spacing w:after="0" w:line="32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over the total number of Cash Election Shares and</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the denominator of which shall be the excess of</w:t>
      </w:r>
    </w:p>
    <w:p>
      <w:pPr>
        <w:spacing w:after="0" w:line="5" w:lineRule="exact"/>
        <w:rPr>
          <w:sz w:val="20"/>
          <w:szCs w:val="20"/>
          <w:color w:val="auto"/>
        </w:rPr>
      </w:pPr>
    </w:p>
    <w:p>
      <w:pPr>
        <w:ind w:left="1260" w:right="4799" w:firstLine="1"/>
        <w:spacing w:after="0" w:line="262" w:lineRule="auto"/>
        <w:tabs>
          <w:tab w:leader="none" w:pos="1595"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number of shares of Paramount Common Stock outstanding immediately prior to the Effective Time over (B) the sum of the total number of Cash Election Shares and the total number of Securities Election Shares, (ii) a number of shares of Viacom Class B Common Stock equal to the product of (x) the Class B Exchange Ratio and (y) a fraction equal to one minus the Non-Election Fraction, (iii) a number of CVRs equal to the product of (x) the CVR Exchange Ratio and (y) a fraction equal to one minus the Non-Election Fraction, (iv) the principal amount of Viacom Merger Debentures equal to the product of (x) the Debenture Exchange Ratio and (y) a fraction equal to one minus the Non-Election Fraction, (v) a number of Three Year Warrants equal to the product of (x) the Three Year Warrant Exchange Ratio and (y) a fraction equal to one minus the Non-Election Fraction and (vi) a number of Five Year Warrants equal to the product of (x) the Five Year Warrant Exchange Ratio and (y) a fraction equal to one minus the Non-Election Fraction.</w:t>
      </w:r>
    </w:p>
    <w:p>
      <w:pPr>
        <w:spacing w:after="0" w:line="322" w:lineRule="exact"/>
        <w:rPr>
          <w:sz w:val="20"/>
          <w:szCs w:val="20"/>
          <w:color w:val="auto"/>
        </w:rPr>
      </w:pPr>
    </w:p>
    <w:p>
      <w:pPr>
        <w:ind w:left="1680" w:hanging="586"/>
        <w:spacing w:after="0"/>
        <w:tabs>
          <w:tab w:leader="none" w:pos="1680"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Agent shall make all</w:t>
      </w:r>
    </w:p>
    <w:p>
      <w:pPr>
        <w:spacing w:after="0" w:line="4" w:lineRule="exact"/>
        <w:rPr>
          <w:rFonts w:ascii="Courier New" w:cs="Courier New" w:eastAsia="Courier New" w:hAnsi="Courier New"/>
          <w:sz w:val="14"/>
          <w:szCs w:val="14"/>
          <w:color w:val="auto"/>
        </w:rPr>
      </w:pPr>
    </w:p>
    <w:p>
      <w:pPr>
        <w:ind w:left="840" w:right="495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computations contemplated by this Section 1.6 and all such computations shall be binding and conclusive on the holders of Paramount Common Stock.</w:t>
      </w:r>
    </w:p>
    <w:p>
      <w:pPr>
        <w:spacing w:after="0" w:line="165" w:lineRule="exact"/>
        <w:rPr>
          <w:rFonts w:ascii="Courier New" w:cs="Courier New" w:eastAsia="Courier New" w:hAnsi="Courier New"/>
          <w:sz w:val="14"/>
          <w:szCs w:val="14"/>
          <w:color w:val="auto"/>
        </w:rPr>
      </w:pPr>
    </w:p>
    <w:p>
      <w:pPr>
        <w:ind w:left="420" w:right="4799" w:firstLine="423"/>
        <w:spacing w:after="0" w:line="242" w:lineRule="auto"/>
        <w:tabs>
          <w:tab w:leader="none" w:pos="125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Paramount Common Stock held in the treasury of Paramount and each share of Paramount Common Stock owned by Viacom or any direct or indirect wholly owned subsidiary of Viacom or of Paramount immediately prior to the Effective Time shall automatically be canceled and extinguished without any conversion thereof and no payment shall be made with respect thereto.</w:t>
      </w:r>
    </w:p>
    <w:p>
      <w:pPr>
        <w:spacing w:after="0" w:line="167" w:lineRule="exact"/>
        <w:rPr>
          <w:rFonts w:ascii="Courier New" w:cs="Courier New" w:eastAsia="Courier New" w:hAnsi="Courier New"/>
          <w:sz w:val="14"/>
          <w:szCs w:val="14"/>
          <w:color w:val="auto"/>
        </w:rPr>
      </w:pPr>
    </w:p>
    <w:p>
      <w:pPr>
        <w:ind w:left="420" w:right="4879" w:firstLine="423"/>
        <w:spacing w:after="0" w:line="242" w:lineRule="auto"/>
        <w:tabs>
          <w:tab w:leader="none" w:pos="125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Reverse Merger, each share of common stock of Merger Subsidiary issued and outstanding immediately prior to the Effective Time shall be converted into and exchanged for one validly issued, fully paid and nonassessable share of common stock of the Surviving Corporation.</w:t>
      </w:r>
    </w:p>
    <w:p>
      <w:pPr>
        <w:spacing w:after="0" w:line="164"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1.7.</w:t>
      </w:r>
      <w:r>
        <w:rPr>
          <w:sz w:val="20"/>
          <w:szCs w:val="20"/>
          <w:color w:val="auto"/>
        </w:rPr>
        <w:tab/>
      </w:r>
      <w:r>
        <w:rPr>
          <w:rFonts w:ascii="Courier New" w:cs="Courier New" w:eastAsia="Courier New" w:hAnsi="Courier New"/>
          <w:sz w:val="13"/>
          <w:szCs w:val="13"/>
          <w:color w:val="auto"/>
        </w:rPr>
        <w:t>Exchange of Certificates and Cash.</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hanging="414"/>
        <w:spacing w:after="0"/>
        <w:tabs>
          <w:tab w:leader="none" w:pos="4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As of the Effective Time (in the case</w:t>
      </w:r>
    </w:p>
    <w:p>
      <w:pPr>
        <w:spacing w:after="0" w:line="2"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of a Merger to which Section 1.6(a) applies) or promptly after completion of the allocation procedures set forth in Section 1.6 (in the case of a Merger to which Section 1.6(b) applies), Viacom shall deposit, or shall cause to be deposited, with or for the account of a bank or trust company designated by Viacom, which shall be reasonably satisfactory to Paramount (the "Exchange</w:t>
      </w:r>
    </w:p>
    <w:p>
      <w:pPr>
        <w:ind w:left="4360"/>
        <w:spacing w:after="0" w:line="237"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for the benefit of the holders of shares of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(other than Dissenting Shares), for exchange in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I-9</w:t>
      </w:r>
    </w:p>
    <w:p>
      <w:pPr>
        <w:sectPr>
          <w:pgSz w:w="11900" w:h="16838" w:orient="portrait"/>
          <w:cols w:equalWidth="0" w:num="1">
            <w:col w:w="10239"/>
          </w:cols>
          <w:pgMar w:left="220" w:top="761" w:right="1440" w:bottom="1440" w:gutter="0" w:footer="0" w:header="0"/>
        </w:sectPr>
      </w:pPr>
    </w:p>
    <w:bookmarkStart w:id="208" w:name="page209"/>
    <w:bookmarkEnd w:id="208"/>
    <w:p>
      <w:pPr>
        <w:jc w:val="center"/>
        <w:ind w:right="-480"/>
        <w:spacing w:after="0"/>
        <w:rPr>
          <w:sz w:val="20"/>
          <w:szCs w:val="20"/>
          <w:color w:val="auto"/>
        </w:rPr>
      </w:pPr>
      <w:r>
        <w:rPr>
          <w:rFonts w:ascii="Courier New" w:cs="Courier New" w:eastAsia="Courier New" w:hAnsi="Courier New"/>
          <w:sz w:val="13"/>
          <w:szCs w:val="13"/>
          <w:color w:val="auto"/>
        </w:rPr>
        <w:t>10</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accordance with this Article I, through the Exchange Agent, (i) certificates evidencing the shares of Viacom Class B Common Stock, the Viacom Merger Debentures, the Warrants and the CVRs issuable pursuant to Section 1.6 in exchange for outstanding shares of Paramount Common Stock and (ii) cash, if any, in the aggregate amount required to be exchanged for shares of Paramount Common Stock pursuant to Section 1.6 (the "Exchange Cash</w:t>
      </w:r>
    </w:p>
    <w:p>
      <w:pPr>
        <w:ind w:left="3600"/>
        <w:spacing w:after="0" w:line="237"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(such certificates for shares of Viacom Class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Common Stock, the Viacom Merger Debentures, the Warrants and the CVRs, together with any dividends or distributions with respect thereto, and the Exchange Cash Consideration, if any, being hereafter collectively referred to as the "Exchange Fund"). The</w:t>
      </w:r>
    </w:p>
    <w:p>
      <w:pPr>
        <w:ind w:left="360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4" w:lineRule="auto"/>
        <w:rPr>
          <w:sz w:val="20"/>
          <w:szCs w:val="20"/>
          <w:color w:val="auto"/>
        </w:rPr>
      </w:pPr>
      <w:r>
        <w:rPr>
          <w:rFonts w:ascii="Courier New" w:cs="Courier New" w:eastAsia="Courier New" w:hAnsi="Courier New"/>
          <w:sz w:val="13"/>
          <w:szCs w:val="13"/>
          <w:color w:val="auto"/>
        </w:rPr>
        <w:t>Exchange Agent shall, pursuant to irrevocable instructions, deliver the shares of Viacom Class B Common Stock, the Viacom Merger Debentures, Warrants, CVRs and cash, if any, contemplated to be issued pursuant to Section 1.6 out of the Exchange Fund to holders of shares of Paramount Common Stock. Except as contemplated by Section 1.7(d) hereof, the Exchange Fund shall not be used for any other purpose. Any interest, dividends or other income earned on the investment of cash or other property held in the Exchange Fund shall be for the account of Viacom.</w:t>
      </w:r>
    </w:p>
    <w:p>
      <w:pPr>
        <w:spacing w:after="0" w:line="149" w:lineRule="exact"/>
        <w:rPr>
          <w:sz w:val="20"/>
          <w:szCs w:val="20"/>
          <w:color w:val="auto"/>
        </w:rPr>
      </w:pPr>
    </w:p>
    <w:p>
      <w:pPr>
        <w:ind w:left="1260" w:hanging="417"/>
        <w:spacing w:after="0"/>
        <w:tabs>
          <w:tab w:leader="none" w:pos="12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practicable after the Effective Time, Viacom will instruct the Exchange Agent to mail to each holder of record of a certificate or certificates which immediately prior to the Effective Time evidenced outstanding shares of Paramount Common Stock (other than Dissenting Shares) (the "Certificates"), (i) a letter of</w:t>
      </w:r>
    </w:p>
    <w:p>
      <w:pPr>
        <w:ind w:left="252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transmittal (which shall specify that delivery shall be effected, and risk of loss and title to the Certificates shall pass, only upon proper delivery of the Certificates to the Exchange Agent and shall be in such form and have such other provisions as Viacom may reasonably specify) and (ii) instructions to effect the surrender of the Certificates in exchange for the certificates evidencing shares of Viacom Class B Common Stock, the Viacom Merger Debentures, CVRs, Warrants and cash.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 (A) certificates evidencing that number of whole shares of Viacom Class B Common Stock and that number of whole CVRs, Viacom Merger Debentures and Warrants which such holder has the right to receive in accordance with Section 1.6 in respect of the shares of Paramount Common Stock formerly evidenced by such Certificate, (B) cash, if any, which such holder has the right to receive in accordance with Section 1.6,</w:t>
      </w:r>
    </w:p>
    <w:p>
      <w:pPr>
        <w:spacing w:after="0" w:line="152" w:lineRule="exact"/>
        <w:rPr>
          <w:sz w:val="20"/>
          <w:szCs w:val="20"/>
          <w:color w:val="auto"/>
        </w:rPr>
      </w:pPr>
    </w:p>
    <w:p>
      <w:pPr>
        <w:ind w:right="4879" w:firstLine="6"/>
        <w:spacing w:after="0" w:line="262" w:lineRule="auto"/>
        <w:tabs>
          <w:tab w:leader="none" w:pos="335" w:val="left"/>
        </w:tabs>
        <w:numPr>
          <w:ilvl w:val="0"/>
          <w:numId w:val="2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dividends or other distributions to which such holder is entitled pursuant to Section 1.7(c), and (D) cash in lieu of fractional shares of Viacom Class B Common Stock and fractional CVRs, Viacom Merger Debentures and Warrants to which such holder is entitled pursuant to Section 1.7(d) (the shares of Viacom Class B Common Stock, CVRs, Viacom Merger Debentures, Warrants, dividends, distributions and cash described in clauses (A), (B),</w:t>
      </w:r>
    </w:p>
    <w:p>
      <w:pPr>
        <w:ind w:left="340" w:hanging="334"/>
        <w:spacing w:after="0"/>
        <w:tabs>
          <w:tab w:leader="none" w:pos="340" w:val="left"/>
        </w:tabs>
        <w:numPr>
          <w:ilvl w:val="0"/>
          <w:numId w:val="2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and (D) being, collectively, the "Merger Consideration"), and</w:t>
      </w:r>
    </w:p>
    <w:p>
      <w:pPr>
        <w:spacing w:after="0" w:line="1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I-10</w:t>
      </w:r>
    </w:p>
    <w:p>
      <w:pPr>
        <w:sectPr>
          <w:pgSz w:w="11900" w:h="16838" w:orient="portrait"/>
          <w:cols w:equalWidth="0" w:num="1">
            <w:col w:w="10239"/>
          </w:cols>
          <w:pgMar w:left="220" w:top="764" w:right="1440" w:bottom="1440" w:gutter="0" w:footer="0" w:header="0"/>
        </w:sectPr>
      </w:pPr>
    </w:p>
    <w:bookmarkStart w:id="209" w:name="page210"/>
    <w:bookmarkEnd w:id="209"/>
    <w:p>
      <w:pPr>
        <w:jc w:val="center"/>
        <w:ind w:right="-480"/>
        <w:spacing w:after="0"/>
        <w:rPr>
          <w:sz w:val="20"/>
          <w:szCs w:val="20"/>
          <w:color w:val="auto"/>
        </w:rPr>
      </w:pPr>
      <w:r>
        <w:rPr>
          <w:rFonts w:ascii="Courier New" w:cs="Courier New" w:eastAsia="Courier New" w:hAnsi="Courier New"/>
          <w:sz w:val="14"/>
          <w:szCs w:val="14"/>
          <w:color w:val="auto"/>
        </w:rPr>
        <w:t>11</w:t>
      </w:r>
    </w:p>
    <w:p>
      <w:pPr>
        <w:spacing w:after="0" w:line="327"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the Certificate so surrendered shall forthwith be canceled. In the event of a transfer of ownership of shares of Paramount Common Stock which is not registered in the transfer records of Paramount, shares of Viacom Class B Common Stock, CVRs, Viacom Merger Debentures, Warrants and cash may be issued and paid in accordance with this Article I to a transferee if the Certificate evidencing such shares of Paramount Common Stock is presented to the Exchange Agent, accompanied by all documents required to evidence and effect such transfer and by evidence that any applicable stock transfer taxes have been paid. Until surrendered as contemplated by this Section 1.7, each Certificate shall be deemed at any time after the Effective Time to evidence only the right to receive upon such surrender the Merger Consideration.</w:t>
      </w:r>
    </w:p>
    <w:p>
      <w:pPr>
        <w:spacing w:after="0" w:line="163" w:lineRule="exact"/>
        <w:rPr>
          <w:sz w:val="20"/>
          <w:szCs w:val="20"/>
          <w:color w:val="auto"/>
        </w:rPr>
      </w:pPr>
    </w:p>
    <w:p>
      <w:pPr>
        <w:ind w:left="1260" w:hanging="417"/>
        <w:spacing w:after="0"/>
        <w:tabs>
          <w:tab w:leader="none" w:pos="1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Class B Common Stock, CVRs, Viacom Merger Debentures</w:t>
      </w:r>
    </w:p>
    <w:p>
      <w:pPr>
        <w:spacing w:after="0" w:line="5" w:lineRule="exact"/>
        <w:rPr>
          <w:sz w:val="20"/>
          <w:szCs w:val="20"/>
          <w:color w:val="auto"/>
        </w:rPr>
      </w:pPr>
    </w:p>
    <w:p>
      <w:pPr>
        <w:ind w:left="180" w:hanging="174"/>
        <w:spacing w:after="0"/>
        <w:tabs>
          <w:tab w:leader="none" w:pos="180" w:val="left"/>
        </w:tabs>
        <w:numPr>
          <w:ilvl w:val="0"/>
          <w:numId w:val="2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and Warrants.  No dividends or other distributions declared or</w:t>
      </w:r>
    </w:p>
    <w:p>
      <w:pPr>
        <w:spacing w:after="0" w:line="2"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made after the Effective Time with respect to shares of Viacom Class B Common Stock, CVRs, Viacom Merger Debentures and Warrants with a record date after the Effective Time shall be paid to the holder of any unsurrendered Certificate with respect to the shares of Viacom Class B Common Stock, CVRs, Viacom Merger Debentures or Warrants they are entitled to receive until the holder of such Certificate shall surrender such Certificate.</w:t>
      </w:r>
    </w:p>
    <w:p>
      <w:pPr>
        <w:spacing w:after="0" w:line="165" w:lineRule="exact"/>
        <w:rPr>
          <w:sz w:val="20"/>
          <w:szCs w:val="20"/>
          <w:color w:val="auto"/>
        </w:rPr>
      </w:pPr>
    </w:p>
    <w:p>
      <w:pPr>
        <w:ind w:left="1260" w:hanging="417"/>
        <w:spacing w:after="0"/>
        <w:tabs>
          <w:tab w:leader="none" w:pos="126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CVRs, Viacom Merger Debentures</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240" w:val="left"/>
          <w:tab w:leader="none" w:pos="1660" w:val="left"/>
        </w:tabs>
        <w:rPr>
          <w:sz w:val="20"/>
          <w:szCs w:val="20"/>
          <w:color w:val="auto"/>
        </w:rPr>
      </w:pPr>
      <w:r>
        <w:rPr>
          <w:rFonts w:ascii="Courier New" w:cs="Courier New" w:eastAsia="Courier New" w:hAnsi="Courier New"/>
          <w:sz w:val="14"/>
          <w:szCs w:val="14"/>
          <w:color w:val="auto"/>
        </w:rPr>
        <w:t>and Warrants.</w:t>
        <w:tab/>
        <w:t>(i)</w:t>
      </w:r>
      <w:r>
        <w:rPr>
          <w:sz w:val="20"/>
          <w:szCs w:val="20"/>
          <w:color w:val="auto"/>
        </w:rPr>
        <w:tab/>
      </w:r>
      <w:r>
        <w:rPr>
          <w:rFonts w:ascii="Courier New" w:cs="Courier New" w:eastAsia="Courier New" w:hAnsi="Courier New"/>
          <w:sz w:val="13"/>
          <w:szCs w:val="13"/>
          <w:color w:val="auto"/>
        </w:rPr>
        <w:t>No fraction of a share of Viacom Class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Common Stock or fraction of a CVR, Viacom Merger Debenture or Warrant shall be issued in the Merger. In lieu of any such fractional shares or fractional CVRs, Viacom Merger Debentures or Warrants, each holder of Paramount Common Stock entitled to receive shares of Viacom Class B Common Stock, CVRs, Viacom Merger Debentures and Warrants in the Merger, upon surrender of a Certificate for exchange pursuant to this Section 1.7, shall be paid (1) an amount in cash (without interest), rounded to the nearest cent, determined by multiplying (x) the per share closing price on the American Stock Exchange ("AMEX") of Viacom Class B</w:t>
      </w:r>
    </w:p>
    <w:p>
      <w:pPr>
        <w:ind w:left="3260"/>
        <w:spacing w:after="0" w:line="238"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Common Stock on the date of the Effective Time (or, if shares of Viacom Class B Common Stock do not trade on the AMEX on such date, the first date of trading of such Viacom Class B Common Stock on the AMEX after the Effective Time) by (y) the fractional interest in Viacom Class B Stock to which such holder would otherwise be entitled (after taking into account all shares of Paramount Common Stock then held of record by such holder) plus</w:t>
      </w:r>
    </w:p>
    <w:p>
      <w:pPr>
        <w:ind w:left="494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firstLine="6"/>
        <w:spacing w:after="0" w:line="262" w:lineRule="auto"/>
        <w:tabs>
          <w:tab w:leader="none" w:pos="335" w:val="left"/>
        </w:tabs>
        <w:numPr>
          <w:ilvl w:val="0"/>
          <w:numId w:val="2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amount in cash (without interest), rounded to the nearest cent, determined by multiplying (x) the fair market value of one CVR, as determined by reference to a five day average trading price, if available, or if not available, in the reasonable judgment of the Viacom Board of Directors by (y) the fractional interest in a CVR to which such holder would otherwise be entitled (after taking into account all shares of Paramount Common Stock then held of record by such holder) plus (3) an</w:t>
      </w:r>
    </w:p>
    <w:p>
      <w:pPr>
        <w:ind w:left="410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76" w:lineRule="auto"/>
        <w:rPr>
          <w:sz w:val="20"/>
          <w:szCs w:val="20"/>
          <w:color w:val="auto"/>
        </w:rPr>
      </w:pPr>
      <w:r>
        <w:rPr>
          <w:rFonts w:ascii="Courier New" w:cs="Courier New" w:eastAsia="Courier New" w:hAnsi="Courier New"/>
          <w:sz w:val="13"/>
          <w:szCs w:val="13"/>
          <w:color w:val="auto"/>
        </w:rPr>
        <w:t>amount in cash (without interest) rounded to the nearest cent, determined by multiplying (x) the fair market value of one Three</w:t>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I-11</w:t>
      </w:r>
    </w:p>
    <w:p>
      <w:pPr>
        <w:sectPr>
          <w:pgSz w:w="11900" w:h="16838" w:orient="portrait"/>
          <w:cols w:equalWidth="0" w:num="1">
            <w:col w:w="10239"/>
          </w:cols>
          <w:pgMar w:left="220" w:top="761" w:right="1440" w:bottom="1440" w:gutter="0" w:footer="0" w:header="0"/>
        </w:sectPr>
      </w:pPr>
    </w:p>
    <w:bookmarkStart w:id="210" w:name="page211"/>
    <w:bookmarkEnd w:id="210"/>
    <w:p>
      <w:pPr>
        <w:jc w:val="center"/>
        <w:ind w:right="-480"/>
        <w:spacing w:after="0"/>
        <w:rPr>
          <w:sz w:val="20"/>
          <w:szCs w:val="20"/>
          <w:color w:val="auto"/>
        </w:rPr>
      </w:pPr>
      <w:r>
        <w:rPr>
          <w:rFonts w:ascii="Courier New" w:cs="Courier New" w:eastAsia="Courier New" w:hAnsi="Courier New"/>
          <w:sz w:val="13"/>
          <w:szCs w:val="13"/>
          <w:color w:val="auto"/>
        </w:rPr>
        <w:t>12</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Year Warrant, as determined by reference to a five day average trading price, if available, or if not available, in the reasonable judgment of the Viacom Board of Directors by (y) the fractional interest in a Three Year Warrant to which such holder would otherwise be entitled (after taking into account all shares of Paramount Common Stock then held of record by such holder) plus (4) an amount in cash (without interest) determined in</w:t>
      </w:r>
    </w:p>
    <w:p>
      <w:pPr>
        <w:spacing w:after="0" w:line="237" w:lineRule="auto"/>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accordance with clause (ii) of this Section 1.7(d) in respect of the fractional interest in a Viacom Merger Debenture to which such holder would otherwise be entitled (after taking into account all shares of Paramount Common Stock then held of record by such holder) plus (5) an amount in cash (without interest)</w:t>
      </w:r>
    </w:p>
    <w:p>
      <w:pPr>
        <w:ind w:left="134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rounded to the nearest cent, determined by multiplying (x) the fair market value of one Five Year Warrant, as determined by reference to a five day average trading price, if available, or if not available, in the reasonable judgment of the Viacom Board of Directors by (y) the fractional interest in a Five Year Warrant to which such holder would otherwise be entitled (after taking into account all shares of Paramount Common Stock then held of record by such holder).</w:t>
      </w:r>
    </w:p>
    <w:p>
      <w:pPr>
        <w:spacing w:after="0" w:line="169" w:lineRule="exact"/>
        <w:rPr>
          <w:sz w:val="20"/>
          <w:szCs w:val="20"/>
          <w:color w:val="auto"/>
        </w:rPr>
      </w:pPr>
    </w:p>
    <w:p>
      <w:pPr>
        <w:ind w:right="4799" w:firstLine="1177"/>
        <w:spacing w:after="0" w:line="263" w:lineRule="auto"/>
        <w:tabs>
          <w:tab w:leader="none" w:pos="1673" w:val="left"/>
        </w:tabs>
        <w:numPr>
          <w:ilvl w:val="1"/>
          <w:numId w:val="2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Viacom Merger Debentures shall be issued in the Merger only in principal amounts of $1,000 or integral multiples thereof. Holders of shares of Paramount Common Stock otherwise entitled to fractional amounts of Viacom Merger Debentures shall be entitled to receive promptly from the Exchange Agent a cash payment in an amount equal to such holder's proportionate interest (after taking into account all shares of Paramount Common Stock then held of record by such holder) in the proceeds from the sale or sales in the open market by the Exchange Agent, on behalf of all such holders, of the aggregate fractional principal amount of Viacom Merger Debentures.</w:t>
      </w:r>
    </w:p>
    <w:p>
      <w:pPr>
        <w:spacing w:after="0" w:line="153" w:lineRule="exact"/>
        <w:rPr>
          <w:rFonts w:ascii="Courier New" w:cs="Courier New" w:eastAsia="Courier New" w:hAnsi="Courier New"/>
          <w:sz w:val="13"/>
          <w:szCs w:val="13"/>
          <w:color w:val="auto"/>
        </w:rPr>
      </w:pPr>
    </w:p>
    <w:p>
      <w:pPr>
        <w:ind w:left="1260" w:hanging="417"/>
        <w:spacing w:after="0"/>
        <w:tabs>
          <w:tab w:leader="none" w:pos="126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Exchange Fund.  Any portion of the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Exchange Fund which remains undistributed to the holders of Paramount Common Stock for six months after the Effective Time shall be delivered to Viacom, upon demand, and any holders of Paramount Common Stock who have not theretofore complied with this Article I shall thereafter look only to Viacom for the Merger Consideration to which they are entitled pursuant to this Article I.</w:t>
      </w:r>
    </w:p>
    <w:p>
      <w:pPr>
        <w:spacing w:after="0" w:line="165" w:lineRule="exact"/>
        <w:rPr>
          <w:sz w:val="20"/>
          <w:szCs w:val="20"/>
          <w:color w:val="auto"/>
        </w:rPr>
      </w:pPr>
    </w:p>
    <w:p>
      <w:pPr>
        <w:ind w:left="1260" w:hanging="417"/>
        <w:spacing w:after="0"/>
        <w:tabs>
          <w:tab w:leader="none" w:pos="12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Neither Viacom nor Paramount shall</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be liable to any holder of shares of Paramount Common Stock for any such shares of Viacom Class B Common Stock, CVRs, Viacom Merger Debentures, Warrants (or dividends or distributions with respect thereto) or cash from the Exchange Fund delivered to a public official pursuant to any applicable abandoned property, escheat or similar law.</w:t>
      </w:r>
    </w:p>
    <w:p>
      <w:pPr>
        <w:spacing w:after="0" w:line="164" w:lineRule="exact"/>
        <w:rPr>
          <w:sz w:val="20"/>
          <w:szCs w:val="20"/>
          <w:color w:val="auto"/>
        </w:rPr>
      </w:pPr>
    </w:p>
    <w:p>
      <w:pPr>
        <w:ind w:left="1260" w:hanging="417"/>
        <w:spacing w:after="0"/>
        <w:tabs>
          <w:tab w:leader="none" w:pos="126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Rights.  Viacom or the Exchange Agent</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7" w:lineRule="auto"/>
        <w:rPr>
          <w:sz w:val="20"/>
          <w:szCs w:val="20"/>
          <w:color w:val="auto"/>
        </w:rPr>
      </w:pPr>
      <w:r>
        <w:rPr>
          <w:rFonts w:ascii="Courier New" w:cs="Courier New" w:eastAsia="Courier New" w:hAnsi="Courier New"/>
          <w:sz w:val="13"/>
          <w:szCs w:val="13"/>
          <w:color w:val="auto"/>
        </w:rPr>
        <w:t>shall be entitled to deduct and withhold from the consideration otherwise payable pursuant to this Agreement to any holder of shares of Paramount Common Stock such amounts as Viacom or the Exchange Agent is required to deduct and withhold with respect to</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I-12</w:t>
      </w:r>
    </w:p>
    <w:p>
      <w:pPr>
        <w:sectPr>
          <w:pgSz w:w="11900" w:h="16838" w:orient="portrait"/>
          <w:cols w:equalWidth="0" w:num="1">
            <w:col w:w="10239"/>
          </w:cols>
          <w:pgMar w:left="220" w:top="763" w:right="1440" w:bottom="1440" w:gutter="0" w:footer="0" w:header="0"/>
        </w:sectPr>
      </w:pPr>
    </w:p>
    <w:bookmarkStart w:id="211" w:name="page212"/>
    <w:bookmarkEnd w:id="211"/>
    <w:p>
      <w:pPr>
        <w:jc w:val="center"/>
        <w:ind w:right="-480"/>
        <w:spacing w:after="0"/>
        <w:rPr>
          <w:sz w:val="20"/>
          <w:szCs w:val="20"/>
          <w:color w:val="auto"/>
        </w:rPr>
      </w:pPr>
      <w:r>
        <w:rPr>
          <w:rFonts w:ascii="Courier New" w:cs="Courier New" w:eastAsia="Courier New" w:hAnsi="Courier New"/>
          <w:sz w:val="13"/>
          <w:szCs w:val="13"/>
          <w:color w:val="auto"/>
        </w:rPr>
        <w:t>13</w:t>
      </w:r>
    </w:p>
    <w:p>
      <w:pPr>
        <w:spacing w:after="0" w:line="33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the making of such payment under the Code, or any provision of state, local or foreign tax law. To the extent that amounts are so withheld by Viacom or the Exchange Agent, such withheld amounts shall be treated for all purposes of this Agreement as having been paid to the holder of the shares of Paramount Common Stock in respect of which such deduction and withholding was made by Viacom or the Exchange Agent.</w:t>
      </w:r>
    </w:p>
    <w:p>
      <w:pPr>
        <w:spacing w:after="0" w:line="165" w:lineRule="exact"/>
        <w:rPr>
          <w:sz w:val="20"/>
          <w:szCs w:val="20"/>
          <w:color w:val="auto"/>
        </w:rPr>
      </w:pPr>
    </w:p>
    <w:p>
      <w:pPr>
        <w:ind w:left="840"/>
        <w:spacing w:after="0"/>
        <w:tabs>
          <w:tab w:leader="none" w:pos="2000" w:val="left"/>
          <w:tab w:leader="none" w:pos="3920" w:val="left"/>
        </w:tabs>
        <w:rPr>
          <w:sz w:val="20"/>
          <w:szCs w:val="20"/>
          <w:color w:val="auto"/>
        </w:rPr>
      </w:pPr>
      <w:r>
        <w:rPr>
          <w:rFonts w:ascii="Courier New" w:cs="Courier New" w:eastAsia="Courier New" w:hAnsi="Courier New"/>
          <w:sz w:val="14"/>
          <w:szCs w:val="14"/>
          <w:color w:val="auto"/>
        </w:rPr>
        <w:t>SECTION 1.8.</w:t>
        <w:tab/>
        <w:t>Stock Transfer Books.</w:t>
      </w:r>
      <w:r>
        <w:rPr>
          <w:sz w:val="20"/>
          <w:szCs w:val="20"/>
          <w:color w:val="auto"/>
        </w:rPr>
        <w:tab/>
      </w:r>
      <w:r>
        <w:rPr>
          <w:rFonts w:ascii="Courier New" w:cs="Courier New" w:eastAsia="Courier New" w:hAnsi="Courier New"/>
          <w:sz w:val="13"/>
          <w:szCs w:val="13"/>
          <w:color w:val="auto"/>
        </w:rPr>
        <w:t>At the Effective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879"/>
        <w:spacing w:after="0" w:line="262" w:lineRule="auto"/>
        <w:rPr>
          <w:sz w:val="20"/>
          <w:szCs w:val="20"/>
          <w:color w:val="auto"/>
        </w:rPr>
      </w:pPr>
      <w:r>
        <w:rPr>
          <w:rFonts w:ascii="Courier New" w:cs="Courier New" w:eastAsia="Courier New" w:hAnsi="Courier New"/>
          <w:sz w:val="13"/>
          <w:szCs w:val="13"/>
          <w:color w:val="auto"/>
        </w:rPr>
        <w:t>Time, the stock transfer books of Paramount shall be closed, and there shall be no further registration of transfers of shares of Paramount Common Stock thereafter on the records of Paramount.</w:t>
      </w:r>
    </w:p>
    <w:p>
      <w:pPr>
        <w:ind w:right="4799"/>
        <w:spacing w:after="0" w:line="241" w:lineRule="auto"/>
        <w:rPr>
          <w:sz w:val="20"/>
          <w:szCs w:val="20"/>
          <w:color w:val="auto"/>
        </w:rPr>
      </w:pPr>
      <w:r>
        <w:rPr>
          <w:rFonts w:ascii="Courier New" w:cs="Courier New" w:eastAsia="Courier New" w:hAnsi="Courier New"/>
          <w:sz w:val="14"/>
          <w:szCs w:val="14"/>
          <w:color w:val="auto"/>
        </w:rPr>
        <w:t>On or after the Effective Time, any Certificates presented to the Exchange Agent or Viacom for any reason shall be converted into the Merger Consideration.</w:t>
      </w:r>
    </w:p>
    <w:p>
      <w:pPr>
        <w:spacing w:after="0" w:line="163" w:lineRule="exact"/>
        <w:rPr>
          <w:sz w:val="20"/>
          <w:szCs w:val="20"/>
          <w:color w:val="auto"/>
        </w:rPr>
      </w:pPr>
    </w:p>
    <w:p>
      <w:pPr>
        <w:ind w:left="840"/>
        <w:spacing w:after="0"/>
        <w:tabs>
          <w:tab w:leader="none" w:pos="2000" w:val="left"/>
          <w:tab w:leader="none" w:pos="4680" w:val="left"/>
          <w:tab w:leader="none" w:pos="5080" w:val="left"/>
        </w:tabs>
        <w:rPr>
          <w:sz w:val="20"/>
          <w:szCs w:val="20"/>
          <w:color w:val="auto"/>
        </w:rPr>
      </w:pPr>
      <w:r>
        <w:rPr>
          <w:rFonts w:ascii="Courier New" w:cs="Courier New" w:eastAsia="Courier New" w:hAnsi="Courier New"/>
          <w:sz w:val="14"/>
          <w:szCs w:val="14"/>
          <w:color w:val="auto"/>
        </w:rPr>
        <w:t>SECTION 1.9.</w:t>
        <w:tab/>
        <w:t>Stock Options; Payment Rights.</w:t>
        <w:tab/>
        <w:t>(a)</w:t>
        <w:tab/>
        <w:t>At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the Effective Time, Paramount's obligations with respect to each outstanding Stock Option (as defined in Section 3.3) to purchase shares of Paramount Common Stock, as amended in the manner described in the following sentence, shall be assumed by Viacom. The Stock Options so assumed by Viacom shall continue to have, and be subject to, the same terms and conditions as set forth in the stock option plans and agreements pursuant to which such Stock Options were issued as in effect immediately prior to the Effective Time, except that each such Stock Option shall be exercisable for (i) that number of whole shares of Viacom Class B Common Stock equal to the product of the number of shares of Paramount Common Stock covered by such Stock Option immediately prior to the Effective Time multiplied by the Class B Exchange Ratio and rounded up to the nearest whole number of shares of Viacom Class B Common Stock, (ii) that number of whole CVRs equal to the product of the number of shares of Paramount Common Stock covered by such Stock Option immediately prior to the Effective Time multiplied by the CVR Exchange Ratio and rounded up to the nearest whole number of CVRs; provided, that, if the option</w:t>
      </w:r>
    </w:p>
    <w:p>
      <w:pPr>
        <w:spacing w:after="0" w:line="15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holder has not exercised his or her Stock Option prior to the maturity of the CVRs, then the CVRs described above shall be replaced by that number of shares of Viacom Class B Common Stock equal in value to the amount by which the Target Price (as defined in Annex C hereto) exceeds the greater of the Current Market Value (as defined in Annex C hereto) and the Minimum Price (as defined in Annex C hereto) on the applicable maturity date multiplied by the number of such CVRs, rounded up to the nearest whole number of shares, (iii) that number of whole Three Year Warrants equal to the product of the number of shares of Paramount Common Stock covered by such Stock Option immediately prior to the Effective Time multiplied by the Three Year Warrant Exchange Ratio and rounded up to the nearest whole number of Three Year Warrants; provided, that, if the option holder has not</w:t>
      </w: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879"/>
        <w:spacing w:after="0" w:line="265" w:lineRule="auto"/>
        <w:rPr>
          <w:sz w:val="20"/>
          <w:szCs w:val="20"/>
          <w:color w:val="auto"/>
        </w:rPr>
      </w:pPr>
      <w:r>
        <w:rPr>
          <w:rFonts w:ascii="Courier New" w:cs="Courier New" w:eastAsia="Courier New" w:hAnsi="Courier New"/>
          <w:sz w:val="13"/>
          <w:szCs w:val="13"/>
          <w:color w:val="auto"/>
        </w:rPr>
        <w:t>exercised his or her Stock Option prior to the third anniversary of the Effective Time, then the Three Year Warrants described above shall be replaced by that number of shares of Viacom Class B Common Stock equal in value to the fair market value of such Three Year Warrants (as determined by reference to the average</w:t>
      </w:r>
    </w:p>
    <w:p>
      <w:pPr>
        <w:spacing w:after="0" w:line="1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I-13</w:t>
      </w:r>
    </w:p>
    <w:p>
      <w:pPr>
        <w:sectPr>
          <w:pgSz w:w="11900" w:h="16838" w:orient="portrait"/>
          <w:cols w:equalWidth="0" w:num="1">
            <w:col w:w="10239"/>
          </w:cols>
          <w:pgMar w:left="220" w:top="764" w:right="1440" w:bottom="1440" w:gutter="0" w:footer="0" w:header="0"/>
        </w:sectPr>
      </w:pPr>
    </w:p>
    <w:bookmarkStart w:id="212" w:name="page213"/>
    <w:bookmarkEnd w:id="212"/>
    <w:p>
      <w:pPr>
        <w:jc w:val="center"/>
        <w:ind w:right="-480"/>
        <w:spacing w:after="0"/>
        <w:rPr>
          <w:sz w:val="20"/>
          <w:szCs w:val="20"/>
          <w:color w:val="auto"/>
        </w:rPr>
      </w:pPr>
      <w:r>
        <w:rPr>
          <w:rFonts w:ascii="Courier New" w:cs="Courier New" w:eastAsia="Courier New" w:hAnsi="Courier New"/>
          <w:sz w:val="13"/>
          <w:szCs w:val="13"/>
          <w:color w:val="auto"/>
        </w:rPr>
        <w:t>14</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trading price for the five-day trading period immediately prior to the third anniversary of the Effective Time, if available, or, if not available, in the reasonable judgment of the Viacom Board of Directors), rounded up to the nearest whole number of shares;</w:t>
      </w:r>
    </w:p>
    <w:p>
      <w:pPr>
        <w:spacing w:after="0" w:line="1" w:lineRule="exact"/>
        <w:rPr>
          <w:sz w:val="20"/>
          <w:szCs w:val="20"/>
          <w:color w:val="auto"/>
        </w:rPr>
      </w:pPr>
    </w:p>
    <w:p>
      <w:pPr>
        <w:ind w:right="4799" w:firstLine="6"/>
        <w:spacing w:after="0" w:line="262" w:lineRule="auto"/>
        <w:tabs>
          <w:tab w:leader="none" w:pos="418" w:val="left"/>
        </w:tabs>
        <w:numPr>
          <w:ilvl w:val="0"/>
          <w:numId w:val="2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number of whole Five Year Warrants equal to the product of the number of shares of Paramount Common Stock covered by such Stock Option immediately prior to the Effective Time multiplied by the Five Year Warrant Exchange Ratio and rounded up to the nearest whole number of Five Year Warrants; provided, that, if</w:t>
      </w:r>
    </w:p>
    <w:p>
      <w:pPr>
        <w:ind w:left="36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the option holder has not exercised his or her Stock Option prior to the fifth anniversary of the Effective Time, then the Five Year Warrants described above shall be replaced by that number of shares of Viacom Class B Common Stock equal in value to the fair market value of such Five Year Warrants (as determined by reference to the average trading price for the five-day trading period immediately prior to the fifth anniversary of the Effective Time, if available, or if not available, in the reasonable judgment of the Viacom Board of Directors), rounded up to the nearest whole number of shares; and (v) that (A) principal amount of whole Viacom Merger Debentures equal to the product of the number of shares of Paramount Common Stock covered by such Stock Option immediately prior to the Effective Time multiplied by the Debenture Exchange Ratio plus an amount in cash (without</w:t>
      </w:r>
    </w:p>
    <w:p>
      <w:pPr>
        <w:ind w:left="2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interest), rounded to the nearest cent, determined by multiplying</w:t>
      </w:r>
    </w:p>
    <w:p>
      <w:pPr>
        <w:spacing w:after="0" w:line="14" w:lineRule="exact"/>
        <w:rPr>
          <w:sz w:val="20"/>
          <w:szCs w:val="20"/>
          <w:color w:val="auto"/>
        </w:rPr>
      </w:pPr>
    </w:p>
    <w:p>
      <w:pPr>
        <w:ind w:right="4799" w:firstLine="6"/>
        <w:spacing w:after="0" w:line="263" w:lineRule="auto"/>
        <w:tabs>
          <w:tab w:leader="none" w:pos="335" w:val="left"/>
        </w:tabs>
        <w:numPr>
          <w:ilvl w:val="0"/>
          <w:numId w:val="2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fair market value of one Viacom Merger Debenture, as determined by reference to a five day average trading price, if available, or if not available, in the reasonable judgment of the Viacom Board of Directors by (y) the fractional interest in a Viacom Merger Debenture to which such option holder would otherwise be entitled or (B) if issued, that number of whole shares of Viacom Exchange Preferred Stock (as defined in Annex B) equal to the product of the number of shares of Paramount Common Stock covered by such Stock Option immediately prior to the Effective Time multiplied by .35 and rounded up to the nearest whole number of shares of Viacom Exchange Preferred Stock or (C) if issued, that principal amount of whole Viacom Exchange Debentures (as defined in Annex B) equal to the product of the number of shares of Paramount Common Stock covered by such Stock Option immediately prior to the Effective Time multiplied by the Debenture Exchange Ratio plus an amount in cash (without</w:t>
      </w:r>
    </w:p>
    <w:p>
      <w:pPr>
        <w:spacing w:after="0" w:line="15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interest), rounded to the nearest cent, determined by multiplying</w:t>
      </w:r>
    </w:p>
    <w:p>
      <w:pPr>
        <w:spacing w:after="0" w:line="14" w:lineRule="exact"/>
        <w:rPr>
          <w:sz w:val="20"/>
          <w:szCs w:val="20"/>
          <w:color w:val="auto"/>
        </w:rPr>
      </w:pPr>
    </w:p>
    <w:p>
      <w:pPr>
        <w:ind w:right="4799" w:firstLine="6"/>
        <w:spacing w:after="0" w:line="242" w:lineRule="auto"/>
        <w:tabs>
          <w:tab w:leader="none" w:pos="33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one Viacom Exchange Debenture, as determined by reference to a five day average trading price, if available, or if not available, in the reasonable judgment of the Viacom Board of Directors by (y) the fractional interest in a Viacom Exchange Debenture to which such option holder would otherwise be entitled, provided that there shall be no such</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rounding up with respect to Incentive Stock Options (as defined below). Viacom shall (i) reserve for issuance the number of shares of Viacom Class B Common Stock, CVRs, Viacom Merger Debentures and Warrants that will become issuable upon the exercise of such Stock Options pursuant to this Section 1.9 and</w:t>
      </w:r>
    </w:p>
    <w:p>
      <w:pPr>
        <w:spacing w:after="0" w:line="1" w:lineRule="exact"/>
        <w:rPr>
          <w:sz w:val="20"/>
          <w:szCs w:val="20"/>
          <w:color w:val="auto"/>
        </w:rPr>
      </w:pPr>
    </w:p>
    <w:p>
      <w:pPr>
        <w:ind w:right="4879" w:firstLine="6"/>
        <w:spacing w:after="0" w:line="269" w:lineRule="auto"/>
        <w:tabs>
          <w:tab w:leader="none" w:pos="418" w:val="left"/>
        </w:tabs>
        <w:numPr>
          <w:ilvl w:val="0"/>
          <w:numId w:val="2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promptly after the Effective Time, issue to each holder of an outstanding Stock Option a document evidencing the assumption by Viacom of Paramount's obligations with respect thereto under</w:t>
      </w:r>
    </w:p>
    <w:p>
      <w:pPr>
        <w:spacing w:after="0" w:line="1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I-14</w:t>
      </w:r>
    </w:p>
    <w:p>
      <w:pPr>
        <w:sectPr>
          <w:pgSz w:w="11900" w:h="16838" w:orient="portrait"/>
          <w:cols w:equalWidth="0" w:num="1">
            <w:col w:w="10239"/>
          </w:cols>
          <w:pgMar w:left="220" w:top="764" w:right="1440" w:bottom="1440" w:gutter="0" w:footer="0" w:header="0"/>
        </w:sectPr>
      </w:pPr>
    </w:p>
    <w:bookmarkStart w:id="213" w:name="page214"/>
    <w:bookmarkEnd w:id="213"/>
    <w:p>
      <w:pPr>
        <w:jc w:val="center"/>
        <w:ind w:right="-480"/>
        <w:spacing w:after="0"/>
        <w:rPr>
          <w:sz w:val="20"/>
          <w:szCs w:val="20"/>
          <w:color w:val="auto"/>
        </w:rPr>
      </w:pPr>
      <w:r>
        <w:rPr>
          <w:rFonts w:ascii="Courier New" w:cs="Courier New" w:eastAsia="Courier New" w:hAnsi="Courier New"/>
          <w:sz w:val="13"/>
          <w:szCs w:val="13"/>
          <w:color w:val="auto"/>
        </w:rPr>
        <w:t>15</w:t>
      </w:r>
    </w:p>
    <w:p>
      <w:pPr>
        <w:spacing w:after="0" w:line="33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this Section 1.9. Nothing in this Section 1.9 shall affect the schedule of vesting with respect to the Stock Options to be assumed by Viacom as provided in this Section 1.9. In the case of any Stock Option to which Section 421 of the Code applies by reason of its qualification under Section 422 of the Code (an "Incentive Stock Option"), the option price, the number and type</w:t>
      </w:r>
    </w:p>
    <w:p>
      <w:pPr>
        <w:ind w:left="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of shares purchasable pursuant to such Incentive Stock Option and the terms and conditions of exercise of such Incentive Stock Option shall be determined immediately after the Effective Time in such manner as to comply with Section 424(a) of the Code. To preserve the qualification of all Incentive Stock Options under Section 422 of the Code, (i) in addition to the Viacom Class B Common Stock and (ii) in lieu of all CVRs, Viacom Merger Debentures or Warrants for which an Incentive Stock Option would otherwise become exercisable pursuant to the foregoing provisions of this Section 1.9, such Incentive Stock Option shall become exercisable for that number of shares of Viacom Class B Common Stock equal to the fair market value of such CVRs, Viacom Merger Debentures or Warrants (determined, at the time of the Merger, by reference to a five-day average trading price of such securities, if available, or if not available, in the reasonable judgment of the Viacom Board of Directors).</w:t>
      </w:r>
    </w:p>
    <w:p>
      <w:pPr>
        <w:spacing w:after="0" w:line="164" w:lineRule="exact"/>
        <w:rPr>
          <w:sz w:val="20"/>
          <w:szCs w:val="20"/>
          <w:color w:val="auto"/>
        </w:rPr>
      </w:pPr>
    </w:p>
    <w:p>
      <w:pPr>
        <w:jc w:val="right"/>
        <w:ind w:right="4799"/>
        <w:spacing w:after="0"/>
        <w:tabs>
          <w:tab w:leader="none" w:pos="3320" w:val="left"/>
          <w:tab w:leader="none" w:pos="1640" w:val="left"/>
          <w:tab w:leader="none" w:pos="1240" w:val="left"/>
        </w:tabs>
        <w:rPr>
          <w:sz w:val="20"/>
          <w:szCs w:val="20"/>
          <w:color w:val="auto"/>
        </w:rPr>
      </w:pPr>
      <w:r>
        <w:rPr>
          <w:rFonts w:ascii="Courier New" w:cs="Courier New" w:eastAsia="Courier New" w:hAnsi="Courier New"/>
          <w:sz w:val="14"/>
          <w:szCs w:val="14"/>
          <w:color w:val="auto"/>
        </w:rPr>
        <w:t>SECTION 1.10.</w:t>
        <w:tab/>
        <w:t>Dissenting Shares.</w:t>
        <w:tab/>
        <w:t>(a)</w:t>
        <w:tab/>
        <w:t>Notwithstanding</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any other provision of this Agreement to the contrary, shares of Paramount Common Stock that are outstanding immediately prior to the Effective Time and which are held by stockholders who shall have not voted in favor of the Merger or consented thereto in writing and who shall have demanded properly in writing appraisal for such shares in accordance with Section 262 of Delaware Law and who shall not have withdrawn such demand or otherwise have forfeited appraisal rights (collectively, the "Dissenting</w:t>
      </w:r>
    </w:p>
    <w:p>
      <w:pPr>
        <w:ind w:left="3940"/>
        <w:spacing w:after="0" w:line="237"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shall not be converted into or represent the right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receive the Merger Consideration. Such stockholders shall be entitled to receive payment of the appraised value of such shares of Paramount Common Stock held by them in accordance with the provisions of such Section 262, except that all Dissenting Shares held by stockholders who shall have failed to perfect or who effectively shall have withdrawn or lost their rights to appraisal of such shares of Paramount Common Stock under such Section 262 shall thereupon be deemed to have been converted into and to have become exchangeable, as of the Effective Time, for the right to receive, without any interest thereon, the Merger Consideration (as if such Shares were Non-Election Shares in the case of a Merger to which section 1.6(b) applies), upon surrender, in the manner provided in Section 1.7, of the certificate or certificates that formerly evidenced such shares of Paramount Common Stock.</w:t>
      </w:r>
    </w:p>
    <w:p>
      <w:pPr>
        <w:spacing w:after="0" w:line="166" w:lineRule="exact"/>
        <w:rPr>
          <w:sz w:val="20"/>
          <w:szCs w:val="20"/>
          <w:color w:val="auto"/>
        </w:rPr>
      </w:pPr>
    </w:p>
    <w:p>
      <w:pPr>
        <w:ind w:right="4959" w:firstLine="843"/>
        <w:spacing w:after="0" w:line="265" w:lineRule="auto"/>
        <w:tabs>
          <w:tab w:leader="none" w:pos="1255" w:val="left"/>
        </w:tabs>
        <w:numPr>
          <w:ilvl w:val="0"/>
          <w:numId w:val="2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Paramount shall give Viacom (i) prompt notice of any demands for appraisal received by Paramount, withdrawals of such demands, and any other instruments served pursuant to Delaware Law and received by Paramount and (ii) the opportunity to direct all negotiations and proceedings with respect to demands for appraisal under Delaware Law. Paramount shall not,</w:t>
      </w:r>
    </w:p>
    <w:p>
      <w:pPr>
        <w:spacing w:after="0" w:line="1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I-15</w:t>
      </w:r>
    </w:p>
    <w:p>
      <w:pPr>
        <w:sectPr>
          <w:pgSz w:w="11900" w:h="16838" w:orient="portrait"/>
          <w:cols w:equalWidth="0" w:num="1">
            <w:col w:w="10239"/>
          </w:cols>
          <w:pgMar w:left="220" w:top="764" w:right="1440" w:bottom="1440" w:gutter="0" w:footer="0" w:header="0"/>
        </w:sectPr>
      </w:pPr>
    </w:p>
    <w:bookmarkStart w:id="214" w:name="page215"/>
    <w:bookmarkEnd w:id="214"/>
    <w:p>
      <w:pPr>
        <w:jc w:val="center"/>
        <w:ind w:right="-480"/>
        <w:spacing w:after="0"/>
        <w:rPr>
          <w:sz w:val="20"/>
          <w:szCs w:val="20"/>
          <w:color w:val="auto"/>
        </w:rPr>
      </w:pPr>
      <w:r>
        <w:rPr>
          <w:rFonts w:ascii="Courier New" w:cs="Courier New" w:eastAsia="Courier New" w:hAnsi="Courier New"/>
          <w:sz w:val="13"/>
          <w:szCs w:val="13"/>
          <w:color w:val="auto"/>
        </w:rPr>
        <w:t>16</w:t>
      </w:r>
    </w:p>
    <w:p>
      <w:pPr>
        <w:spacing w:after="0" w:line="335" w:lineRule="exact"/>
        <w:rPr>
          <w:sz w:val="20"/>
          <w:szCs w:val="20"/>
          <w:color w:val="auto"/>
        </w:rPr>
      </w:pPr>
    </w:p>
    <w:p>
      <w:pPr>
        <w:jc w:val="both"/>
        <w:ind w:right="4799"/>
        <w:spacing w:after="0" w:line="241" w:lineRule="auto"/>
        <w:rPr>
          <w:sz w:val="20"/>
          <w:szCs w:val="20"/>
          <w:color w:val="auto"/>
        </w:rPr>
      </w:pPr>
      <w:r>
        <w:rPr>
          <w:rFonts w:ascii="Courier New" w:cs="Courier New" w:eastAsia="Courier New" w:hAnsi="Courier New"/>
          <w:sz w:val="14"/>
          <w:szCs w:val="14"/>
          <w:color w:val="auto"/>
        </w:rPr>
        <w:t>except with the prior written consent of Viacom, make any payment with respect to any demands for appraisal, or offer to settle, or settle, any such demands.</w:t>
      </w:r>
    </w:p>
    <w:p>
      <w:pPr>
        <w:spacing w:after="0" w:line="32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II</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OFFER</w:t>
      </w:r>
    </w:p>
    <w:p>
      <w:pPr>
        <w:spacing w:after="0" w:line="163" w:lineRule="exact"/>
        <w:rPr>
          <w:sz w:val="20"/>
          <w:szCs w:val="20"/>
          <w:color w:val="auto"/>
        </w:rPr>
      </w:pPr>
    </w:p>
    <w:p>
      <w:pPr>
        <w:ind w:left="840"/>
        <w:spacing w:after="0"/>
        <w:tabs>
          <w:tab w:leader="none" w:pos="2000" w:val="left"/>
          <w:tab w:leader="none" w:pos="3000" w:val="left"/>
          <w:tab w:leader="none" w:pos="3420" w:val="left"/>
        </w:tabs>
        <w:rPr>
          <w:sz w:val="20"/>
          <w:szCs w:val="20"/>
          <w:color w:val="auto"/>
        </w:rPr>
      </w:pPr>
      <w:r>
        <w:rPr>
          <w:rFonts w:ascii="Courier New" w:cs="Courier New" w:eastAsia="Courier New" w:hAnsi="Courier New"/>
          <w:sz w:val="14"/>
          <w:szCs w:val="14"/>
          <w:color w:val="auto"/>
        </w:rPr>
        <w:t>SECTION 2.1.</w:t>
        <w:tab/>
        <w:t>The Offer.</w:t>
        <w:tab/>
        <w:t>(a)</w:t>
      </w:r>
      <w:r>
        <w:rPr>
          <w:sz w:val="20"/>
          <w:szCs w:val="20"/>
          <w:color w:val="auto"/>
        </w:rPr>
        <w:tab/>
      </w:r>
      <w:r>
        <w:rPr>
          <w:rFonts w:ascii="Courier New" w:cs="Courier New" w:eastAsia="Courier New" w:hAnsi="Courier New"/>
          <w:sz w:val="13"/>
          <w:szCs w:val="13"/>
          <w:color w:val="auto"/>
        </w:rPr>
        <w:t>Viacom has amended and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supplemented the Offer to (i) provide that the purchase price offered for shares pursuant to the Offer shall be the Per Share Amount, (ii) provide that the obligation of Viacom to accept for payment and pay for Shares tendered pursuant to the Offer shall be subject to the condition (as such condition may be amended in accordance with the terms hereof, the "Minimum Condition") that</w:t>
      </w:r>
    </w:p>
    <w:p>
      <w:pPr>
        <w:ind w:left="326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at least 61,657,432 shares of Paramount Common Stock (or such greater number of shares as equals 50.1% of the shares of Paramount Common Stock then outstanding on a fully diluted basis) shall have been validly tendered and not withdrawn prior to the expiration of the Offer, that the Board of Directors of Paramount, in accordance with Section 3.13 of this Agreement, shall have amended the Rights Agreement to make the Rights (such terms being used as defined in Section 3.13) inapplicable to the Offer and the Merger as contemplated by Section 3.13 or the Rights shall be otherwise inapplicable to the Offer and the Merger (the "Rights Condition"), and also shall be subject to the</w:t>
      </w: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satisfaction of the other conditions set forth in Annex A hereto and (iii) extend the expiration date of the Offer until Midnight on February 14, 1994. Viacom expressly reserves the right to waive any such condition (other than the Minimum Condition), to increase the aggregate cash consideration to be paid pursuant to the Offer and to increase the number of shares of Paramount Common Stock sought in the Offer; provided, however, that no</w:t>
      </w:r>
    </w:p>
    <w:p>
      <w:pPr>
        <w:ind w:left="2860"/>
        <w:spacing w:after="0" w:line="237" w:lineRule="auto"/>
        <w:tabs>
          <w:tab w:leader="none" w:pos="366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change may be made without the prior written consent of Paramount which decreases the number of shares of Paramount Common Stock sought in the Offer below 50.1% of the outstanding shares of Paramount Common Stock on a fully diluted basis; which decreases the aggregate cash consideration payable in the Offer or changes the form of consideration payable in the Offer (except to the extent the Other Offeror (as defined below) has made such changes with the consent of Paramount); or which imposes conditions to the Offer in addition to those set forth in Annex A hereto. Notwithstanding the foregoing sentence, so long as the Other Offeror is bound by substantially identical restrictions made for the benefit of Paramount, Viacom shall not amend the Offer in order to increase by less than $60 million the aggregate cash consideration to be paid pursuant to the Offer or increase the number of shares of Paramount Common Stock for which tenders are sought by less than 2% of the outstanding shares of Paramount Common Stock. The Per Share Amount shall, subject to applicable withholding of taxes, be net to the seller in cash, upon the terms and subject to the conditions of the Offer. Subject to the terms and conditions of the Offer (including, without limitation, the Minimum Condition and the terms of this Agreement), Viacom</w:t>
      </w: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I-16</w:t>
      </w:r>
    </w:p>
    <w:p>
      <w:pPr>
        <w:sectPr>
          <w:pgSz w:w="11900" w:h="16838" w:orient="portrait"/>
          <w:cols w:equalWidth="0" w:num="1">
            <w:col w:w="10239"/>
          </w:cols>
          <w:pgMar w:left="220" w:top="764" w:right="1440" w:bottom="1440" w:gutter="0" w:footer="0" w:header="0"/>
        </w:sectPr>
      </w:pPr>
    </w:p>
    <w:bookmarkStart w:id="215" w:name="page216"/>
    <w:bookmarkEnd w:id="215"/>
    <w:p>
      <w:pPr>
        <w:jc w:val="center"/>
        <w:ind w:right="-480"/>
        <w:spacing w:after="0"/>
        <w:rPr>
          <w:sz w:val="20"/>
          <w:szCs w:val="20"/>
          <w:color w:val="auto"/>
        </w:rPr>
      </w:pPr>
      <w:r>
        <w:rPr>
          <w:rFonts w:ascii="Courier New" w:cs="Courier New" w:eastAsia="Courier New" w:hAnsi="Courier New"/>
          <w:sz w:val="13"/>
          <w:szCs w:val="13"/>
          <w:color w:val="auto"/>
        </w:rPr>
        <w:t>17</w:t>
      </w:r>
    </w:p>
    <w:p>
      <w:pPr>
        <w:spacing w:after="0" w:line="33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shall pay, as promptly as practicable after expiration of the Offer, for all shares of Paramount Common Stock validly tendered and not withdrawn at the earliest such time following expiration of the Offer that all conditions to the Offer shall have been waived or satisfied by Viacom.</w:t>
      </w:r>
    </w:p>
    <w:p>
      <w:pPr>
        <w:spacing w:after="0" w:line="166" w:lineRule="exact"/>
        <w:rPr>
          <w:sz w:val="20"/>
          <w:szCs w:val="20"/>
          <w:color w:val="auto"/>
        </w:rPr>
      </w:pPr>
    </w:p>
    <w:p>
      <w:pPr>
        <w:ind w:right="4799" w:firstLine="843"/>
        <w:spacing w:after="0" w:line="262" w:lineRule="auto"/>
        <w:tabs>
          <w:tab w:leader="none" w:pos="1255" w:val="left"/>
        </w:tabs>
        <w:numPr>
          <w:ilvl w:val="0"/>
          <w:numId w:val="2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Viacom has filed with the Securities and Exchange Commission (the "SEC") an amendment to its Tender Offer Statement</w:t>
      </w:r>
    </w:p>
    <w:p>
      <w:pPr>
        <w:ind w:left="142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on Schedule 14D-1 (together with all amendments and supplements thereto, the "Schedule 14D-1") with respect to the Offer. The</w:t>
      </w:r>
    </w:p>
    <w:p>
      <w:pPr>
        <w:ind w:left="11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799"/>
        <w:spacing w:after="0" w:line="262" w:lineRule="auto"/>
        <w:rPr>
          <w:sz w:val="20"/>
          <w:szCs w:val="20"/>
          <w:color w:val="auto"/>
        </w:rPr>
      </w:pPr>
      <w:r>
        <w:rPr>
          <w:rFonts w:ascii="Courier New" w:cs="Courier New" w:eastAsia="Courier New" w:hAnsi="Courier New"/>
          <w:sz w:val="13"/>
          <w:szCs w:val="13"/>
          <w:color w:val="auto"/>
        </w:rPr>
        <w:t>Schedule 14D-1 contains or incorporates by reference an amendment and supplement to the offer to purchase (the "Offer to Purchase")</w:t>
      </w:r>
    </w:p>
    <w:p>
      <w:pPr>
        <w:ind w:left="386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and forms of the related letter of transmittal and any related summary advertisement (the Schedule 14D-1, the Offer to Purchase and such other documents, together with all supplements and amendments thereto, being referred to herein collectively as the "Offer Documents"). Viacom and Paramount agree to correct</w:t>
      </w:r>
    </w:p>
    <w:p>
      <w:pPr>
        <w:ind w:left="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4" w:lineRule="auto"/>
        <w:rPr>
          <w:sz w:val="20"/>
          <w:szCs w:val="20"/>
          <w:color w:val="auto"/>
        </w:rPr>
      </w:pPr>
      <w:r>
        <w:rPr>
          <w:rFonts w:ascii="Courier New" w:cs="Courier New" w:eastAsia="Courier New" w:hAnsi="Courier New"/>
          <w:sz w:val="13"/>
          <w:szCs w:val="13"/>
          <w:color w:val="auto"/>
        </w:rPr>
        <w:t>promptly any information provided by any of them for use in the Offer Documents which shall have become false or misleading, and Viacom further agrees to take all steps necessary to cause the Schedule 14D-1 as so corrected to be filed with the SEC and the other Offer Documents as so corrected to be disseminated to holders of shares of Paramount Common Stock, in each case as and to the extent required by applicable federal securities laws.</w:t>
      </w:r>
    </w:p>
    <w:p>
      <w:pPr>
        <w:spacing w:after="0" w:line="153" w:lineRule="exact"/>
        <w:rPr>
          <w:sz w:val="20"/>
          <w:szCs w:val="20"/>
          <w:color w:val="auto"/>
        </w:rPr>
      </w:pPr>
    </w:p>
    <w:p>
      <w:pPr>
        <w:ind w:right="4799" w:firstLine="843"/>
        <w:spacing w:after="0" w:line="262" w:lineRule="auto"/>
        <w:tabs>
          <w:tab w:leader="none" w:pos="1255" w:val="left"/>
        </w:tabs>
        <w:numPr>
          <w:ilvl w:val="0"/>
          <w:numId w:val="2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Notwithstanding the amendment of the Offer, Viacom shall be free to terminate the Offer at any time subject to its continuing obligations to consummate the Merger, including without limitation pursuant to Sections 6.6 and 6.10, provided</w:t>
      </w:r>
    </w:p>
    <w:p>
      <w:pPr>
        <w:ind w:left="452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that prior to such termination of the Offer, Viacom shall have determined in good faith that either (x) terminating the Offer will facilitate the earlier consummation of the Merger in accordance with the terms of this Merger Agreement or (y) the conditions to the Offer (other than the Minimum Condition and the Rights Condition) are unlikely to be satisfied. Notwithstanding the foregoing, Viacom hereby agrees that, without the written consent of Paramount, it may not terminate the Offer unless required to terminate pursuant to Section 2.5 hereof or extend the Expiration Date (as defined below) except for failure to satisfy a condition at the Expiration Date, at any time that all of the conditions to the Offer have been satisfied or that there exists no material risk that the conditions will not be satisfied by such Expiration Date, provided, Viacom may extend the</w:t>
      </w:r>
    </w:p>
    <w:p>
      <w:pPr>
        <w:spacing w:after="0" w:line="15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1" w:lineRule="auto"/>
        <w:rPr>
          <w:sz w:val="20"/>
          <w:szCs w:val="20"/>
          <w:color w:val="auto"/>
        </w:rPr>
      </w:pPr>
      <w:r>
        <w:rPr>
          <w:rFonts w:ascii="Courier New" w:cs="Courier New" w:eastAsia="Courier New" w:hAnsi="Courier New"/>
          <w:sz w:val="14"/>
          <w:szCs w:val="14"/>
          <w:color w:val="auto"/>
        </w:rPr>
        <w:t>Expiration Date pursuant to this Section 2.1(c), Sections 2.1(a), 2.1(d) and 2.3 hereof or any such extension required by Federal securities laws.</w:t>
      </w:r>
    </w:p>
    <w:p>
      <w:pPr>
        <w:spacing w:after="0" w:line="166" w:lineRule="exact"/>
        <w:rPr>
          <w:sz w:val="20"/>
          <w:szCs w:val="20"/>
          <w:color w:val="auto"/>
        </w:rPr>
      </w:pPr>
    </w:p>
    <w:p>
      <w:pPr>
        <w:ind w:right="4879" w:firstLine="759"/>
        <w:spacing w:after="0" w:line="262" w:lineRule="auto"/>
        <w:tabs>
          <w:tab w:leader="none" w:pos="1255" w:val="left"/>
        </w:tabs>
        <w:numPr>
          <w:ilvl w:val="0"/>
          <w:numId w:val="2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extension of the expiration date (such expiration date as extended from time to time shall be defined herein to mean the "Expiration Date") permitted pursuant to this</w:t>
      </w:r>
    </w:p>
    <w:p>
      <w:pPr>
        <w:ind w:left="16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5" w:lineRule="auto"/>
        <w:rPr>
          <w:sz w:val="20"/>
          <w:szCs w:val="20"/>
          <w:color w:val="auto"/>
        </w:rPr>
      </w:pPr>
      <w:r>
        <w:rPr>
          <w:rFonts w:ascii="Courier New" w:cs="Courier New" w:eastAsia="Courier New" w:hAnsi="Courier New"/>
          <w:sz w:val="13"/>
          <w:szCs w:val="13"/>
          <w:color w:val="auto"/>
        </w:rPr>
        <w:t>Agreement shall be for a period of less than three business days, and the Expiration Date shall not be extended for any reason beyond 12:00 midnight on February 14, 1994, or such later date in accordance with the last parenthetical of Section 2.1(d)(ii), Section 2.3, or as required by law to the extent that the</w:t>
      </w:r>
    </w:p>
    <w:p>
      <w:pPr>
        <w:spacing w:after="0" w:line="1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I-17</w:t>
      </w:r>
    </w:p>
    <w:p>
      <w:pPr>
        <w:sectPr>
          <w:pgSz w:w="11900" w:h="16838" w:orient="portrait"/>
          <w:cols w:equalWidth="0" w:num="1">
            <w:col w:w="10239"/>
          </w:cols>
          <w:pgMar w:left="220" w:top="764" w:right="1440" w:bottom="1440" w:gutter="0" w:footer="0" w:header="0"/>
        </w:sectPr>
      </w:pPr>
    </w:p>
    <w:bookmarkStart w:id="216" w:name="page217"/>
    <w:bookmarkEnd w:id="216"/>
    <w:p>
      <w:pPr>
        <w:jc w:val="center"/>
        <w:ind w:right="-480"/>
        <w:spacing w:after="0"/>
        <w:rPr>
          <w:sz w:val="20"/>
          <w:szCs w:val="20"/>
          <w:color w:val="auto"/>
        </w:rPr>
      </w:pPr>
      <w:r>
        <w:rPr>
          <w:rFonts w:ascii="Courier New" w:cs="Courier New" w:eastAsia="Courier New" w:hAnsi="Courier New"/>
          <w:sz w:val="13"/>
          <w:szCs w:val="13"/>
          <w:color w:val="auto"/>
        </w:rPr>
        <w:t>18</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extension arises due to an event outside the control of Viacom (those events not deemed to be outside the control of the Offeror shall include, without limitation, any change in the terms of the Offer or the Merger) (the "Final Expiration Date"); Viacom</w:t>
      </w:r>
    </w:p>
    <w:p>
      <w:pPr>
        <w:ind w:left="226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agrees that it will not increase the price per share of Paramount Common Stock payable in the Offer or the Merger or otherwise amend the Offer or the terms of the Merger primarily to extend the expiration date of the tender offer by QVC Network, Inc. ("QVC") (the "Other Offeror") to purchase the outstanding shares</w:t>
      </w:r>
    </w:p>
    <w:p>
      <w:pPr>
        <w:ind w:left="1180" w:hanging="1007"/>
        <w:spacing w:after="0" w:line="237" w:lineRule="auto"/>
        <w:tabs>
          <w:tab w:leader="none" w:pos="11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4"/>
          <w:szCs w:val="14"/>
          <w:color w:val="auto"/>
        </w:rPr>
        <w:t>of Paramount Common Stock (the "Other Offer").</w:t>
      </w:r>
      <w:r>
        <w:rPr>
          <w:sz w:val="20"/>
          <w:szCs w:val="20"/>
          <w:color w:val="auto"/>
        </w:rPr>
        <w:tab/>
      </w:r>
      <w:r>
        <w:rPr>
          <w:rFonts w:ascii="Courier New" w:cs="Courier New" w:eastAsia="Courier New" w:hAnsi="Courier New"/>
          <w:sz w:val="13"/>
          <w:szCs w:val="13"/>
          <w:color w:val="auto"/>
        </w:rPr>
        <w:t>Any amendment to</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the Offer or any change in the consideration offered to the Paramount stockholders in the Merger that results in an extension of the Expiration Date shall be publicly announced by 5:00 p.m. on the date of such amendment or change. Viacom hereby agrees that it shall not (a) seek to amend or waive any provision of this Agreement that is substantially identical to the provisions relating to the bidding procedures contained in the Other Exemption Agreement (the "Bidding Procedures") or (b) publicly</w:t>
      </w:r>
    </w:p>
    <w:p>
      <w:pPr>
        <w:ind w:left="21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spacing w:after="0" w:line="242" w:lineRule="auto"/>
        <w:rPr>
          <w:sz w:val="20"/>
          <w:szCs w:val="20"/>
          <w:color w:val="auto"/>
        </w:rPr>
      </w:pPr>
      <w:r>
        <w:rPr>
          <w:rFonts w:ascii="Courier New" w:cs="Courier New" w:eastAsia="Courier New" w:hAnsi="Courier New"/>
          <w:sz w:val="14"/>
          <w:szCs w:val="14"/>
          <w:color w:val="auto"/>
        </w:rPr>
        <w:t>announce an intention to take an action which is not otherwise permitted, or refrain from taking an action which is required, under the terms of this Agreement relating to the Bidding Procedures.</w:t>
      </w:r>
    </w:p>
    <w:p>
      <w:pPr>
        <w:spacing w:after="0" w:line="165" w:lineRule="exact"/>
        <w:rPr>
          <w:sz w:val="20"/>
          <w:szCs w:val="20"/>
          <w:color w:val="auto"/>
        </w:rPr>
      </w:pPr>
    </w:p>
    <w:p>
      <w:pPr>
        <w:ind w:right="4799" w:firstLine="843"/>
        <w:spacing w:after="0" w:line="241" w:lineRule="auto"/>
        <w:tabs>
          <w:tab w:leader="none" w:pos="125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cause the Offer and the Other Offer to remain on the same time schedule, Viacom hereby agrees that if the Other Offeror remains subject to an agreement (the "Other</w:t>
      </w:r>
    </w:p>
    <w:p>
      <w:pPr>
        <w:spacing w:after="0" w:line="3"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Exemption Agreement"), containing terms for the benefit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Paramount substantially similar to the form of exemption agreement between Viacom and Paramount dated as of December 22, 1993, as amended (the "Exemption Agreement"), and (i) extends the</w:t>
      </w:r>
    </w:p>
    <w:p>
      <w:pPr>
        <w:ind w:left="194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 of the Other Offer (such expiration date,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extended from time to time, the "Other Expiration Date") in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accordance with the Other Exemption Agreement, then the Expiration Date shall be extended (as soon as practicable, but not later than one business day following the announcement of the extension of the Other Expiration Date) by Viacom to the Other Expiration Date, or (ii) if upon notification to Paramount by Viacom and the Other Offeror of the results of their respective offers (which notification shall be required to be delivered by Viacom and the Other Offeror no later than promptly following the expiration of their respective offers), Paramount has notified Viacom and the Other Offeror (which notification shall be required to be delivered by Paramount promptly) that a number of shares of Paramount Common Stock that would satisfy the Minimum Condition or the minimum condition defined in the Other Offer (which under no circumstances may be less than 50.1% of the outstanding shares of Paramount Common Stock on a fully diluted basis) (the "Other Minimum Condition") shall not have been</w:t>
      </w:r>
    </w:p>
    <w:p>
      <w:pPr>
        <w:spacing w:after="0" w:line="151"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5" w:lineRule="auto"/>
        <w:rPr>
          <w:sz w:val="20"/>
          <w:szCs w:val="20"/>
          <w:color w:val="auto"/>
        </w:rPr>
      </w:pPr>
      <w:r>
        <w:rPr>
          <w:rFonts w:ascii="Courier New" w:cs="Courier New" w:eastAsia="Courier New" w:hAnsi="Courier New"/>
          <w:sz w:val="13"/>
          <w:szCs w:val="13"/>
          <w:color w:val="auto"/>
        </w:rPr>
        <w:t>validly tendered (and not withdrawn) pursuant to either the Offer or the Other Offer, respectively, at the Expiration Date (or a number of shares of Paramount Common Stock that would satisfy the Minimum Condition and the Other Minimum Condition shall have been validly tendered and not withdrawn pursuant to both the Offer and the Other Offer at the Expiration Date), then Viacom shall extend</w:t>
      </w:r>
    </w:p>
    <w:p>
      <w:pPr>
        <w:spacing w:after="0" w:line="1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I-18</w:t>
      </w:r>
    </w:p>
    <w:p>
      <w:pPr>
        <w:sectPr>
          <w:pgSz w:w="11900" w:h="16838" w:orient="portrait"/>
          <w:cols w:equalWidth="0" w:num="1">
            <w:col w:w="10239"/>
          </w:cols>
          <w:pgMar w:left="220" w:top="764" w:right="1440" w:bottom="1440" w:gutter="0" w:footer="0" w:header="0"/>
        </w:sectPr>
      </w:pPr>
    </w:p>
    <w:bookmarkStart w:id="217" w:name="page218"/>
    <w:bookmarkEnd w:id="217"/>
    <w:p>
      <w:pPr>
        <w:jc w:val="center"/>
        <w:ind w:right="-480"/>
        <w:spacing w:after="0"/>
        <w:rPr>
          <w:sz w:val="20"/>
          <w:szCs w:val="20"/>
          <w:color w:val="auto"/>
        </w:rPr>
      </w:pPr>
      <w:r>
        <w:rPr>
          <w:rFonts w:ascii="Courier New" w:cs="Courier New" w:eastAsia="Courier New" w:hAnsi="Courier New"/>
          <w:sz w:val="13"/>
          <w:szCs w:val="13"/>
          <w:color w:val="auto"/>
        </w:rPr>
        <w:t>19</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Expiration Date of the Offer for a period of 10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w:t>
      </w:r>
    </w:p>
    <w:p>
      <w:pPr>
        <w:spacing w:after="0" w:line="166" w:lineRule="exact"/>
        <w:rPr>
          <w:sz w:val="20"/>
          <w:szCs w:val="20"/>
          <w:color w:val="auto"/>
        </w:rPr>
      </w:pPr>
    </w:p>
    <w:p>
      <w:pPr>
        <w:jc w:val="both"/>
        <w:ind w:right="4799" w:firstLine="843"/>
        <w:spacing w:after="0" w:line="262" w:lineRule="auto"/>
        <w:tabs>
          <w:tab w:leader="none" w:pos="1255" w:val="left"/>
        </w:tabs>
        <w:numPr>
          <w:ilvl w:val="0"/>
          <w:numId w:val="2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Viacom shall be subject to the obligations of Sections 2.1(c)(ii), 2.1(d) and 2.5 for so long as the Other Offeror remains subject to the obligations set forth in the Other Exemption Agreement; provided, however, that Viacom shall not be</w:t>
      </w:r>
    </w:p>
    <w:p>
      <w:pPr>
        <w:ind w:left="1760"/>
        <w:spacing w:after="0" w:line="237" w:lineRule="auto"/>
        <w:tabs>
          <w:tab w:leader="none" w:pos="258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right="4879"/>
        <w:spacing w:after="0" w:line="241" w:lineRule="auto"/>
        <w:rPr>
          <w:sz w:val="20"/>
          <w:szCs w:val="20"/>
          <w:color w:val="auto"/>
        </w:rPr>
      </w:pPr>
      <w:r>
        <w:rPr>
          <w:rFonts w:ascii="Courier New" w:cs="Courier New" w:eastAsia="Courier New" w:hAnsi="Courier New"/>
          <w:sz w:val="14"/>
          <w:szCs w:val="14"/>
          <w:color w:val="auto"/>
        </w:rPr>
        <w:t>subject to Sections 2.1(c)(ii), 2.1(d) and 2.5 in the event that the Other Offeror has not performed or complied in all material respects with the Other Exemption Agreement.</w:t>
      </w:r>
    </w:p>
    <w:p>
      <w:pPr>
        <w:spacing w:after="0" w:line="163" w:lineRule="exact"/>
        <w:rPr>
          <w:sz w:val="20"/>
          <w:szCs w:val="20"/>
          <w:color w:val="auto"/>
        </w:rPr>
      </w:pPr>
    </w:p>
    <w:p>
      <w:pPr>
        <w:ind w:left="840"/>
        <w:spacing w:after="0"/>
        <w:tabs>
          <w:tab w:leader="none" w:pos="2000" w:val="left"/>
          <w:tab w:leader="none" w:pos="3840" w:val="left"/>
          <w:tab w:leader="none" w:pos="4260" w:val="left"/>
        </w:tabs>
        <w:rPr>
          <w:sz w:val="20"/>
          <w:szCs w:val="20"/>
          <w:color w:val="auto"/>
        </w:rPr>
      </w:pPr>
      <w:r>
        <w:rPr>
          <w:rFonts w:ascii="Courier New" w:cs="Courier New" w:eastAsia="Courier New" w:hAnsi="Courier New"/>
          <w:sz w:val="14"/>
          <w:szCs w:val="14"/>
          <w:color w:val="auto"/>
        </w:rPr>
        <w:t>SECTION 2.2.</w:t>
        <w:tab/>
        <w:t>Action by Paramount.</w:t>
        <w:tab/>
        <w:t>(a)</w:t>
      </w:r>
      <w:r>
        <w:rPr>
          <w:sz w:val="20"/>
          <w:szCs w:val="20"/>
          <w:color w:val="auto"/>
        </w:rPr>
        <w:tab/>
      </w:r>
      <w:r>
        <w:rPr>
          <w:rFonts w:ascii="Courier New" w:cs="Courier New" w:eastAsia="Courier New" w:hAnsi="Courier New"/>
          <w:sz w:val="13"/>
          <w:szCs w:val="13"/>
          <w:color w:val="auto"/>
        </w:rPr>
        <w:t>Paramount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hereby approves of and consents to the making of the Offer and represents that (i) the Board of Directors of Paramount, at a meeting duly called and held on February 4, 1994, has unanimously</w:t>
      </w:r>
    </w:p>
    <w:p>
      <w:pPr>
        <w:ind w:right="4799" w:firstLine="6"/>
        <w:spacing w:after="0" w:line="243" w:lineRule="auto"/>
        <w:tabs>
          <w:tab w:leader="none" w:pos="33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Offer and the Merger, taken together, are fair to and in the best interests of the holders of shares of Paramount Common Stock, (B) approved and adopted this Agreement and the transactions contemplated hereby and (C) recommended that the stockholders of Paramount approve and adopt this Agreement and the transactions contemplated hereby and accept the Offer, and (ii) Lazard Freres &amp; Co. has delivered to the Board an opinion on February 4, 1994, to the effect that, as of such date, the consideration to be received by the holders of shares of Paramount Common Stock pursuant to the Offer and the Merger, taken together, is fair to the holders of shares of Paramount Common Stock from a financial point of view. Subject to the fiduciary duties of the Board of Directors of Paramount under applicable law as advised by independent legal counsel (who may be such party's regularly engaged legal counsel), Paramount hereby consents to the inclusion in the Offer Documents prepared in connection with the Offer of the recommendation of the Board of Directors of Paramount described in the immediately preceding sentence.</w:t>
      </w:r>
    </w:p>
    <w:p>
      <w:pPr>
        <w:spacing w:after="0" w:line="167" w:lineRule="exact"/>
        <w:rPr>
          <w:rFonts w:ascii="Courier New" w:cs="Courier New" w:eastAsia="Courier New" w:hAnsi="Courier New"/>
          <w:sz w:val="14"/>
          <w:szCs w:val="14"/>
          <w:color w:val="auto"/>
        </w:rPr>
      </w:pPr>
    </w:p>
    <w:p>
      <w:pPr>
        <w:ind w:right="4799" w:firstLine="843"/>
        <w:spacing w:after="0" w:line="262" w:lineRule="auto"/>
        <w:tabs>
          <w:tab w:leader="none" w:pos="1255" w:val="left"/>
        </w:tabs>
        <w:numPr>
          <w:ilvl w:val="1"/>
          <w:numId w:val="2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soon as reasonably practicable after the date hereof, Paramount shall file with the SEC an amendment to its Solicitation/Recommendation Statement on Schedule 14D-9 (together with all amendments and supplements thereto, the "Schedule</w:t>
      </w:r>
    </w:p>
    <w:p>
      <w:pPr>
        <w:ind w:left="4180"/>
        <w:spacing w:after="0" w:line="237" w:lineRule="auto"/>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14D-9") containing, subject to the fiduciary duties of the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of Paramount under applicable law as advised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legal counsel (who may be such party's regularly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engaged legal counsel), the recommendation of the Board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of Paramount described in Section 2.2(a) and shall</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disseminate the Schedule 14D-9 to the extent required by Rule 14e-2 promulgated under the Securities Exchange Act of 1934, as amended (the "Exchange Act"), and any other applicable federal</w:t>
      </w:r>
    </w:p>
    <w:p>
      <w:pPr>
        <w:ind w:left="11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securities laws. Paramount and Viacom agree to correct promptly any information provided by any of them for use in the Schedule 14D-9 which shall have become false or misleading, and Paramount further agrees to take all steps necessary to cause the Schedule 14D-9 as so corrected to be filed with the SEC and disseminated to holders of shares of Paramount Common Stock, in each case as and to the extent required by applicable federal securities laws.</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I-19</w:t>
      </w:r>
    </w:p>
    <w:p>
      <w:pPr>
        <w:sectPr>
          <w:pgSz w:w="11900" w:h="16838" w:orient="portrait"/>
          <w:cols w:equalWidth="0" w:num="1">
            <w:col w:w="10239"/>
          </w:cols>
          <w:pgMar w:left="220" w:top="764" w:right="1440" w:bottom="1440" w:gutter="0" w:footer="0" w:header="0"/>
        </w:sectPr>
      </w:pPr>
    </w:p>
    <w:bookmarkStart w:id="218" w:name="page219"/>
    <w:bookmarkEnd w:id="218"/>
    <w:p>
      <w:pPr>
        <w:jc w:val="center"/>
        <w:ind w:right="-480"/>
        <w:spacing w:after="0"/>
        <w:rPr>
          <w:sz w:val="20"/>
          <w:szCs w:val="20"/>
          <w:color w:val="auto"/>
        </w:rPr>
      </w:pPr>
      <w:r>
        <w:rPr>
          <w:rFonts w:ascii="Courier New" w:cs="Courier New" w:eastAsia="Courier New" w:hAnsi="Courier New"/>
          <w:sz w:val="13"/>
          <w:szCs w:val="13"/>
          <w:color w:val="auto"/>
        </w:rPr>
        <w:t>20</w:t>
      </w:r>
    </w:p>
    <w:p>
      <w:pPr>
        <w:spacing w:after="0" w:line="335" w:lineRule="exact"/>
        <w:rPr>
          <w:sz w:val="20"/>
          <w:szCs w:val="20"/>
          <w:color w:val="auto"/>
        </w:rPr>
      </w:pPr>
    </w:p>
    <w:p>
      <w:pPr>
        <w:ind w:right="4799" w:firstLine="843"/>
        <w:spacing w:after="0" w:line="243" w:lineRule="auto"/>
        <w:tabs>
          <w:tab w:leader="none" w:pos="125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shall promptly furnish Viacom with mailing labels containing the names and addresses of all record holders of shares of Paramount Common Stock and with security position listings of shares of Paramount Common Stock held in stock depositories, each as of a recent date, together with all other available listings and computer files containing names, addresses and security position listings of record holders and beneficial owners of shares of Paramount Common Stock. Paramount shall furnish Viacom with such additional information, including, without limitation, updated listings and computer files of stockholders, mailing labels and security position listings, and such other assistance as Viacom or its agents may reasonably request. Subject to the requirements of applicable law, and except for such steps as are necessary to disseminate the Offer Documents and any other documents necessary to consummate the Merger or the Offer, Viacom shall hold in confidence the information contained in such labels, listings and files, shall use such information only in connection with the Merger and the Offer, and, if this Agreement shall be terminated in accordance with Section 8.1, shall deliver to Paramount all copies of such information then in its possession.</w:t>
      </w:r>
    </w:p>
    <w:p>
      <w:pPr>
        <w:spacing w:after="0" w:line="165" w:lineRule="exact"/>
        <w:rPr>
          <w:sz w:val="20"/>
          <w:szCs w:val="20"/>
          <w:color w:val="auto"/>
        </w:rPr>
      </w:pPr>
    </w:p>
    <w:p>
      <w:pPr>
        <w:jc w:val="center"/>
        <w:ind w:right="4379"/>
        <w:spacing w:after="0"/>
        <w:tabs>
          <w:tab w:leader="none" w:pos="160" w:val="left"/>
          <w:tab w:leader="none" w:pos="140" w:val="left"/>
        </w:tabs>
        <w:rPr>
          <w:sz w:val="20"/>
          <w:szCs w:val="20"/>
          <w:color w:val="auto"/>
        </w:rPr>
      </w:pPr>
      <w:r>
        <w:rPr>
          <w:rFonts w:ascii="Courier New" w:cs="Courier New" w:eastAsia="Courier New" w:hAnsi="Courier New"/>
          <w:sz w:val="14"/>
          <w:szCs w:val="14"/>
          <w:color w:val="auto"/>
        </w:rPr>
        <w:t>SECTION 2.3.</w:t>
        <w:tab/>
        <w:t>Receipt of Common Stock.</w:t>
      </w:r>
      <w:r>
        <w:rPr>
          <w:sz w:val="20"/>
          <w:szCs w:val="20"/>
          <w:color w:val="auto"/>
        </w:rPr>
        <w:tab/>
      </w:r>
      <w:r>
        <w:rPr>
          <w:rFonts w:ascii="Courier New" w:cs="Courier New" w:eastAsia="Courier New" w:hAnsi="Courier New"/>
          <w:sz w:val="13"/>
          <w:szCs w:val="13"/>
          <w:color w:val="auto"/>
        </w:rPr>
        <w:t>Unless 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event referred to in the last parenthetical of Section 2.1(d)(ii) that would satisfy the Minimum Condition occurs, in the event that a number of shares of Paramount Common Stock shall have been validly tendered and not withdrawn in the Offer at the Expiration Date and, as of such Expiration Date, Viacom has waived all conditions to the Offer (other than the Minimum Condition and the conditions relating to the Rights Agreement, Article XI of the Paramount Certificate of Incorporation, Section 203 of Delaware Law and judicial or governmental injunction, each as set forth therein), then Viacom shall extend the Expiration Date to a date 10 business days from the then scheduled Expiration Date; provided, that such extension shall be for a period of 5 business</w:t>
      </w:r>
    </w:p>
    <w:p>
      <w:pPr>
        <w:spacing w:after="0"/>
        <w:rPr>
          <w:sz w:val="20"/>
          <w:szCs w:val="20"/>
          <w:color w:val="auto"/>
        </w:rPr>
      </w:pPr>
      <w:r>
        <w:rPr>
          <w:rFonts w:ascii="Courier New" w:cs="Courier New" w:eastAsia="Courier New" w:hAnsi="Courier New"/>
          <w:sz w:val="14"/>
          <w:szCs w:val="14"/>
          <w:color w:val="auto"/>
        </w:rPr>
        <w:t>- - - - --------</w:t>
      </w:r>
    </w:p>
    <w:p>
      <w:pPr>
        <w:spacing w:after="0" w:line="4" w:lineRule="exact"/>
        <w:rPr>
          <w:sz w:val="20"/>
          <w:szCs w:val="20"/>
          <w:color w:val="auto"/>
        </w:rPr>
      </w:pPr>
    </w:p>
    <w:p>
      <w:pPr>
        <w:ind w:right="4879"/>
        <w:spacing w:after="0" w:line="239" w:lineRule="auto"/>
        <w:rPr>
          <w:sz w:val="20"/>
          <w:szCs w:val="20"/>
          <w:color w:val="auto"/>
        </w:rPr>
      </w:pPr>
      <w:r>
        <w:rPr>
          <w:rFonts w:ascii="Courier New" w:cs="Courier New" w:eastAsia="Courier New" w:hAnsi="Courier New"/>
          <w:sz w:val="14"/>
          <w:szCs w:val="14"/>
          <w:color w:val="auto"/>
        </w:rPr>
        <w:t>days in the event that the Other Offer has been terminated prior to the foregoing Expiration Date.</w:t>
      </w:r>
    </w:p>
    <w:p>
      <w:pPr>
        <w:spacing w:after="0" w:line="164" w:lineRule="exact"/>
        <w:rPr>
          <w:sz w:val="20"/>
          <w:szCs w:val="20"/>
          <w:color w:val="auto"/>
        </w:rPr>
      </w:pPr>
    </w:p>
    <w:p>
      <w:pPr>
        <w:ind w:left="840"/>
        <w:spacing w:after="0"/>
        <w:tabs>
          <w:tab w:leader="none" w:pos="2000" w:val="left"/>
          <w:tab w:leader="none" w:pos="4080" w:val="left"/>
        </w:tabs>
        <w:rPr>
          <w:sz w:val="20"/>
          <w:szCs w:val="20"/>
          <w:color w:val="auto"/>
        </w:rPr>
      </w:pPr>
      <w:r>
        <w:rPr>
          <w:rFonts w:ascii="Courier New" w:cs="Courier New" w:eastAsia="Courier New" w:hAnsi="Courier New"/>
          <w:sz w:val="14"/>
          <w:szCs w:val="14"/>
          <w:color w:val="auto"/>
        </w:rPr>
        <w:t>SECTION 2.4.</w:t>
        <w:tab/>
        <w:t>Completion Certificate.</w:t>
      </w:r>
      <w:r>
        <w:rPr>
          <w:sz w:val="20"/>
          <w:szCs w:val="20"/>
          <w:color w:val="auto"/>
        </w:rPr>
        <w:tab/>
      </w:r>
      <w:r>
        <w:rPr>
          <w:rFonts w:ascii="Courier New" w:cs="Courier New" w:eastAsia="Courier New" w:hAnsi="Courier New"/>
          <w:sz w:val="13"/>
          <w:szCs w:val="13"/>
          <w:color w:val="auto"/>
        </w:rPr>
        <w:t>At such time as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799"/>
        <w:spacing w:after="0" w:line="262" w:lineRule="auto"/>
        <w:rPr>
          <w:sz w:val="20"/>
          <w:szCs w:val="20"/>
          <w:color w:val="auto"/>
        </w:rPr>
      </w:pPr>
      <w:r>
        <w:rPr>
          <w:rFonts w:ascii="Courier New" w:cs="Courier New" w:eastAsia="Courier New" w:hAnsi="Courier New"/>
          <w:sz w:val="13"/>
          <w:szCs w:val="13"/>
          <w:color w:val="auto"/>
        </w:rPr>
        <w:t>Viacom has fulfilled the terms of Section 2.3 above, Viacom shall deliver to the Board of Directors of Paramount a certificate (the "Completion Certificate"), executed by an authorized officer of</w:t>
      </w:r>
    </w:p>
    <w:p>
      <w:pPr>
        <w:ind w:left="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spacing w:after="0" w:line="239" w:lineRule="auto"/>
        <w:rPr>
          <w:sz w:val="20"/>
          <w:szCs w:val="20"/>
          <w:color w:val="auto"/>
        </w:rPr>
      </w:pPr>
      <w:r>
        <w:rPr>
          <w:rFonts w:ascii="Courier New" w:cs="Courier New" w:eastAsia="Courier New" w:hAnsi="Courier New"/>
          <w:sz w:val="14"/>
          <w:szCs w:val="14"/>
          <w:color w:val="auto"/>
        </w:rPr>
        <w:t>Viacom, certifying that all the terms of Section 2.3 have been fulfilled.</w:t>
      </w:r>
    </w:p>
    <w:p>
      <w:pPr>
        <w:spacing w:after="0" w:line="164" w:lineRule="exact"/>
        <w:rPr>
          <w:sz w:val="20"/>
          <w:szCs w:val="20"/>
          <w:color w:val="auto"/>
        </w:rPr>
      </w:pPr>
    </w:p>
    <w:p>
      <w:pPr>
        <w:jc w:val="center"/>
        <w:ind w:right="4299"/>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SECTION 2.5.</w:t>
        <w:tab/>
        <w:t>Termination of the Offer.</w:t>
      </w:r>
      <w:r>
        <w:rPr>
          <w:sz w:val="20"/>
          <w:szCs w:val="20"/>
          <w:color w:val="auto"/>
        </w:rPr>
        <w:tab/>
      </w:r>
      <w:r>
        <w:rPr>
          <w:rFonts w:ascii="Courier New" w:cs="Courier New" w:eastAsia="Courier New" w:hAnsi="Courier New"/>
          <w:sz w:val="13"/>
          <w:szCs w:val="13"/>
          <w:color w:val="auto"/>
        </w:rPr>
        <w:t>Unless 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event referred to in the last parenthetical of Section 2.1(d)(ii) occurs, Viacom hereby agrees to terminate the Offer at such time as Viacom has been notified pursuant to a certificate executed by an authorized officer of Paramount that (i) a number of shares of Paramount Common Stock that would satisfy the Other Minimum Condition shall have been validly tendered to the Other Offer and not withdrawn at the Other Expiration Date of the Other Offer,</w:t>
      </w:r>
    </w:p>
    <w:p>
      <w:pPr>
        <w:spacing w:after="0" w:line="1" w:lineRule="exact"/>
        <w:rPr>
          <w:sz w:val="20"/>
          <w:szCs w:val="20"/>
          <w:color w:val="auto"/>
        </w:rPr>
      </w:pPr>
    </w:p>
    <w:p>
      <w:pPr>
        <w:ind w:right="4879" w:firstLine="6"/>
        <w:spacing w:after="0" w:line="276" w:lineRule="auto"/>
        <w:tabs>
          <w:tab w:leader="none" w:pos="418" w:val="left"/>
        </w:tabs>
        <w:numPr>
          <w:ilvl w:val="0"/>
          <w:numId w:val="2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conditions to the Other Offer, except the Other Minimum Condition and the conditions relating to the Rights Agreement,</w:t>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I-20</w:t>
      </w:r>
    </w:p>
    <w:p>
      <w:pPr>
        <w:sectPr>
          <w:pgSz w:w="11900" w:h="16838" w:orient="portrait"/>
          <w:cols w:equalWidth="0" w:num="1">
            <w:col w:w="10239"/>
          </w:cols>
          <w:pgMar w:left="220" w:top="763" w:right="1440" w:bottom="1440" w:gutter="0" w:footer="0" w:header="0"/>
        </w:sectPr>
      </w:pPr>
    </w:p>
    <w:bookmarkStart w:id="219" w:name="page220"/>
    <w:bookmarkEnd w:id="219"/>
    <w:p>
      <w:pPr>
        <w:jc w:val="center"/>
        <w:ind w:right="-480"/>
        <w:spacing w:after="0"/>
        <w:rPr>
          <w:sz w:val="20"/>
          <w:szCs w:val="20"/>
          <w:color w:val="auto"/>
        </w:rPr>
      </w:pPr>
      <w:r>
        <w:rPr>
          <w:rFonts w:ascii="Courier New" w:cs="Courier New" w:eastAsia="Courier New" w:hAnsi="Courier New"/>
          <w:sz w:val="14"/>
          <w:szCs w:val="14"/>
          <w:color w:val="auto"/>
        </w:rPr>
        <w:t>21</w:t>
      </w:r>
    </w:p>
    <w:p>
      <w:pPr>
        <w:spacing w:after="0" w:line="327"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Article XI of the Paramount Certificate of Incorporation, Section 203 of the Delaware Law and judicial or governmental injunction, each as set forth therein, shall have been waived and (iii) a completion certificate from the Other Offeror has been delivered to Paramount; provided, however, that Viacom shall not be</w:t>
      </w:r>
    </w:p>
    <w:p>
      <w:pPr>
        <w:ind w:left="1180"/>
        <w:spacing w:after="0"/>
        <w:tabs>
          <w:tab w:leader="none" w:pos="2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right="5039"/>
        <w:spacing w:after="0" w:line="241" w:lineRule="auto"/>
        <w:rPr>
          <w:sz w:val="20"/>
          <w:szCs w:val="20"/>
          <w:color w:val="auto"/>
        </w:rPr>
      </w:pPr>
      <w:r>
        <w:rPr>
          <w:rFonts w:ascii="Courier New" w:cs="Courier New" w:eastAsia="Courier New" w:hAnsi="Courier New"/>
          <w:sz w:val="14"/>
          <w:szCs w:val="14"/>
          <w:color w:val="auto"/>
        </w:rPr>
        <w:t>required to terminate the Offer in the event that the Other Offeror has not performed or complied in all material respects with the Other Exemption Agreement.</w:t>
      </w:r>
    </w:p>
    <w:p>
      <w:pPr>
        <w:spacing w:after="0" w:line="163" w:lineRule="exact"/>
        <w:rPr>
          <w:sz w:val="20"/>
          <w:szCs w:val="20"/>
          <w:color w:val="auto"/>
        </w:rPr>
      </w:pPr>
    </w:p>
    <w:p>
      <w:pPr>
        <w:ind w:left="840"/>
        <w:spacing w:after="0"/>
        <w:tabs>
          <w:tab w:leader="none" w:pos="2000" w:val="left"/>
          <w:tab w:leader="none" w:pos="5000" w:val="left"/>
        </w:tabs>
        <w:rPr>
          <w:sz w:val="20"/>
          <w:szCs w:val="20"/>
          <w:color w:val="auto"/>
        </w:rPr>
      </w:pPr>
      <w:r>
        <w:rPr>
          <w:rFonts w:ascii="Courier New" w:cs="Courier New" w:eastAsia="Courier New" w:hAnsi="Courier New"/>
          <w:sz w:val="14"/>
          <w:szCs w:val="14"/>
          <w:color w:val="auto"/>
        </w:rPr>
        <w:t>SECTION 2.6.</w:t>
        <w:tab/>
        <w:t>Board of Directors; Section 14(f).</w:t>
        <w:tab/>
        <w:t>(a)</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119"/>
        <w:spacing w:after="0" w:line="243" w:lineRule="auto"/>
        <w:rPr>
          <w:sz w:val="20"/>
          <w:szCs w:val="20"/>
          <w:color w:val="auto"/>
        </w:rPr>
      </w:pPr>
      <w:r>
        <w:rPr>
          <w:rFonts w:ascii="Courier New" w:cs="Courier New" w:eastAsia="Courier New" w:hAnsi="Courier New"/>
          <w:sz w:val="14"/>
          <w:szCs w:val="14"/>
          <w:color w:val="auto"/>
        </w:rPr>
        <w:t>If requested by Viacom, Paramount shall, promptly following the acceptance for payment of the shares of Paramount Common Stock to be purchased pursuant to the Offer, and from time to time thereafter, take all actions necessary to cause a majority of directors (and of members of each committee of the Board of Directors) of Paramount and of each subsidiary of Paramount to be comprised of the designees of Viacom (whether, at the request of Viacom, by means of increasing the size of the Board of Directors of Paramount or seeking the resignation of directors and causing Viacom's</w:t>
      </w:r>
    </w:p>
    <w:p>
      <w:pPr>
        <w:spacing w:after="0"/>
        <w:rPr>
          <w:sz w:val="20"/>
          <w:szCs w:val="20"/>
          <w:color w:val="auto"/>
        </w:rPr>
      </w:pPr>
      <w:r>
        <w:rPr>
          <w:rFonts w:ascii="Courier New" w:cs="Courier New" w:eastAsia="Courier New" w:hAnsi="Courier New"/>
          <w:sz w:val="14"/>
          <w:szCs w:val="14"/>
          <w:color w:val="auto"/>
        </w:rPr>
        <w:t>designees to be elected); provided, that prior to receipt by Viacom</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spacing w:after="0" w:line="262" w:lineRule="auto"/>
        <w:rPr>
          <w:sz w:val="20"/>
          <w:szCs w:val="20"/>
          <w:color w:val="auto"/>
        </w:rPr>
      </w:pPr>
      <w:r>
        <w:rPr>
          <w:rFonts w:ascii="Courier New" w:cs="Courier New" w:eastAsia="Courier New" w:hAnsi="Courier New"/>
          <w:sz w:val="13"/>
          <w:szCs w:val="13"/>
          <w:color w:val="auto"/>
        </w:rPr>
        <w:t>of long-form approval by the Federal Communications Commission (the "FCC") permitting Viacom to control Paramount, Paramount</w:t>
      </w:r>
    </w:p>
    <w:p>
      <w:pPr>
        <w:ind w:left="50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shall take all actions necessary to elect the Viacom voting trustee approved by the FCC to the Paramount Board of Directors and to otherwise act in a manner consistent with the voting trust agreement approved by the FCC.</w:t>
      </w:r>
    </w:p>
    <w:p>
      <w:pPr>
        <w:spacing w:after="0" w:line="165" w:lineRule="exact"/>
        <w:rPr>
          <w:sz w:val="20"/>
          <w:szCs w:val="20"/>
          <w:color w:val="auto"/>
        </w:rPr>
      </w:pPr>
    </w:p>
    <w:p>
      <w:pPr>
        <w:ind w:right="4799" w:firstLine="843"/>
        <w:spacing w:after="0" w:line="243" w:lineRule="auto"/>
        <w:tabs>
          <w:tab w:leader="none" w:pos="1255"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obligations to cause designees of Viacom to be elected or appointed to the Board of Directors of Paramount shall be subject to Section 14(f) of the Exchange Act and Rule 14f-1 promulgated thereunder. Paramount shall promptly take all actions required pursuant to Section 14(f) and Rule 14f-1 in order to fulfill its obligations under this Section, and shall include in the Schedule 14D-9 such information with respect to Viacom and its officers and directors as is required under Section 14(f) and Rule 14f-1. Viacom will supply to Paramount any information with respect to it and its nominees, officers, directors and affiliates required by Section 14(f) and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Rule 14f-1.</w:t>
      </w:r>
    </w:p>
    <w:p>
      <w:pPr>
        <w:spacing w:after="0" w:line="165" w:lineRule="exact"/>
        <w:rPr>
          <w:rFonts w:ascii="Courier New" w:cs="Courier New" w:eastAsia="Courier New" w:hAnsi="Courier New"/>
          <w:sz w:val="14"/>
          <w:szCs w:val="14"/>
          <w:color w:val="auto"/>
        </w:rPr>
      </w:pPr>
    </w:p>
    <w:p>
      <w:pPr>
        <w:ind w:right="4799" w:firstLine="843"/>
        <w:spacing w:after="0" w:line="243" w:lineRule="auto"/>
        <w:tabs>
          <w:tab w:leader="none" w:pos="1255"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election or appointment of Viacom's designees pursuant to this Section and prior to the Effective Time, any amendment or termination of this Agreement, extension for the performance or waiver of the obligations or other acts of Viacom or waiver of Paramount's rights hereunder, will require the concurrence of a majority of directors of Paramount then in office who are directors on the date hereof or are designated by a majority of the directors of Paramount who are directors on the date hereof.</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I-21</w:t>
      </w:r>
    </w:p>
    <w:p>
      <w:pPr>
        <w:sectPr>
          <w:pgSz w:w="11900" w:h="16838" w:orient="portrait"/>
          <w:cols w:equalWidth="0" w:num="1">
            <w:col w:w="10239"/>
          </w:cols>
          <w:pgMar w:left="220" w:top="761" w:right="1440" w:bottom="1440" w:gutter="0" w:footer="0" w:header="0"/>
        </w:sectPr>
      </w:pPr>
    </w:p>
    <w:bookmarkStart w:id="220" w:name="page221"/>
    <w:bookmarkEnd w:id="220"/>
    <w:p>
      <w:pPr>
        <w:jc w:val="center"/>
        <w:ind w:right="-480"/>
        <w:spacing w:after="0"/>
        <w:rPr>
          <w:sz w:val="20"/>
          <w:szCs w:val="20"/>
          <w:color w:val="auto"/>
        </w:rPr>
      </w:pPr>
      <w:r>
        <w:rPr>
          <w:rFonts w:ascii="Courier New" w:cs="Courier New" w:eastAsia="Courier New" w:hAnsi="Courier New"/>
          <w:sz w:val="13"/>
          <w:szCs w:val="13"/>
          <w:color w:val="auto"/>
        </w:rPr>
        <w:t>22</w:t>
      </w:r>
    </w:p>
    <w:p>
      <w:pPr>
        <w:spacing w:after="0" w:line="333"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ARTICLE III</w:t>
      </w:r>
    </w:p>
    <w:p>
      <w:pPr>
        <w:spacing w:after="0" w:line="16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REPRESENTATIONS AND WARRANTIES OF PARAMOUNT</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Paramount hereby represents and warrants to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3.1.</w:t>
      </w:r>
      <w:r>
        <w:rPr>
          <w:sz w:val="20"/>
          <w:szCs w:val="20"/>
          <w:color w:val="auto"/>
        </w:rPr>
        <w:tab/>
      </w:r>
      <w:r>
        <w:rPr>
          <w:rFonts w:ascii="Courier New" w:cs="Courier New" w:eastAsia="Courier New" w:hAnsi="Courier New"/>
          <w:sz w:val="13"/>
          <w:szCs w:val="13"/>
          <w:color w:val="auto"/>
        </w:rPr>
        <w:t>Organization and Qualification;</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240" w:val="left"/>
          <w:tab w:leader="none" w:pos="1660" w:val="left"/>
        </w:tabs>
        <w:rPr>
          <w:sz w:val="20"/>
          <w:szCs w:val="20"/>
          <w:color w:val="auto"/>
        </w:rPr>
      </w:pPr>
      <w:r>
        <w:rPr>
          <w:rFonts w:ascii="Courier New" w:cs="Courier New" w:eastAsia="Courier New" w:hAnsi="Courier New"/>
          <w:sz w:val="14"/>
          <w:szCs w:val="14"/>
          <w:color w:val="auto"/>
        </w:rPr>
        <w:t>Subsidiaries.</w:t>
        <w:tab/>
        <w:t>(a)</w:t>
      </w:r>
      <w:r>
        <w:rPr>
          <w:sz w:val="20"/>
          <w:szCs w:val="20"/>
          <w:color w:val="auto"/>
        </w:rPr>
        <w:tab/>
      </w:r>
      <w:r>
        <w:rPr>
          <w:rFonts w:ascii="Courier New" w:cs="Courier New" w:eastAsia="Courier New" w:hAnsi="Courier New"/>
          <w:sz w:val="13"/>
          <w:szCs w:val="13"/>
          <w:color w:val="auto"/>
        </w:rPr>
        <w:t>Each of Paramount and each Material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Paramount Material Adverse Effect (as defined below). Paramount and each Material Paramount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Paramount Material Adverse Effect. The term "Paramount</w:t>
      </w:r>
    </w:p>
    <w:p>
      <w:pPr>
        <w:ind w:left="4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Material Adverse Effect" means any change or effect that is or is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1" w:lineRule="auto"/>
        <w:rPr>
          <w:sz w:val="20"/>
          <w:szCs w:val="20"/>
          <w:color w:val="auto"/>
        </w:rPr>
      </w:pPr>
      <w:r>
        <w:rPr>
          <w:rFonts w:ascii="Courier New" w:cs="Courier New" w:eastAsia="Courier New" w:hAnsi="Courier New"/>
          <w:sz w:val="14"/>
          <w:szCs w:val="14"/>
          <w:color w:val="auto"/>
        </w:rPr>
        <w:t>reasonably likely to be materially adverse to the business, results of operations or financial condition of Paramount and the Paramount Subsidiaries, taken as a whole; provided, however,</w:t>
      </w:r>
    </w:p>
    <w:p>
      <w:pPr>
        <w:spacing w:after="0" w:line="3" w:lineRule="exact"/>
        <w:rPr>
          <w:sz w:val="20"/>
          <w:szCs w:val="20"/>
          <w:color w:val="auto"/>
        </w:rPr>
      </w:pPr>
    </w:p>
    <w:p>
      <w:pPr>
        <w:ind w:left="3520"/>
        <w:spacing w:after="0"/>
        <w:tabs>
          <w:tab w:leader="none" w:pos="4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where such term qualifies a representation or warranty contained in this Article III during the period beginning after the date hereof and until the Effective Time, then such term shall mean any change or effect that is or is reasonably likely to be materially adverse to the business or financial condition of Paramount and the Paramount Subsidiaries, taken as a whole.</w:t>
      </w:r>
    </w:p>
    <w:p>
      <w:pPr>
        <w:spacing w:after="0" w:line="164" w:lineRule="exact"/>
        <w:rPr>
          <w:sz w:val="20"/>
          <w:szCs w:val="20"/>
          <w:color w:val="auto"/>
        </w:rPr>
      </w:pPr>
    </w:p>
    <w:p>
      <w:pPr>
        <w:ind w:left="1260" w:hanging="417"/>
        <w:spacing w:after="0"/>
        <w:tabs>
          <w:tab w:leader="none" w:pos="12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Paramount (a "Paramount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that constitutes a Significant Subsidiary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5039"/>
        <w:spacing w:after="0" w:line="239" w:lineRule="auto"/>
        <w:rPr>
          <w:sz w:val="20"/>
          <w:szCs w:val="20"/>
          <w:color w:val="auto"/>
        </w:rPr>
      </w:pPr>
      <w:r>
        <w:rPr>
          <w:rFonts w:ascii="Courier New" w:cs="Courier New" w:eastAsia="Courier New" w:hAnsi="Courier New"/>
          <w:sz w:val="14"/>
          <w:szCs w:val="14"/>
          <w:color w:val="auto"/>
        </w:rPr>
        <w:t>Paramount within the meaning of Rule 1-02 of Regulation S-X of the SEC is referred to herein as a "Material Paramount</w:t>
      </w:r>
    </w:p>
    <w:p>
      <w:pPr>
        <w:spacing w:after="0" w:line="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3" w:lineRule="exact"/>
        <w:rPr>
          <w:sz w:val="20"/>
          <w:szCs w:val="20"/>
          <w:color w:val="auto"/>
        </w:rPr>
      </w:pPr>
    </w:p>
    <w:p>
      <w:pPr>
        <w:jc w:val="right"/>
        <w:ind w:right="4799"/>
        <w:spacing w:after="0"/>
        <w:tabs>
          <w:tab w:leader="none" w:pos="340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3"/>
          <w:szCs w:val="13"/>
          <w:color w:val="auto"/>
        </w:rPr>
        <w:t>Certificate of Incorporation and By-Laws.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4" w:lineRule="auto"/>
        <w:rPr>
          <w:sz w:val="20"/>
          <w:szCs w:val="20"/>
          <w:color w:val="auto"/>
        </w:rPr>
      </w:pPr>
      <w:r>
        <w:rPr>
          <w:rFonts w:ascii="Courier New" w:cs="Courier New" w:eastAsia="Courier New" w:hAnsi="Courier New"/>
          <w:sz w:val="13"/>
          <w:szCs w:val="13"/>
          <w:color w:val="auto"/>
        </w:rPr>
        <w:t>Paramount has heretofore made available to Viacom a complete and correct copy of the Certificate of Incorporation and the By-Laws or equivalent organizational documents, each as amended to date, of Paramount and each Material Paramount Subsidiary. Such Certificates of Incorporation, By-Laws and equivalent organizational documents are in full force and effect. Neither Paramount nor any Material Paramount Subsidiary is in violation of any provision of its Certificate of Incorporation, By-Laws or equivalent organizational documents, except for such violations</w:t>
      </w:r>
    </w:p>
    <w:p>
      <w:pPr>
        <w:spacing w:after="0" w:line="1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I-22</w:t>
      </w:r>
    </w:p>
    <w:p>
      <w:pPr>
        <w:sectPr>
          <w:pgSz w:w="11900" w:h="16838" w:orient="portrait"/>
          <w:cols w:equalWidth="0" w:num="1">
            <w:col w:w="10239"/>
          </w:cols>
          <w:pgMar w:left="220" w:top="764" w:right="1440" w:bottom="1440" w:gutter="0" w:footer="0" w:header="0"/>
        </w:sectPr>
      </w:pPr>
    </w:p>
    <w:bookmarkStart w:id="221" w:name="page222"/>
    <w:bookmarkEnd w:id="221"/>
    <w:p>
      <w:pPr>
        <w:jc w:val="center"/>
        <w:ind w:right="-480"/>
        <w:spacing w:after="0"/>
        <w:rPr>
          <w:sz w:val="20"/>
          <w:szCs w:val="20"/>
          <w:color w:val="auto"/>
        </w:rPr>
      </w:pPr>
      <w:r>
        <w:rPr>
          <w:rFonts w:ascii="Courier New" w:cs="Courier New" w:eastAsia="Courier New" w:hAnsi="Courier New"/>
          <w:sz w:val="13"/>
          <w:szCs w:val="13"/>
          <w:color w:val="auto"/>
        </w:rPr>
        <w:t>23</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would not, individually or in the aggregate, have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Material Adverse Effect.</w:t>
      </w:r>
    </w:p>
    <w:p>
      <w:pPr>
        <w:spacing w:after="0" w:line="163" w:lineRule="exact"/>
        <w:rPr>
          <w:sz w:val="20"/>
          <w:szCs w:val="20"/>
          <w:color w:val="auto"/>
        </w:rPr>
      </w:pPr>
    </w:p>
    <w:p>
      <w:pPr>
        <w:ind w:left="840"/>
        <w:spacing w:after="0"/>
        <w:tabs>
          <w:tab w:leader="none" w:pos="2000" w:val="left"/>
          <w:tab w:leader="none" w:pos="3420" w:val="left"/>
        </w:tabs>
        <w:rPr>
          <w:sz w:val="20"/>
          <w:szCs w:val="20"/>
          <w:color w:val="auto"/>
        </w:rPr>
      </w:pPr>
      <w:r>
        <w:rPr>
          <w:rFonts w:ascii="Courier New" w:cs="Courier New" w:eastAsia="Courier New" w:hAnsi="Courier New"/>
          <w:sz w:val="14"/>
          <w:szCs w:val="14"/>
          <w:color w:val="auto"/>
        </w:rPr>
        <w:t>SECTION 3.3.</w:t>
        <w:tab/>
        <w:t>Capitalization.</w:t>
      </w:r>
      <w:r>
        <w:rPr>
          <w:sz w:val="20"/>
          <w:szCs w:val="20"/>
          <w:color w:val="auto"/>
        </w:rPr>
        <w:tab/>
      </w:r>
      <w:r>
        <w:rPr>
          <w:rFonts w:ascii="Courier New" w:cs="Courier New" w:eastAsia="Courier New" w:hAnsi="Courier New"/>
          <w:sz w:val="13"/>
          <w:szCs w:val="13"/>
          <w:color w:val="auto"/>
        </w:rPr>
        <w:t>The authorized capital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stock of Paramount consists of 600,000,000 shares of Paramount Common Stock and 75,000,000 shares of Preferred Stock, par value $.01 per share ("Paramount Preferred Stock"). As of February 3,</w:t>
      </w:r>
    </w:p>
    <w:p>
      <w:pPr>
        <w:ind w:left="142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1994, 121,937,762 shares of Paramount Common Stock were issued and outstanding, all of which were validly issued, fully paid and nonassessable. As of February 3, 1994, 25,924,286 shares were held in the treasury of Paramount. As of January 31, 1994, 9,409,208 shares were reserved for future issuance pursuant to Paramount's 1992 Stock Option Plan and 1989 Stock Option Plan (any employee stock option issued under any such plan being a "Stock Option") and reserved for future issuance under the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Long-Term Incentive Plan. Between August 31, 1993 and the date of this Agreement, awards have been made under the Long-Term Performance Plan as indicated on Schedule 3.3. As of February 3, 1994, options to acquire 2,398,060 shares of Paramount Common Stock were outstanding. As of the date hereof, no shares of Paramount Preferred Stock are issued and outstanding. Except as set forth in Section 3.3 of the Disclosure Schedule previously delivered by Paramount to Viacom (the "Paramount Disclosure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or except as set forth in this Section 3.3,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except pursuant to the Rights Agreement (as defined in Section 3.13), there are no options, warrants or other rights, agreements, arrangements or commitments of any character relating to the issued or unissued capital stock of Paramount or any Material Paramount Subsidiary or obligating Paramount or any Material Paramount Subsidiary to issue or sell any shares of capital stock of, or other equity interests in, Paramount or any Material Paramount Subsidiary. All shares of Paramount Common Stock subject to issuance as aforesaid, upon issuance on the terms and conditions specified in the instruments pursuant to which they are issuable, will be duly authorized, validly issued, fully paid and nonassessable. Except as set forth in Section 3.3 of the Paramount Disclosure Schedule, there are no material outstanding contractual obligations of Paramount or any Paramount Subsidiary to repurchase, redeem or otherwise acquire any shares of Paramount Common Stock or any capital stock of any Material Paramount Subsidiary, or make any material investment (in the form of a loan, capital contribution or otherwise) in, any Paramount Subsidiary or any other person. Each outstanding share of capital stock of each Material Paramount Subsidiary is duly authorized, validly issued, fully paid and nonassessable and each such share owned by Paramount or another Paramount Subsidiary is free and clear of all security interests, liens, claims, pledges, options, rights of first refusal, agreements, limitations on Paramount's or such other Paramount Subsidiary's voting rights, charges and other encumbrances of any nature whatsoever. Set forth in Section 3.3 of the Disclosure Schedule is Paramount's percentage interest in the outstanding capital stock or partnership interests of USA Networks, United Cinemas International Multiplex B.V., United International Pictures and Cinamerica Theatres, L.P.</w:t>
      </w:r>
    </w:p>
    <w:p>
      <w:pPr>
        <w:spacing w:after="0" w:line="1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I-23</w:t>
      </w:r>
    </w:p>
    <w:p>
      <w:pPr>
        <w:sectPr>
          <w:pgSz w:w="11900" w:h="16838" w:orient="portrait"/>
          <w:cols w:equalWidth="0" w:num="1">
            <w:col w:w="10239"/>
          </w:cols>
          <w:pgMar w:left="220" w:top="763" w:right="1440" w:bottom="1440" w:gutter="0" w:footer="0" w:header="0"/>
        </w:sectPr>
      </w:pPr>
    </w:p>
    <w:bookmarkStart w:id="222" w:name="page223"/>
    <w:bookmarkEnd w:id="222"/>
    <w:p>
      <w:pPr>
        <w:jc w:val="center"/>
        <w:ind w:right="-480"/>
        <w:spacing w:after="0"/>
        <w:rPr>
          <w:sz w:val="20"/>
          <w:szCs w:val="20"/>
          <w:color w:val="auto"/>
        </w:rPr>
      </w:pPr>
      <w:r>
        <w:rPr>
          <w:rFonts w:ascii="Courier New" w:cs="Courier New" w:eastAsia="Courier New" w:hAnsi="Courier New"/>
          <w:sz w:val="13"/>
          <w:szCs w:val="13"/>
          <w:color w:val="auto"/>
        </w:rPr>
        <w:t>24</w:t>
      </w:r>
    </w:p>
    <w:p>
      <w:pPr>
        <w:spacing w:after="0" w:line="33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3.4.</w:t>
      </w:r>
      <w:r>
        <w:rPr>
          <w:sz w:val="20"/>
          <w:szCs w:val="20"/>
          <w:color w:val="auto"/>
        </w:rPr>
        <w:tab/>
      </w:r>
      <w:r>
        <w:rPr>
          <w:rFonts w:ascii="Courier New" w:cs="Courier New" w:eastAsia="Courier New" w:hAnsi="Courier New"/>
          <w:sz w:val="13"/>
          <w:szCs w:val="13"/>
          <w:color w:val="auto"/>
        </w:rPr>
        <w:t>Authority Relative to This Agreement.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Paramount has all necessary power and authority to execute and deliver this Agreement, to perform its obligations hereunder and to consummate the transactions (including, without limitation, the Offer) contemplated hereby (the "Transactions"). The</w:t>
      </w:r>
    </w:p>
    <w:p>
      <w:pPr>
        <w:ind w:left="310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execution and delivery of this Agreement by Paramount and the consummation by Paramount of the transactions contemplated hereby have been duly and validly authorized by all necessary corporate action and no other corporate proceedings on the part of Paramount are necessary to authorize this Agreement or to consummate the transactions contemplated hereby (other than, with respect to the Merger, the approval and adoption of this Agreement by the holders of a majority of the then outstanding shares of Paramount Common Stock, and the filing and recordation of appropriate merger documents as required by Delaware Law). This Agreement has been duly and validly executed and delivered by Paramount and, assuming the due authorization, execution and delivery by Viacom, constitutes a legal, valid and binding obligation of Paramount, enforceable against Paramount in accordance with its terms. Paramount has taken all appropriate actions so that the restrictions on business combinations contained in Section 203 of Delaware Law and Article XI of Paramount's Certificate of Incorporation will not apply with respect to or as a result of the Transactions.</w:t>
      </w:r>
    </w:p>
    <w:p>
      <w:pPr>
        <w:spacing w:after="0" w:line="165"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3.5.</w:t>
      </w:r>
      <w:r>
        <w:rPr>
          <w:sz w:val="20"/>
          <w:szCs w:val="20"/>
          <w:color w:val="auto"/>
        </w:rPr>
        <w:tab/>
      </w:r>
      <w:r>
        <w:rPr>
          <w:rFonts w:ascii="Courier New" w:cs="Courier New" w:eastAsia="Courier New" w:hAnsi="Courier New"/>
          <w:sz w:val="13"/>
          <w:szCs w:val="13"/>
          <w:color w:val="auto"/>
        </w:rPr>
        <w:t>No Conflict; Required Filings and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00" w:val="left"/>
          <w:tab w:leader="none" w:pos="1320" w:val="left"/>
        </w:tabs>
        <w:rPr>
          <w:sz w:val="20"/>
          <w:szCs w:val="20"/>
          <w:color w:val="auto"/>
        </w:rPr>
      </w:pPr>
      <w:r>
        <w:rPr>
          <w:rFonts w:ascii="Courier New" w:cs="Courier New" w:eastAsia="Courier New" w:hAnsi="Courier New"/>
          <w:sz w:val="14"/>
          <w:szCs w:val="14"/>
          <w:color w:val="auto"/>
        </w:rPr>
        <w:t>Consents.</w:t>
        <w:tab/>
        <w:t>(a)</w:t>
      </w:r>
      <w:r>
        <w:rPr>
          <w:sz w:val="20"/>
          <w:szCs w:val="20"/>
          <w:color w:val="auto"/>
        </w:rPr>
        <w:tab/>
      </w:r>
      <w:r>
        <w:rPr>
          <w:rFonts w:ascii="Courier New" w:cs="Courier New" w:eastAsia="Courier New" w:hAnsi="Courier New"/>
          <w:sz w:val="13"/>
          <w:szCs w:val="13"/>
          <w:color w:val="auto"/>
        </w:rPr>
        <w:t>Except as set forth in Section 3.05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Disclosure Schedule, the execution and delivery of this Agreement by Paramount does not, and the performance by Paramount of its obligations under this Agreement will not, (i) conflict with or violate the Certificate of Incorporation or By-Laws or equivalent organizational documents of Paramount or any Material Paramount Subsidiary, (ii) conflict with or violate any law, rule, regulation, order, judgment or decree applicable to Paramount or any Paramount Subsidiary or by which any property or asset of Paramount or any Paramount Subsidiary is bound or affected, or</w:t>
      </w:r>
    </w:p>
    <w:p>
      <w:pPr>
        <w:spacing w:after="0" w:line="1" w:lineRule="exact"/>
        <w:rPr>
          <w:sz w:val="20"/>
          <w:szCs w:val="20"/>
          <w:color w:val="auto"/>
        </w:rPr>
      </w:pPr>
    </w:p>
    <w:p>
      <w:pPr>
        <w:ind w:right="4799" w:firstLine="6"/>
        <w:spacing w:after="0" w:line="243" w:lineRule="auto"/>
        <w:tabs>
          <w:tab w:leader="none" w:pos="50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Paramount or any Paramount Subsidiary pursuant to, any note, bond, mortgage, indenture, contract, agreement, lease, license, permit, franchise or other instrument or obligation to which Paramount or any Paramount Subsidiary is a party or by which Paramount or any Paramount Subsidiary or any property or asset of Paramount or any Paramount Subsidiary is bound or affected, except, in the case of clauses (ii) and (iii), for any such conflicts, violations, breaches, defaults or other occurrences which would not prevent or delay consummation of the Merger or the Offer in any material respect, or otherwise prevent Paramount from performing its obligations under this Agreement in any material respect, and would not, individually or in the aggregate, have a Paramount Material Adverse Effect.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I-24</w:t>
      </w:r>
    </w:p>
    <w:p>
      <w:pPr>
        <w:sectPr>
          <w:pgSz w:w="11900" w:h="16838" w:orient="portrait"/>
          <w:cols w:equalWidth="0" w:num="1">
            <w:col w:w="10239"/>
          </w:cols>
          <w:pgMar w:left="220" w:top="764" w:right="1440" w:bottom="1440" w:gutter="0" w:footer="0" w:header="0"/>
        </w:sectPr>
      </w:pPr>
    </w:p>
    <w:bookmarkStart w:id="223" w:name="page224"/>
    <w:bookmarkEnd w:id="223"/>
    <w:p>
      <w:pPr>
        <w:jc w:val="center"/>
        <w:ind w:right="-480"/>
        <w:spacing w:after="0"/>
        <w:rPr>
          <w:sz w:val="20"/>
          <w:szCs w:val="20"/>
          <w:color w:val="auto"/>
        </w:rPr>
      </w:pPr>
      <w:r>
        <w:rPr>
          <w:rFonts w:ascii="Courier New" w:cs="Courier New" w:eastAsia="Courier New" w:hAnsi="Courier New"/>
          <w:sz w:val="13"/>
          <w:szCs w:val="13"/>
          <w:color w:val="auto"/>
        </w:rPr>
        <w:t>25</w:t>
      </w:r>
    </w:p>
    <w:p>
      <w:pPr>
        <w:spacing w:after="0" w:line="335" w:lineRule="exact"/>
        <w:rPr>
          <w:sz w:val="20"/>
          <w:szCs w:val="20"/>
          <w:color w:val="auto"/>
        </w:rPr>
      </w:pPr>
    </w:p>
    <w:p>
      <w:pPr>
        <w:ind w:right="4799" w:firstLine="843"/>
        <w:spacing w:after="0" w:line="242" w:lineRule="auto"/>
        <w:tabs>
          <w:tab w:leader="none" w:pos="1255"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Paramount does not, and the performance of this Agreement by Paramount will not, require any consent, approval, authorization or permit of, or filing with or notification to, any governmental or regulatory authority, domestic or foreign (each a "Governmental Entity"), except (i) for (A) applicable</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487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if any, of the Exchange Act, the Securities Act of 1933, as amended (the "Securities Act"), state securities or</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sky" laws ("Blue Sky Laws") and state takeover laws, (B)</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requirements of the Communications Act of 1934,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(the "Communications Act"), and of state and local</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governmental authorities, including state and local authorities granting franchises to operate cable systems, (C) applicable requirements of the Investment Canada Act of 1985 and the Competition Act (Canada), (D) filing and recordation of appropriate merger documents as required by Delaware Law and (E) applicable requirements, if any, of any non-United States competition, antitrust and investment laws and (ii) where failure to obtain such consents, approvals, authorizations or permits, or to make such filings or notifications, would not prevent or delay consummation of the Merger or the Offer in any material respect, or otherwise prevent Paramount from performing its obligations under this Agreement in any material respect, and would not, individually or in the aggregate, have a Paramount Material Adverse Effect.</w:t>
      </w:r>
    </w:p>
    <w:p>
      <w:pPr>
        <w:spacing w:after="0" w:line="163" w:lineRule="exact"/>
        <w:rPr>
          <w:sz w:val="20"/>
          <w:szCs w:val="20"/>
          <w:color w:val="auto"/>
        </w:rPr>
      </w:pPr>
    </w:p>
    <w:p>
      <w:pPr>
        <w:ind w:left="840"/>
        <w:spacing w:after="0"/>
        <w:tabs>
          <w:tab w:leader="none" w:pos="2000" w:val="left"/>
          <w:tab w:leader="none" w:pos="3080" w:val="left"/>
        </w:tabs>
        <w:rPr>
          <w:sz w:val="20"/>
          <w:szCs w:val="20"/>
          <w:color w:val="auto"/>
        </w:rPr>
      </w:pPr>
      <w:r>
        <w:rPr>
          <w:rFonts w:ascii="Courier New" w:cs="Courier New" w:eastAsia="Courier New" w:hAnsi="Courier New"/>
          <w:sz w:val="14"/>
          <w:szCs w:val="14"/>
          <w:color w:val="auto"/>
        </w:rPr>
        <w:t>SECTION 3.6.</w:t>
        <w:tab/>
        <w:t>Compliance.</w:t>
      </w:r>
      <w:r>
        <w:rPr>
          <w:sz w:val="20"/>
          <w:szCs w:val="20"/>
          <w:color w:val="auto"/>
        </w:rPr>
        <w:tab/>
      </w:r>
      <w:r>
        <w:rPr>
          <w:rFonts w:ascii="Courier New" w:cs="Courier New" w:eastAsia="Courier New" w:hAnsi="Courier New"/>
          <w:sz w:val="13"/>
          <w:szCs w:val="13"/>
          <w:color w:val="auto"/>
        </w:rPr>
        <w:t>Except as set forth in</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spacing w:after="0" w:line="262" w:lineRule="auto"/>
        <w:rPr>
          <w:sz w:val="20"/>
          <w:szCs w:val="20"/>
          <w:color w:val="auto"/>
        </w:rPr>
      </w:pPr>
      <w:r>
        <w:rPr>
          <w:rFonts w:ascii="Courier New" w:cs="Courier New" w:eastAsia="Courier New" w:hAnsi="Courier New"/>
          <w:sz w:val="13"/>
          <w:szCs w:val="13"/>
          <w:color w:val="auto"/>
        </w:rPr>
        <w:t>Section 3.6 of the Paramount Disclosure Schedule, neither Paramount nor any Paramount Subsidiary is in conflict with, or in default or violation of, (i) any law, rule, regulation, order, judgment or decree applicable to Paramount or any Paramount Subsidiary or by which any property or asset of Paramount or any Paramount Subsidiary is bound or affected, or</w:t>
      </w:r>
    </w:p>
    <w:p>
      <w:pPr>
        <w:spacing w:after="0" w:line="1" w:lineRule="exact"/>
        <w:rPr>
          <w:sz w:val="20"/>
          <w:szCs w:val="20"/>
          <w:color w:val="auto"/>
        </w:rPr>
      </w:pPr>
    </w:p>
    <w:p>
      <w:pPr>
        <w:ind w:right="4799" w:firstLine="6"/>
        <w:spacing w:after="0" w:line="242" w:lineRule="auto"/>
        <w:tabs>
          <w:tab w:leader="none" w:pos="418"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note, bond, mortgage, indenture, contract, agreement, lease, license, permit, franchise or other instrument or obligation to which Paramount or any Paramount Subsidiary is a party or by which Paramount or any Paramount Subsidiary or any property or asset of Paramount or any Paramount Subsidiary is bound or affected, except for any such conflicts, defaults or violations that would not, individually or in the aggregate, have a Paramount Material Adverse Effect.</w:t>
      </w:r>
    </w:p>
    <w:p>
      <w:pPr>
        <w:spacing w:after="0" w:line="166"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3.7.</w:t>
      </w:r>
      <w:r>
        <w:rPr>
          <w:sz w:val="20"/>
          <w:szCs w:val="20"/>
          <w:color w:val="auto"/>
        </w:rPr>
        <w:tab/>
      </w:r>
      <w:r>
        <w:rPr>
          <w:rFonts w:ascii="Courier New" w:cs="Courier New" w:eastAsia="Courier New" w:hAnsi="Courier New"/>
          <w:sz w:val="13"/>
          <w:szCs w:val="13"/>
          <w:color w:val="auto"/>
        </w:rPr>
        <w:t>SEC Filings; Financial Statements.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Except as set forth in Section 3.7 of the Paramount Disclosure Schedule, (a) Paramount has filed all forms, reports and documents required to be filed by it with the SEC since October 31, 1990, and has heretofore made available to Viacom, in the form filed with the SEC (excluding any exhibits thereto), (i) its Annual Reports on Form 10-K for the fiscal years ended October 31, 1990, 1991 and 1992, respectively, (ii) its Transition Report on Form 10-K for the six months ended April 30, 1993, as amended,</w:t>
      </w:r>
    </w:p>
    <w:p>
      <w:pPr>
        <w:spacing w:after="0" w:line="1" w:lineRule="exact"/>
        <w:rPr>
          <w:sz w:val="20"/>
          <w:szCs w:val="20"/>
          <w:color w:val="auto"/>
        </w:rPr>
      </w:pPr>
    </w:p>
    <w:p>
      <w:pPr>
        <w:ind w:right="4799" w:firstLine="6"/>
        <w:spacing w:after="0" w:line="267" w:lineRule="auto"/>
        <w:tabs>
          <w:tab w:leader="none" w:pos="502" w:val="left"/>
        </w:tabs>
        <w:numPr>
          <w:ilvl w:val="0"/>
          <w:numId w:val="2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its Quarterly Reports on Form 10-Q for the periods ended July 31, 1993 and October 31, 1993, (iv) all proxy statements relating to Paramount's meetings of stockholders (whether annual or special) held since October 31, 1990, and (v) all other forms,</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I-25</w:t>
      </w:r>
    </w:p>
    <w:p>
      <w:pPr>
        <w:sectPr>
          <w:pgSz w:w="11900" w:h="16838" w:orient="portrait"/>
          <w:cols w:equalWidth="0" w:num="1">
            <w:col w:w="10239"/>
          </w:cols>
          <w:pgMar w:left="220" w:top="764" w:right="1440" w:bottom="1440" w:gutter="0" w:footer="0" w:header="0"/>
        </w:sectPr>
      </w:pPr>
    </w:p>
    <w:bookmarkStart w:id="224" w:name="page225"/>
    <w:bookmarkEnd w:id="224"/>
    <w:p>
      <w:pPr>
        <w:jc w:val="center"/>
        <w:ind w:right="-480"/>
        <w:spacing w:after="0"/>
        <w:rPr>
          <w:sz w:val="20"/>
          <w:szCs w:val="20"/>
          <w:color w:val="auto"/>
        </w:rPr>
      </w:pPr>
      <w:r>
        <w:rPr>
          <w:rFonts w:ascii="Courier New" w:cs="Courier New" w:eastAsia="Courier New" w:hAnsi="Courier New"/>
          <w:sz w:val="13"/>
          <w:szCs w:val="13"/>
          <w:color w:val="auto"/>
        </w:rPr>
        <w:t>26</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reports and other registration statements (other than Quarterly Reports on Form 10-Q not referred to in clause (iii) above and preliminary materials) filed by Paramount with the SEC since October 31, 1990 (the forms, reports and other documents referred to in clauses (i), (ii), (iii), (iv) and (v) above being referred to herein, collectively, as the "Paramount SEC Reports"). The</w:t>
      </w:r>
    </w:p>
    <w:p>
      <w:pPr>
        <w:ind w:left="276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Paramount SEC Reports and any forms, reports and other documents filed by Paramount with the SEC after the date of this Agreement</w:t>
      </w:r>
    </w:p>
    <w:p>
      <w:pPr>
        <w:ind w:right="4879" w:firstLine="6"/>
        <w:spacing w:after="0" w:line="243" w:lineRule="auto"/>
        <w:tabs>
          <w:tab w:leader="none" w:pos="33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Paramount Subsidiary is required to file any form, report or other document with the SEC.</w:t>
      </w:r>
    </w:p>
    <w:p>
      <w:pPr>
        <w:spacing w:after="0" w:line="164" w:lineRule="exact"/>
        <w:rPr>
          <w:rFonts w:ascii="Courier New" w:cs="Courier New" w:eastAsia="Courier New" w:hAnsi="Courier New"/>
          <w:sz w:val="14"/>
          <w:szCs w:val="14"/>
          <w:color w:val="auto"/>
        </w:rPr>
      </w:pPr>
    </w:p>
    <w:p>
      <w:pPr>
        <w:ind w:right="4959" w:firstLine="843"/>
        <w:spacing w:after="0" w:line="243" w:lineRule="auto"/>
        <w:tabs>
          <w:tab w:leader="none" w:pos="1255"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consolidated financial statements (including, in each case, any notes thereto) contained in the Paramount SEC Reports was prepared in accordance with generally accepted accounting principles applied on a consistent basis throughout the periods indicated (except as may be indicated in the notes thereto) and each fairly presented the financial position, results of operations and cash flows of Paramount and the consolidated Paramount Subsidiaries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65" w:lineRule="exact"/>
        <w:rPr>
          <w:rFonts w:ascii="Courier New" w:cs="Courier New" w:eastAsia="Courier New" w:hAnsi="Courier New"/>
          <w:sz w:val="14"/>
          <w:szCs w:val="14"/>
          <w:color w:val="auto"/>
        </w:rPr>
      </w:pPr>
    </w:p>
    <w:p>
      <w:pPr>
        <w:ind w:right="4799" w:firstLine="843"/>
        <w:spacing w:after="0" w:line="264" w:lineRule="auto"/>
        <w:tabs>
          <w:tab w:leader="none" w:pos="1255" w:val="left"/>
        </w:tabs>
        <w:numPr>
          <w:ilvl w:val="1"/>
          <w:numId w:val="2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as set forth in Section 3.7 of the Paramount Disclosure Schedule or except as and to the extent set forth in the Paramount SEC Reports filed with the SEC prior to the date of this Agreement, Paramount and the Paramount Subsidiaries do not have any liability or obligation of any nature (whether accrued, absolute, contingent or otherwise) other than liabilities and obligations which would not, individually or in the aggregate, have a Paramount Material Adverse Effect.</w:t>
      </w:r>
    </w:p>
    <w:p>
      <w:pPr>
        <w:spacing w:after="0" w:line="150"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3.8.</w:t>
      </w:r>
      <w:r>
        <w:rPr>
          <w:sz w:val="20"/>
          <w:szCs w:val="20"/>
          <w:color w:val="auto"/>
        </w:rPr>
        <w:tab/>
      </w:r>
      <w:r>
        <w:rPr>
          <w:rFonts w:ascii="Courier New" w:cs="Courier New" w:eastAsia="Courier New" w:hAnsi="Courier New"/>
          <w:sz w:val="13"/>
          <w:szCs w:val="13"/>
          <w:color w:val="auto"/>
        </w:rPr>
        <w:t>Absence of Certain Changes or Events.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Since April 30, 1993, except as contemplated by this Agreement or as set forth in Section 3.8 of the Paramount Disclosure Schedule, contemplated by this Agreement or disclosed in any Paramount SEC Report filed since April 30, 1993 and prior to the date of this Agreement, Paramount and the Paramount Subsidiaries have conducted their businesses only in the ordinary course and in a manner consistent with past practice and, since April 30, 1993, there has not been (i) as of the date hereof, any change, occurrence or circumstance in the business, results of operations or financial condition of Paramount or any Paramount Subsidiary having, individually or in the aggregate, a Paramount Material Adverse Effect, (ii) any damage, destruction or loss (whether or</w:t>
      </w: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I-26</w:t>
      </w:r>
    </w:p>
    <w:p>
      <w:pPr>
        <w:sectPr>
          <w:pgSz w:w="11900" w:h="16838" w:orient="portrait"/>
          <w:cols w:equalWidth="0" w:num="1">
            <w:col w:w="10239"/>
          </w:cols>
          <w:pgMar w:left="220" w:top="764" w:right="1440" w:bottom="1440" w:gutter="0" w:footer="0" w:header="0"/>
        </w:sectPr>
      </w:pPr>
    </w:p>
    <w:bookmarkStart w:id="225" w:name="page226"/>
    <w:bookmarkEnd w:id="225"/>
    <w:p>
      <w:pPr>
        <w:jc w:val="center"/>
        <w:ind w:right="-480"/>
        <w:spacing w:after="0"/>
        <w:rPr>
          <w:sz w:val="20"/>
          <w:szCs w:val="20"/>
          <w:color w:val="auto"/>
        </w:rPr>
      </w:pPr>
      <w:r>
        <w:rPr>
          <w:rFonts w:ascii="Courier New" w:cs="Courier New" w:eastAsia="Courier New" w:hAnsi="Courier New"/>
          <w:sz w:val="13"/>
          <w:szCs w:val="13"/>
          <w:color w:val="auto"/>
        </w:rPr>
        <w:t>27</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not covered by insurance) with respect to any property or asset of Paramount or any Paramount Subsidiary and having, individually or in the aggregate, a Paramount Material Adverse Effect, (iii) any change by Paramount in its accounting methods, principles or practices, (iv) any declaration, setting aside or payment of any dividend or distribution in respect of any capital stock of Paramount or any Paramount Subsidiary or any redemption, purchase or other acquisition of any of their respective securities other than regular quarterly dividends on the shares of Paramount Common Stock not in excess of $.20 per share and dividends by a Paramount Subsidiary to Paramount and other than to fund pre-established Paramount Plans and dividend reinvestment plans, or</w:t>
      </w:r>
    </w:p>
    <w:p>
      <w:pPr>
        <w:spacing w:after="0" w:line="2" w:lineRule="exact"/>
        <w:rPr>
          <w:sz w:val="20"/>
          <w:szCs w:val="20"/>
          <w:color w:val="auto"/>
        </w:rPr>
      </w:pPr>
    </w:p>
    <w:p>
      <w:pPr>
        <w:ind w:right="4799" w:firstLine="6"/>
        <w:spacing w:after="0" w:line="243" w:lineRule="auto"/>
        <w:tabs>
          <w:tab w:leader="none" w:pos="33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set forth in Section 3.3 and pursuant to the plans, programs or arrangements referred to in Section 3.10 and other than in the ordinary course of business consistent with past practice,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Paramount or any Paramount Subsidiary.</w:t>
      </w:r>
    </w:p>
    <w:p>
      <w:pPr>
        <w:spacing w:after="0" w:line="162" w:lineRule="exact"/>
        <w:rPr>
          <w:sz w:val="20"/>
          <w:szCs w:val="20"/>
          <w:color w:val="auto"/>
        </w:rPr>
      </w:pPr>
    </w:p>
    <w:p>
      <w:pPr>
        <w:ind w:left="840"/>
        <w:spacing w:after="0"/>
        <w:tabs>
          <w:tab w:leader="none" w:pos="2000" w:val="left"/>
          <w:tab w:leader="none" w:pos="4000" w:val="left"/>
        </w:tabs>
        <w:rPr>
          <w:sz w:val="20"/>
          <w:szCs w:val="20"/>
          <w:color w:val="auto"/>
        </w:rPr>
      </w:pPr>
      <w:r>
        <w:rPr>
          <w:rFonts w:ascii="Courier New" w:cs="Courier New" w:eastAsia="Courier New" w:hAnsi="Courier New"/>
          <w:sz w:val="14"/>
          <w:szCs w:val="14"/>
          <w:color w:val="auto"/>
        </w:rPr>
        <w:t>SECTION 3.9.</w:t>
        <w:tab/>
        <w:t>Absence of Litigation.</w:t>
      </w:r>
      <w:r>
        <w:rPr>
          <w:sz w:val="20"/>
          <w:szCs w:val="20"/>
          <w:color w:val="auto"/>
        </w:rPr>
        <w:tab/>
      </w:r>
      <w:r>
        <w:rPr>
          <w:rFonts w:ascii="Courier New" w:cs="Courier New" w:eastAsia="Courier New" w:hAnsi="Courier New"/>
          <w:sz w:val="13"/>
          <w:szCs w:val="13"/>
          <w:color w:val="auto"/>
        </w:rPr>
        <w:t>Except as set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3" w:lineRule="auto"/>
        <w:rPr>
          <w:sz w:val="20"/>
          <w:szCs w:val="20"/>
          <w:color w:val="auto"/>
        </w:rPr>
      </w:pPr>
      <w:r>
        <w:rPr>
          <w:rFonts w:ascii="Courier New" w:cs="Courier New" w:eastAsia="Courier New" w:hAnsi="Courier New"/>
          <w:sz w:val="14"/>
          <w:szCs w:val="14"/>
          <w:color w:val="auto"/>
        </w:rPr>
        <w:t>forth in Section 3.9 of the Paramount Disclosure Schedule or except as disclosed in the Paramount SEC Reports filed with the SEC prior to the date of this Agreement, there is no claim, action, proceeding or investigation pending or, to the best knowledge of Paramount, threatened against Paramount or any Paramount Subsidiary, or any property or asset of Paramount or any Paramount Subsidiary, before any court, arbitrator or administrative, governmental or regulatory authority or body, domestic or foreign, which, individually or in the aggregate, is reasonably likely to have a Paramount Material Adverse Effect. Except as disclosed in the Paramount SEC Reports filed with the SEC prior to the date of this Agreement, neither Paramount nor any Paramount Subsidiary nor any property or asset of Paramount or any Paramount Subsidiary is subject to any order, writ, judgment, injunction, decree, determination or award having or reasonably likely to have, individually or in the aggregate, a Paramount Material Adverse Effect.</w:t>
      </w:r>
    </w:p>
    <w:p>
      <w:pPr>
        <w:spacing w:after="0" w:line="164" w:lineRule="exact"/>
        <w:rPr>
          <w:sz w:val="20"/>
          <w:szCs w:val="20"/>
          <w:color w:val="auto"/>
        </w:rPr>
      </w:pPr>
    </w:p>
    <w:p>
      <w:pPr>
        <w:jc w:val="right"/>
        <w:ind w:right="4799"/>
        <w:spacing w:after="0"/>
        <w:tabs>
          <w:tab w:leader="none" w:pos="3320" w:val="left"/>
          <w:tab w:leader="none" w:pos="1240" w:val="left"/>
        </w:tabs>
        <w:rPr>
          <w:sz w:val="20"/>
          <w:szCs w:val="20"/>
          <w:color w:val="auto"/>
        </w:rPr>
      </w:pPr>
      <w:r>
        <w:rPr>
          <w:rFonts w:ascii="Courier New" w:cs="Courier New" w:eastAsia="Courier New" w:hAnsi="Courier New"/>
          <w:sz w:val="14"/>
          <w:szCs w:val="14"/>
          <w:color w:val="auto"/>
        </w:rPr>
        <w:t>SECTION 3.10.</w:t>
        <w:tab/>
        <w:t>Employee Benefit Plans.</w:t>
      </w:r>
      <w:r>
        <w:rPr>
          <w:sz w:val="20"/>
          <w:szCs w:val="20"/>
          <w:color w:val="auto"/>
        </w:rPr>
        <w:tab/>
      </w:r>
      <w:r>
        <w:rPr>
          <w:rFonts w:ascii="Courier New" w:cs="Courier New" w:eastAsia="Courier New" w:hAnsi="Courier New"/>
          <w:sz w:val="13"/>
          <w:szCs w:val="13"/>
          <w:color w:val="auto"/>
        </w:rPr>
        <w:t>With respect to</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all the employee benefit plans, programs and arrangements maintained for the benefit of any current or former employee, officer or director of Paramount or any Paramount Subsidiary (the "Paramount Plans"), except as set forth in Section 3.10 of the</w:t>
      </w:r>
    </w:p>
    <w:p>
      <w:pPr>
        <w:ind w:left="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Paramount Disclosure Schedule or the Paramount SEC Reports and except as would not, individually or in the aggregate, have a Paramount Material Adverse Effect: (i) each Paramount Plan intended to be qualified under Section 401(a) of the Code has received a favorable determination letter from the Internal Revenue Service (the "IRS") that it is so qualified and nothing</w:t>
      </w:r>
    </w:p>
    <w:p>
      <w:pPr>
        <w:ind w:left="184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60" w:right="4879" w:hanging="3346"/>
        <w:spacing w:after="0" w:line="483" w:lineRule="auto"/>
        <w:rPr>
          <w:sz w:val="20"/>
          <w:szCs w:val="20"/>
          <w:color w:val="auto"/>
        </w:rPr>
      </w:pPr>
      <w:r>
        <w:rPr>
          <w:rFonts w:ascii="Courier New" w:cs="Courier New" w:eastAsia="Courier New" w:hAnsi="Courier New"/>
          <w:sz w:val="14"/>
          <w:szCs w:val="14"/>
          <w:color w:val="auto"/>
        </w:rPr>
        <w:t>has occurred since the date of such letter that could reasonably I-27</w:t>
      </w:r>
    </w:p>
    <w:p>
      <w:pPr>
        <w:sectPr>
          <w:pgSz w:w="11900" w:h="16838" w:orient="portrait"/>
          <w:cols w:equalWidth="0" w:num="1">
            <w:col w:w="10239"/>
          </w:cols>
          <w:pgMar w:left="220" w:top="764" w:right="1440" w:bottom="1440" w:gutter="0" w:footer="0" w:header="0"/>
        </w:sectPr>
      </w:pPr>
    </w:p>
    <w:bookmarkStart w:id="226" w:name="page227"/>
    <w:bookmarkEnd w:id="226"/>
    <w:p>
      <w:pPr>
        <w:jc w:val="center"/>
        <w:ind w:right="-480"/>
        <w:spacing w:after="0"/>
        <w:rPr>
          <w:sz w:val="20"/>
          <w:szCs w:val="20"/>
          <w:color w:val="auto"/>
        </w:rPr>
      </w:pPr>
      <w:r>
        <w:rPr>
          <w:rFonts w:ascii="Courier New" w:cs="Courier New" w:eastAsia="Courier New" w:hAnsi="Courier New"/>
          <w:sz w:val="13"/>
          <w:szCs w:val="13"/>
          <w:color w:val="auto"/>
        </w:rPr>
        <w:t>28</w:t>
      </w:r>
    </w:p>
    <w:p>
      <w:pPr>
        <w:spacing w:after="0" w:line="33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be expected to affect the qualified status of such Paramount Plan; (ii) each Paramount Plan has been operated in all respects in accordance with its terms and the requirements of applicable law; (iii) neither Paramount nor any Paramount Subsidiary has incurred any direct or indirect liability under, arising out of or by operation of Title IV of the Employee Retirement Income Security Act of 1974, as amended ("ERISA"), in connection with</w:t>
      </w:r>
    </w:p>
    <w:p>
      <w:pPr>
        <w:ind w:left="294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the termination of, or withdrawal from, any Paramount Plan or other retirement plan or arrangement, and no fact or event exists that could reasonably be expected to give rise to any such liability; and (iv) Paramount and the Paramount Subsidiaries have not incurred any liability under, and have complied in all material respects with, the Worker Adjustment Retraining Notification Act, and no fact or event exists that could give rise to liability under such act. Except as set forth in Section 3.10 of the Paramount Disclosure Schedule or the Paramount SEC Reports, the aggregate accumulated benefit obligations of each Paramount Plan subject to Title IV of ERISA (as of the date of the most recent actuarial valuation prepared for such Paramount Plan) do not exceed the fair market value of the assets of such Paramount Plan (as of the date of such valuation).</w:t>
      </w:r>
    </w:p>
    <w:p>
      <w:pPr>
        <w:spacing w:after="0" w:line="313" w:lineRule="exact"/>
        <w:rPr>
          <w:sz w:val="20"/>
          <w:szCs w:val="20"/>
          <w:color w:val="auto"/>
        </w:rPr>
      </w:pPr>
    </w:p>
    <w:p>
      <w:pPr>
        <w:ind w:left="840"/>
        <w:spacing w:after="0"/>
        <w:tabs>
          <w:tab w:leader="none" w:pos="2080" w:val="left"/>
        </w:tabs>
        <w:rPr>
          <w:sz w:val="20"/>
          <w:szCs w:val="20"/>
          <w:color w:val="auto"/>
        </w:rPr>
      </w:pPr>
      <w:r>
        <w:rPr>
          <w:rFonts w:ascii="Courier New" w:cs="Courier New" w:eastAsia="Courier New" w:hAnsi="Courier New"/>
          <w:sz w:val="14"/>
          <w:szCs w:val="14"/>
          <w:color w:val="auto"/>
        </w:rPr>
        <w:t>SECTION 3.11.</w:t>
      </w:r>
      <w:r>
        <w:rPr>
          <w:sz w:val="20"/>
          <w:szCs w:val="20"/>
          <w:color w:val="auto"/>
        </w:rPr>
        <w:tab/>
      </w:r>
      <w:r>
        <w:rPr>
          <w:rFonts w:ascii="Courier New" w:cs="Courier New" w:eastAsia="Courier New" w:hAnsi="Courier New"/>
          <w:sz w:val="13"/>
          <w:szCs w:val="13"/>
          <w:color w:val="auto"/>
        </w:rPr>
        <w:t>Trademarks, Patents and Copyrights.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Paramount and the Paramount Subsidiaries own or possess adequate licenses or other valid rights to use all material patents, patent rights, trademarks, trademark rights, trade names, trade name rights, copyrights, service marks, trade secrets, applications for trademarks and for service marks, know-how and other proprietary rights and information used or held for use in connection with the business of Paramount and the Paramount Subsidiaries as currently conducted or as contemplated to be conducted, and Paramount is unaware of any assertion or claim challenging the validity of any of the foregoing which, individually or in the aggregate, would have a Paramount Material Adverse Effect. The conduct of the business of Paramount and the Paramount Subsidiaries as currently conducted does not conflict in any way with any patent, patent right, license, trademark, trademark right, trade name, trade name right, service mark or copyright of any third party that, individually or in the aggregate, would have a Paramount Material Adverse Effect. To the best knowledge of Paramount, there are no infringements of any proprietary rights owned by or licensed by or to Paramount or any Paramount Subsidiary which, individually or in the aggregate, would have a Paramount Material Adverse Effect.</w:t>
      </w:r>
    </w:p>
    <w:p>
      <w:pPr>
        <w:spacing w:after="0" w:line="310" w:lineRule="exact"/>
        <w:rPr>
          <w:sz w:val="20"/>
          <w:szCs w:val="20"/>
          <w:color w:val="auto"/>
        </w:rPr>
      </w:pPr>
    </w:p>
    <w:p>
      <w:pPr>
        <w:ind w:left="840"/>
        <w:spacing w:after="0"/>
        <w:tabs>
          <w:tab w:leader="none" w:pos="2080" w:val="left"/>
          <w:tab w:leader="none" w:pos="2740" w:val="left"/>
        </w:tabs>
        <w:rPr>
          <w:sz w:val="20"/>
          <w:szCs w:val="20"/>
          <w:color w:val="auto"/>
        </w:rPr>
      </w:pPr>
      <w:r>
        <w:rPr>
          <w:rFonts w:ascii="Courier New" w:cs="Courier New" w:eastAsia="Courier New" w:hAnsi="Courier New"/>
          <w:sz w:val="14"/>
          <w:szCs w:val="14"/>
          <w:color w:val="auto"/>
        </w:rPr>
        <w:t>SECTION 3.12.</w:t>
        <w:tab/>
        <w:t>Taxes.</w:t>
      </w:r>
      <w:r>
        <w:rPr>
          <w:sz w:val="20"/>
          <w:szCs w:val="20"/>
          <w:color w:val="auto"/>
        </w:rPr>
        <w:tab/>
      </w:r>
      <w:r>
        <w:rPr>
          <w:rFonts w:ascii="Courier New" w:cs="Courier New" w:eastAsia="Courier New" w:hAnsi="Courier New"/>
          <w:sz w:val="13"/>
          <w:szCs w:val="13"/>
          <w:color w:val="auto"/>
        </w:rPr>
        <w:t>Paramount and the Paramount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Paramount Material Adverse Effect. Such reports and returns are and will be true, correct and complete, except for such failure to be true, correct and complete as would not, individually or in the aggregate, have</w:t>
      </w:r>
    </w:p>
    <w:p>
      <w:pPr>
        <w:spacing w:after="0" w:line="1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I-28</w:t>
      </w:r>
    </w:p>
    <w:p>
      <w:pPr>
        <w:sectPr>
          <w:pgSz w:w="11900" w:h="16838" w:orient="portrait"/>
          <w:cols w:equalWidth="0" w:num="1">
            <w:col w:w="10239"/>
          </w:cols>
          <w:pgMar w:left="220" w:top="764" w:right="1440" w:bottom="1440" w:gutter="0" w:footer="0" w:header="0"/>
        </w:sectPr>
      </w:pPr>
    </w:p>
    <w:bookmarkStart w:id="227" w:name="page228"/>
    <w:bookmarkEnd w:id="227"/>
    <w:p>
      <w:pPr>
        <w:jc w:val="center"/>
        <w:ind w:right="-480"/>
        <w:spacing w:after="0"/>
        <w:rPr>
          <w:sz w:val="20"/>
          <w:szCs w:val="20"/>
          <w:color w:val="auto"/>
        </w:rPr>
      </w:pPr>
      <w:r>
        <w:rPr>
          <w:rFonts w:ascii="Courier New" w:cs="Courier New" w:eastAsia="Courier New" w:hAnsi="Courier New"/>
          <w:sz w:val="13"/>
          <w:szCs w:val="13"/>
          <w:color w:val="auto"/>
        </w:rPr>
        <w:t>29</w:t>
      </w:r>
    </w:p>
    <w:p>
      <w:pPr>
        <w:spacing w:after="0" w:line="33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a Paramount Material Adverse Effect. Paramount and the Paramount Subsidiaries have paid and discharged all federal, state, local and foreign taxes due from them, other than such taxes that are being contested in good faith by appropriate proceedings and are adequately reserved as shown in the audited consolidated balance sheet of Paramount dated October 31, 1992 (the "Paramount 1992</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and its most recent quarterly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statements, except for such failures to so pay and discharge which would not, individually or in the aggregate, have a Paramount Material Adverse Effect. Neither the IRS nor any other taxing authority or agency, domestic or foreign, is now asserting or, to the best knowledge of Paramount, threatening to assert against Paramount or any Paramount Subsidiary any deficiency or material claim for additional taxes or interest thereon or penalties in connection therewith which, if such deficiencies or claims were finally resolved against Paramount and the Paramount Subsidiaries would, individually or in the aggregate, have a Paramount Material Adverse Effect. The accruals and reserves for taxes (including interest and penalties, if any, thereon) reflected in the Paramount 1992 Balance Sheet and the most recent quarterly financial statements are adequate in accordance with generally accepted accounting principles, except where the failure to be adequate would not have a Paramount Material Adverse Effect. Paramount and the Paramount Subsidiaries have withheld or collected and paid over to the appropriate governmental authorities or are properly holding for such payment all taxes required by law to be withheld or collected, except for such failures to have so withheld or collected and paid over or to be so holding for payment which would not, individually or in the aggregate, have a Paramount Material Adverse Effect. There are no material liens for taxes upon the assets of Paramount or the Paramount Subsidiaries, other than liens for current taxes not yet due and payable and liens for taxes that are being contested in good faith by appropriate proceedings. Neither Paramount nor any Paramount Subsidiary has agreed to or is required to make any adjustment under Section 481(a) of the Code. Neither Paramount nor any Paramount Subsidiary has made an election under Section 341(f) of the Code. For purposes of this Section 3.12, where a determination of whether a failure by Paramount or a Paramount Subsidiary to comply with the representations herein has a Paramount Material Adverse Effect is necessary, such determination shall be made on an aggregate basis with all other failures within this Section 3.12.</w:t>
      </w:r>
    </w:p>
    <w:p>
      <w:pPr>
        <w:spacing w:after="0" w:line="200" w:lineRule="exact"/>
        <w:rPr>
          <w:sz w:val="20"/>
          <w:szCs w:val="20"/>
          <w:color w:val="auto"/>
        </w:rPr>
      </w:pPr>
    </w:p>
    <w:p>
      <w:pPr>
        <w:spacing w:after="0" w:line="285" w:lineRule="exact"/>
        <w:rPr>
          <w:sz w:val="20"/>
          <w:szCs w:val="20"/>
          <w:color w:val="auto"/>
        </w:rPr>
      </w:pPr>
    </w:p>
    <w:p>
      <w:pPr>
        <w:jc w:val="right"/>
        <w:ind w:right="4799"/>
        <w:spacing w:after="0"/>
        <w:tabs>
          <w:tab w:leader="none" w:pos="3320" w:val="left"/>
          <w:tab w:leader="none" w:pos="640" w:val="left"/>
          <w:tab w:leader="none" w:pos="220" w:val="left"/>
        </w:tabs>
        <w:rPr>
          <w:sz w:val="20"/>
          <w:szCs w:val="20"/>
          <w:color w:val="auto"/>
        </w:rPr>
      </w:pPr>
      <w:r>
        <w:rPr>
          <w:rFonts w:ascii="Courier New" w:cs="Courier New" w:eastAsia="Courier New" w:hAnsi="Courier New"/>
          <w:sz w:val="14"/>
          <w:szCs w:val="14"/>
          <w:color w:val="auto"/>
        </w:rPr>
        <w:t>SECTION 3.13.</w:t>
        <w:tab/>
        <w:t>Amendment to Rights Agreement.</w:t>
        <w:tab/>
        <w:t>(a)</w:t>
      </w:r>
      <w:r>
        <w:rPr>
          <w:sz w:val="20"/>
          <w:szCs w:val="20"/>
          <w:color w:val="auto"/>
        </w:rPr>
        <w:tab/>
      </w:r>
      <w:r>
        <w:rPr>
          <w:rFonts w:ascii="Courier New" w:cs="Courier New" w:eastAsia="Courier New" w:hAnsi="Courier New"/>
          <w:sz w:val="13"/>
          <w:szCs w:val="13"/>
          <w:color w:val="auto"/>
        </w:rPr>
        <w:t>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Board of Directors of Paramount has taken all necessary action to amend the Rights Agreement, dated as of September 7, 1988, as amended, between Paramount and Manufacturers Hanover Trust Company, as Rights Agent (the "Rights Agreement") so that (i)</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799"/>
        <w:spacing w:after="0" w:line="262" w:lineRule="auto"/>
        <w:rPr>
          <w:sz w:val="20"/>
          <w:szCs w:val="20"/>
          <w:color w:val="auto"/>
        </w:rPr>
      </w:pPr>
      <w:r>
        <w:rPr>
          <w:rFonts w:ascii="Courier New" w:cs="Courier New" w:eastAsia="Courier New" w:hAnsi="Courier New"/>
          <w:sz w:val="13"/>
          <w:szCs w:val="13"/>
          <w:color w:val="auto"/>
        </w:rPr>
        <w:t>none of the execution or delivery of this Agreement, the exchange of the shares of Paramount Common Stock for the shares of Viacom Class B Common Stock and CVRs, Viacom Merger Debentures, Warrants and cash in accordance with Article II or the making of the Offer will cause (A) the rights (the "Rights") issued pursuant to the</w:t>
      </w:r>
    </w:p>
    <w:p>
      <w:pPr>
        <w:ind w:left="2680"/>
        <w:spacing w:after="0" w:line="237"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Agreement to become exercisable under the Rights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I-29</w:t>
      </w:r>
    </w:p>
    <w:p>
      <w:pPr>
        <w:sectPr>
          <w:pgSz w:w="11900" w:h="16838" w:orient="portrait"/>
          <w:cols w:equalWidth="0" w:num="1">
            <w:col w:w="10239"/>
          </w:cols>
          <w:pgMar w:left="220" w:top="764" w:right="1440" w:bottom="1440" w:gutter="0" w:footer="0" w:header="0"/>
        </w:sectPr>
      </w:pPr>
    </w:p>
    <w:bookmarkStart w:id="228" w:name="page229"/>
    <w:bookmarkEnd w:id="228"/>
    <w:p>
      <w:pPr>
        <w:jc w:val="center"/>
        <w:ind w:right="-480"/>
        <w:spacing w:after="0"/>
        <w:rPr>
          <w:sz w:val="20"/>
          <w:szCs w:val="20"/>
          <w:color w:val="auto"/>
        </w:rPr>
      </w:pPr>
      <w:r>
        <w:rPr>
          <w:rFonts w:ascii="Courier New" w:cs="Courier New" w:eastAsia="Courier New" w:hAnsi="Courier New"/>
          <w:sz w:val="13"/>
          <w:szCs w:val="13"/>
          <w:color w:val="auto"/>
        </w:rPr>
        <w:t>30</w:t>
      </w:r>
    </w:p>
    <w:p>
      <w:pPr>
        <w:spacing w:after="0" w:line="33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Agreement, (B) Viacom or any of the Viacom Subsidiaries to be deemed an "Acquiring Person" (as defined in the Rights Agreement), or (C) the "Stock Acquisition Date" (as defined in the Rights Agreement) to occur upon any such event and (ii) the "Expiration Date" (as defined in the Rights Agreement) of the Rights shall occur immediately prior to the Effective Time. Paramount agrees to take all necessary action to amend the Rights Agreement so that the consummation of the Offer, on the terms permitted hereunder, will not cause any of the effects referred to in Section 3.13 (a)(i)(A), (B) or (C) to occur; provided,</w:t>
      </w:r>
    </w:p>
    <w:p>
      <w:pPr>
        <w:spacing w:after="0" w:line="149"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Paramount shall not be required to make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amendments to the Rights Agreement if (i) Viacom has not performed or complied in all material respects with all agreements and covenants required by this Agreement to be performed or complied with by it on or prior to the consummation of the Offer or (ii) Paramount obtains and there is in force from the Delaware Court of Chancery an order permanently, preliminarily or temporarily declaring that the making of such amendments to the Rights Agreement would be contrary to the fiduciary duties of the Board of Directors of Paramount. Notwithstanding anything else contained herein, in no event shall the Board of Directors of Paramount make an amendment of the Rights Agreement in favor of the Other Offeror or any other person without making such amendments in favor of Viacom; provided that Paramount will not be obligated to make such amendments for Viacom if Viacom has become obligated to terminate its Offer pursuant to Section 2.5 of this Agreement.</w:t>
      </w:r>
    </w:p>
    <w:p>
      <w:pPr>
        <w:spacing w:after="0" w:line="166" w:lineRule="exact"/>
        <w:rPr>
          <w:sz w:val="20"/>
          <w:szCs w:val="20"/>
          <w:color w:val="auto"/>
        </w:rPr>
      </w:pPr>
    </w:p>
    <w:p>
      <w:pPr>
        <w:ind w:right="4879" w:firstLine="843"/>
        <w:spacing w:after="0" w:line="239" w:lineRule="auto"/>
        <w:tabs>
          <w:tab w:leader="none" w:pos="125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Date" (as defined in the Rights Agreement) has not occurred.</w:t>
      </w:r>
    </w:p>
    <w:p>
      <w:pPr>
        <w:spacing w:after="0" w:line="164" w:lineRule="exact"/>
        <w:rPr>
          <w:sz w:val="20"/>
          <w:szCs w:val="20"/>
          <w:color w:val="auto"/>
        </w:rPr>
      </w:pPr>
    </w:p>
    <w:p>
      <w:pPr>
        <w:jc w:val="right"/>
        <w:ind w:right="4799"/>
        <w:spacing w:after="0"/>
        <w:tabs>
          <w:tab w:leader="none" w:pos="3320" w:val="left"/>
          <w:tab w:leader="none" w:pos="720" w:val="left"/>
        </w:tabs>
        <w:rPr>
          <w:sz w:val="20"/>
          <w:szCs w:val="20"/>
          <w:color w:val="auto"/>
        </w:rPr>
      </w:pPr>
      <w:r>
        <w:rPr>
          <w:rFonts w:ascii="Courier New" w:cs="Courier New" w:eastAsia="Courier New" w:hAnsi="Courier New"/>
          <w:sz w:val="14"/>
          <w:szCs w:val="14"/>
          <w:color w:val="auto"/>
        </w:rPr>
        <w:t>SECTION 3.14.</w:t>
        <w:tab/>
        <w:t>Opinion of Financial Advisor.</w:t>
      </w:r>
      <w:r>
        <w:rPr>
          <w:sz w:val="20"/>
          <w:szCs w:val="20"/>
          <w:color w:val="auto"/>
        </w:rPr>
        <w:tab/>
      </w:r>
      <w:r>
        <w:rPr>
          <w:rFonts w:ascii="Courier New" w:cs="Courier New" w:eastAsia="Courier New" w:hAnsi="Courier New"/>
          <w:sz w:val="13"/>
          <w:szCs w:val="13"/>
          <w:color w:val="auto"/>
        </w:rPr>
        <w:t>Paramount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has received the opinion of Lazard Freres &amp; Co., dated February 4, 1994, to the effect that, as of such date, the consideration to be received by the stockholders of Paramount pursuant to the offer and the Merger, taken together, is fair to such stockholders from a financial point of view, a copy of which opinion will be delivered to Viacom promptly upon receipt.</w:t>
      </w:r>
    </w:p>
    <w:p>
      <w:pPr>
        <w:spacing w:after="0" w:line="164" w:lineRule="exact"/>
        <w:rPr>
          <w:sz w:val="20"/>
          <w:szCs w:val="20"/>
          <w:color w:val="auto"/>
        </w:rPr>
      </w:pPr>
    </w:p>
    <w:p>
      <w:pPr>
        <w:ind w:left="840"/>
        <w:spacing w:after="0"/>
        <w:tabs>
          <w:tab w:leader="none" w:pos="2080" w:val="left"/>
          <w:tab w:leader="none" w:pos="3420" w:val="left"/>
        </w:tabs>
        <w:rPr>
          <w:sz w:val="20"/>
          <w:szCs w:val="20"/>
          <w:color w:val="auto"/>
        </w:rPr>
      </w:pPr>
      <w:r>
        <w:rPr>
          <w:rFonts w:ascii="Courier New" w:cs="Courier New" w:eastAsia="Courier New" w:hAnsi="Courier New"/>
          <w:sz w:val="14"/>
          <w:szCs w:val="14"/>
          <w:color w:val="auto"/>
        </w:rPr>
        <w:t>SECTION 3.15.</w:t>
        <w:tab/>
        <w:t>Vote Required.</w:t>
      </w:r>
      <w:r>
        <w:rPr>
          <w:sz w:val="20"/>
          <w:szCs w:val="20"/>
          <w:color w:val="auto"/>
        </w:rPr>
        <w:tab/>
      </w:r>
      <w:r>
        <w:rPr>
          <w:rFonts w:ascii="Courier New" w:cs="Courier New" w:eastAsia="Courier New" w:hAnsi="Courier New"/>
          <w:sz w:val="13"/>
          <w:szCs w:val="13"/>
          <w:color w:val="auto"/>
        </w:rPr>
        <w:t>The affirmative vote of</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the holders of a majority of the outstanding shares of Paramount Common Stock is the only vote of the holders of any class or series of Paramount capital stock necessary to approve the Merger.</w:t>
      </w:r>
    </w:p>
    <w:p>
      <w:pPr>
        <w:spacing w:after="0" w:line="162" w:lineRule="exact"/>
        <w:rPr>
          <w:sz w:val="20"/>
          <w:szCs w:val="20"/>
          <w:color w:val="auto"/>
        </w:rPr>
      </w:pPr>
    </w:p>
    <w:p>
      <w:pPr>
        <w:ind w:left="840"/>
        <w:spacing w:after="0"/>
        <w:tabs>
          <w:tab w:leader="none" w:pos="2080" w:val="left"/>
          <w:tab w:leader="none" w:pos="2920" w:val="left"/>
        </w:tabs>
        <w:rPr>
          <w:sz w:val="20"/>
          <w:szCs w:val="20"/>
          <w:color w:val="auto"/>
        </w:rPr>
      </w:pPr>
      <w:r>
        <w:rPr>
          <w:rFonts w:ascii="Courier New" w:cs="Courier New" w:eastAsia="Courier New" w:hAnsi="Courier New"/>
          <w:sz w:val="14"/>
          <w:szCs w:val="14"/>
          <w:color w:val="auto"/>
        </w:rPr>
        <w:t>SECTION 3.16.</w:t>
        <w:tab/>
        <w:t>Brokers.</w:t>
      </w:r>
      <w:r>
        <w:rPr>
          <w:sz w:val="20"/>
          <w:szCs w:val="20"/>
          <w:color w:val="auto"/>
        </w:rPr>
        <w:tab/>
      </w:r>
      <w:r>
        <w:rPr>
          <w:rFonts w:ascii="Courier New" w:cs="Courier New" w:eastAsia="Courier New" w:hAnsi="Courier New"/>
          <w:sz w:val="13"/>
          <w:szCs w:val="13"/>
          <w:color w:val="auto"/>
        </w:rPr>
        <w:t>No broker, finder or</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investment banker (other than Lazard Freres &amp; Co.) is entitled to any brokerage, finder's or other fee or commission in connection with the Transactions based upon arrangements made by or on behalf of Paramount. Paramount has heretofore furnished to Viacom a complete and correct copy of all agreements between Paramount and Lazard Freres &amp; Co. pursuant to which such firm would be entitled to any payment relating to the Transactions.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I-30</w:t>
      </w:r>
    </w:p>
    <w:p>
      <w:pPr>
        <w:sectPr>
          <w:pgSz w:w="11900" w:h="16838" w:orient="portrait"/>
          <w:cols w:equalWidth="0" w:num="1">
            <w:col w:w="10239"/>
          </w:cols>
          <w:pgMar w:left="220" w:top="763" w:right="1440" w:bottom="1440" w:gutter="0" w:footer="0" w:header="0"/>
        </w:sectPr>
      </w:pPr>
    </w:p>
    <w:bookmarkStart w:id="229" w:name="page230"/>
    <w:bookmarkEnd w:id="229"/>
    <w:p>
      <w:pPr>
        <w:jc w:val="center"/>
        <w:ind w:right="-480"/>
        <w:spacing w:after="0"/>
        <w:rPr>
          <w:sz w:val="20"/>
          <w:szCs w:val="20"/>
          <w:color w:val="auto"/>
        </w:rPr>
      </w:pPr>
      <w:r>
        <w:rPr>
          <w:rFonts w:ascii="Courier New" w:cs="Courier New" w:eastAsia="Courier New" w:hAnsi="Courier New"/>
          <w:sz w:val="13"/>
          <w:szCs w:val="13"/>
          <w:color w:val="auto"/>
        </w:rPr>
        <w:t>31</w:t>
      </w:r>
    </w:p>
    <w:p>
      <w:pPr>
        <w:spacing w:after="0" w:line="333"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ARTICLE IV</w:t>
      </w:r>
    </w:p>
    <w:p>
      <w:pPr>
        <w:spacing w:after="0" w:line="163"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REPRESENTATIONS AND WARRANTIES OF VIACOM</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Viacom hereby represents and warrants to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4.1.</w:t>
      </w:r>
      <w:r>
        <w:rPr>
          <w:sz w:val="20"/>
          <w:szCs w:val="20"/>
          <w:color w:val="auto"/>
        </w:rPr>
        <w:tab/>
      </w:r>
      <w:r>
        <w:rPr>
          <w:rFonts w:ascii="Courier New" w:cs="Courier New" w:eastAsia="Courier New" w:hAnsi="Courier New"/>
          <w:sz w:val="13"/>
          <w:szCs w:val="13"/>
          <w:color w:val="auto"/>
        </w:rPr>
        <w:t>Organization and Qualification;</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240" w:val="left"/>
          <w:tab w:leader="none" w:pos="1660" w:val="left"/>
        </w:tabs>
        <w:rPr>
          <w:sz w:val="20"/>
          <w:szCs w:val="20"/>
          <w:color w:val="auto"/>
        </w:rPr>
      </w:pPr>
      <w:r>
        <w:rPr>
          <w:rFonts w:ascii="Courier New" w:cs="Courier New" w:eastAsia="Courier New" w:hAnsi="Courier New"/>
          <w:sz w:val="14"/>
          <w:szCs w:val="14"/>
          <w:color w:val="auto"/>
        </w:rPr>
        <w:t>Subsidiaries.</w:t>
        <w:tab/>
        <w:t>(a)</w:t>
      </w:r>
      <w:r>
        <w:rPr>
          <w:sz w:val="20"/>
          <w:szCs w:val="20"/>
          <w:color w:val="auto"/>
        </w:rPr>
        <w:tab/>
      </w:r>
      <w:r>
        <w:rPr>
          <w:rFonts w:ascii="Courier New" w:cs="Courier New" w:eastAsia="Courier New" w:hAnsi="Courier New"/>
          <w:sz w:val="13"/>
          <w:szCs w:val="13"/>
          <w:color w:val="auto"/>
        </w:rPr>
        <w:t>Each of Viacom and each Material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Viacom Material Adverse Effect (as defined below). Viacom and each Material Viacom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Viacom Material Adverse Effect. The term "Viacom Material</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 Effect" means any change or effect that is or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reasonably likely to be materially adverse to the business, results of operations or financial condition of Viacom and the Viacom Subsidiaries, taken as a whole; provided, however, where</w:t>
      </w:r>
    </w:p>
    <w:p>
      <w:pPr>
        <w:ind w:left="3260"/>
        <w:spacing w:after="0" w:line="236" w:lineRule="auto"/>
        <w:tabs>
          <w:tab w:leader="none" w:pos="408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such term qualifies a representation or warranty contained in this Article IV during the period beginning after the date hereof and until the Effective Time, then such term shall mean any change or effect that is or is reasonably likely to be materially adverse to the business or financial condition of Viacom and the Viacom Subsidiaries, taken as a whole.</w:t>
      </w:r>
    </w:p>
    <w:p>
      <w:pPr>
        <w:spacing w:after="0" w:line="164" w:lineRule="exact"/>
        <w:rPr>
          <w:sz w:val="20"/>
          <w:szCs w:val="20"/>
          <w:color w:val="auto"/>
        </w:rPr>
      </w:pPr>
    </w:p>
    <w:p>
      <w:pPr>
        <w:ind w:left="1260" w:hanging="417"/>
        <w:spacing w:after="0"/>
        <w:tabs>
          <w:tab w:leader="none" w:pos="12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Viacom (a "Viacom Subsidiary")</w:t>
      </w:r>
    </w:p>
    <w:p>
      <w:pPr>
        <w:spacing w:after="0" w:line="2" w:lineRule="exact"/>
        <w:rPr>
          <w:rFonts w:ascii="Courier New" w:cs="Courier New" w:eastAsia="Courier New" w:hAnsi="Courier New"/>
          <w:sz w:val="14"/>
          <w:szCs w:val="14"/>
          <w:color w:val="auto"/>
        </w:rPr>
      </w:pPr>
    </w:p>
    <w:p>
      <w:pPr>
        <w:ind w:left="3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1" w:lineRule="auto"/>
        <w:rPr>
          <w:sz w:val="20"/>
          <w:szCs w:val="20"/>
          <w:color w:val="auto"/>
        </w:rPr>
      </w:pPr>
      <w:r>
        <w:rPr>
          <w:rFonts w:ascii="Courier New" w:cs="Courier New" w:eastAsia="Courier New" w:hAnsi="Courier New"/>
          <w:sz w:val="14"/>
          <w:szCs w:val="14"/>
          <w:color w:val="auto"/>
        </w:rPr>
        <w:t>that constitutes a Significant Subsidiary of Viacom within the meaning of Rule 1-02 of Regulation S-X of the SEC is referred to herein as a "Material Viacom Subsidiary".</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jc w:val="right"/>
        <w:ind w:right="4799"/>
        <w:spacing w:after="0"/>
        <w:tabs>
          <w:tab w:leader="none" w:pos="3400" w:val="left"/>
        </w:tabs>
        <w:rPr>
          <w:sz w:val="20"/>
          <w:szCs w:val="20"/>
          <w:color w:val="auto"/>
        </w:rPr>
      </w:pPr>
      <w:r>
        <w:rPr>
          <w:rFonts w:ascii="Courier New" w:cs="Courier New" w:eastAsia="Courier New" w:hAnsi="Courier New"/>
          <w:sz w:val="14"/>
          <w:szCs w:val="14"/>
          <w:color w:val="auto"/>
        </w:rPr>
        <w:t>SECTION 4.2.</w:t>
      </w:r>
      <w:r>
        <w:rPr>
          <w:sz w:val="20"/>
          <w:szCs w:val="20"/>
          <w:color w:val="auto"/>
        </w:rPr>
        <w:tab/>
      </w:r>
      <w:r>
        <w:rPr>
          <w:rFonts w:ascii="Courier New" w:cs="Courier New" w:eastAsia="Courier New" w:hAnsi="Courier New"/>
          <w:sz w:val="13"/>
          <w:szCs w:val="13"/>
          <w:color w:val="auto"/>
        </w:rPr>
        <w:t>Certificate of Incorporation and By-Laws.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Viacom has heretofore made available to Paramount a complete and correct copy of the Certificate of Incorporation and the By-Laws or equivalent organizational documents, each as amended to date, of Viacom and each Material Viacom Subsidiary. Such Certificates of Incorporation, By-Laws and equivalent organizational documents are in full force and effect. Neither Viacom nor any Material Viacom Subsidiary is in violation of any provision of its Certificate of Incorporation, By-Laws or equivalent organizational documents, except for such violations that would not, individually or in the aggregate, have a Viacom Material Adverse Effect.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I-31</w:t>
      </w:r>
    </w:p>
    <w:p>
      <w:pPr>
        <w:sectPr>
          <w:pgSz w:w="11900" w:h="16838" w:orient="portrait"/>
          <w:cols w:equalWidth="0" w:num="1">
            <w:col w:w="10239"/>
          </w:cols>
          <w:pgMar w:left="220" w:top="763" w:right="1440" w:bottom="1440" w:gutter="0" w:footer="0" w:header="0"/>
        </w:sectPr>
      </w:pPr>
    </w:p>
    <w:bookmarkStart w:id="230" w:name="page231"/>
    <w:bookmarkEnd w:id="230"/>
    <w:p>
      <w:pPr>
        <w:jc w:val="center"/>
        <w:ind w:right="-480"/>
        <w:spacing w:after="0"/>
        <w:rPr>
          <w:sz w:val="20"/>
          <w:szCs w:val="20"/>
          <w:color w:val="auto"/>
        </w:rPr>
      </w:pPr>
      <w:r>
        <w:rPr>
          <w:rFonts w:ascii="Courier New" w:cs="Courier New" w:eastAsia="Courier New" w:hAnsi="Courier New"/>
          <w:sz w:val="14"/>
          <w:szCs w:val="14"/>
          <w:color w:val="auto"/>
        </w:rPr>
        <w:t>32</w:t>
      </w:r>
    </w:p>
    <w:p>
      <w:pPr>
        <w:spacing w:after="0" w:line="324" w:lineRule="exact"/>
        <w:rPr>
          <w:sz w:val="20"/>
          <w:szCs w:val="20"/>
          <w:color w:val="auto"/>
        </w:rPr>
      </w:pPr>
    </w:p>
    <w:p>
      <w:pPr>
        <w:ind w:left="840"/>
        <w:spacing w:after="0"/>
        <w:tabs>
          <w:tab w:leader="none" w:pos="2000" w:val="left"/>
          <w:tab w:leader="none" w:pos="3420" w:val="left"/>
        </w:tabs>
        <w:rPr>
          <w:sz w:val="20"/>
          <w:szCs w:val="20"/>
          <w:color w:val="auto"/>
        </w:rPr>
      </w:pPr>
      <w:r>
        <w:rPr>
          <w:rFonts w:ascii="Courier New" w:cs="Courier New" w:eastAsia="Courier New" w:hAnsi="Courier New"/>
          <w:sz w:val="14"/>
          <w:szCs w:val="14"/>
          <w:color w:val="auto"/>
        </w:rPr>
        <w:t>SECTION 4.3.</w:t>
        <w:tab/>
        <w:t>Capitalization.</w:t>
      </w:r>
      <w:r>
        <w:rPr>
          <w:sz w:val="20"/>
          <w:szCs w:val="20"/>
          <w:color w:val="auto"/>
        </w:rPr>
        <w:tab/>
      </w:r>
      <w:r>
        <w:rPr>
          <w:rFonts w:ascii="Courier New" w:cs="Courier New" w:eastAsia="Courier New" w:hAnsi="Courier New"/>
          <w:sz w:val="13"/>
          <w:szCs w:val="13"/>
          <w:color w:val="auto"/>
        </w:rPr>
        <w:t>The authorized capital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119"/>
        <w:spacing w:after="0" w:line="241" w:lineRule="auto"/>
        <w:rPr>
          <w:sz w:val="20"/>
          <w:szCs w:val="20"/>
          <w:color w:val="auto"/>
        </w:rPr>
      </w:pPr>
      <w:r>
        <w:rPr>
          <w:rFonts w:ascii="Courier New" w:cs="Courier New" w:eastAsia="Courier New" w:hAnsi="Courier New"/>
          <w:sz w:val="14"/>
          <w:szCs w:val="14"/>
          <w:color w:val="auto"/>
        </w:rPr>
        <w:t>stock of Viacom consists of 100,000,000 shares of Viacom Class A Common Stock, (together with the Viacom Class B Common Stock, the "Viacom Common Stock"), 150,000,000 shares of Viacom Class B Common Stock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and 100,000,000 shares of Preferred Stock, par value $.01 per share ("Viacom Preferred Stock"), of which 24,000,000 shares have</w:t>
      </w:r>
    </w:p>
    <w:p>
      <w:pPr>
        <w:ind w:left="68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designated Viacom Series A Preferred Stock (the "Viacom</w:t>
      </w:r>
    </w:p>
    <w:p>
      <w:pPr>
        <w:spacing w:after="0" w:line="2"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A Preferred Stock") and 24,000,000 shares have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designated Viacom Series B Preferred Stock (the "Viacom Series B</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4"/>
          <w:szCs w:val="14"/>
          <w:color w:val="auto"/>
        </w:rPr>
        <w:t>Preferred Stock").</w:t>
      </w:r>
      <w:r>
        <w:rPr>
          <w:sz w:val="20"/>
          <w:szCs w:val="20"/>
          <w:color w:val="auto"/>
        </w:rPr>
        <w:tab/>
      </w:r>
      <w:r>
        <w:rPr>
          <w:rFonts w:ascii="Courier New" w:cs="Courier New" w:eastAsia="Courier New" w:hAnsi="Courier New"/>
          <w:sz w:val="13"/>
          <w:szCs w:val="13"/>
          <w:color w:val="auto"/>
        </w:rPr>
        <w:t>As of November 30, 1993, (i) 53,449,125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shares of Viacom Class A Common Stock and 67,345,982 shares of Viacom Class B Common Stock were issued and outstanding, all of which were validly issued, fully paid and non-assessable, (ii) no shares were held in the treasury of Viacom, (iii) no shares were held by the Viacom Subsidiaries, and</w:t>
      </w:r>
    </w:p>
    <w:p>
      <w:pPr>
        <w:spacing w:after="0" w:line="5" w:lineRule="exact"/>
        <w:rPr>
          <w:sz w:val="20"/>
          <w:szCs w:val="20"/>
          <w:color w:val="auto"/>
        </w:rPr>
      </w:pPr>
    </w:p>
    <w:p>
      <w:pPr>
        <w:ind w:right="4799" w:firstLine="6"/>
        <w:spacing w:after="0" w:line="262" w:lineRule="auto"/>
        <w:tabs>
          <w:tab w:leader="none" w:pos="418" w:val="left"/>
        </w:tabs>
        <w:numPr>
          <w:ilvl w:val="0"/>
          <w:numId w:val="2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224,610 shares of Viacom Class A Common Stock and 3,760,297 shares of Viacom Class B Common Stock were reserved for future issuance pursuant to employee stock options or stock incentive rights granted pursuant to Viacom's 1989 Long-Term Management Incentive Plan and the Viacom Inc. Stock Option Plan for Outside Directors. As of the date hereof, 24,000,000 shares of Viacom Series A Preferred Stock and 24,000,000 shares of Viacom Series B Preferred Stock are issued and outstanding. Except as set forth in this Section 4.3 or as contemplated by this Agreement, there are no options, warrants or other rights, agreements, arrangements or commitments of any character relating to the issued or unissued capital stock of Viacom or any Material Viacom Subsidiary or obligating Viacom or any Material Viacom Subsidiary to issue or sell any shares of capital stock of, or other equity interests in, Viacom or any Material Viacom Subsidiary, except for (i) options granted since November 30, 1993 in the ordinary course consistent with past practice, (ii) the reservation of 17,140,800 shares of Viacom Class B Common Stock for issuance upon conversion of shares of Viacom Series B Preferred Stock,</w:t>
      </w:r>
    </w:p>
    <w:p>
      <w:pPr>
        <w:spacing w:after="0" w:line="2" w:lineRule="exact"/>
        <w:rPr>
          <w:rFonts w:ascii="Courier New" w:cs="Courier New" w:eastAsia="Courier New" w:hAnsi="Courier New"/>
          <w:sz w:val="13"/>
          <w:szCs w:val="13"/>
          <w:color w:val="auto"/>
        </w:rPr>
      </w:pPr>
    </w:p>
    <w:p>
      <w:pPr>
        <w:ind w:right="4879" w:firstLine="6"/>
        <w:spacing w:after="0" w:line="262" w:lineRule="auto"/>
        <w:tabs>
          <w:tab w:leader="none" w:pos="502" w:val="left"/>
        </w:tabs>
        <w:numPr>
          <w:ilvl w:val="0"/>
          <w:numId w:val="2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reservation of 8,570,400 shares of Viacom Class B Common Stock for issuance upon conversion of shares of Viacom Series A Preferred Stock, (iv) the issuance of any securities in connection with the acquisition of Blockbuster Entertainment Corporation, a Delaware corporation ("Blockbuster"), and (v) the</w:t>
      </w:r>
    </w:p>
    <w:p>
      <w:pPr>
        <w:ind w:left="31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reservation of 22,727,273 shares of Viacom Class B Common Stock for issuance upon the consummation of the transactions contemplated by the Subscription Agreement, dated as of January 7, 1994 (the "Blockbuster Subscription Agreement"), between</w:t>
      </w:r>
    </w:p>
    <w:p>
      <w:pPr>
        <w:ind w:left="11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Blockbuster and Viacom. All shares of Viacom Common Stock and other securities subject to issuance as aforesaid, upon issuance on the terms and conditions specified in the instruments pursuant to which they are issuable, will be duly authorized, validly issued, fully paid and nonassessable. Except as set forth in Section 4.3 of the Disclosure Schedule previously delivered by Viacom to Paramount (the "Viacom Disclosure Schedule"), there are</w:t>
      </w:r>
    </w:p>
    <w:p>
      <w:pPr>
        <w:ind w:left="21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5" w:lineRule="auto"/>
        <w:rPr>
          <w:sz w:val="20"/>
          <w:szCs w:val="20"/>
          <w:color w:val="auto"/>
        </w:rPr>
      </w:pPr>
      <w:r>
        <w:rPr>
          <w:rFonts w:ascii="Courier New" w:cs="Courier New" w:eastAsia="Courier New" w:hAnsi="Courier New"/>
          <w:sz w:val="13"/>
          <w:szCs w:val="13"/>
          <w:color w:val="auto"/>
        </w:rPr>
        <w:t>no material outstanding contractual obligations of Viacom or any Viacom Subsidiary to repurchase, redeem or otherwise acquire any shares of Viacom Common Stock or any capital stock of any Material Viacom Subsidiary, or make any material investment (in the form of a loan, capital contribution or otherwise) in, any</w:t>
      </w:r>
    </w:p>
    <w:p>
      <w:pPr>
        <w:spacing w:after="0" w:line="1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I-32</w:t>
      </w:r>
    </w:p>
    <w:p>
      <w:pPr>
        <w:sectPr>
          <w:pgSz w:w="11900" w:h="16838" w:orient="portrait"/>
          <w:cols w:equalWidth="0" w:num="1">
            <w:col w:w="10239"/>
          </w:cols>
          <w:pgMar w:left="220" w:top="761" w:right="1440" w:bottom="1440" w:gutter="0" w:footer="0" w:header="0"/>
        </w:sectPr>
      </w:pPr>
    </w:p>
    <w:bookmarkStart w:id="231" w:name="page232"/>
    <w:bookmarkEnd w:id="231"/>
    <w:p>
      <w:pPr>
        <w:jc w:val="center"/>
        <w:ind w:right="-480"/>
        <w:spacing w:after="0"/>
        <w:rPr>
          <w:sz w:val="20"/>
          <w:szCs w:val="20"/>
          <w:color w:val="auto"/>
        </w:rPr>
      </w:pPr>
      <w:r>
        <w:rPr>
          <w:rFonts w:ascii="Courier New" w:cs="Courier New" w:eastAsia="Courier New" w:hAnsi="Courier New"/>
          <w:sz w:val="14"/>
          <w:szCs w:val="14"/>
          <w:color w:val="auto"/>
        </w:rPr>
        <w:t>33</w:t>
      </w:r>
    </w:p>
    <w:p>
      <w:pPr>
        <w:spacing w:after="0" w:line="327"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Viacom Subsidiary or any other person, other than the amended and restated subscription agreement dated as of October 21, 1993 between Viacom and Blockbuster, the subscription agreement dated as of October 4, 1993, as amended, between Viacom and NYNEX Corporation and the Blockbuster Subscription Agreement. Each outstanding share of capital stock of each Material Viacom Subsidiary is duly authorized, validly issued, fully paid and nonassessable and each such share owned by Viacom or another Viacom Subsidiary is free and clear of all security interests, liens, claims, pledges, options, rights of first refusal, agreements, limitations on Viacom's or such other Viacom Subsidiary's voting rights, charges and other encumbrances of any nature whatsoever. If and when the Warrants are exercised for Viacom Class B Common Stock in accordance with the terms of the Warrants, such shares of Viacom Class B Common Stock issued upon such exercise will be duly authorized, validly issued, fully paid and non-assessable, and the holders of outstanding shares of capital stock of Viacom are not entitled to any preemptive or other rights with respect to the Warrants or the Viacom Class B Common Stock issued upon such exercise. The Viacom Merger Debentures will be duly authorized, and when the Viacom Merger Debentures have been duly executed, authenticated, issued and delivered in the Merger pursuant to the terms of this Agreement and the Indenture pursuant to which they are issued (the "Viacom</w:t>
      </w:r>
    </w:p>
    <w:p>
      <w:pPr>
        <w:spacing w:after="0" w:line="16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Debenture Indenture") between Viacom and the trustee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thereunder (the "Merger Debenture Trustee"), such Viacom Merger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19"/>
        <w:spacing w:after="0" w:line="243" w:lineRule="auto"/>
        <w:rPr>
          <w:sz w:val="20"/>
          <w:szCs w:val="20"/>
          <w:color w:val="auto"/>
        </w:rPr>
      </w:pPr>
      <w:r>
        <w:rPr>
          <w:rFonts w:ascii="Courier New" w:cs="Courier New" w:eastAsia="Courier New" w:hAnsi="Courier New"/>
          <w:sz w:val="14"/>
          <w:szCs w:val="14"/>
          <w:color w:val="auto"/>
        </w:rPr>
        <w:t>Debentures will then constitute valid and legal binding obligations of Viacom entitled to the benefits provided by the Viacom Merger Debenture Indenture. Prior to the Effective Time, the Viacom Merger Debenture Indenture will have been duly authorized by Viacom, duly qualified under the Trust Indenture Act of 1939 and, when duly executed and delivered by Viacom and the Merger Debenture Trustee, will constitute a valid and binding instrument of Viacom enforceable in accordance with its terms. The shares of Viacom Exchange Preferred Stock initially issuable upon the exchange of the Viacom Merger Debentures will, if issued, be duly authorized, validly issued, fully paid, non-assessable and free of pre-emptive rights. The Viacom Exchange Debentures initially issuable upon exchange of the Viacom Exchange Preferred Stock for such Viacom Exchange Debentures will be duly authorized; and when the Viacom Exchange Debentures have been duly executed, authenticated, issued and delivered in exchange for the Viacom Exchange Preferred Stock in accordance with the terms of the Viacom Exchange Debentures and the Indenture pursuant to which they are issued (the "Viacom Exchange</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 Indenture") between Viacom and the trustee thereunder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Debenture Trustee"), such Viacom Exchange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4" w:lineRule="auto"/>
        <w:rPr>
          <w:sz w:val="20"/>
          <w:szCs w:val="20"/>
          <w:color w:val="auto"/>
        </w:rPr>
      </w:pPr>
      <w:r>
        <w:rPr>
          <w:rFonts w:ascii="Courier New" w:cs="Courier New" w:eastAsia="Courier New" w:hAnsi="Courier New"/>
          <w:sz w:val="13"/>
          <w:szCs w:val="13"/>
          <w:color w:val="auto"/>
        </w:rPr>
        <w:t>Debentures will then constitute valid and legal binding obligations of Viacom entitled to the benefits provided by the Viacom Exchange Debenture Indenture. By the date of issuance of the Viacom Exchange Preferred Stock, the Viacom Exchange Debenture Indenture will have been duly authorized by Viacom, duly qualified under the Trust Indenture Act of 1939, and, when duly executed and delivered by Viacom and the Exchange Debenture</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I-33</w:t>
      </w:r>
    </w:p>
    <w:p>
      <w:pPr>
        <w:sectPr>
          <w:pgSz w:w="11900" w:h="16838" w:orient="portrait"/>
          <w:cols w:equalWidth="0" w:num="1">
            <w:col w:w="10239"/>
          </w:cols>
          <w:pgMar w:left="220" w:top="761" w:right="1440" w:bottom="1440" w:gutter="0" w:footer="0" w:header="0"/>
        </w:sectPr>
      </w:pPr>
    </w:p>
    <w:bookmarkStart w:id="232" w:name="page233"/>
    <w:bookmarkEnd w:id="232"/>
    <w:p>
      <w:pPr>
        <w:jc w:val="center"/>
        <w:ind w:right="-480"/>
        <w:spacing w:after="0"/>
        <w:rPr>
          <w:sz w:val="20"/>
          <w:szCs w:val="20"/>
          <w:color w:val="auto"/>
        </w:rPr>
      </w:pPr>
      <w:r>
        <w:rPr>
          <w:rFonts w:ascii="Courier New" w:cs="Courier New" w:eastAsia="Courier New" w:hAnsi="Courier New"/>
          <w:sz w:val="14"/>
          <w:szCs w:val="14"/>
          <w:color w:val="auto"/>
        </w:rPr>
        <w:t>34</w:t>
      </w:r>
    </w:p>
    <w:p>
      <w:pPr>
        <w:spacing w:after="0" w:line="327"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Trustee, will constitute a valid and binding instrument of Viacom enforceable in accordance with its terms. Upon their issuance, the Warrants and the CVRs shall each constitute legal, valid and binding obligations of Viacom enforceable in accordance with their terms.</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4.4.</w:t>
      </w:r>
      <w:r>
        <w:rPr>
          <w:sz w:val="20"/>
          <w:szCs w:val="20"/>
          <w:color w:val="auto"/>
        </w:rPr>
        <w:tab/>
      </w:r>
      <w:r>
        <w:rPr>
          <w:rFonts w:ascii="Courier New" w:cs="Courier New" w:eastAsia="Courier New" w:hAnsi="Courier New"/>
          <w:sz w:val="13"/>
          <w:szCs w:val="13"/>
          <w:color w:val="auto"/>
        </w:rPr>
        <w:t>Authority Relative to This Agreement.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19"/>
        <w:spacing w:after="0" w:line="243" w:lineRule="auto"/>
        <w:rPr>
          <w:sz w:val="20"/>
          <w:szCs w:val="20"/>
          <w:color w:val="auto"/>
        </w:rPr>
      </w:pPr>
      <w:r>
        <w:rPr>
          <w:rFonts w:ascii="Courier New" w:cs="Courier New" w:eastAsia="Courier New" w:hAnsi="Courier New"/>
          <w:sz w:val="14"/>
          <w:szCs w:val="14"/>
          <w:color w:val="auto"/>
        </w:rPr>
        <w:t>Viacom has all necessary power and authority to execute and deliver this Agreement, to perform its obligations hereunder and to consummate the transactions contemplated hereby. The execution and delivery of this Agreement by Viacom and the consummation by Viacom of the transactions contemplated hereby have been duly and validly authorized by all necessary corporate action and the Voting Agreement has been approved by the Viacom Board of Directors for purposes of Section 203 of Delaware Law and no other corporate proceedings on the part of Viacom are necessary to authorize this Agreement or to consummate the transactions contemplated hereby (other than, with respect to the Merger (including the issuance of, to the extent required by law, the Viacom Class B Common Stock, the Viacom Merger Debentures, the CVRs, the Warrants, the Viacom Exchange Preferred Stock and the Viacom Exchange Debentures), the approval by the holders of a majority of the then outstanding shares of Viacom Class A Common Stock of (i) this Agreement and the Merger and (ii) to the extent such matters have not been previously voted upon and approved</w:t>
      </w:r>
    </w:p>
    <w:p>
      <w:pPr>
        <w:spacing w:after="0" w:line="6"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by the holders of the Viacom Class A Common Stock, the amendment to Viacom's certificate of incorporation necessary to increase (x) the shares of authorized Class B Viacom Common Stock to</w:t>
      </w:r>
    </w:p>
    <w:p>
      <w:pPr>
        <w:ind w:right="4799"/>
        <w:spacing w:after="0" w:line="242" w:lineRule="auto"/>
        <w:rPr>
          <w:sz w:val="20"/>
          <w:szCs w:val="20"/>
          <w:color w:val="auto"/>
        </w:rPr>
      </w:pPr>
      <w:r>
        <w:rPr>
          <w:rFonts w:ascii="Courier New" w:cs="Courier New" w:eastAsia="Courier New" w:hAnsi="Courier New"/>
          <w:sz w:val="14"/>
          <w:szCs w:val="14"/>
          <w:color w:val="auto"/>
        </w:rPr>
        <w:t>a number not less than the number sufficient to consummate the issuance of shares of Viacom Common Stock contemplated under this Agreement (including such shares issuable upon the exercise of the Warrants and, if applicable, in connection with the CVRs) and (y) the size of the Board of Directors of Viacom to a number not less than 13 (collectively,the "Viacom Vote Matter"; and</w:t>
      </w:r>
    </w:p>
    <w:p>
      <w:pPr>
        <w:spacing w:after="0" w:line="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the amendments to Viacom's Restated Certificate of Incorporation described in clauses (ii)(x) and (y) above being, collectively, the "Viacom Certificate Amendments"), and the filing and</w:t>
      </w:r>
    </w:p>
    <w:p>
      <w:pPr>
        <w:ind w:left="42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19"/>
        <w:spacing w:after="0" w:line="242" w:lineRule="auto"/>
        <w:rPr>
          <w:sz w:val="20"/>
          <w:szCs w:val="20"/>
          <w:color w:val="auto"/>
        </w:rPr>
      </w:pPr>
      <w:r>
        <w:rPr>
          <w:rFonts w:ascii="Courier New" w:cs="Courier New" w:eastAsia="Courier New" w:hAnsi="Courier New"/>
          <w:sz w:val="14"/>
          <w:szCs w:val="14"/>
          <w:color w:val="auto"/>
        </w:rPr>
        <w:t>recordation of the foregoing amendment to Viacom's Restated Certificate of Incorporation and appropriate merger documents as required by Delaware Law). This Agreement has been duly and validly executed and delivered by Viacom and, assuming the due authorization, execution and delivery by Paramount, constitutes a legal, valid and binding obligation of Viacom, enforceable against Viacom in accordance with its terms.</w:t>
      </w:r>
    </w:p>
    <w:p>
      <w:pPr>
        <w:spacing w:after="0" w:line="165"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4.5.</w:t>
      </w:r>
      <w:r>
        <w:rPr>
          <w:sz w:val="20"/>
          <w:szCs w:val="20"/>
          <w:color w:val="auto"/>
        </w:rPr>
        <w:tab/>
      </w:r>
      <w:r>
        <w:rPr>
          <w:rFonts w:ascii="Courier New" w:cs="Courier New" w:eastAsia="Courier New" w:hAnsi="Courier New"/>
          <w:sz w:val="13"/>
          <w:szCs w:val="13"/>
          <w:color w:val="auto"/>
        </w:rPr>
        <w:t>No Conflict; Required Filings and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00" w:val="left"/>
          <w:tab w:leader="none" w:pos="1320" w:val="left"/>
        </w:tabs>
        <w:rPr>
          <w:sz w:val="20"/>
          <w:szCs w:val="20"/>
          <w:color w:val="auto"/>
        </w:rPr>
      </w:pPr>
      <w:r>
        <w:rPr>
          <w:rFonts w:ascii="Courier New" w:cs="Courier New" w:eastAsia="Courier New" w:hAnsi="Courier New"/>
          <w:sz w:val="14"/>
          <w:szCs w:val="14"/>
          <w:color w:val="auto"/>
        </w:rPr>
        <w:t>Consents.</w:t>
        <w:tab/>
        <w:t>(a)</w:t>
      </w:r>
      <w:r>
        <w:rPr>
          <w:sz w:val="20"/>
          <w:szCs w:val="20"/>
          <w:color w:val="auto"/>
        </w:rPr>
        <w:tab/>
      </w:r>
      <w:r>
        <w:rPr>
          <w:rFonts w:ascii="Courier New" w:cs="Courier New" w:eastAsia="Courier New" w:hAnsi="Courier New"/>
          <w:sz w:val="13"/>
          <w:szCs w:val="13"/>
          <w:color w:val="auto"/>
        </w:rPr>
        <w:t>The execution and delivery of this Agreement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Viacom does not, and the performance of the transactions contemplated hereby by Viacom will not, (i) conflict with or violate the Certificate of Incorporation or By-Laws or equivalent organizational documents of Viacom or any Material Viacom Subsidiary, (ii) conflict with or violate any law, rule, regulation, order, judgment or decree applicable to Viacom or any Viacom Subsidiary or by which any property or asset of Viacom or any Viacom Subsidiary is bound or affected, or (iii) result in</w:t>
      </w:r>
    </w:p>
    <w:p>
      <w:pPr>
        <w:spacing w:after="0" w:line="1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I-34</w:t>
      </w:r>
    </w:p>
    <w:p>
      <w:pPr>
        <w:sectPr>
          <w:pgSz w:w="11900" w:h="16838" w:orient="portrait"/>
          <w:cols w:equalWidth="0" w:num="1">
            <w:col w:w="10239"/>
          </w:cols>
          <w:pgMar w:left="220" w:top="761" w:right="1440" w:bottom="1440" w:gutter="0" w:footer="0" w:header="0"/>
        </w:sectPr>
      </w:pPr>
    </w:p>
    <w:bookmarkStart w:id="233" w:name="page234"/>
    <w:bookmarkEnd w:id="233"/>
    <w:p>
      <w:pPr>
        <w:jc w:val="center"/>
        <w:ind w:right="-480"/>
        <w:spacing w:after="0"/>
        <w:rPr>
          <w:sz w:val="20"/>
          <w:szCs w:val="20"/>
          <w:color w:val="auto"/>
        </w:rPr>
      </w:pPr>
      <w:r>
        <w:rPr>
          <w:rFonts w:ascii="Courier New" w:cs="Courier New" w:eastAsia="Courier New" w:hAnsi="Courier New"/>
          <w:sz w:val="13"/>
          <w:szCs w:val="13"/>
          <w:color w:val="auto"/>
        </w:rPr>
        <w:t>35</w:t>
      </w:r>
    </w:p>
    <w:p>
      <w:pPr>
        <w:spacing w:after="0" w:line="33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Viacom or any Viacom Subsidiary pursuant to,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in the case of clauses (ii) and (iii) of this Section 4.5, for any such conflicts, violations, breaches, defaults or other occurrences which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314" w:lineRule="exact"/>
        <w:rPr>
          <w:sz w:val="20"/>
          <w:szCs w:val="20"/>
          <w:color w:val="auto"/>
        </w:rPr>
      </w:pPr>
    </w:p>
    <w:p>
      <w:pPr>
        <w:ind w:right="4799" w:firstLine="843"/>
        <w:spacing w:after="0" w:line="243" w:lineRule="auto"/>
        <w:tabs>
          <w:tab w:leader="none" w:pos="1255"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Viacom does not, and the performance of this Agreement by Viacom will not, require any consent, approval, authorization or permit of, or filing with or notification to, any Governmental Entity, except (i) for (A) applicable requirements, if any, of the Exchange Act, Securities Act, Trust Indenture Act of 1939, state securities or Blue Sky Laws and state takeover laws, (B) the pre-merger notification requirements of the Hart-Scott-Rodino Antitrust Improvements Act of 1976, as amended, and the rules and regulations thereunder (the "HSR Act"), (C) applicable</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requirements of the Communications Act, and of state and local governmental authorities, including state and local authorities granting franchises to operate cable systems, (D) applicable requirements of the Investment Canada Act of 1985 and the Competition Act (Canada), (E) filing and recordation of appropriate merger documents and the Viacom Certificate Amendments as required by Delaware Law and (F) applicable requirements, if any, of any non-United States competition, antitrust and investment laws and (ii) where failure to obtain such consents, approvals, authorizations or permits, or to make such filings or notifications,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163" w:lineRule="exact"/>
        <w:rPr>
          <w:sz w:val="20"/>
          <w:szCs w:val="20"/>
          <w:color w:val="auto"/>
        </w:rPr>
      </w:pPr>
    </w:p>
    <w:p>
      <w:pPr>
        <w:ind w:left="840"/>
        <w:spacing w:after="0"/>
        <w:tabs>
          <w:tab w:leader="none" w:pos="2000" w:val="left"/>
          <w:tab w:leader="none" w:pos="3080" w:val="left"/>
        </w:tabs>
        <w:rPr>
          <w:sz w:val="20"/>
          <w:szCs w:val="20"/>
          <w:color w:val="auto"/>
        </w:rPr>
      </w:pPr>
      <w:r>
        <w:rPr>
          <w:rFonts w:ascii="Courier New" w:cs="Courier New" w:eastAsia="Courier New" w:hAnsi="Courier New"/>
          <w:sz w:val="14"/>
          <w:szCs w:val="14"/>
          <w:color w:val="auto"/>
        </w:rPr>
        <w:t>SECTION 4.6.</w:t>
        <w:tab/>
        <w:t>Compliance.</w:t>
      </w:r>
      <w:r>
        <w:rPr>
          <w:sz w:val="20"/>
          <w:szCs w:val="20"/>
          <w:color w:val="auto"/>
        </w:rPr>
        <w:tab/>
      </w:r>
      <w:r>
        <w:rPr>
          <w:rFonts w:ascii="Courier New" w:cs="Courier New" w:eastAsia="Courier New" w:hAnsi="Courier New"/>
          <w:sz w:val="13"/>
          <w:szCs w:val="13"/>
          <w:color w:val="auto"/>
        </w:rPr>
        <w:t>Neither Viacom nor any</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Viacom Subsidiary is in conflict with, or in default or violation of, (i) any law, rule, regulation, order, judgment or decree applicable to Viacom or any Viacom Subsidiary or by which any property or asset of Viacom or any Viacom Subsidiary is bound or affected, or (ii)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w:t>
      </w:r>
    </w:p>
    <w:p>
      <w:pPr>
        <w:spacing w:after="0" w:line="1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I-35</w:t>
      </w:r>
    </w:p>
    <w:p>
      <w:pPr>
        <w:sectPr>
          <w:pgSz w:w="11900" w:h="16838" w:orient="portrait"/>
          <w:cols w:equalWidth="0" w:num="1">
            <w:col w:w="10239"/>
          </w:cols>
          <w:pgMar w:left="220" w:top="764" w:right="1440" w:bottom="1440" w:gutter="0" w:footer="0" w:header="0"/>
        </w:sectPr>
      </w:pPr>
    </w:p>
    <w:bookmarkStart w:id="234" w:name="page235"/>
    <w:bookmarkEnd w:id="234"/>
    <w:p>
      <w:pPr>
        <w:jc w:val="center"/>
        <w:ind w:right="-480"/>
        <w:spacing w:after="0"/>
        <w:rPr>
          <w:sz w:val="20"/>
          <w:szCs w:val="20"/>
          <w:color w:val="auto"/>
        </w:rPr>
      </w:pPr>
      <w:r>
        <w:rPr>
          <w:rFonts w:ascii="Courier New" w:cs="Courier New" w:eastAsia="Courier New" w:hAnsi="Courier New"/>
          <w:sz w:val="13"/>
          <w:szCs w:val="13"/>
          <w:color w:val="auto"/>
        </w:rPr>
        <w:t>36</w:t>
      </w:r>
    </w:p>
    <w:p>
      <w:pPr>
        <w:spacing w:after="0" w:line="335" w:lineRule="exact"/>
        <w:rPr>
          <w:sz w:val="20"/>
          <w:szCs w:val="20"/>
          <w:color w:val="auto"/>
        </w:rPr>
      </w:pPr>
    </w:p>
    <w:p>
      <w:pPr>
        <w:ind w:right="4879"/>
        <w:spacing w:after="0" w:line="241" w:lineRule="auto"/>
        <w:rPr>
          <w:sz w:val="20"/>
          <w:szCs w:val="20"/>
          <w:color w:val="auto"/>
        </w:rPr>
      </w:pPr>
      <w:r>
        <w:rPr>
          <w:rFonts w:ascii="Courier New" w:cs="Courier New" w:eastAsia="Courier New" w:hAnsi="Courier New"/>
          <w:sz w:val="14"/>
          <w:szCs w:val="14"/>
          <w:color w:val="auto"/>
        </w:rPr>
        <w:t>except for any such conflicts, defaults or violations that would not, individually or in the aggregate, have a Viacom Material Adverse Effect.</w:t>
      </w:r>
    </w:p>
    <w:p>
      <w:pPr>
        <w:spacing w:after="0" w:line="163" w:lineRule="exact"/>
        <w:rPr>
          <w:sz w:val="20"/>
          <w:szCs w:val="20"/>
          <w:color w:val="auto"/>
        </w:rPr>
      </w:pPr>
    </w:p>
    <w:p>
      <w:pPr>
        <w:ind w:left="840"/>
        <w:spacing w:after="0"/>
        <w:tabs>
          <w:tab w:leader="none" w:pos="2000" w:val="left"/>
          <w:tab w:leader="none" w:pos="5000" w:val="left"/>
        </w:tabs>
        <w:rPr>
          <w:sz w:val="20"/>
          <w:szCs w:val="20"/>
          <w:color w:val="auto"/>
        </w:rPr>
      </w:pPr>
      <w:r>
        <w:rPr>
          <w:rFonts w:ascii="Courier New" w:cs="Courier New" w:eastAsia="Courier New" w:hAnsi="Courier New"/>
          <w:sz w:val="14"/>
          <w:szCs w:val="14"/>
          <w:color w:val="auto"/>
        </w:rPr>
        <w:t>SECTION 4.7.</w:t>
        <w:tab/>
        <w:t>SEC Filings; Financial Statements.</w:t>
        <w:tab/>
        <w:t>(a)</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Viacom has filed all forms, reports and documents required to be filed by it with the SEC since December 31, 1990, and has heretofore made available to Paramount, in the form filed with the SEC (excluding any exhibits thereto), (i) its Annual Reports on Form 10-K for the fiscal years ended December 31, 1990, 1991 and 1992, respectively, (ii) its Quarterly Reports on Form 10-Q for the periods ended March 31, 1993, June 30, 1993 and September 30, 1993, (iii) all proxy statements relating to Viacom's meetings of stockholders (whether annual or special) held since January 1, 1991 and (iv) all other forms, reports and other registration statements (other than Quarterly Reports on Form 10-Q not referred to in clause (ii) above and preliminary materials) filed by Viacom with the SEC since December 31, 1990 (the forms, reports and other documents referred to in clauses (i), (ii), (iii), and (iv) above being referred to herein, collectively, as the "Viacom SEC Reports"). The Viacom SEC</w:t>
      </w:r>
    </w:p>
    <w:p>
      <w:pPr>
        <w:ind w:left="1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Reports and any other forms, reports and other documents filed by Viacom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Viacom Subsidiary (other than Viacom International Inc., a Delaware corporation ("Viacom International")) is required to file any form, report or</w:t>
      </w:r>
    </w:p>
    <w:p>
      <w:pPr>
        <w:ind w:left="180"/>
        <w:spacing w:after="0"/>
        <w:rPr>
          <w:sz w:val="20"/>
          <w:szCs w:val="20"/>
          <w:color w:val="auto"/>
        </w:rPr>
      </w:pP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document with the SEC.</w:t>
      </w:r>
    </w:p>
    <w:p>
      <w:pPr>
        <w:spacing w:after="0" w:line="166" w:lineRule="exact"/>
        <w:rPr>
          <w:sz w:val="20"/>
          <w:szCs w:val="20"/>
          <w:color w:val="auto"/>
        </w:rPr>
      </w:pPr>
    </w:p>
    <w:p>
      <w:pPr>
        <w:ind w:right="4799" w:firstLine="843"/>
        <w:spacing w:after="0" w:line="243" w:lineRule="auto"/>
        <w:tabs>
          <w:tab w:leader="none" w:pos="125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consolidated financial statements (including, in each case, any notes thereto) contained in the Viacom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Viacom and the consolidated Viacom Subsidiaries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65" w:lineRule="exact"/>
        <w:rPr>
          <w:rFonts w:ascii="Courier New" w:cs="Courier New" w:eastAsia="Courier New" w:hAnsi="Courier New"/>
          <w:sz w:val="14"/>
          <w:szCs w:val="14"/>
          <w:color w:val="auto"/>
        </w:rPr>
      </w:pPr>
    </w:p>
    <w:p>
      <w:pPr>
        <w:ind w:right="4799" w:firstLine="843"/>
        <w:spacing w:after="0" w:line="265" w:lineRule="auto"/>
        <w:tabs>
          <w:tab w:leader="none" w:pos="1255" w:val="left"/>
        </w:tabs>
        <w:numPr>
          <w:ilvl w:val="0"/>
          <w:numId w:val="2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as and to the extent set forth in the Viacom SEC Reports filed with the SEC prior to the date of this Agreement, Viacom and the Viacom Subsidiaries do not have any liability or obligation of any nature (whether accrued, absolute, contingent or otherwise) other than liabilities and obligations</w:t>
      </w:r>
    </w:p>
    <w:p>
      <w:pPr>
        <w:spacing w:after="0" w:line="1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I-36</w:t>
      </w:r>
    </w:p>
    <w:p>
      <w:pPr>
        <w:sectPr>
          <w:pgSz w:w="11900" w:h="16838" w:orient="portrait"/>
          <w:cols w:equalWidth="0" w:num="1">
            <w:col w:w="10239"/>
          </w:cols>
          <w:pgMar w:left="220" w:top="764" w:right="1440" w:bottom="1440" w:gutter="0" w:footer="0" w:header="0"/>
        </w:sectPr>
      </w:pPr>
    </w:p>
    <w:bookmarkStart w:id="235" w:name="page236"/>
    <w:bookmarkEnd w:id="235"/>
    <w:p>
      <w:pPr>
        <w:jc w:val="center"/>
        <w:ind w:right="-480"/>
        <w:spacing w:after="0"/>
        <w:rPr>
          <w:sz w:val="20"/>
          <w:szCs w:val="20"/>
          <w:color w:val="auto"/>
        </w:rPr>
      </w:pPr>
      <w:r>
        <w:rPr>
          <w:rFonts w:ascii="Courier New" w:cs="Courier New" w:eastAsia="Courier New" w:hAnsi="Courier New"/>
          <w:sz w:val="13"/>
          <w:szCs w:val="13"/>
          <w:color w:val="auto"/>
        </w:rPr>
        <w:t>37</w:t>
      </w:r>
    </w:p>
    <w:p>
      <w:pPr>
        <w:spacing w:after="0" w:line="335" w:lineRule="exact"/>
        <w:rPr>
          <w:sz w:val="20"/>
          <w:szCs w:val="20"/>
          <w:color w:val="auto"/>
        </w:rPr>
      </w:pPr>
    </w:p>
    <w:p>
      <w:pPr>
        <w:ind w:right="4879"/>
        <w:spacing w:after="0" w:line="239" w:lineRule="auto"/>
        <w:rPr>
          <w:sz w:val="20"/>
          <w:szCs w:val="20"/>
          <w:color w:val="auto"/>
        </w:rPr>
      </w:pPr>
      <w:r>
        <w:rPr>
          <w:rFonts w:ascii="Courier New" w:cs="Courier New" w:eastAsia="Courier New" w:hAnsi="Courier New"/>
          <w:sz w:val="14"/>
          <w:szCs w:val="14"/>
          <w:color w:val="auto"/>
        </w:rPr>
        <w:t>which would not, individually or in the aggregate, have a Viacom Material Adverse Effect.</w:t>
      </w:r>
    </w:p>
    <w:p>
      <w:pPr>
        <w:spacing w:after="0" w:line="164"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4.8.</w:t>
      </w:r>
      <w:r>
        <w:rPr>
          <w:sz w:val="20"/>
          <w:szCs w:val="20"/>
          <w:color w:val="auto"/>
        </w:rPr>
        <w:tab/>
      </w:r>
      <w:r>
        <w:rPr>
          <w:rFonts w:ascii="Courier New" w:cs="Courier New" w:eastAsia="Courier New" w:hAnsi="Courier New"/>
          <w:sz w:val="13"/>
          <w:szCs w:val="13"/>
          <w:color w:val="auto"/>
        </w:rPr>
        <w:t>Absence of Certain Changes or Events.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Since December 31, 1992, except as contemplated by this Agreement, any actions taken by Viacom in order to consummate the acquisition of Blockbuster, or any actions taken by Viacom in order to consummate the transactions contemplated by the Blockbuster Subscription Agreement, as set forth in Section 4.8 of the Viacom Disclosure Schedule or disclosed in any Viacom SEC Report filed since December 31, 1992 and prior to the date of this Agreement, Viacom and the Viacom Subsidiaries have conducted their businesses only in the ordinary course and in a manner consistent with past practice and, since December 31, 1992 there has not been (i) as of the date hereof, any change, occurrence or circumstance in the business, results of operations or financial condition of Viacom or any Viacom Subsidiary having, individually or in the aggregate, a Viacom Material Adverse Effect, (ii) any damage, destruction or loss (whether or not covered by insurance) with respect to any property or asset of Viacom or any Viacom Subsidiary and having, individually or in the aggregate, a Viacom Material Adverse Effect, (iii) any change by Viacom in its accounting methods, principles or practices, (iv) any declaration, setting aside or payment of any dividend or distribution in respect of any capital stock of Viacom or any Viacom Subsidiary or any redemption, purchase or other acquisition of any of their respective securities other than dividends by a Viacom Subsidiary to Viacom or (v) other than as set forth in Section 4.3 and pursuant to the plans, programs or arrangements referred to in Section 4.10, other than in the ordinary course of business consistent with past practice and other than as contemplated by the Agreement and Plan of Merger, dated as of January 7, 1994 (the "Blockbuster Merger Agreement"),</w:t>
      </w:r>
    </w:p>
    <w:p>
      <w:pPr>
        <w:spacing w:after="0" w:line="32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between Blockbuster and Viacom,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Viacom or any Viacom Subsidiary, except for the establishment of the Viacom Inc. Stock Option Plan for Outside Directors and the grant of options to purchase an aggregate of 5,000 shares thereunder.</w:t>
      </w:r>
    </w:p>
    <w:p>
      <w:pPr>
        <w:spacing w:after="0" w:line="162" w:lineRule="exact"/>
        <w:rPr>
          <w:sz w:val="20"/>
          <w:szCs w:val="20"/>
          <w:color w:val="auto"/>
        </w:rPr>
      </w:pPr>
    </w:p>
    <w:p>
      <w:pPr>
        <w:ind w:left="840"/>
        <w:spacing w:after="0"/>
        <w:tabs>
          <w:tab w:leader="none" w:pos="2000" w:val="left"/>
          <w:tab w:leader="none" w:pos="4000" w:val="left"/>
        </w:tabs>
        <w:rPr>
          <w:sz w:val="20"/>
          <w:szCs w:val="20"/>
          <w:color w:val="auto"/>
        </w:rPr>
      </w:pPr>
      <w:r>
        <w:rPr>
          <w:rFonts w:ascii="Courier New" w:cs="Courier New" w:eastAsia="Courier New" w:hAnsi="Courier New"/>
          <w:sz w:val="14"/>
          <w:szCs w:val="14"/>
          <w:color w:val="auto"/>
        </w:rPr>
        <w:t>SECTION 4.9.</w:t>
        <w:tab/>
        <w:t>Absence of Litigation.</w:t>
        <w:tab/>
        <w:t>Except as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4" w:lineRule="auto"/>
        <w:rPr>
          <w:sz w:val="20"/>
          <w:szCs w:val="20"/>
          <w:color w:val="auto"/>
        </w:rPr>
      </w:pPr>
      <w:r>
        <w:rPr>
          <w:rFonts w:ascii="Courier New" w:cs="Courier New" w:eastAsia="Courier New" w:hAnsi="Courier New"/>
          <w:sz w:val="13"/>
          <w:szCs w:val="13"/>
          <w:color w:val="auto"/>
        </w:rPr>
        <w:t>disclosed in the Viacom SEC Reports filed with the SEC prior to the date of this Agreement there is no claim, action, proceeding or investigation pending or, to the best knowledge of Viacom, threatened against Viacom or any Viacom Subsidiary, or any property or asset of Viacom or any Viacom Subsidiary, before any court, arbitrator or administrative, governmental or regulatory authority or body, domestic or foreign, which individually or in the aggregate, is reasonably likely to have a Viacom Material Adverse Effect. Except as disclosed in the Viacom SEC Reports</w:t>
      </w:r>
    </w:p>
    <w:p>
      <w:pPr>
        <w:spacing w:after="0" w:line="1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I-37</w:t>
      </w:r>
    </w:p>
    <w:p>
      <w:pPr>
        <w:sectPr>
          <w:pgSz w:w="11900" w:h="16838" w:orient="portrait"/>
          <w:cols w:equalWidth="0" w:num="1">
            <w:col w:w="10239"/>
          </w:cols>
          <w:pgMar w:left="220" w:top="764" w:right="1440" w:bottom="1440" w:gutter="0" w:footer="0" w:header="0"/>
        </w:sectPr>
      </w:pPr>
    </w:p>
    <w:bookmarkStart w:id="236" w:name="page237"/>
    <w:bookmarkEnd w:id="236"/>
    <w:p>
      <w:pPr>
        <w:jc w:val="center"/>
        <w:ind w:right="-480"/>
        <w:spacing w:after="0"/>
        <w:rPr>
          <w:sz w:val="20"/>
          <w:szCs w:val="20"/>
          <w:color w:val="auto"/>
        </w:rPr>
      </w:pPr>
      <w:r>
        <w:rPr>
          <w:rFonts w:ascii="Courier New" w:cs="Courier New" w:eastAsia="Courier New" w:hAnsi="Courier New"/>
          <w:sz w:val="13"/>
          <w:szCs w:val="13"/>
          <w:color w:val="auto"/>
        </w:rPr>
        <w:t>38</w:t>
      </w:r>
    </w:p>
    <w:p>
      <w:pPr>
        <w:spacing w:after="0" w:line="33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filed with the SEC prior to the date of this Agreement, neither Viacom nor any Viacom Subsidiary nor any property or asset of Viacom or any Viacom Subsidiary is subject to any order, writ, judgment, injunction, decree, determination or award having or reasonably likely to have, individually or in the aggregate, a Viacom Material Adverse Effect.</w:t>
      </w:r>
    </w:p>
    <w:p>
      <w:pPr>
        <w:spacing w:after="0" w:line="164" w:lineRule="exact"/>
        <w:rPr>
          <w:sz w:val="20"/>
          <w:szCs w:val="20"/>
          <w:color w:val="auto"/>
        </w:rPr>
      </w:pPr>
    </w:p>
    <w:p>
      <w:pPr>
        <w:jc w:val="right"/>
        <w:ind w:right="4799"/>
        <w:spacing w:after="0"/>
        <w:tabs>
          <w:tab w:leader="none" w:pos="3320" w:val="left"/>
          <w:tab w:leader="none" w:pos="1240" w:val="left"/>
        </w:tabs>
        <w:rPr>
          <w:sz w:val="20"/>
          <w:szCs w:val="20"/>
          <w:color w:val="auto"/>
        </w:rPr>
      </w:pPr>
      <w:r>
        <w:rPr>
          <w:rFonts w:ascii="Courier New" w:cs="Courier New" w:eastAsia="Courier New" w:hAnsi="Courier New"/>
          <w:sz w:val="14"/>
          <w:szCs w:val="14"/>
          <w:color w:val="auto"/>
        </w:rPr>
        <w:t>SECTION 4.10.</w:t>
        <w:tab/>
        <w:t>Employee Benefit Plans.</w:t>
      </w:r>
      <w:r>
        <w:rPr>
          <w:sz w:val="20"/>
          <w:szCs w:val="20"/>
          <w:color w:val="auto"/>
        </w:rPr>
        <w:tab/>
      </w:r>
      <w:r>
        <w:rPr>
          <w:rFonts w:ascii="Courier New" w:cs="Courier New" w:eastAsia="Courier New" w:hAnsi="Courier New"/>
          <w:sz w:val="13"/>
          <w:szCs w:val="13"/>
          <w:color w:val="auto"/>
        </w:rPr>
        <w:t>With respect to</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the employee benefit plans, programs and arrangements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maintained for the benefit of any current or former employee,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or director of Viacom or any Viacom Subsidiary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Plans"), except as set forth in Section 4.10 of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Viacom Disclosure Schedule or the Viacom SEC Reports and except as would not, individually or in the aggregate, have a Viacom Material Adverse Effect: (i) none of the Viacom Plans is a multiemployer plan within the meaning of ERISA; (ii) none of the Viacom Plans promises or provides retiree medical or life insurance benefits to any person; (iii) each Viacom Plan intended to be qualified under Section 401(a) of the Code has received a favorable determination letter from the IRS that it is so qualified and nothing has occurred since the date of such letter that could reasonably be expected to affect the qualified status of such Viacom Plan; (iv) each Viacom Plan has been operated in all respects in accordance with its terms and the requirements of applicable law; (v) neither Viacom nor any Viacom Subsidiary has incurred any direct or indirect liability under, arising out of or by operation of Title IV of ERISA in connection with the termination of, or withdrawal from, any Viacom Plan or other retirement plan or arrangement, and no fact or event exists that could reasonably be expected to give rise to any such liability; and (vi) Viacom and the Viacom Subsidiaries have not incurred any liability under, and have complied in all respects with, the Worker Adjustment Retraining Notification Act, and no fact or event exists that could give rise to liability under such Act. Except as set forth in Section 4.10 of the Viacom Disclosure Schedule or the Viacom SEC Reports, the aggregate accumulated benefit obligations of each Viacom Plan subject to Title IV of ERISA (as of the date of the most recent actuarial valuation prepared for such Viacom Plan) do not exceed the fair market value of the assets of such Viacom Plan (as of the date of such valuation).</w:t>
      </w:r>
    </w:p>
    <w:p>
      <w:pPr>
        <w:spacing w:after="0" w:line="168" w:lineRule="exact"/>
        <w:rPr>
          <w:sz w:val="20"/>
          <w:szCs w:val="20"/>
          <w:color w:val="auto"/>
        </w:rPr>
      </w:pPr>
    </w:p>
    <w:p>
      <w:pPr>
        <w:ind w:left="840"/>
        <w:spacing w:after="0"/>
        <w:tabs>
          <w:tab w:leader="none" w:pos="2080" w:val="left"/>
        </w:tabs>
        <w:rPr>
          <w:sz w:val="20"/>
          <w:szCs w:val="20"/>
          <w:color w:val="auto"/>
        </w:rPr>
      </w:pPr>
      <w:r>
        <w:rPr>
          <w:rFonts w:ascii="Courier New" w:cs="Courier New" w:eastAsia="Courier New" w:hAnsi="Courier New"/>
          <w:sz w:val="14"/>
          <w:szCs w:val="14"/>
          <w:color w:val="auto"/>
        </w:rPr>
        <w:t>SECTION 4.11.</w:t>
      </w:r>
      <w:r>
        <w:rPr>
          <w:sz w:val="20"/>
          <w:szCs w:val="20"/>
          <w:color w:val="auto"/>
        </w:rPr>
        <w:tab/>
      </w:r>
      <w:r>
        <w:rPr>
          <w:rFonts w:ascii="Courier New" w:cs="Courier New" w:eastAsia="Courier New" w:hAnsi="Courier New"/>
          <w:sz w:val="13"/>
          <w:szCs w:val="13"/>
          <w:color w:val="auto"/>
        </w:rPr>
        <w:t>Trademarks, Patents and Copyrights.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3" w:lineRule="auto"/>
        <w:rPr>
          <w:sz w:val="20"/>
          <w:szCs w:val="20"/>
          <w:color w:val="auto"/>
        </w:rPr>
      </w:pPr>
      <w:r>
        <w:rPr>
          <w:rFonts w:ascii="Courier New" w:cs="Courier New" w:eastAsia="Courier New" w:hAnsi="Courier New"/>
          <w:sz w:val="14"/>
          <w:szCs w:val="14"/>
          <w:color w:val="auto"/>
        </w:rPr>
        <w:t>Viacom and the Viacom Subsidiaries own or possess adequate licenses or other valid rights to use all material patents, patent rights, trademarks, trademark rights, trade names, trade name rights, copyrights, service marks, trade secrets, applications for trademarks and for service marks, know-how and other proprietary rights and information used or held for use in connection with the business of Viacom and the Viacom Subsidiaries as currently conducted or as contemplated to be conducted, and Viacom is unaware of any assertion or claim challenging the validity of any of the foregoing which, individually or in the aggregate, would have a Viacom Material Adverse Effect. The conduct of the business of Viacom and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I-38</w:t>
      </w:r>
    </w:p>
    <w:p>
      <w:pPr>
        <w:sectPr>
          <w:pgSz w:w="11900" w:h="16838" w:orient="portrait"/>
          <w:cols w:equalWidth="0" w:num="1">
            <w:col w:w="10239"/>
          </w:cols>
          <w:pgMar w:left="220" w:top="764" w:right="1440" w:bottom="1440" w:gutter="0" w:footer="0" w:header="0"/>
        </w:sectPr>
      </w:pPr>
    </w:p>
    <w:bookmarkStart w:id="237" w:name="page238"/>
    <w:bookmarkEnd w:id="237"/>
    <w:p>
      <w:pPr>
        <w:jc w:val="center"/>
        <w:ind w:right="-480"/>
        <w:spacing w:after="0"/>
        <w:rPr>
          <w:sz w:val="20"/>
          <w:szCs w:val="20"/>
          <w:color w:val="auto"/>
        </w:rPr>
      </w:pPr>
      <w:r>
        <w:rPr>
          <w:rFonts w:ascii="Courier New" w:cs="Courier New" w:eastAsia="Courier New" w:hAnsi="Courier New"/>
          <w:sz w:val="13"/>
          <w:szCs w:val="13"/>
          <w:color w:val="auto"/>
        </w:rPr>
        <w:t>39</w:t>
      </w:r>
    </w:p>
    <w:p>
      <w:pPr>
        <w:spacing w:after="0" w:line="33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Viacom Subsidiaries as currently conducted does not conflict in any way with any patent, patent right, license, trademark, trademark right, trade name, trade name right, service mark or copyright of any third party that, individually or in the aggregate, would have a Viacom Material Adverse Effect.</w:t>
      </w:r>
    </w:p>
    <w:p>
      <w:pPr>
        <w:spacing w:after="0" w:line="163" w:lineRule="exact"/>
        <w:rPr>
          <w:sz w:val="20"/>
          <w:szCs w:val="20"/>
          <w:color w:val="auto"/>
        </w:rPr>
      </w:pPr>
    </w:p>
    <w:p>
      <w:pPr>
        <w:ind w:left="840"/>
        <w:spacing w:after="0"/>
        <w:tabs>
          <w:tab w:leader="none" w:pos="2080" w:val="left"/>
          <w:tab w:leader="none" w:pos="2740" w:val="left"/>
        </w:tabs>
        <w:rPr>
          <w:sz w:val="20"/>
          <w:szCs w:val="20"/>
          <w:color w:val="auto"/>
        </w:rPr>
      </w:pPr>
      <w:r>
        <w:rPr>
          <w:rFonts w:ascii="Courier New" w:cs="Courier New" w:eastAsia="Courier New" w:hAnsi="Courier New"/>
          <w:sz w:val="14"/>
          <w:szCs w:val="14"/>
          <w:color w:val="auto"/>
        </w:rPr>
        <w:t>SECTION 4.12.</w:t>
        <w:tab/>
        <w:t>Taxes.</w:t>
      </w:r>
      <w:r>
        <w:rPr>
          <w:sz w:val="20"/>
          <w:szCs w:val="20"/>
          <w:color w:val="auto"/>
        </w:rPr>
        <w:tab/>
      </w:r>
      <w:r>
        <w:rPr>
          <w:rFonts w:ascii="Courier New" w:cs="Courier New" w:eastAsia="Courier New" w:hAnsi="Courier New"/>
          <w:sz w:val="13"/>
          <w:szCs w:val="13"/>
          <w:color w:val="auto"/>
        </w:rPr>
        <w:t>Viacom and the Viacom</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Viacom Material Adverse Effect. Such reports and returns are and will be true, correct and complete, except for such failures to be true, correct and complete as would not, individually or in the aggregate, have a Viacom Material Adverse Effect. Viacom and the Viacom Subsidiaries have paid and discharged all federal, state, local and foreign taxes due from them, other than such taxes that are being contested in good faith by appropriate proceedings and are adequately reserved as shown in the audited consolidated balance sheet of Viacom dated December 31, 1992 (the "Viacom 1992</w:t>
      </w:r>
    </w:p>
    <w:p>
      <w:pPr>
        <w:spacing w:after="0" w:line="154" w:lineRule="exact"/>
        <w:rPr>
          <w:sz w:val="20"/>
          <w:szCs w:val="20"/>
          <w:color w:val="auto"/>
        </w:rPr>
      </w:pPr>
    </w:p>
    <w:p>
      <w:pPr>
        <w:ind w:left="452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and its most recent quarterly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statements, except for such failures to so pay and discharge which would not, individually or in the aggregate, have a Viacom Material Adverse Effect. Neither the IRS nor any other taxing authority or agency, domestic or foreign, is now asserting or, to the best knowledge of Viacom, threatening to assert against Viacom or any Viacom Subsidiary any deficiency or material claim for additional taxes or interest thereon or penalties in connection therewith which, if such deficiencies or claims were finally resolved against Viacom and the Viacom Subsidiaries would, individually or in the aggregate, have a Viacom Material Adverse Effect. The accruals and reserves for taxes (including interest and penalties, if any, thereon) reflected in the Viacom 1992 Balance Sheet and the most recent quarterly financial statements are adequate in accordance with generally accepted accounting principles, except where the failure to be adequate would not have a Viacom Material Adverse Effect. Viacom and the Viacom Subsidiaries have withheld or collected and paid over to the appropriate governmental authorities or are properly holding for such payment all taxes required by law to be withheld or collected, except for such failures to have so withheld or collected and paid over or to be so holding for payment which would not, individually or in the aggregate, have a Viacom Material Adverse Effect. There are no material liens for taxes upon the assets of Viacom or the Viacom Subsidiaries, other than liens for current taxes not yet due and payable and liens for taxes that are being contested in good faith by appropriate proceedings. Neither Viacom nor any Viacom Subsidiary has agreed to or is required to make any adjustment under Section 481(a) of the Code. Neither Viacom nor any Viacom Subsidiary has made an election under Section 341(f) of the Code. For purposes of this Section 4.12, where a determination of whether a failure by Viacom or a Viacom Subsidiary to comply with the representations</w:t>
      </w:r>
    </w:p>
    <w:p>
      <w:pPr>
        <w:spacing w:after="0" w:line="1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I-39</w:t>
      </w:r>
    </w:p>
    <w:p>
      <w:pPr>
        <w:sectPr>
          <w:pgSz w:w="11900" w:h="16838" w:orient="portrait"/>
          <w:cols w:equalWidth="0" w:num="1">
            <w:col w:w="10239"/>
          </w:cols>
          <w:pgMar w:left="220" w:top="764" w:right="1440" w:bottom="1440" w:gutter="0" w:footer="0" w:header="0"/>
        </w:sectPr>
      </w:pPr>
    </w:p>
    <w:bookmarkStart w:id="238" w:name="page239"/>
    <w:bookmarkEnd w:id="238"/>
    <w:p>
      <w:pPr>
        <w:jc w:val="center"/>
        <w:ind w:right="-480"/>
        <w:spacing w:after="0"/>
        <w:rPr>
          <w:sz w:val="20"/>
          <w:szCs w:val="20"/>
          <w:color w:val="auto"/>
        </w:rPr>
      </w:pPr>
      <w:r>
        <w:rPr>
          <w:rFonts w:ascii="Courier New" w:cs="Courier New" w:eastAsia="Courier New" w:hAnsi="Courier New"/>
          <w:sz w:val="13"/>
          <w:szCs w:val="13"/>
          <w:color w:val="auto"/>
        </w:rPr>
        <w:t>40</w:t>
      </w:r>
    </w:p>
    <w:p>
      <w:pPr>
        <w:spacing w:after="0" w:line="335" w:lineRule="exact"/>
        <w:rPr>
          <w:sz w:val="20"/>
          <w:szCs w:val="20"/>
          <w:color w:val="auto"/>
        </w:rPr>
      </w:pPr>
    </w:p>
    <w:p>
      <w:pPr>
        <w:ind w:right="4879"/>
        <w:spacing w:after="0" w:line="241" w:lineRule="auto"/>
        <w:rPr>
          <w:sz w:val="20"/>
          <w:szCs w:val="20"/>
          <w:color w:val="auto"/>
        </w:rPr>
      </w:pPr>
      <w:r>
        <w:rPr>
          <w:rFonts w:ascii="Courier New" w:cs="Courier New" w:eastAsia="Courier New" w:hAnsi="Courier New"/>
          <w:sz w:val="14"/>
          <w:szCs w:val="14"/>
          <w:color w:val="auto"/>
        </w:rPr>
        <w:t>herein has a Viacom Material Adverse Effect is necessary, such determination shall be made on an aggregate basis with all other failures within this Section 4.12.</w:t>
      </w:r>
    </w:p>
    <w:p>
      <w:pPr>
        <w:spacing w:after="0" w:line="163" w:lineRule="exact"/>
        <w:rPr>
          <w:sz w:val="20"/>
          <w:szCs w:val="20"/>
          <w:color w:val="auto"/>
        </w:rPr>
      </w:pPr>
    </w:p>
    <w:p>
      <w:pPr>
        <w:ind w:left="840"/>
        <w:spacing w:after="0"/>
        <w:tabs>
          <w:tab w:leader="none" w:pos="2080" w:val="left"/>
          <w:tab w:leader="none" w:pos="4680" w:val="left"/>
        </w:tabs>
        <w:rPr>
          <w:sz w:val="20"/>
          <w:szCs w:val="20"/>
          <w:color w:val="auto"/>
        </w:rPr>
      </w:pPr>
      <w:r>
        <w:rPr>
          <w:rFonts w:ascii="Courier New" w:cs="Courier New" w:eastAsia="Courier New" w:hAnsi="Courier New"/>
          <w:sz w:val="14"/>
          <w:szCs w:val="14"/>
          <w:color w:val="auto"/>
        </w:rPr>
        <w:t>SECTION 4.13.</w:t>
        <w:tab/>
        <w:t>Opinion of Financial Advisor.</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has received the opinion of Smith Barney Shearson Inc., dated February 1, 1994, to the effect that, as of such date, the financial terms of the proposed acquisition by Viacom of Paramount are fair from a financial point of view to Viacom and its stockholders. A copy of such opinion will be delivered to Paramount promptly.</w:t>
      </w:r>
    </w:p>
    <w:p>
      <w:pPr>
        <w:spacing w:after="0" w:line="164" w:lineRule="exact"/>
        <w:rPr>
          <w:sz w:val="20"/>
          <w:szCs w:val="20"/>
          <w:color w:val="auto"/>
        </w:rPr>
      </w:pPr>
    </w:p>
    <w:p>
      <w:pPr>
        <w:ind w:left="840"/>
        <w:spacing w:after="0"/>
        <w:tabs>
          <w:tab w:leader="none" w:pos="2080" w:val="left"/>
          <w:tab w:leader="none" w:pos="3420" w:val="left"/>
        </w:tabs>
        <w:rPr>
          <w:sz w:val="20"/>
          <w:szCs w:val="20"/>
          <w:color w:val="auto"/>
        </w:rPr>
      </w:pPr>
      <w:r>
        <w:rPr>
          <w:rFonts w:ascii="Courier New" w:cs="Courier New" w:eastAsia="Courier New" w:hAnsi="Courier New"/>
          <w:sz w:val="14"/>
          <w:szCs w:val="14"/>
          <w:color w:val="auto"/>
        </w:rPr>
        <w:t>SECTION 4.14.</w:t>
        <w:tab/>
        <w:t>Vote Required.</w:t>
      </w:r>
      <w:r>
        <w:rPr>
          <w:sz w:val="20"/>
          <w:szCs w:val="20"/>
          <w:color w:val="auto"/>
        </w:rPr>
        <w:tab/>
      </w:r>
      <w:r>
        <w:rPr>
          <w:rFonts w:ascii="Courier New" w:cs="Courier New" w:eastAsia="Courier New" w:hAnsi="Courier New"/>
          <w:sz w:val="13"/>
          <w:szCs w:val="13"/>
          <w:color w:val="auto"/>
        </w:rPr>
        <w:t>The affirmative vote of</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the holders of a majority of the outstanding shares of Viacom Class A Common Stock is the only vote of the holders of any class or series of Viacom capital stock necessary to approve the Viacom Vote Matter.</w:t>
      </w:r>
    </w:p>
    <w:p>
      <w:pPr>
        <w:spacing w:after="0" w:line="162" w:lineRule="exact"/>
        <w:rPr>
          <w:sz w:val="20"/>
          <w:szCs w:val="20"/>
          <w:color w:val="auto"/>
        </w:rPr>
      </w:pPr>
    </w:p>
    <w:p>
      <w:pPr>
        <w:jc w:val="right"/>
        <w:ind w:right="4799"/>
        <w:spacing w:after="0"/>
        <w:tabs>
          <w:tab w:leader="none" w:pos="3320" w:val="left"/>
          <w:tab w:leader="none" w:pos="140" w:val="left"/>
        </w:tabs>
        <w:rPr>
          <w:sz w:val="20"/>
          <w:szCs w:val="20"/>
          <w:color w:val="auto"/>
        </w:rPr>
      </w:pPr>
      <w:r>
        <w:rPr>
          <w:rFonts w:ascii="Courier New" w:cs="Courier New" w:eastAsia="Courier New" w:hAnsi="Courier New"/>
          <w:sz w:val="14"/>
          <w:szCs w:val="14"/>
          <w:color w:val="auto"/>
        </w:rPr>
        <w:t>SECTION 4.15.</w:t>
        <w:tab/>
        <w:t>Ownership of Paramount Common Stock.</w:t>
      </w:r>
      <w:r>
        <w:rPr>
          <w:sz w:val="20"/>
          <w:szCs w:val="20"/>
          <w:color w:val="auto"/>
        </w:rPr>
        <w:tab/>
      </w:r>
      <w:r>
        <w:rPr>
          <w:rFonts w:ascii="Courier New" w:cs="Courier New" w:eastAsia="Courier New" w:hAnsi="Courier New"/>
          <w:sz w:val="13"/>
          <w:szCs w:val="13"/>
          <w:color w:val="auto"/>
        </w:rPr>
        <w:t>As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of the date of this Agreement and based on the number of issued and outstanding shares of Paramount Common Stock as of September 3, 1993 set forth in Section 3.3, Viacom and its affiliates beneficially own, in the aggregate, less than five percent of the issued and outstanding shares of Paramount Common Stock.</w:t>
      </w:r>
    </w:p>
    <w:p>
      <w:pPr>
        <w:spacing w:after="0" w:line="163" w:lineRule="exact"/>
        <w:rPr>
          <w:sz w:val="20"/>
          <w:szCs w:val="20"/>
          <w:color w:val="auto"/>
        </w:rPr>
      </w:pPr>
    </w:p>
    <w:p>
      <w:pPr>
        <w:ind w:left="840"/>
        <w:spacing w:after="0"/>
        <w:tabs>
          <w:tab w:leader="none" w:pos="2080" w:val="left"/>
          <w:tab w:leader="none" w:pos="2920" w:val="left"/>
        </w:tabs>
        <w:rPr>
          <w:sz w:val="20"/>
          <w:szCs w:val="20"/>
          <w:color w:val="auto"/>
        </w:rPr>
      </w:pPr>
      <w:r>
        <w:rPr>
          <w:rFonts w:ascii="Courier New" w:cs="Courier New" w:eastAsia="Courier New" w:hAnsi="Courier New"/>
          <w:sz w:val="14"/>
          <w:szCs w:val="14"/>
          <w:color w:val="auto"/>
        </w:rPr>
        <w:t>SECTION 4.16.</w:t>
        <w:tab/>
        <w:t>Brokers.</w:t>
      </w:r>
      <w:r>
        <w:rPr>
          <w:sz w:val="20"/>
          <w:szCs w:val="20"/>
          <w:color w:val="auto"/>
        </w:rPr>
        <w:tab/>
      </w:r>
      <w:r>
        <w:rPr>
          <w:rFonts w:ascii="Courier New" w:cs="Courier New" w:eastAsia="Courier New" w:hAnsi="Courier New"/>
          <w:sz w:val="13"/>
          <w:szCs w:val="13"/>
          <w:color w:val="auto"/>
        </w:rPr>
        <w:t>No broker, finder or</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investment banker (other than Smith Barney Shearson Inc., Goldman Sachs &amp; Co. and Bear, Stearns &amp; Co. Inc.) is entitled to any brokerage, finder's or other fee or commission in connection with the Transactions based upon arrangements made by or on behalf of Viacom. Viacom has heretofore furnished to Paramount a complete and correct copy of all agreements between Viacom and each of Smith Barney Shearson Inc., Goldman Sachs &amp; Co. and Bear, Stearns</w:t>
      </w:r>
    </w:p>
    <w:p>
      <w:pPr>
        <w:spacing w:after="0" w:line="1" w:lineRule="exact"/>
        <w:rPr>
          <w:sz w:val="20"/>
          <w:szCs w:val="20"/>
          <w:color w:val="auto"/>
        </w:rPr>
      </w:pPr>
    </w:p>
    <w:p>
      <w:pPr>
        <w:ind w:right="4879" w:firstLine="6"/>
        <w:spacing w:after="0" w:line="239" w:lineRule="auto"/>
        <w:tabs>
          <w:tab w:leader="none" w:pos="16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Inc. pursuant to which each such firm would be entitled to any payment relating to the Transactions.</w:t>
      </w:r>
    </w:p>
    <w:p>
      <w:pPr>
        <w:spacing w:after="0" w:line="164" w:lineRule="exact"/>
        <w:rPr>
          <w:sz w:val="20"/>
          <w:szCs w:val="20"/>
          <w:color w:val="auto"/>
        </w:rPr>
      </w:pPr>
    </w:p>
    <w:p>
      <w:pPr>
        <w:ind w:left="840"/>
        <w:spacing w:after="0"/>
        <w:tabs>
          <w:tab w:leader="none" w:pos="2080" w:val="left"/>
          <w:tab w:leader="none" w:pos="3080" w:val="left"/>
        </w:tabs>
        <w:rPr>
          <w:sz w:val="20"/>
          <w:szCs w:val="20"/>
          <w:color w:val="auto"/>
        </w:rPr>
      </w:pPr>
      <w:r>
        <w:rPr>
          <w:rFonts w:ascii="Courier New" w:cs="Courier New" w:eastAsia="Courier New" w:hAnsi="Courier New"/>
          <w:sz w:val="14"/>
          <w:szCs w:val="14"/>
          <w:color w:val="auto"/>
        </w:rPr>
        <w:t>SECTION 4.17.</w:t>
        <w:tab/>
        <w:t>Financing.</w:t>
      </w:r>
      <w:r>
        <w:rPr>
          <w:sz w:val="20"/>
          <w:szCs w:val="20"/>
          <w:color w:val="auto"/>
        </w:rPr>
        <w:tab/>
      </w:r>
      <w:r>
        <w:rPr>
          <w:rFonts w:ascii="Courier New" w:cs="Courier New" w:eastAsia="Courier New" w:hAnsi="Courier New"/>
          <w:sz w:val="13"/>
          <w:szCs w:val="13"/>
          <w:color w:val="auto"/>
        </w:rPr>
        <w:t>Viacom has delivered to</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Paramount binding commitments or agreements to obtain the financing in contemplation of the Transactions (the "Financing")</w:t>
      </w:r>
    </w:p>
    <w:p>
      <w:pPr>
        <w:ind w:left="444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in an amount sufficient, together with the Viacom Class B Common Stock, the Viacom Merger Preferred Stock, the CVRs and Warrants, to acquire all the shares of Paramount Common Stock in the Offer and the Merger and to pay all related contemplated fees and expenses. Viacom knows of no fact or circumstance (including the obligations of Viacom under this Agreement) that is reasonably likely to result in the inability of Viacom to receive the proceeds from such Financing.</w:t>
      </w:r>
    </w:p>
    <w:p>
      <w:pPr>
        <w:spacing w:after="0" w:line="166" w:lineRule="exact"/>
        <w:rPr>
          <w:sz w:val="20"/>
          <w:szCs w:val="20"/>
          <w:color w:val="auto"/>
        </w:rPr>
      </w:pPr>
    </w:p>
    <w:p>
      <w:pPr>
        <w:jc w:val="right"/>
        <w:ind w:right="4799"/>
        <w:spacing w:after="0"/>
        <w:tabs>
          <w:tab w:leader="none" w:pos="3320" w:val="left"/>
        </w:tabs>
        <w:rPr>
          <w:sz w:val="20"/>
          <w:szCs w:val="20"/>
          <w:color w:val="auto"/>
        </w:rPr>
      </w:pPr>
      <w:r>
        <w:rPr>
          <w:rFonts w:ascii="Courier New" w:cs="Courier New" w:eastAsia="Courier New" w:hAnsi="Courier New"/>
          <w:sz w:val="14"/>
          <w:szCs w:val="14"/>
          <w:color w:val="auto"/>
        </w:rPr>
        <w:t>SECTION 4.18.</w:t>
      </w:r>
      <w:r>
        <w:rPr>
          <w:sz w:val="20"/>
          <w:szCs w:val="20"/>
          <w:color w:val="auto"/>
        </w:rPr>
        <w:tab/>
      </w:r>
      <w:r>
        <w:rPr>
          <w:rFonts w:ascii="Courier New" w:cs="Courier New" w:eastAsia="Courier New" w:hAnsi="Courier New"/>
          <w:sz w:val="13"/>
          <w:szCs w:val="13"/>
          <w:color w:val="auto"/>
        </w:rPr>
        <w:t>Purchases of Securities. Since September</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12, 1993, neither Viacom nor, to Viacom's knowledge, its affiliates have purchased or sold shares of Viacom Class A Common Stock or Viacom Class B Common Stock and neither Viacom nor, to Viacom's knowledge, its affiliates have any knowledge of any such trading.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I-40</w:t>
      </w:r>
    </w:p>
    <w:p>
      <w:pPr>
        <w:sectPr>
          <w:pgSz w:w="11900" w:h="16838" w:orient="portrait"/>
          <w:cols w:equalWidth="0" w:num="1">
            <w:col w:w="10239"/>
          </w:cols>
          <w:pgMar w:left="220" w:top="764" w:right="1440" w:bottom="1440" w:gutter="0" w:footer="0" w:header="0"/>
        </w:sectPr>
      </w:pPr>
    </w:p>
    <w:bookmarkStart w:id="239" w:name="page240"/>
    <w:bookmarkEnd w:id="239"/>
    <w:p>
      <w:pPr>
        <w:jc w:val="center"/>
        <w:ind w:right="-480"/>
        <w:spacing w:after="0"/>
        <w:rPr>
          <w:sz w:val="20"/>
          <w:szCs w:val="20"/>
          <w:color w:val="auto"/>
        </w:rPr>
      </w:pPr>
      <w:r>
        <w:rPr>
          <w:rFonts w:ascii="Courier New" w:cs="Courier New" w:eastAsia="Courier New" w:hAnsi="Courier New"/>
          <w:sz w:val="13"/>
          <w:szCs w:val="13"/>
          <w:color w:val="auto"/>
        </w:rPr>
        <w:t>41</w:t>
      </w:r>
    </w:p>
    <w:p>
      <w:pPr>
        <w:spacing w:after="0" w:line="333" w:lineRule="exact"/>
        <w:rPr>
          <w:sz w:val="20"/>
          <w:szCs w:val="20"/>
          <w:color w:val="auto"/>
        </w:rPr>
      </w:pPr>
    </w:p>
    <w:p>
      <w:pPr>
        <w:ind w:left="840"/>
        <w:spacing w:after="0"/>
        <w:tabs>
          <w:tab w:leader="none" w:pos="2080" w:val="left"/>
        </w:tabs>
        <w:rPr>
          <w:sz w:val="20"/>
          <w:szCs w:val="20"/>
          <w:color w:val="auto"/>
        </w:rPr>
      </w:pPr>
      <w:r>
        <w:rPr>
          <w:rFonts w:ascii="Courier New" w:cs="Courier New" w:eastAsia="Courier New" w:hAnsi="Courier New"/>
          <w:sz w:val="14"/>
          <w:szCs w:val="14"/>
          <w:color w:val="auto"/>
        </w:rPr>
        <w:t>SECTION 4.19.</w:t>
      </w:r>
      <w:r>
        <w:rPr>
          <w:sz w:val="20"/>
          <w:szCs w:val="20"/>
          <w:color w:val="auto"/>
        </w:rPr>
        <w:tab/>
      </w:r>
      <w:r>
        <w:rPr>
          <w:rFonts w:ascii="Courier New" w:cs="Courier New" w:eastAsia="Courier New" w:hAnsi="Courier New"/>
          <w:sz w:val="13"/>
          <w:szCs w:val="13"/>
          <w:color w:val="auto"/>
        </w:rPr>
        <w:t>Representations in Blockbuster Merger</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3"/>
          <w:szCs w:val="13"/>
          <w:color w:val="auto"/>
        </w:rPr>
        <w:t>Viacom hereby confirms that the representations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warranties contained in Sections 3.07, 3.08 and 3.09 of the Blockbuster Merger Agreement shall be true and correct as of the date hereof and as of the date of consummation of the Offer, except as would not have a material adverse effect on the financial condition of Paramount, Viacom and Blockbuster and their subsidiaries taken as a whole.</w:t>
      </w:r>
    </w:p>
    <w:p>
      <w:pPr>
        <w:spacing w:after="0" w:line="164"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ARTICLE V</w:t>
      </w:r>
    </w:p>
    <w:p>
      <w:pPr>
        <w:spacing w:after="0" w:line="163"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CONDUCT OF BUSINESSES PENDING THE MERGER</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5.1.</w:t>
      </w:r>
      <w:r>
        <w:rPr>
          <w:sz w:val="20"/>
          <w:szCs w:val="20"/>
          <w:color w:val="auto"/>
        </w:rPr>
        <w:tab/>
      </w:r>
      <w:r>
        <w:rPr>
          <w:rFonts w:ascii="Courier New" w:cs="Courier New" w:eastAsia="Courier New" w:hAnsi="Courier New"/>
          <w:sz w:val="13"/>
          <w:szCs w:val="13"/>
          <w:color w:val="auto"/>
        </w:rPr>
        <w:t>Conduct of Respective Businesses by</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3500" w:val="left"/>
        </w:tabs>
        <w:rPr>
          <w:sz w:val="20"/>
          <w:szCs w:val="20"/>
          <w:color w:val="auto"/>
        </w:rPr>
      </w:pPr>
      <w:r>
        <w:rPr>
          <w:rFonts w:ascii="Courier New" w:cs="Courier New" w:eastAsia="Courier New" w:hAnsi="Courier New"/>
          <w:sz w:val="14"/>
          <w:szCs w:val="14"/>
          <w:color w:val="auto"/>
        </w:rPr>
        <w:t>Paramount and Viacom Pending the Merger.</w:t>
      </w:r>
      <w:r>
        <w:rPr>
          <w:sz w:val="20"/>
          <w:szCs w:val="20"/>
          <w:color w:val="auto"/>
        </w:rPr>
        <w:tab/>
      </w:r>
      <w:r>
        <w:rPr>
          <w:rFonts w:ascii="Courier New" w:cs="Courier New" w:eastAsia="Courier New" w:hAnsi="Courier New"/>
          <w:sz w:val="13"/>
          <w:szCs w:val="13"/>
          <w:color w:val="auto"/>
        </w:rPr>
        <w:t>Each of Paramount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Viacom covenants and agrees that, between the date of this Agreement and the Effective Time, unless the other party shall have consented in writing (such consent not to be unreasonably withheld) and, except, in the case of Viacom, for actions taken by Viacom in order to consummate (x) the acquisition of Blockbuster and (y) the transactions contemplated by the Blockbuster Subscription Agreement, the businesses of each of Paramount and Viacom and their respective subsidiaries shall, in all material respects, be conducted in, and each of Paramount and Viacom and their respective subsidiaries shall not take any material action except in, the ordinary course of business, consistent with past practice; and each of Paramount and Viacom shall use its reasonable best efforts to preserve substantially intact its business 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except</w:t>
      </w:r>
    </w:p>
    <w:p>
      <w:pPr>
        <w:spacing w:after="0" w:line="6" w:lineRule="exact"/>
        <w:rPr>
          <w:sz w:val="20"/>
          <w:szCs w:val="20"/>
          <w:color w:val="auto"/>
        </w:rPr>
      </w:pPr>
    </w:p>
    <w:p>
      <w:pPr>
        <w:ind w:right="4799" w:firstLine="6"/>
        <w:spacing w:after="0" w:line="243" w:lineRule="auto"/>
        <w:tabs>
          <w:tab w:leader="none" w:pos="335"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contemplated by this Agreement (including, without limitation, the making of the Offer and Section 6.16), (ii) for any actions taken by Viacom in order to consummate the acquisition of Blockbuster, (iii) for any actions taken by Viacom in order to consummate the transactions contemplated by the Blockbuster Subscription Agreement or (iv) as set forth on Section 5.1 of the Paramount Disclosure Schedule or Section 5.1 of the Viacom Disclosure Schedule, neither Viacom nor Paramount nor any of their respective subsidiaries shall, between the date of this Agreement and the Effective Time, directly or indirectly do, or propose or agree to do, any of the following without the prior written consent of the other (provided that the following</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39" w:lineRule="auto"/>
        <w:rPr>
          <w:sz w:val="20"/>
          <w:szCs w:val="20"/>
          <w:color w:val="auto"/>
        </w:rPr>
      </w:pPr>
      <w:r>
        <w:rPr>
          <w:rFonts w:ascii="Courier New" w:cs="Courier New" w:eastAsia="Courier New" w:hAnsi="Courier New"/>
          <w:sz w:val="14"/>
          <w:szCs w:val="14"/>
          <w:color w:val="auto"/>
        </w:rPr>
        <w:t>restrictions shall not apply to any subsidiaries which Paramount or Viacom, as the case may be, do not control):</w:t>
      </w:r>
    </w:p>
    <w:p>
      <w:pPr>
        <w:spacing w:after="0" w:line="167" w:lineRule="exact"/>
        <w:rPr>
          <w:sz w:val="20"/>
          <w:szCs w:val="20"/>
          <w:color w:val="auto"/>
        </w:rPr>
      </w:pPr>
    </w:p>
    <w:p>
      <w:pPr>
        <w:ind w:left="420" w:right="5039" w:firstLine="423"/>
        <w:spacing w:after="0" w:line="265" w:lineRule="auto"/>
        <w:tabs>
          <w:tab w:leader="none" w:pos="1257" w:val="left"/>
        </w:tabs>
        <w:numPr>
          <w:ilvl w:val="0"/>
          <w:numId w:val="2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amend or otherwise change the Certificate of Incorporation or By-Laws of Viacom or Paramount (except, with respect to Viacom, the Viacom Certificate Amendments and the Certificate of Designations to be filed with the Secretary of State of the State of Delaware in respect of the Viacom Merger Preferred Stock);</w:t>
      </w:r>
    </w:p>
    <w:p>
      <w:pPr>
        <w:spacing w:after="0" w:line="1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I-41</w:t>
      </w:r>
    </w:p>
    <w:p>
      <w:pPr>
        <w:sectPr>
          <w:pgSz w:w="11900" w:h="16838" w:orient="portrait"/>
          <w:cols w:equalWidth="0" w:num="1">
            <w:col w:w="10239"/>
          </w:cols>
          <w:pgMar w:left="220" w:top="764" w:right="1440" w:bottom="1440" w:gutter="0" w:footer="0" w:header="0"/>
        </w:sectPr>
      </w:pPr>
    </w:p>
    <w:bookmarkStart w:id="240" w:name="page241"/>
    <w:bookmarkEnd w:id="240"/>
    <w:p>
      <w:pPr>
        <w:jc w:val="center"/>
        <w:ind w:right="-60"/>
        <w:spacing w:after="0"/>
        <w:rPr>
          <w:sz w:val="20"/>
          <w:szCs w:val="20"/>
          <w:color w:val="auto"/>
        </w:rPr>
      </w:pPr>
      <w:r>
        <w:rPr>
          <w:rFonts w:ascii="Courier New" w:cs="Courier New" w:eastAsia="Courier New" w:hAnsi="Courier New"/>
          <w:sz w:val="13"/>
          <w:szCs w:val="13"/>
          <w:color w:val="auto"/>
        </w:rPr>
        <w:t>42</w:t>
      </w:r>
    </w:p>
    <w:p>
      <w:pPr>
        <w:spacing w:after="0" w:line="335" w:lineRule="exact"/>
        <w:rPr>
          <w:sz w:val="20"/>
          <w:szCs w:val="20"/>
          <w:color w:val="auto"/>
        </w:rPr>
      </w:pPr>
    </w:p>
    <w:p>
      <w:pPr>
        <w:ind w:right="4799" w:firstLine="423"/>
        <w:spacing w:after="0" w:line="262" w:lineRule="auto"/>
        <w:tabs>
          <w:tab w:leader="none" w:pos="837" w:val="left"/>
        </w:tabs>
        <w:numPr>
          <w:ilvl w:val="1"/>
          <w:numId w:val="2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issue, sell, pledge, dispose of, grant, encumber, or authorize the issuance, sale, pledge, disposition, grant or encumbrance of, (i) any shares of capital stock of any class of it or any of its subsidiaries, or any options (other than the grant of options in the ordinary course of business consistent with past practice to employees who are not executive officers of Paramount or Viacom),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any dividend reinvestment plan or by any Paramount Plan with an employee stock fund or employee stock ownership plan feature, consistent with applicable securities laws or the exercise of options, warrants or other similar rights, or conversion of convertible preferred stock outstanding as of the date of this Agreement and in accordance with the terms of such options, warrants or rights in effect on the date of this Agreement or otherwise permitted to be granted pursuant to this Agreement) or (ii) any assets of it or any of its subsidiaries, except for sales in the ordinary course of business or which, individually do not exceed $10,000,000 or which, in the aggregate, do not exceed $25,000,000;</w:t>
      </w:r>
    </w:p>
    <w:p>
      <w:pPr>
        <w:spacing w:after="0" w:line="324" w:lineRule="exact"/>
        <w:rPr>
          <w:rFonts w:ascii="Courier New" w:cs="Courier New" w:eastAsia="Courier New" w:hAnsi="Courier New"/>
          <w:sz w:val="13"/>
          <w:szCs w:val="13"/>
          <w:color w:val="auto"/>
        </w:rPr>
      </w:pPr>
    </w:p>
    <w:p>
      <w:pPr>
        <w:ind w:right="4879" w:firstLine="423"/>
        <w:spacing w:after="0" w:line="262" w:lineRule="auto"/>
        <w:tabs>
          <w:tab w:leader="none" w:pos="837" w:val="left"/>
        </w:tabs>
        <w:numPr>
          <w:ilvl w:val="1"/>
          <w:numId w:val="2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declare, set aside, make or pay any dividend or other distribution, payable in cash, stock, property or otherwise, with respect to any of its capital stock, except</w:t>
      </w:r>
    </w:p>
    <w:p>
      <w:pPr>
        <w:ind w:right="4799" w:firstLine="4"/>
        <w:spacing w:after="0" w:line="262" w:lineRule="auto"/>
        <w:tabs>
          <w:tab w:leader="none" w:pos="335" w:val="left"/>
        </w:tabs>
        <w:numPr>
          <w:ilvl w:val="0"/>
          <w:numId w:val="2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case of Viacom, with respect to the Series A Preferred Stock and the Series B Preferred Stock, and in the case of Paramount, regular quarterly dividends in amounts not in excess of $.20 per quarter and payable consistent with past practice; provided that, prior to the declaration</w:t>
      </w:r>
    </w:p>
    <w:p>
      <w:pPr>
        <w:ind w:left="16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of any such dividend, Paramount shall consult with Viacom as to the timing and advisability of declaring any such dividend and (ii) dividends declared and paid by a subsidiary of either Paramount or Viacom, each such dividend to be declared and paid in the ordinary course of business consistent with past practice;</w:t>
      </w:r>
    </w:p>
    <w:p>
      <w:pPr>
        <w:spacing w:after="0" w:line="167" w:lineRule="exact"/>
        <w:rPr>
          <w:sz w:val="20"/>
          <w:szCs w:val="20"/>
          <w:color w:val="auto"/>
        </w:rPr>
      </w:pPr>
    </w:p>
    <w:p>
      <w:pPr>
        <w:ind w:right="4879" w:firstLine="423"/>
        <w:spacing w:after="0" w:line="242" w:lineRule="auto"/>
        <w:tabs>
          <w:tab w:leader="none" w:pos="83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 other than acquisitions by a dividend reinvestment plan or by any Paramount Plan with an employee stock fund or employee stock ownership plan feature, consistent with applicable securities laws;</w:t>
      </w:r>
    </w:p>
    <w:p>
      <w:pPr>
        <w:spacing w:after="0" w:line="166" w:lineRule="exact"/>
        <w:rPr>
          <w:rFonts w:ascii="Courier New" w:cs="Courier New" w:eastAsia="Courier New" w:hAnsi="Courier New"/>
          <w:sz w:val="14"/>
          <w:szCs w:val="14"/>
          <w:color w:val="auto"/>
        </w:rPr>
      </w:pPr>
    </w:p>
    <w:p>
      <w:pPr>
        <w:ind w:right="4799" w:firstLine="423"/>
        <w:spacing w:after="0" w:line="242" w:lineRule="auto"/>
        <w:tabs>
          <w:tab w:leader="none" w:pos="83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acquire (including, without limitation, by merger, consolidation, or acquisition of stock or assets) any corporation, partnership, other business organization or any division thereof or any assets, except for such acquisitions which, individually do not exceed $10,000,000 or which, in the aggregate, do not exceed $25,000,000; (ii) incur any indebtedness for borrowed money or issue any debt securities or assume, guarantee or endorse, or otherwise as</w:t>
      </w:r>
    </w:p>
    <w:p>
      <w:pPr>
        <w:spacing w:after="0" w:line="16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I-42</w:t>
      </w:r>
    </w:p>
    <w:p>
      <w:pPr>
        <w:sectPr>
          <w:pgSz w:w="11900" w:h="16838" w:orient="portrait"/>
          <w:cols w:equalWidth="0" w:num="1">
            <w:col w:w="9819"/>
          </w:cols>
          <w:pgMar w:left="640" w:top="763" w:right="1440" w:bottom="1440" w:gutter="0" w:footer="0" w:header="0"/>
        </w:sectPr>
      </w:pPr>
    </w:p>
    <w:bookmarkStart w:id="241" w:name="page242"/>
    <w:bookmarkEnd w:id="241"/>
    <w:p>
      <w:pPr>
        <w:jc w:val="center"/>
        <w:ind w:right="-480"/>
        <w:spacing w:after="0"/>
        <w:rPr>
          <w:sz w:val="20"/>
          <w:szCs w:val="20"/>
          <w:color w:val="auto"/>
        </w:rPr>
      </w:pPr>
      <w:r>
        <w:rPr>
          <w:rFonts w:ascii="Courier New" w:cs="Courier New" w:eastAsia="Courier New" w:hAnsi="Courier New"/>
          <w:sz w:val="13"/>
          <w:szCs w:val="13"/>
          <w:color w:val="auto"/>
        </w:rPr>
        <w:t>43</w:t>
      </w:r>
    </w:p>
    <w:p>
      <w:pPr>
        <w:spacing w:after="0" w:line="33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 accommodation become responsible for, the obligations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any person, or make any loans or advances, except (A) for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any such indebtedness incurred by Viacom in connection with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Merger or the Offer, (B) the refinancing of existing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indebtedness, (C) borrowings under commercial paper programs</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 the ordinary course of business, (D) borrowings under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existing bank lines of credit in the ordinary course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business, (E) which, in the aggregate, do not exceed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$25,000,000; or (iii) enter into or amend any contract,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agreement, commitment or arrangement with respect to any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matter set forth in this Section 5.1(e);</w:t>
      </w:r>
    </w:p>
    <w:p>
      <w:pPr>
        <w:spacing w:after="0" w:line="166" w:lineRule="exact"/>
        <w:rPr>
          <w:sz w:val="20"/>
          <w:szCs w:val="20"/>
          <w:color w:val="auto"/>
        </w:rPr>
      </w:pPr>
    </w:p>
    <w:p>
      <w:pPr>
        <w:ind w:left="420" w:right="4799" w:firstLine="423"/>
        <w:spacing w:after="0" w:line="243" w:lineRule="auto"/>
        <w:tabs>
          <w:tab w:leader="none" w:pos="125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or</w:t>
      </w:r>
    </w:p>
    <w:p>
      <w:pPr>
        <w:spacing w:after="0" w:line="165" w:lineRule="exact"/>
        <w:rPr>
          <w:rFonts w:ascii="Courier New" w:cs="Courier New" w:eastAsia="Courier New" w:hAnsi="Courier New"/>
          <w:sz w:val="14"/>
          <w:szCs w:val="14"/>
          <w:color w:val="auto"/>
        </w:rPr>
      </w:pPr>
    </w:p>
    <w:p>
      <w:pPr>
        <w:ind w:left="420" w:right="4959" w:firstLine="423"/>
        <w:spacing w:after="0" w:line="242" w:lineRule="auto"/>
        <w:tabs>
          <w:tab w:leader="none" w:pos="125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other than reasonable and usual actions in the ordinary course of business and consistent with past practice, with respect to accounting policies or procedures.</w:t>
      </w:r>
    </w:p>
    <w:p>
      <w:pPr>
        <w:spacing w:after="0" w:line="323"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ARTICLE VI</w:t>
      </w:r>
    </w:p>
    <w:p>
      <w:pPr>
        <w:spacing w:after="0" w:line="16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ADDITIONAL COVENANTS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6.1.</w:t>
      </w:r>
      <w:r>
        <w:rPr>
          <w:sz w:val="20"/>
          <w:szCs w:val="20"/>
          <w:color w:val="auto"/>
        </w:rPr>
        <w:tab/>
      </w:r>
      <w:r>
        <w:rPr>
          <w:rFonts w:ascii="Courier New" w:cs="Courier New" w:eastAsia="Courier New" w:hAnsi="Courier New"/>
          <w:sz w:val="13"/>
          <w:szCs w:val="13"/>
          <w:color w:val="auto"/>
        </w:rPr>
        <w:t>Access to Information; Confidentiality.</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firstLine="6"/>
        <w:spacing w:after="0" w:line="262" w:lineRule="auto"/>
        <w:tabs>
          <w:tab w:leader="none" w:pos="418" w:val="left"/>
        </w:tabs>
        <w:numPr>
          <w:ilvl w:val="0"/>
          <w:numId w:val="2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From the date hereof to the Effective Time, each of Paramount and Viacom shall (and shall cause its subsidiaries and officers, directors, employees, auditors and agents to) afford the officers, employees and agents of the other party (the "Respective Representatives") reasonable access at all reasonable</w:t>
      </w:r>
    </w:p>
    <w:p>
      <w:pPr>
        <w:ind w:left="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3"/>
          <w:szCs w:val="13"/>
          <w:color w:val="auto"/>
        </w:rPr>
      </w:pPr>
    </w:p>
    <w:p>
      <w:pPr>
        <w:ind w:right="4799"/>
        <w:spacing w:after="0" w:line="267"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times to its officers, employees, agents, properties, offices, plants and other facilities, books and records, and shall furnish such Respective Representatives with all financial, operating and other data and information as may be reasonably requested.</w:t>
      </w:r>
    </w:p>
    <w:p>
      <w:pPr>
        <w:spacing w:after="0" w:line="149" w:lineRule="exact"/>
        <w:rPr>
          <w:rFonts w:ascii="Courier New" w:cs="Courier New" w:eastAsia="Courier New" w:hAnsi="Courier New"/>
          <w:sz w:val="13"/>
          <w:szCs w:val="13"/>
          <w:color w:val="auto"/>
        </w:rPr>
      </w:pPr>
    </w:p>
    <w:p>
      <w:pPr>
        <w:ind w:right="5039" w:firstLine="843"/>
        <w:spacing w:after="0" w:line="262" w:lineRule="auto"/>
        <w:tabs>
          <w:tab w:leader="none" w:pos="1255" w:val="left"/>
        </w:tabs>
        <w:numPr>
          <w:ilvl w:val="1"/>
          <w:numId w:val="2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information obtained by Paramount or Viacom pursuant to this Section 6.1 shall be kept confidential in accordance with the confidentiality agreements, dated July 1, 1993 (the "Confidentiality Agreements"), between Paramount and</w:t>
      </w:r>
    </w:p>
    <w:p>
      <w:pPr>
        <w:ind w:left="9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2"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Viacom.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I-43</w:t>
      </w:r>
    </w:p>
    <w:p>
      <w:pPr>
        <w:sectPr>
          <w:pgSz w:w="11900" w:h="16838" w:orient="portrait"/>
          <w:cols w:equalWidth="0" w:num="1">
            <w:col w:w="10239"/>
          </w:cols>
          <w:pgMar w:left="220" w:top="764" w:right="1440" w:bottom="1440" w:gutter="0" w:footer="0" w:header="0"/>
        </w:sectPr>
      </w:pPr>
    </w:p>
    <w:bookmarkStart w:id="242" w:name="page243"/>
    <w:bookmarkEnd w:id="242"/>
    <w:p>
      <w:pPr>
        <w:jc w:val="center"/>
        <w:ind w:right="-480"/>
        <w:spacing w:after="0"/>
        <w:rPr>
          <w:sz w:val="20"/>
          <w:szCs w:val="20"/>
          <w:color w:val="auto"/>
        </w:rPr>
      </w:pPr>
      <w:r>
        <w:rPr>
          <w:rFonts w:ascii="Courier New" w:cs="Courier New" w:eastAsia="Courier New" w:hAnsi="Courier New"/>
          <w:sz w:val="13"/>
          <w:szCs w:val="13"/>
          <w:color w:val="auto"/>
        </w:rPr>
        <w:t>44</w:t>
      </w:r>
    </w:p>
    <w:p>
      <w:pPr>
        <w:spacing w:after="0" w:line="335" w:lineRule="exact"/>
        <w:rPr>
          <w:sz w:val="20"/>
          <w:szCs w:val="20"/>
          <w:color w:val="auto"/>
        </w:rPr>
      </w:pPr>
    </w:p>
    <w:p>
      <w:pPr>
        <w:ind w:right="4879" w:firstLine="843"/>
        <w:spacing w:after="0" w:line="242" w:lineRule="auto"/>
        <w:tabs>
          <w:tab w:leader="none" w:pos="1255"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pursuant to this Section 6.1 shall affect any representation or warranty in this Agreement of any party hereto or any condition to the obligations of the parties hereto.</w:t>
      </w:r>
    </w:p>
    <w:p>
      <w:pPr>
        <w:spacing w:after="0" w:line="162"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6.2.</w:t>
      </w:r>
      <w:r>
        <w:rPr>
          <w:sz w:val="20"/>
          <w:szCs w:val="20"/>
          <w:color w:val="auto"/>
        </w:rPr>
        <w:tab/>
      </w:r>
      <w:r>
        <w:rPr>
          <w:rFonts w:ascii="Courier New" w:cs="Courier New" w:eastAsia="Courier New" w:hAnsi="Courier New"/>
          <w:sz w:val="13"/>
          <w:szCs w:val="13"/>
          <w:color w:val="auto"/>
        </w:rPr>
        <w:t>Intentionally omitted.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6.3.</w:t>
      </w:r>
      <w:r>
        <w:rPr>
          <w:sz w:val="20"/>
          <w:szCs w:val="20"/>
          <w:color w:val="auto"/>
        </w:rPr>
        <w:tab/>
      </w:r>
      <w:r>
        <w:rPr>
          <w:rFonts w:ascii="Courier New" w:cs="Courier New" w:eastAsia="Courier New" w:hAnsi="Courier New"/>
          <w:sz w:val="13"/>
          <w:szCs w:val="13"/>
          <w:color w:val="auto"/>
        </w:rPr>
        <w:t>Directors' and Officers' Indemnification</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320" w:val="left"/>
          <w:tab w:leader="none" w:pos="1740" w:val="left"/>
        </w:tabs>
        <w:rPr>
          <w:sz w:val="20"/>
          <w:szCs w:val="20"/>
          <w:color w:val="auto"/>
        </w:rPr>
      </w:pPr>
      <w:r>
        <w:rPr>
          <w:rFonts w:ascii="Courier New" w:cs="Courier New" w:eastAsia="Courier New" w:hAnsi="Courier New"/>
          <w:sz w:val="14"/>
          <w:szCs w:val="14"/>
          <w:color w:val="auto"/>
        </w:rPr>
        <w:t>and Insurance.</w:t>
        <w:tab/>
        <w:t>(a)</w:t>
      </w:r>
      <w:r>
        <w:rPr>
          <w:sz w:val="20"/>
          <w:szCs w:val="20"/>
          <w:color w:val="auto"/>
        </w:rPr>
        <w:tab/>
      </w:r>
      <w:r>
        <w:rPr>
          <w:rFonts w:ascii="Courier New" w:cs="Courier New" w:eastAsia="Courier New" w:hAnsi="Courier New"/>
          <w:sz w:val="13"/>
          <w:szCs w:val="13"/>
          <w:color w:val="auto"/>
        </w:rPr>
        <w:t>The Certificate of Incorporation and By-Laws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879"/>
        <w:spacing w:after="0" w:line="263" w:lineRule="auto"/>
        <w:rPr>
          <w:sz w:val="20"/>
          <w:szCs w:val="20"/>
          <w:color w:val="auto"/>
        </w:rPr>
      </w:pPr>
      <w:r>
        <w:rPr>
          <w:rFonts w:ascii="Courier New" w:cs="Courier New" w:eastAsia="Courier New" w:hAnsi="Courier New"/>
          <w:sz w:val="13"/>
          <w:szCs w:val="13"/>
          <w:color w:val="auto"/>
        </w:rPr>
        <w:t>of the Surviving Corporation shall contain the provisions with respect to indemnification set forth in the Certificate of Incorporation and By-Laws of Viacom on the date of this Agreement, which provisions shall not be amended, repealed or otherwise modified for a period of six years after the Effective Time in any manner that would adversely affect the rights thereunder of individuals who at any time prior to the Effective Time were directors or officers of Paramount in respect of actions or omissions occurring at or prior to the Effective Time (including, without limitation, the transactions contemplated by this Agreement), unless such modification is required by law.</w:t>
      </w:r>
    </w:p>
    <w:p>
      <w:pPr>
        <w:spacing w:after="0" w:line="156" w:lineRule="exact"/>
        <w:rPr>
          <w:sz w:val="20"/>
          <w:szCs w:val="20"/>
          <w:color w:val="auto"/>
        </w:rPr>
      </w:pPr>
    </w:p>
    <w:p>
      <w:pPr>
        <w:ind w:right="4799" w:firstLine="843"/>
        <w:spacing w:after="0" w:line="262" w:lineRule="auto"/>
        <w:tabs>
          <w:tab w:leader="none" w:pos="1255" w:val="left"/>
        </w:tabs>
        <w:numPr>
          <w:ilvl w:val="0"/>
          <w:numId w:val="2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From and after the Effective Time, the Surviving Corporation shall indemnify, defend and hold harmless the present and former officers and directors of Paramount (collectively, the "Indemnified Parties") against all losses, expenses, claims,</w:t>
      </w:r>
    </w:p>
    <w:p>
      <w:pPr>
        <w:ind w:left="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3"/>
          <w:szCs w:val="13"/>
          <w:color w:val="auto"/>
        </w:rPr>
      </w:pPr>
    </w:p>
    <w:p>
      <w:pPr>
        <w:ind w:right="4879"/>
        <w:spacing w:after="0" w:line="26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damages, liabilities or amounts that are paid in settlement of, with the approval of the Surviving Corporation (which approval shall not unreasonably be withheld), or otherwise in connection with any claim, action, suit, proceeding or investigation (a "Claim"), based in whole or in part on the fact that such person</w:t>
      </w:r>
    </w:p>
    <w:p>
      <w:pPr>
        <w:ind w:left="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3"/>
          <w:szCs w:val="13"/>
          <w:color w:val="auto"/>
        </w:rPr>
      </w:pPr>
    </w:p>
    <w:p>
      <w:pPr>
        <w:ind w:right="4799"/>
        <w:spacing w:after="0" w:line="243"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is or was a director or officer of Paramount and arising out of actions or omissions occurring at or prior to the Effective Time (including, without limitation, the transactions contemplated by this Agreement), in each case to the full extent permitted under Delaware Law (and shall pay expenses in advance of the final disposition of any such action or proceeding to each Indemnified Party to the fullest extent permitted under Delaware Law, upon receipt from the Indemnified Party to whom expenses are advanced of the undertaking to repay such advances contemplated by Section 145(e) of Delaware Law).</w:t>
      </w:r>
    </w:p>
    <w:p>
      <w:pPr>
        <w:spacing w:after="0" w:line="164" w:lineRule="exact"/>
        <w:rPr>
          <w:rFonts w:ascii="Courier New" w:cs="Courier New" w:eastAsia="Courier New" w:hAnsi="Courier New"/>
          <w:sz w:val="13"/>
          <w:szCs w:val="13"/>
          <w:color w:val="auto"/>
        </w:rPr>
      </w:pPr>
    </w:p>
    <w:p>
      <w:pPr>
        <w:ind w:right="4879" w:firstLine="843"/>
        <w:spacing w:after="0" w:line="262" w:lineRule="auto"/>
        <w:tabs>
          <w:tab w:leader="none" w:pos="1255" w:val="left"/>
        </w:tabs>
        <w:numPr>
          <w:ilvl w:val="0"/>
          <w:numId w:val="2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Without limiting the foregoing, in the event any Claim is brought against any Indemnified Party (whether arising before or after the Effective Time) after the Effective Time (i) the Indemnified Parties may retain Paramount's regularly engaged independent legal counsel or other independent legal counsel satisfactory to them, provided that such other counsel shall be</w:t>
      </w:r>
    </w:p>
    <w:p>
      <w:pPr>
        <w:ind w:left="184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reasonably acceptable to the Surviving Corporation, (ii) the Surviving Corporation shall pay all reasonable fees and expenses of such counsel for the Indemnified Parties promptly as statements therefor are received and (iii) the Surviving Corporation will use its reasonable best efforts to assist in the vigorous defense of any such matter, provided that the Surviving</w:t>
      </w:r>
    </w:p>
    <w:p>
      <w:pPr>
        <w:ind w:left="310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76" w:lineRule="auto"/>
        <w:rPr>
          <w:sz w:val="20"/>
          <w:szCs w:val="20"/>
          <w:color w:val="auto"/>
        </w:rPr>
      </w:pPr>
      <w:r>
        <w:rPr>
          <w:rFonts w:ascii="Courier New" w:cs="Courier New" w:eastAsia="Courier New" w:hAnsi="Courier New"/>
          <w:sz w:val="13"/>
          <w:szCs w:val="13"/>
          <w:color w:val="auto"/>
        </w:rPr>
        <w:t>Corporation shall not be liable for any settlement of any Claim effected without its written consent, which consent shall not be</w:t>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I-44</w:t>
      </w:r>
    </w:p>
    <w:p>
      <w:pPr>
        <w:sectPr>
          <w:pgSz w:w="11900" w:h="16838" w:orient="portrait"/>
          <w:cols w:equalWidth="0" w:num="1">
            <w:col w:w="10239"/>
          </w:cols>
          <w:pgMar w:left="220" w:top="763" w:right="1440" w:bottom="1440" w:gutter="0" w:footer="0" w:header="0"/>
        </w:sectPr>
      </w:pPr>
    </w:p>
    <w:bookmarkStart w:id="243" w:name="page244"/>
    <w:bookmarkEnd w:id="243"/>
    <w:p>
      <w:pPr>
        <w:jc w:val="center"/>
        <w:ind w:right="-480"/>
        <w:spacing w:after="0"/>
        <w:rPr>
          <w:sz w:val="20"/>
          <w:szCs w:val="20"/>
          <w:color w:val="auto"/>
        </w:rPr>
      </w:pPr>
      <w:r>
        <w:rPr>
          <w:rFonts w:ascii="Courier New" w:cs="Courier New" w:eastAsia="Courier New" w:hAnsi="Courier New"/>
          <w:sz w:val="13"/>
          <w:szCs w:val="13"/>
          <w:color w:val="auto"/>
        </w:rPr>
        <w:t>45</w:t>
      </w:r>
    </w:p>
    <w:p>
      <w:pPr>
        <w:spacing w:after="0" w:line="33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unreasonably withheld. Any Indemnified Party wishing to claim indemnification under this Section 6.3 upon learning of any such Claim, shall notify the Surviving Corporation (although the failure so to notify the Surviving Corporation shall not relieve the Surviving Corporation from any liability which the Surviving Corporation may have under this Section 6.3, except to the extent such failure prejudices the Surviving Corporation), and shall deliver to the Surviving Corporation the undertaking contemplated by Section 145(e) of Delaware Law. The Indemnified Parties as a group may retain no more than one law firm (in addition to local counsel) to represent them with respect to each such matter unless there is, under applicable standards of professional conduct (as determined by counsel to the Indemnified Parties), a conflict on any significant issue between the positions of any two or more Indemnified Parties, in which event such additional counsel as may be required may be retained by the Indemnified Parties.</w:t>
      </w:r>
    </w:p>
    <w:p>
      <w:pPr>
        <w:spacing w:after="0" w:line="166" w:lineRule="exact"/>
        <w:rPr>
          <w:sz w:val="20"/>
          <w:szCs w:val="20"/>
          <w:color w:val="auto"/>
        </w:rPr>
      </w:pPr>
    </w:p>
    <w:p>
      <w:pPr>
        <w:ind w:right="4799" w:firstLine="843"/>
        <w:spacing w:after="0" w:line="262" w:lineRule="auto"/>
        <w:tabs>
          <w:tab w:leader="none" w:pos="1255" w:val="left"/>
        </w:tabs>
        <w:numPr>
          <w:ilvl w:val="0"/>
          <w:numId w:val="2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a period of three years after the Effective Time, the Surviving Corporation shall cause to be maintained in effect the current policies of directors' and officers' liability insurance maintained by Paramount (provided that the Surviving</w:t>
      </w:r>
    </w:p>
    <w:p>
      <w:pPr>
        <w:ind w:left="294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Corporation may substitute therefor policies of at least the same coverage and amounts containing terms and conditions which are no less advantageous) with respect to claims arising from facts or events which occurred before the Effective Time; provided,</w:t>
      </w:r>
    </w:p>
    <w:p>
      <w:pPr>
        <w:ind w:left="4100"/>
        <w:spacing w:after="0" w:line="237" w:lineRule="auto"/>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in no event shall the Surviving Corporation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required to expend pursuant to this Section 6.3(d) more than an amount equal to 200% of current annual premiums paid by Paramount for such insurance (which premiums Paramount represents and warrants to be $850,000 in the aggregate).</w:t>
      </w:r>
    </w:p>
    <w:p>
      <w:pPr>
        <w:spacing w:after="0" w:line="165" w:lineRule="exact"/>
        <w:rPr>
          <w:sz w:val="20"/>
          <w:szCs w:val="20"/>
          <w:color w:val="auto"/>
        </w:rPr>
      </w:pPr>
    </w:p>
    <w:p>
      <w:pPr>
        <w:ind w:right="4799" w:firstLine="843"/>
        <w:spacing w:after="0" w:line="267" w:lineRule="auto"/>
        <w:tabs>
          <w:tab w:leader="none" w:pos="1255" w:val="left"/>
        </w:tabs>
        <w:numPr>
          <w:ilvl w:val="0"/>
          <w:numId w:val="2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Section 6.3 is intended to be for the benefit of, and shall be enforceable by, the Indemnified Parties, their heirs and personal representatives and shall be binding on the Surviving Corporation and its respective successors and assigns.</w:t>
      </w:r>
    </w:p>
    <w:p>
      <w:pPr>
        <w:spacing w:after="0" w:line="147"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6.4.</w:t>
      </w:r>
      <w:r>
        <w:rPr>
          <w:sz w:val="20"/>
          <w:szCs w:val="20"/>
          <w:color w:val="auto"/>
        </w:rPr>
        <w:tab/>
      </w:r>
      <w:r>
        <w:rPr>
          <w:rFonts w:ascii="Courier New" w:cs="Courier New" w:eastAsia="Courier New" w:hAnsi="Courier New"/>
          <w:sz w:val="13"/>
          <w:szCs w:val="13"/>
          <w:color w:val="auto"/>
        </w:rPr>
        <w:t>Notification of Certain Matters.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Paramount shall give prompt notice to Viacom, and Viacom shall give prompt notice to Paramount, of (i) 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 (ii) any failure of Paramount or Viacom, as the case may be, to comply with or satisfy any covenant, condition or agreement to be complied with or satisfied by it hereunder; provided, however, that the</w:t>
      </w:r>
    </w:p>
    <w:p>
      <w:pPr>
        <w:ind w:left="2520"/>
        <w:spacing w:after="0" w:line="238" w:lineRule="auto"/>
        <w:tabs>
          <w:tab w:leader="none" w:pos="334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right="4799"/>
        <w:spacing w:after="0" w:line="241" w:lineRule="auto"/>
        <w:rPr>
          <w:sz w:val="20"/>
          <w:szCs w:val="20"/>
          <w:color w:val="auto"/>
        </w:rPr>
      </w:pPr>
      <w:r>
        <w:rPr>
          <w:rFonts w:ascii="Courier New" w:cs="Courier New" w:eastAsia="Courier New" w:hAnsi="Courier New"/>
          <w:sz w:val="14"/>
          <w:szCs w:val="14"/>
          <w:color w:val="auto"/>
        </w:rPr>
        <w:t>delivery of any notice pursuant to this Section 6.4 shall not limit or otherwise affect the remedies available hereunder to the party receiving such notice.</w:t>
      </w:r>
    </w:p>
    <w:p>
      <w:pPr>
        <w:spacing w:after="0" w:line="163" w:lineRule="exact"/>
        <w:rPr>
          <w:sz w:val="20"/>
          <w:szCs w:val="20"/>
          <w:color w:val="auto"/>
        </w:rPr>
      </w:pPr>
    </w:p>
    <w:p>
      <w:pPr>
        <w:ind w:left="840"/>
        <w:spacing w:after="0"/>
        <w:tabs>
          <w:tab w:leader="none" w:pos="2000" w:val="left"/>
          <w:tab w:leader="none" w:pos="3340" w:val="left"/>
        </w:tabs>
        <w:rPr>
          <w:sz w:val="20"/>
          <w:szCs w:val="20"/>
          <w:color w:val="auto"/>
        </w:rPr>
      </w:pPr>
      <w:r>
        <w:rPr>
          <w:rFonts w:ascii="Courier New" w:cs="Courier New" w:eastAsia="Courier New" w:hAnsi="Courier New"/>
          <w:sz w:val="14"/>
          <w:szCs w:val="14"/>
          <w:color w:val="auto"/>
        </w:rPr>
        <w:t>SECTION 6.5.</w:t>
        <w:tab/>
        <w:t>Tax Treatment.</w:t>
      </w:r>
      <w:r>
        <w:rPr>
          <w:sz w:val="20"/>
          <w:szCs w:val="20"/>
          <w:color w:val="auto"/>
        </w:rPr>
        <w:tab/>
      </w:r>
      <w:r>
        <w:rPr>
          <w:rFonts w:ascii="Courier New" w:cs="Courier New" w:eastAsia="Courier New" w:hAnsi="Courier New"/>
          <w:sz w:val="13"/>
          <w:szCs w:val="13"/>
          <w:color w:val="auto"/>
        </w:rPr>
        <w:t>Each of Paramount and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76" w:lineRule="auto"/>
        <w:rPr>
          <w:sz w:val="20"/>
          <w:szCs w:val="20"/>
          <w:color w:val="auto"/>
        </w:rPr>
      </w:pPr>
      <w:r>
        <w:rPr>
          <w:rFonts w:ascii="Courier New" w:cs="Courier New" w:eastAsia="Courier New" w:hAnsi="Courier New"/>
          <w:sz w:val="13"/>
          <w:szCs w:val="13"/>
          <w:color w:val="auto"/>
        </w:rPr>
        <w:t>Viacom will use its reasonable best efforts to cause the Forward Merger to qualify as a reorganization under the provisions of</w:t>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I-45</w:t>
      </w:r>
    </w:p>
    <w:p>
      <w:pPr>
        <w:sectPr>
          <w:pgSz w:w="11900" w:h="16838" w:orient="portrait"/>
          <w:cols w:equalWidth="0" w:num="1">
            <w:col w:w="10239"/>
          </w:cols>
          <w:pgMar w:left="220" w:top="763" w:right="1440" w:bottom="1440" w:gutter="0" w:footer="0" w:header="0"/>
        </w:sectPr>
      </w:pPr>
    </w:p>
    <w:bookmarkStart w:id="244" w:name="page245"/>
    <w:bookmarkEnd w:id="244"/>
    <w:p>
      <w:pPr>
        <w:jc w:val="center"/>
        <w:ind w:right="-480"/>
        <w:spacing w:after="0"/>
        <w:rPr>
          <w:sz w:val="20"/>
          <w:szCs w:val="20"/>
          <w:color w:val="auto"/>
        </w:rPr>
      </w:pPr>
      <w:r>
        <w:rPr>
          <w:rFonts w:ascii="Courier New" w:cs="Courier New" w:eastAsia="Courier New" w:hAnsi="Courier New"/>
          <w:sz w:val="13"/>
          <w:szCs w:val="13"/>
          <w:color w:val="auto"/>
        </w:rPr>
        <w:t>46</w:t>
      </w:r>
    </w:p>
    <w:p>
      <w:pPr>
        <w:spacing w:after="0" w:line="33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Section 368(a) of the Code and to deliver, in connection with the legal opinion referred to in Section 1.1, letters of representation reasonable under the circumstances as to their present intentions and present knowledge.</w:t>
      </w:r>
    </w:p>
    <w:p>
      <w:pPr>
        <w:spacing w:after="0" w:line="162"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6.6.</w:t>
      </w:r>
      <w:r>
        <w:rPr>
          <w:sz w:val="20"/>
          <w:szCs w:val="20"/>
          <w:color w:val="auto"/>
        </w:rPr>
        <w:tab/>
      </w:r>
      <w:r>
        <w:rPr>
          <w:rFonts w:ascii="Courier New" w:cs="Courier New" w:eastAsia="Courier New" w:hAnsi="Courier New"/>
          <w:sz w:val="13"/>
          <w:szCs w:val="13"/>
          <w:color w:val="auto"/>
        </w:rPr>
        <w:t>Registration Statement; Joint Proxy</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4000" w:val="left"/>
          <w:tab w:leader="none" w:pos="4420" w:val="left"/>
        </w:tabs>
        <w:rPr>
          <w:sz w:val="20"/>
          <w:szCs w:val="20"/>
          <w:color w:val="auto"/>
        </w:rPr>
      </w:pPr>
      <w:r>
        <w:rPr>
          <w:rFonts w:ascii="Courier New" w:cs="Courier New" w:eastAsia="Courier New" w:hAnsi="Courier New"/>
          <w:sz w:val="14"/>
          <w:szCs w:val="14"/>
          <w:color w:val="auto"/>
        </w:rPr>
        <w:t>Statement; Offer Documents and Schedule 14D-9.</w:t>
        <w:tab/>
        <w:t>(a)</w:t>
      </w:r>
      <w:r>
        <w:rPr>
          <w:sz w:val="20"/>
          <w:szCs w:val="20"/>
          <w:color w:val="auto"/>
        </w:rPr>
        <w:tab/>
      </w:r>
      <w:r>
        <w:rPr>
          <w:rFonts w:ascii="Courier New" w:cs="Courier New" w:eastAsia="Courier New" w:hAnsi="Courier New"/>
          <w:sz w:val="13"/>
          <w:szCs w:val="13"/>
          <w:color w:val="auto"/>
        </w:rPr>
        <w:t>As promptly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as practicable after the execution of this Agreement, Viacom and Paramount shall prepare and file with the SEC an amendment to the joint proxy statement previously filed with the SEC relating to the meetings of Paramount's stockholders and holders of Viacom Class A Common Stock to be held in connection with the Merger (together with any amendments thereof or supplements thereto, the "Proxy Statement") and, as promptly as practicable following</w:t>
      </w:r>
    </w:p>
    <w:p>
      <w:pPr>
        <w:ind w:left="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5039"/>
        <w:spacing w:after="0" w:line="262" w:lineRule="auto"/>
        <w:rPr>
          <w:sz w:val="20"/>
          <w:szCs w:val="20"/>
          <w:color w:val="auto"/>
        </w:rPr>
      </w:pPr>
      <w:r>
        <w:rPr>
          <w:rFonts w:ascii="Courier New" w:cs="Courier New" w:eastAsia="Courier New" w:hAnsi="Courier New"/>
          <w:sz w:val="13"/>
          <w:szCs w:val="13"/>
          <w:color w:val="auto"/>
        </w:rPr>
        <w:t>consummation of the Offer (or expiration or termination of the Offer without any purchase of shares thereunder), Viacom shall prepare and file with the SEC a registration statement on Form S-4 (together with any amendments thereto, the "Registration</w:t>
      </w:r>
    </w:p>
    <w:p>
      <w:pPr>
        <w:ind w:left="4020"/>
        <w:spacing w:after="0" w:line="237" w:lineRule="auto"/>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in which the Proxy Statement shall be included as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prospectus, in connection with the registration under the Securities Act of the shares of Viacom Class B Common Stock, the CVRs, the Viacom Merger Debentures and Warrants to be issued to the stockholders of Paramount pursuant to the Merger, the Viacom Exchange Preferred Stock into which such Viacom Merger Debentures are exchangeable, the Viacom Class B Common Stock issuable upon the exercise of the Warrants and the Viacom Exchange Debentures for which such Viacom Exchange Preferred Stock is exchangeable. Each of Paramount and Viacom shall use all reasonable efforts to have or cause the Registration Statement to become effective as promptly as practicable, and shall take all or any action required under any applicable federal or state securities laws in connection with the issuance of shares of Viacom Class B Common Stock, the CVRs, the Viacom Merger Debentures and Warrants pursuant to the Merger. Paramount shall furnish all information concerning Paramount as Viacom may reasonably request in connection with such actions and the preparation of the Registration Statement and Proxy Statement. As promptly as practicable after the Registration Statement shall have become effective, each of Viacom and Paramount shall mail the Proxy Statement to its respective stockholders; provided that no such</w:t>
      </w:r>
    </w:p>
    <w:p>
      <w:pPr>
        <w:spacing w:after="0" w:line="149"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mailing shall be required while the Offer remains outstanding. The Proxy Statement shall include the recommendation of the Board of Directors of each of Viacom and Paramount in favor of the Merger, unless otherwise necessary due to the applicable fiduciary duties of the respective directors of Viacom and Paramount, as determined by such directors in good faith after consultation with and based upon the advice of independent legal counsel (who may be such party's regularly engaged independent legal counsel).</w:t>
      </w:r>
    </w:p>
    <w:p>
      <w:pPr>
        <w:spacing w:after="0" w:line="164" w:lineRule="exact"/>
        <w:rPr>
          <w:sz w:val="20"/>
          <w:szCs w:val="20"/>
          <w:color w:val="auto"/>
        </w:rPr>
      </w:pPr>
    </w:p>
    <w:p>
      <w:pPr>
        <w:ind w:right="4799" w:firstLine="843"/>
        <w:spacing w:after="0" w:line="262" w:lineRule="auto"/>
        <w:tabs>
          <w:tab w:leader="none" w:pos="1255" w:val="left"/>
        </w:tabs>
        <w:numPr>
          <w:ilvl w:val="1"/>
          <w:numId w:val="2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information supplied by Viacom for inclusion in the Registration Statement and the Proxy Statement shall not, at (i) the time the Registration Statement is declared effective,</w:t>
      </w:r>
    </w:p>
    <w:p>
      <w:pPr>
        <w:ind w:right="4799" w:firstLine="6"/>
        <w:spacing w:after="0" w:line="276" w:lineRule="auto"/>
        <w:tabs>
          <w:tab w:leader="none" w:pos="418" w:val="left"/>
        </w:tabs>
        <w:numPr>
          <w:ilvl w:val="0"/>
          <w:numId w:val="2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time the Proxy Statement (or any amendment thereof or supplement thereto) is first mailed to the stockholders of Viacom</w:t>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I-46</w:t>
      </w:r>
    </w:p>
    <w:p>
      <w:pPr>
        <w:sectPr>
          <w:pgSz w:w="11900" w:h="16838" w:orient="portrait"/>
          <w:cols w:equalWidth="0" w:num="1">
            <w:col w:w="10239"/>
          </w:cols>
          <w:pgMar w:left="220" w:top="764" w:right="1440" w:bottom="1440" w:gutter="0" w:footer="0" w:header="0"/>
        </w:sectPr>
      </w:pPr>
    </w:p>
    <w:bookmarkStart w:id="245" w:name="page246"/>
    <w:bookmarkEnd w:id="245"/>
    <w:p>
      <w:pPr>
        <w:jc w:val="center"/>
        <w:ind w:right="-480"/>
        <w:spacing w:after="0"/>
        <w:rPr>
          <w:sz w:val="20"/>
          <w:szCs w:val="20"/>
          <w:color w:val="auto"/>
        </w:rPr>
      </w:pPr>
      <w:r>
        <w:rPr>
          <w:rFonts w:ascii="Courier New" w:cs="Courier New" w:eastAsia="Courier New" w:hAnsi="Courier New"/>
          <w:sz w:val="13"/>
          <w:szCs w:val="13"/>
          <w:color w:val="auto"/>
        </w:rPr>
        <w:t>47</w:t>
      </w:r>
    </w:p>
    <w:p>
      <w:pPr>
        <w:spacing w:after="0" w:line="33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and Paramount, (iii) the time of each of the Stockholders' Meetings (as defined in Section 6.7), and (iv)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Viacom or any of the Viacom Subsidiaries, or their respective officers or directors, should be discovered by Viacom which should be set forth in an amendment or a supplement to the Registration Statement or Proxy Statement, Viacom shall promptly inform Paramount.</w:t>
      </w:r>
    </w:p>
    <w:p>
      <w:pPr>
        <w:spacing w:after="0" w:line="164" w:lineRule="exact"/>
        <w:rPr>
          <w:sz w:val="20"/>
          <w:szCs w:val="20"/>
          <w:color w:val="auto"/>
        </w:rPr>
      </w:pPr>
    </w:p>
    <w:p>
      <w:pPr>
        <w:ind w:right="4799" w:firstLine="843"/>
        <w:spacing w:after="0" w:line="243" w:lineRule="auto"/>
        <w:tabs>
          <w:tab w:leader="none" w:pos="125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supplied by Paramount for inclusion in the Registration Statement and the Proxy Statement shall not, at (i) the time the Registration Statement is declared effective, (ii) the time the Proxy Statement (or any amendment thereof or supplement thereto) is first mailed to the stockholders of Paramount and Viacom, (iii) the time of each of the Stockholders' Meetings, and (iv)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Paramount or any of the Paramount Subsidiaries, or their respective officers or directors, should be discovered by Paramount which should be set forth in an amendment or a supplement to the Registration Statement or Proxy Statement, Paramount shall promptly inform Viacom.</w:t>
      </w:r>
    </w:p>
    <w:p>
      <w:pPr>
        <w:spacing w:after="0" w:line="166" w:lineRule="exact"/>
        <w:rPr>
          <w:rFonts w:ascii="Courier New" w:cs="Courier New" w:eastAsia="Courier New" w:hAnsi="Courier New"/>
          <w:sz w:val="14"/>
          <w:szCs w:val="14"/>
          <w:color w:val="auto"/>
        </w:rPr>
      </w:pPr>
    </w:p>
    <w:p>
      <w:pPr>
        <w:ind w:right="4799" w:firstLine="843"/>
        <w:spacing w:after="0" w:line="263" w:lineRule="auto"/>
        <w:tabs>
          <w:tab w:leader="none" w:pos="1255" w:val="left"/>
        </w:tabs>
        <w:numPr>
          <w:ilvl w:val="0"/>
          <w:numId w:val="2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Viacom represents and warrants to Paramount that the Offer Documents will not, at the time the Offer Documents are filed with the SEC or are first published, sent or given to stockholders of Paramount, as the case may be, contain any untrue statement of a material fact or omit to state any material fact required to be stated therein or necessary in order to make the statements made therein, in the light of the circumstances under which they are made, not misleading. The Offer Documents shall comply in all material respects as to form with the requirements of the Exchange Act and the rules and regulations thereunder.</w:t>
      </w:r>
    </w:p>
    <w:p>
      <w:pPr>
        <w:spacing w:after="0" w:line="156" w:lineRule="exact"/>
        <w:rPr>
          <w:rFonts w:ascii="Courier New" w:cs="Courier New" w:eastAsia="Courier New" w:hAnsi="Courier New"/>
          <w:sz w:val="13"/>
          <w:szCs w:val="13"/>
          <w:color w:val="auto"/>
        </w:rPr>
      </w:pPr>
    </w:p>
    <w:p>
      <w:pPr>
        <w:ind w:right="4799" w:firstLine="843"/>
        <w:spacing w:after="0" w:line="243" w:lineRule="auto"/>
        <w:tabs>
          <w:tab w:leader="none" w:pos="125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represents and warrants to Viacom that neither the Schedule 14D-9 nor any information supplied by Paramount for inclusion in the Offer Documents shall, at the respective times the Schedule 14D-9, the Offer Documents or any amendments or supplements thereto are filed with the SEC or are first published, sent or given to stockholders of Paramount, as the case may be, shall contain any untrue statement of a material fact or omit to state any material fact required to be stated therein or necessary in order to make the statements made therein, in the light of the circumstances under which they are made, not misleading. The Schedule 14D-9 shall comply in all material respects as to form with the requirements of the Exchange Act and the rules and regulations thereunder.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I-47</w:t>
      </w:r>
    </w:p>
    <w:p>
      <w:pPr>
        <w:sectPr>
          <w:pgSz w:w="11900" w:h="16838" w:orient="portrait"/>
          <w:cols w:equalWidth="0" w:num="1">
            <w:col w:w="10239"/>
          </w:cols>
          <w:pgMar w:left="220" w:top="764" w:right="1440" w:bottom="1440" w:gutter="0" w:footer="0" w:header="0"/>
        </w:sectPr>
      </w:pPr>
    </w:p>
    <w:bookmarkStart w:id="246" w:name="page247"/>
    <w:bookmarkEnd w:id="246"/>
    <w:p>
      <w:pPr>
        <w:jc w:val="center"/>
        <w:ind w:right="-480"/>
        <w:spacing w:after="0"/>
        <w:rPr>
          <w:sz w:val="20"/>
          <w:szCs w:val="20"/>
          <w:color w:val="auto"/>
        </w:rPr>
      </w:pPr>
      <w:r>
        <w:rPr>
          <w:rFonts w:ascii="Courier New" w:cs="Courier New" w:eastAsia="Courier New" w:hAnsi="Courier New"/>
          <w:sz w:val="13"/>
          <w:szCs w:val="13"/>
          <w:color w:val="auto"/>
        </w:rPr>
        <w:t>48</w:t>
      </w:r>
    </w:p>
    <w:p>
      <w:pPr>
        <w:spacing w:after="0" w:line="333" w:lineRule="exact"/>
        <w:rPr>
          <w:sz w:val="20"/>
          <w:szCs w:val="20"/>
          <w:color w:val="auto"/>
        </w:rPr>
      </w:pPr>
    </w:p>
    <w:p>
      <w:pPr>
        <w:ind w:left="840"/>
        <w:spacing w:after="0"/>
        <w:tabs>
          <w:tab w:leader="none" w:pos="2000" w:val="left"/>
          <w:tab w:leader="none" w:pos="4080" w:val="left"/>
        </w:tabs>
        <w:rPr>
          <w:sz w:val="20"/>
          <w:szCs w:val="20"/>
          <w:color w:val="auto"/>
        </w:rPr>
      </w:pPr>
      <w:r>
        <w:rPr>
          <w:rFonts w:ascii="Courier New" w:cs="Courier New" w:eastAsia="Courier New" w:hAnsi="Courier New"/>
          <w:sz w:val="14"/>
          <w:szCs w:val="14"/>
          <w:color w:val="auto"/>
        </w:rPr>
        <w:t>SECTION 6.7.</w:t>
        <w:tab/>
        <w:t>Stockholders' Meetings.</w:t>
      </w:r>
      <w:r>
        <w:rPr>
          <w:sz w:val="20"/>
          <w:szCs w:val="20"/>
          <w:color w:val="auto"/>
        </w:rPr>
        <w:tab/>
      </w:r>
      <w:r>
        <w:rPr>
          <w:rFonts w:ascii="Courier New" w:cs="Courier New" w:eastAsia="Courier New" w:hAnsi="Courier New"/>
          <w:sz w:val="13"/>
          <w:szCs w:val="13"/>
          <w:color w:val="auto"/>
        </w:rPr>
        <w:t>Paramount shall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call and hold a meeting of its stockholders and Viacom shall call and hold a meeting of the holders of the Viacom Class A Common Stock (collectively, the "Stockholders' Meetings") as promptly as</w:t>
      </w:r>
    </w:p>
    <w:p>
      <w:pPr>
        <w:ind w:left="21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practicable for the purpose of voting upon the approval, in the case of Paramount, of the Merger and, in the case of Viacom, of the Viacom Vote Matter (to the extent such matters have not been previously voted upon and approved by the holders of the Viacom Class A Common Stock), and Viacom and Paramount shall use their reasonable best efforts to hold the Stockholders' Meetings on the same day and as soon as practicable after the date on which the Registration Statement becomes effective; provided that neither</w:t>
      </w:r>
    </w:p>
    <w:p>
      <w:pPr>
        <w:ind w:left="352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Paramount nor Viacom shall be required to call or hold a stockholders meeting while the Offer remains outstanding. Paramount shall use its reasonable best efforts to solicit from its stockholders proxies in favor of the approval of the Merger, and Viacom shall use its reasonable best efforts to solicit from its stockholders proxies in favor of the Viacom Vote Matter and each of Paramount and Viacom shall take all other action necessary or advisable to secure the vote or consent of stockholders required by Delaware Law to obtain such approvals, unless otherwise necessary under the applicable fiduciary duties of the respective directors of Paramount and Viacom, as determined by such directors in good faith after consultation with and based upon the advice of independent legal counsel (who may be such party's regularly engaged independent legal counsel).</w:t>
      </w:r>
    </w:p>
    <w:p>
      <w:pPr>
        <w:spacing w:after="0" w:line="313" w:lineRule="exact"/>
        <w:rPr>
          <w:sz w:val="20"/>
          <w:szCs w:val="20"/>
          <w:color w:val="auto"/>
        </w:rPr>
      </w:pPr>
    </w:p>
    <w:p>
      <w:pPr>
        <w:ind w:left="840"/>
        <w:spacing w:after="0"/>
        <w:tabs>
          <w:tab w:leader="none" w:pos="2000" w:val="left"/>
          <w:tab w:leader="none" w:pos="4080" w:val="left"/>
          <w:tab w:leader="none" w:pos="4500" w:val="left"/>
        </w:tabs>
        <w:rPr>
          <w:sz w:val="20"/>
          <w:szCs w:val="20"/>
          <w:color w:val="auto"/>
        </w:rPr>
      </w:pPr>
      <w:r>
        <w:rPr>
          <w:rFonts w:ascii="Courier New" w:cs="Courier New" w:eastAsia="Courier New" w:hAnsi="Courier New"/>
          <w:sz w:val="14"/>
          <w:szCs w:val="14"/>
          <w:color w:val="auto"/>
        </w:rPr>
        <w:t>SECTION 6.8.</w:t>
        <w:tab/>
        <w:t>Letters of Accountants.</w:t>
        <w:tab/>
        <w:t>(a)</w:t>
        <w:tab/>
        <w:t>Paramount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shall use its reasonable best efforts to cause to be delivered to Viacom "comfort" letters of Ernst &amp; Young, Paramount's independent public accountants, dated and delivered the date on which the Registration Statement shall become effective and as of the Effective Time, and addressed to Viacom, in form and substance reasonably satisfactory to Viacom and reasonably customary in scope and substance for letters delivered by independent public accountants in connection with transactions such as those contemplated by this Agreement.</w:t>
      </w:r>
    </w:p>
    <w:p>
      <w:pPr>
        <w:spacing w:after="0" w:line="164" w:lineRule="exact"/>
        <w:rPr>
          <w:sz w:val="20"/>
          <w:szCs w:val="20"/>
          <w:color w:val="auto"/>
        </w:rPr>
      </w:pPr>
    </w:p>
    <w:p>
      <w:pPr>
        <w:ind w:right="4799" w:firstLine="843"/>
        <w:spacing w:after="0" w:line="243" w:lineRule="auto"/>
        <w:tabs>
          <w:tab w:leader="none" w:pos="125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use its reasonable best efforts to cause to be delivered to Paramount "comfort" letters of Price Waterhouse, Viacom's independent public accountants, dated the date on which the Registration Statement shall become effective and as of the Effective Time, and addressed to Paramount, in form and substance reasonably satisfactory to Paramount and reasonably customary in scope and substance for letters delivered by independent public accountants in connection with transactions such as those contemplated by this Agreement.</w:t>
      </w:r>
    </w:p>
    <w:p>
      <w:pPr>
        <w:spacing w:after="0" w:line="161" w:lineRule="exact"/>
        <w:rPr>
          <w:sz w:val="20"/>
          <w:szCs w:val="20"/>
          <w:color w:val="auto"/>
        </w:rPr>
      </w:pPr>
    </w:p>
    <w:p>
      <w:pPr>
        <w:ind w:left="840"/>
        <w:spacing w:after="0"/>
        <w:tabs>
          <w:tab w:leader="none" w:pos="2000" w:val="left"/>
          <w:tab w:leader="none" w:pos="3660" w:val="left"/>
          <w:tab w:leader="none" w:pos="4080" w:val="left"/>
        </w:tabs>
        <w:rPr>
          <w:sz w:val="20"/>
          <w:szCs w:val="20"/>
          <w:color w:val="auto"/>
        </w:rPr>
      </w:pPr>
      <w:r>
        <w:rPr>
          <w:rFonts w:ascii="Courier New" w:cs="Courier New" w:eastAsia="Courier New" w:hAnsi="Courier New"/>
          <w:sz w:val="14"/>
          <w:szCs w:val="14"/>
          <w:color w:val="auto"/>
        </w:rPr>
        <w:t>SECTION 6.9.</w:t>
        <w:tab/>
        <w:t>Employee Benefits.</w:t>
        <w:tab/>
        <w:t>The</w:t>
      </w:r>
      <w:r>
        <w:rPr>
          <w:sz w:val="20"/>
          <w:szCs w:val="20"/>
          <w:color w:val="auto"/>
        </w:rPr>
        <w:tab/>
      </w:r>
      <w:r>
        <w:rPr>
          <w:rFonts w:ascii="Courier New" w:cs="Courier New" w:eastAsia="Courier New" w:hAnsi="Courier New"/>
          <w:sz w:val="13"/>
          <w:szCs w:val="13"/>
          <w:color w:val="auto"/>
        </w:rPr>
        <w:t>"Continuing</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5" w:lineRule="auto"/>
        <w:rPr>
          <w:sz w:val="20"/>
          <w:szCs w:val="20"/>
          <w:color w:val="auto"/>
        </w:rPr>
      </w:pPr>
      <w:r>
        <w:rPr>
          <w:rFonts w:ascii="Courier New" w:cs="Courier New" w:eastAsia="Courier New" w:hAnsi="Courier New"/>
          <w:sz w:val="13"/>
          <w:szCs w:val="13"/>
          <w:color w:val="auto"/>
        </w:rPr>
        <w:t>Directors" (as such term is defined in certain Paramount Plans, including, without limitation, Paramount's Corporate Annual Performance Plan, Corporate Long-Term Performance Plan, Supplemental Executive Retirement Plan, Non-Qualified Retirement Plan, Retirement Plan for Non-Employee Directors, Deferred Compensation Plan for Directors and employment agreements with</w:t>
      </w:r>
    </w:p>
    <w:p>
      <w:pPr>
        <w:spacing w:after="0" w:line="1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I-48</w:t>
      </w:r>
    </w:p>
    <w:p>
      <w:pPr>
        <w:sectPr>
          <w:pgSz w:w="11900" w:h="16838" w:orient="portrait"/>
          <w:cols w:equalWidth="0" w:num="1">
            <w:col w:w="10239"/>
          </w:cols>
          <w:pgMar w:left="220" w:top="763" w:right="1440" w:bottom="1440" w:gutter="0" w:footer="0" w:header="0"/>
        </w:sectPr>
      </w:pPr>
    </w:p>
    <w:bookmarkStart w:id="247" w:name="page248"/>
    <w:bookmarkEnd w:id="247"/>
    <w:p>
      <w:pPr>
        <w:jc w:val="center"/>
        <w:ind w:right="-480"/>
        <w:spacing w:after="0"/>
        <w:rPr>
          <w:sz w:val="20"/>
          <w:szCs w:val="20"/>
          <w:color w:val="auto"/>
        </w:rPr>
      </w:pPr>
      <w:r>
        <w:rPr>
          <w:rFonts w:ascii="Courier New" w:cs="Courier New" w:eastAsia="Courier New" w:hAnsi="Courier New"/>
          <w:sz w:val="13"/>
          <w:szCs w:val="13"/>
          <w:color w:val="auto"/>
        </w:rPr>
        <w:t>49</w:t>
      </w:r>
    </w:p>
    <w:p>
      <w:pPr>
        <w:spacing w:after="0" w:line="33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Messrs. Doppelt, Greenberg, Hertlein, Levinson, Meyers and Sherman) prior to the Effective Time shall approve the transactions contemplated by this Agreement, and prior to the Effective Time Paramount and its officers and directors shall take such other actions, or shall forbear from taking any action, as may be necessary to insure that such transactions shall not constitute a "Change in Control" (or other similar event accelerating or triggering changes to benefits or the terms of any Paramount Plan (a "Paramount Triggering Event")) for purposes</w:t>
      </w:r>
    </w:p>
    <w:p>
      <w:pPr>
        <w:ind w:left="1940"/>
        <w:spacing w:after="0" w:line="238"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of any Paramount Plan under which a Change in Control (or other Paramount Triggering Event) may be avoided by action or inaction, as the case may be, by Paramount or any of its officers or directors. Paramount shall not terminate either Paramount's Corporate Annual Performance Plan or Paramount's Long-Term Performance Plan prior to the Effective Time, and shall (a) delay the establishment and announcement of targets for awards under Paramount's Corporate Annual Performance Plan with respect to Paramount's 1994 fiscal year until after the Effective Time, and</w:t>
      </w:r>
    </w:p>
    <w:p>
      <w:pPr>
        <w:spacing w:after="0" w:line="1" w:lineRule="exact"/>
        <w:rPr>
          <w:sz w:val="20"/>
          <w:szCs w:val="20"/>
          <w:color w:val="auto"/>
        </w:rPr>
      </w:pPr>
    </w:p>
    <w:p>
      <w:pPr>
        <w:ind w:right="4879" w:firstLine="6"/>
        <w:spacing w:after="0" w:line="262" w:lineRule="auto"/>
        <w:tabs>
          <w:tab w:leader="none" w:pos="335" w:val="left"/>
        </w:tabs>
        <w:numPr>
          <w:ilvl w:val="0"/>
          <w:numId w:val="2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delay the implementation of a new performance cycle under Paramount's Corporate Long-Term Performance Plan, in each case, until Paramount and Viacom shall review the terms of such Plans after the Effective Time and make such changes as they deem appropriate taking into consideration the effects of the Merger. Viacom shall take or forbear from taking such action as may be necessary to insure that the transactions contemplated by this Agreement shall not constitute a change in ownership or control (or other similar event accelerating or triggering changes to benefits or the terms of any Viacom Plan (a "Viacom Triggering</w:t>
      </w:r>
    </w:p>
    <w:p>
      <w:pPr>
        <w:ind w:left="3780"/>
        <w:spacing w:after="0" w:line="238"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for purposes of any Viacom Plan under which any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1" w:lineRule="auto"/>
        <w:rPr>
          <w:sz w:val="20"/>
          <w:szCs w:val="20"/>
          <w:color w:val="auto"/>
        </w:rPr>
      </w:pPr>
      <w:r>
        <w:rPr>
          <w:rFonts w:ascii="Courier New" w:cs="Courier New" w:eastAsia="Courier New" w:hAnsi="Courier New"/>
          <w:sz w:val="14"/>
          <w:szCs w:val="14"/>
          <w:color w:val="auto"/>
        </w:rPr>
        <w:t>change in ownership or control (or other Viacom Triggering Event) may be avoided by action or inaction, as the case may be, by Viacom or any of its officers or directors.</w:t>
      </w:r>
    </w:p>
    <w:p>
      <w:pPr>
        <w:spacing w:after="0" w:line="163" w:lineRule="exact"/>
        <w:rPr>
          <w:sz w:val="20"/>
          <w:szCs w:val="20"/>
          <w:color w:val="auto"/>
        </w:rPr>
      </w:pPr>
    </w:p>
    <w:p>
      <w:pPr>
        <w:jc w:val="right"/>
        <w:ind w:right="4799"/>
        <w:spacing w:after="0"/>
        <w:tabs>
          <w:tab w:leader="none" w:pos="332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3"/>
          <w:szCs w:val="13"/>
          <w:color w:val="auto"/>
        </w:rPr>
        <w:t>Further Action; Reasonable Best Efforts.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firstLine="6"/>
        <w:spacing w:after="0" w:line="243" w:lineRule="auto"/>
        <w:tabs>
          <w:tab w:leader="none" w:pos="418"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conditions hereof, each of the parties hereto shall (i) make promptly any filings with or applications to the FCC with respect to the Transactions and (ii) use its reasonable best efforts to take, or cause to be taken, all appropriate action, and to do, or cause to be done, all things necessary, proper or advisable under applicable laws and regulations to consummate and make effective the Transactions, including, without limitation, using its reasonable best efforts to obtain all licenses, permits, consents, approvals, authorizations, qualifications and orders of Governmental Entities and parties to contracts with Viacom and Paramount and their respective subsidiaries as are necessary for the consummation of the Transactions. In case at any time after the Effective Time any further action is necessary or desirable to carry out the purposes of this Agreement, the proper officers and directors of each party to this Agreement shall use their reasonable best efforts to take all such action.</w:t>
      </w:r>
    </w:p>
    <w:p>
      <w:pPr>
        <w:spacing w:after="0" w:line="166" w:lineRule="exact"/>
        <w:rPr>
          <w:rFonts w:ascii="Courier New" w:cs="Courier New" w:eastAsia="Courier New" w:hAnsi="Courier New"/>
          <w:sz w:val="14"/>
          <w:szCs w:val="14"/>
          <w:color w:val="auto"/>
        </w:rPr>
      </w:pPr>
    </w:p>
    <w:p>
      <w:pPr>
        <w:jc w:val="both"/>
        <w:ind w:right="4879" w:firstLine="843"/>
        <w:spacing w:after="0" w:line="269" w:lineRule="auto"/>
        <w:tabs>
          <w:tab w:leader="none" w:pos="1255" w:val="left"/>
        </w:tabs>
        <w:numPr>
          <w:ilvl w:val="1"/>
          <w:numId w:val="2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party shall use its best efforts to not take any action, or enter into any transaction, which would cause any of its representations or warranties contained in this Agreement</w:t>
      </w:r>
    </w:p>
    <w:p>
      <w:pPr>
        <w:spacing w:after="0" w:line="1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I-49</w:t>
      </w:r>
    </w:p>
    <w:p>
      <w:pPr>
        <w:sectPr>
          <w:pgSz w:w="11900" w:h="16838" w:orient="portrait"/>
          <w:cols w:equalWidth="0" w:num="1">
            <w:col w:w="10239"/>
          </w:cols>
          <w:pgMar w:left="220" w:top="764" w:right="1440" w:bottom="1440" w:gutter="0" w:footer="0" w:header="0"/>
        </w:sectPr>
      </w:pPr>
    </w:p>
    <w:bookmarkStart w:id="248" w:name="page249"/>
    <w:bookmarkEnd w:id="248"/>
    <w:p>
      <w:pPr>
        <w:jc w:val="center"/>
        <w:ind w:right="-480"/>
        <w:spacing w:after="0"/>
        <w:rPr>
          <w:sz w:val="20"/>
          <w:szCs w:val="20"/>
          <w:color w:val="auto"/>
        </w:rPr>
      </w:pPr>
      <w:r>
        <w:rPr>
          <w:rFonts w:ascii="Courier New" w:cs="Courier New" w:eastAsia="Courier New" w:hAnsi="Courier New"/>
          <w:sz w:val="13"/>
          <w:szCs w:val="13"/>
          <w:color w:val="auto"/>
        </w:rPr>
        <w:t>50</w:t>
      </w:r>
    </w:p>
    <w:p>
      <w:pPr>
        <w:spacing w:after="0" w:line="335" w:lineRule="exact"/>
        <w:rPr>
          <w:sz w:val="20"/>
          <w:szCs w:val="20"/>
          <w:color w:val="auto"/>
        </w:rPr>
      </w:pPr>
    </w:p>
    <w:p>
      <w:pPr>
        <w:ind w:right="4879"/>
        <w:spacing w:after="0" w:line="239" w:lineRule="auto"/>
        <w:rPr>
          <w:sz w:val="20"/>
          <w:szCs w:val="20"/>
          <w:color w:val="auto"/>
        </w:rPr>
      </w:pPr>
      <w:r>
        <w:rPr>
          <w:rFonts w:ascii="Courier New" w:cs="Courier New" w:eastAsia="Courier New" w:hAnsi="Courier New"/>
          <w:sz w:val="14"/>
          <w:szCs w:val="14"/>
          <w:color w:val="auto"/>
        </w:rPr>
        <w:t>to be untrue or result in a breach of any covenant made by it in this Agreement.</w:t>
      </w:r>
    </w:p>
    <w:p>
      <w:pPr>
        <w:spacing w:after="0" w:line="164" w:lineRule="exact"/>
        <w:rPr>
          <w:sz w:val="20"/>
          <w:szCs w:val="20"/>
          <w:color w:val="auto"/>
        </w:rPr>
      </w:pPr>
    </w:p>
    <w:p>
      <w:pPr>
        <w:ind w:left="840"/>
        <w:spacing w:after="0"/>
        <w:tabs>
          <w:tab w:leader="none" w:pos="2080" w:val="left"/>
          <w:tab w:leader="none" w:pos="3660" w:val="left"/>
        </w:tabs>
        <w:rPr>
          <w:sz w:val="20"/>
          <w:szCs w:val="20"/>
          <w:color w:val="auto"/>
        </w:rPr>
      </w:pPr>
      <w:r>
        <w:rPr>
          <w:rFonts w:ascii="Courier New" w:cs="Courier New" w:eastAsia="Courier New" w:hAnsi="Courier New"/>
          <w:sz w:val="14"/>
          <w:szCs w:val="14"/>
          <w:color w:val="auto"/>
        </w:rPr>
        <w:t>SECTION 6.11.</w:t>
        <w:tab/>
        <w:t>Debt Instruments.</w:t>
        <w:tab/>
        <w:t>Prior to or at 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Effective Time, Paramount and each Paramount Subsidiary shall use its reasonable best efforts to prevent the occurrence, as a result of the Merger, the Offer and the other transactions contemplated by this Agreement, of a change in control or any event which constitutes a default (or an event which with notice or lapse of time or both would become a default) under any debt instrument of Paramount or any Paramount Subsidiary, including, without limitation, debt securities registered under the Securities Act.</w:t>
      </w:r>
    </w:p>
    <w:p>
      <w:pPr>
        <w:spacing w:after="0" w:line="161" w:lineRule="exact"/>
        <w:rPr>
          <w:sz w:val="20"/>
          <w:szCs w:val="20"/>
          <w:color w:val="auto"/>
        </w:rPr>
      </w:pPr>
    </w:p>
    <w:p>
      <w:pPr>
        <w:ind w:left="840"/>
        <w:spacing w:after="0"/>
        <w:tabs>
          <w:tab w:leader="none" w:pos="2080" w:val="left"/>
          <w:tab w:leader="none" w:pos="4000" w:val="left"/>
        </w:tabs>
        <w:rPr>
          <w:sz w:val="20"/>
          <w:szCs w:val="20"/>
          <w:color w:val="auto"/>
        </w:rPr>
      </w:pPr>
      <w:r>
        <w:rPr>
          <w:rFonts w:ascii="Courier New" w:cs="Courier New" w:eastAsia="Courier New" w:hAnsi="Courier New"/>
          <w:sz w:val="14"/>
          <w:szCs w:val="14"/>
          <w:color w:val="auto"/>
        </w:rPr>
        <w:t>SECTION 6.12.</w:t>
        <w:tab/>
        <w:t>Public Announcements.</w:t>
      </w:r>
      <w:r>
        <w:rPr>
          <w:sz w:val="20"/>
          <w:szCs w:val="20"/>
          <w:color w:val="auto"/>
        </w:rPr>
        <w:tab/>
      </w:r>
      <w:r>
        <w:rPr>
          <w:rFonts w:ascii="Courier New" w:cs="Courier New" w:eastAsia="Courier New" w:hAnsi="Courier New"/>
          <w:sz w:val="13"/>
          <w:szCs w:val="13"/>
          <w:color w:val="auto"/>
        </w:rPr>
        <w:t>Viacom and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Paramount shall consult with each other before issuing any press release or otherwise making any public statements with respect to this Agreement or any Transaction and shall not issue any such press release or make any such public statement without the prior consent of the other party, which shall not be unreasonably withheld; provided, however, that a party may, without the prior</w:t>
      </w:r>
    </w:p>
    <w:p>
      <w:pPr>
        <w:ind w:left="840"/>
        <w:spacing w:after="0" w:line="237" w:lineRule="auto"/>
        <w:tabs>
          <w:tab w:leader="none" w:pos="166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consent of the other party, issue such press release or make such public statement as may be required by law or any listing agreement with a national securities exchange to which Viacom or Paramount is a party if it has used all reasonable efforts to consult with the other party and to obtain such party's consent but has been unable to do so in a timely manner.</w:t>
      </w:r>
    </w:p>
    <w:p>
      <w:pPr>
        <w:spacing w:after="0" w:line="164" w:lineRule="exact"/>
        <w:rPr>
          <w:sz w:val="20"/>
          <w:szCs w:val="20"/>
          <w:color w:val="auto"/>
        </w:rPr>
      </w:pPr>
    </w:p>
    <w:p>
      <w:pPr>
        <w:ind w:left="840"/>
        <w:spacing w:after="0"/>
        <w:tabs>
          <w:tab w:leader="none" w:pos="2080" w:val="left"/>
          <w:tab w:leader="none" w:pos="4680" w:val="left"/>
        </w:tabs>
        <w:rPr>
          <w:sz w:val="20"/>
          <w:szCs w:val="20"/>
          <w:color w:val="auto"/>
        </w:rPr>
      </w:pPr>
      <w:r>
        <w:rPr>
          <w:rFonts w:ascii="Courier New" w:cs="Courier New" w:eastAsia="Courier New" w:hAnsi="Courier New"/>
          <w:sz w:val="14"/>
          <w:szCs w:val="14"/>
          <w:color w:val="auto"/>
        </w:rPr>
        <w:t>SECTION 6.13.</w:t>
        <w:tab/>
        <w:t>Listing of Viacom Securities.</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5" w:lineRule="auto"/>
        <w:rPr>
          <w:sz w:val="20"/>
          <w:szCs w:val="20"/>
          <w:color w:val="auto"/>
        </w:rPr>
      </w:pPr>
      <w:r>
        <w:rPr>
          <w:rFonts w:ascii="Courier New" w:cs="Courier New" w:eastAsia="Courier New" w:hAnsi="Courier New"/>
          <w:sz w:val="13"/>
          <w:szCs w:val="13"/>
          <w:color w:val="auto"/>
        </w:rPr>
        <w:t>shall use its reasonable best efforts to cause the shares of Viacom Class B Common Stock and the Warrants, Viacom Merger Debentures and CVRs to be issued in the Merger to be approved for listing on the AMEX prior to the Effective Time and the Viacom Exchange Preferred Stock and the Viacom Exchange Debentures to be approved for listing on the AMEX prior to the issuance thereof.</w:t>
      </w:r>
    </w:p>
    <w:p>
      <w:pPr>
        <w:spacing w:after="0" w:line="148" w:lineRule="exact"/>
        <w:rPr>
          <w:sz w:val="20"/>
          <w:szCs w:val="20"/>
          <w:color w:val="auto"/>
        </w:rPr>
      </w:pPr>
    </w:p>
    <w:p>
      <w:pPr>
        <w:ind w:left="840"/>
        <w:spacing w:after="0"/>
        <w:tabs>
          <w:tab w:leader="none" w:pos="2080" w:val="left"/>
          <w:tab w:leader="none" w:pos="4260" w:val="left"/>
        </w:tabs>
        <w:rPr>
          <w:sz w:val="20"/>
          <w:szCs w:val="20"/>
          <w:color w:val="auto"/>
        </w:rPr>
      </w:pPr>
      <w:r>
        <w:rPr>
          <w:rFonts w:ascii="Courier New" w:cs="Courier New" w:eastAsia="Courier New" w:hAnsi="Courier New"/>
          <w:sz w:val="14"/>
          <w:szCs w:val="14"/>
          <w:color w:val="auto"/>
        </w:rPr>
        <w:t>SECTION 6.14.</w:t>
        <w:tab/>
        <w:t>Affiliates of Paramount.</w:t>
      </w:r>
      <w:r>
        <w:rPr>
          <w:sz w:val="20"/>
          <w:szCs w:val="20"/>
          <w:color w:val="auto"/>
        </w:rPr>
        <w:tab/>
      </w:r>
      <w:r>
        <w:rPr>
          <w:rFonts w:ascii="Courier New" w:cs="Courier New" w:eastAsia="Courier New" w:hAnsi="Courier New"/>
          <w:sz w:val="13"/>
          <w:szCs w:val="13"/>
          <w:color w:val="auto"/>
        </w:rPr>
        <w:t>Paramount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represents and warrants to Viacom that Paramount will promptly deliver to Viacom a letter identifying all persons who may be deemed affiliates of Paramount under Rule 145 of the Securities Act, including, without limitation, all directors and executive officers of Paramount, and Paramount represents and warrants to Viacom that Paramount has advised the persons identified in such letter of the resale restrictions imposed by applicable securities laws. Paramount shall use its reasonable best efforts to obtain from each person identified in such letter a written agreement, substantially in the form of Exhibit 6.14. Paramount shall use its reasonable best efforts to obtain as soon as practicable from any person who may be deemed to have become an affiliate of Paramount after Paramount's delivery of the letter referred to above and prior to the Effective Time, a written agreement substantially in the form of Exhibit 6.14.</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I-50</w:t>
      </w:r>
    </w:p>
    <w:p>
      <w:pPr>
        <w:sectPr>
          <w:pgSz w:w="11900" w:h="16838" w:orient="portrait"/>
          <w:cols w:equalWidth="0" w:num="1">
            <w:col w:w="10239"/>
          </w:cols>
          <w:pgMar w:left="220" w:top="764" w:right="1440" w:bottom="1440" w:gutter="0" w:footer="0" w:header="0"/>
        </w:sectPr>
      </w:pPr>
    </w:p>
    <w:bookmarkStart w:id="249" w:name="page250"/>
    <w:bookmarkEnd w:id="249"/>
    <w:p>
      <w:pPr>
        <w:jc w:val="center"/>
        <w:ind w:right="-480"/>
        <w:spacing w:after="0"/>
        <w:rPr>
          <w:sz w:val="20"/>
          <w:szCs w:val="20"/>
          <w:color w:val="auto"/>
        </w:rPr>
      </w:pPr>
      <w:r>
        <w:rPr>
          <w:rFonts w:ascii="Courier New" w:cs="Courier New" w:eastAsia="Courier New" w:hAnsi="Courier New"/>
          <w:sz w:val="13"/>
          <w:szCs w:val="13"/>
          <w:color w:val="auto"/>
        </w:rPr>
        <w:t>51</w:t>
      </w:r>
    </w:p>
    <w:p>
      <w:pPr>
        <w:spacing w:after="0" w:line="333" w:lineRule="exact"/>
        <w:rPr>
          <w:sz w:val="20"/>
          <w:szCs w:val="20"/>
          <w:color w:val="auto"/>
        </w:rPr>
      </w:pPr>
    </w:p>
    <w:p>
      <w:pPr>
        <w:ind w:left="840"/>
        <w:spacing w:after="0"/>
        <w:tabs>
          <w:tab w:leader="none" w:pos="2080" w:val="left"/>
          <w:tab w:leader="none" w:pos="3660" w:val="left"/>
        </w:tabs>
        <w:rPr>
          <w:sz w:val="20"/>
          <w:szCs w:val="20"/>
          <w:color w:val="auto"/>
        </w:rPr>
      </w:pPr>
      <w:r>
        <w:rPr>
          <w:rFonts w:ascii="Courier New" w:cs="Courier New" w:eastAsia="Courier New" w:hAnsi="Courier New"/>
          <w:sz w:val="14"/>
          <w:szCs w:val="14"/>
          <w:color w:val="auto"/>
        </w:rPr>
        <w:t>SECTION 6.15.</w:t>
        <w:tab/>
        <w:t>Conveyance Taxes.</w:t>
      </w:r>
      <w:r>
        <w:rPr>
          <w:sz w:val="20"/>
          <w:szCs w:val="20"/>
          <w:color w:val="auto"/>
        </w:rPr>
        <w:tab/>
      </w:r>
      <w:r>
        <w:rPr>
          <w:rFonts w:ascii="Courier New" w:cs="Courier New" w:eastAsia="Courier New" w:hAnsi="Courier New"/>
          <w:sz w:val="13"/>
          <w:szCs w:val="13"/>
          <w:color w:val="auto"/>
        </w:rPr>
        <w:t>Viacom and Paramount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on or before the Effective Time.</w:t>
      </w:r>
    </w:p>
    <w:p>
      <w:pPr>
        <w:spacing w:after="0" w:line="166" w:lineRule="exact"/>
        <w:rPr>
          <w:sz w:val="20"/>
          <w:szCs w:val="20"/>
          <w:color w:val="auto"/>
        </w:rPr>
      </w:pPr>
    </w:p>
    <w:p>
      <w:pPr>
        <w:ind w:left="840"/>
        <w:spacing w:after="0"/>
        <w:tabs>
          <w:tab w:leader="none" w:pos="2080" w:val="left"/>
          <w:tab w:leader="none" w:pos="3660" w:val="left"/>
        </w:tabs>
        <w:rPr>
          <w:sz w:val="20"/>
          <w:szCs w:val="20"/>
          <w:color w:val="auto"/>
        </w:rPr>
      </w:pPr>
      <w:r>
        <w:rPr>
          <w:rFonts w:ascii="Courier New" w:cs="Courier New" w:eastAsia="Courier New" w:hAnsi="Courier New"/>
          <w:sz w:val="14"/>
          <w:szCs w:val="14"/>
          <w:color w:val="auto"/>
        </w:rPr>
        <w:t>SECTION 6.16.</w:t>
        <w:tab/>
        <w:t>Rights Agreement.</w:t>
        <w:tab/>
        <w:t>Except as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contemplated by this Agreement, the Board of Directors of Paramount shall not amend or modify the Rights Agreement or redeem the Rights prior to the Effective Time except pursuant to the Other Exemption Agreement.</w:t>
      </w:r>
    </w:p>
    <w:p>
      <w:pPr>
        <w:spacing w:after="0" w:line="162" w:lineRule="exact"/>
        <w:rPr>
          <w:sz w:val="20"/>
          <w:szCs w:val="20"/>
          <w:color w:val="auto"/>
        </w:rPr>
      </w:pPr>
    </w:p>
    <w:p>
      <w:pPr>
        <w:ind w:left="840"/>
        <w:spacing w:after="0"/>
        <w:tabs>
          <w:tab w:leader="none" w:pos="2080" w:val="left"/>
          <w:tab w:leader="none" w:pos="4760" w:val="left"/>
        </w:tabs>
        <w:rPr>
          <w:sz w:val="20"/>
          <w:szCs w:val="20"/>
          <w:color w:val="auto"/>
        </w:rPr>
      </w:pPr>
      <w:r>
        <w:rPr>
          <w:rFonts w:ascii="Courier New" w:cs="Courier New" w:eastAsia="Courier New" w:hAnsi="Courier New"/>
          <w:sz w:val="14"/>
          <w:szCs w:val="14"/>
          <w:color w:val="auto"/>
        </w:rPr>
        <w:t>SECTION 6.17.</w:t>
        <w:tab/>
        <w:t>Assumption of Debt and Leases.</w:t>
      </w:r>
      <w:r>
        <w:rPr>
          <w:sz w:val="20"/>
          <w:szCs w:val="20"/>
          <w:color w:val="auto"/>
        </w:rPr>
        <w:tab/>
      </w:r>
      <w:r>
        <w:rPr>
          <w:rFonts w:ascii="Courier New" w:cs="Courier New" w:eastAsia="Courier New" w:hAnsi="Courier New"/>
          <w:sz w:val="13"/>
          <w:szCs w:val="13"/>
          <w:color w:val="auto"/>
        </w:rPr>
        <w:t>With</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62" w:lineRule="auto"/>
        <w:rPr>
          <w:sz w:val="20"/>
          <w:szCs w:val="20"/>
          <w:color w:val="auto"/>
        </w:rPr>
      </w:pPr>
      <w:r>
        <w:rPr>
          <w:rFonts w:ascii="Courier New" w:cs="Courier New" w:eastAsia="Courier New" w:hAnsi="Courier New"/>
          <w:sz w:val="13"/>
          <w:szCs w:val="13"/>
          <w:color w:val="auto"/>
        </w:rPr>
        <w:t>respect to debt issued by Paramount under indentures qualified under the Trust Indenture Act of 1939 ("Paramount Indentures"),</w:t>
      </w:r>
    </w:p>
    <w:p>
      <w:pPr>
        <w:ind w:left="336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Viacom shall execute and deliver to the trustees under the respective Paramount Indentures, Supplemental Indentures, in form satisfactory to the respective trustees, expressly assuming the obligations of Paramount with respect to the due and punctual payment of the principal of (and premium, if any) and interest, if any, on all debt securities issued by Paramount under the respective Indentures and the due and punctual performance of all the terms, covenants and conditions of the respective Paramount Indentures to be kept or performed by Paramount and shall deliver such Supplemental Indentures to the respective trustees under the Paramount Indenture. Viacom shall similarly deliver instruments of assumption to the holders of any debt obligations of, and the lessors of any real property to, Paramount, which debt obligations or leases expressly require such assumption in order for the Merger to comply with the debt instrument or lease.</w:t>
      </w:r>
    </w:p>
    <w:p>
      <w:pPr>
        <w:spacing w:after="0" w:line="151" w:lineRule="exact"/>
        <w:rPr>
          <w:sz w:val="20"/>
          <w:szCs w:val="20"/>
          <w:color w:val="auto"/>
        </w:rPr>
      </w:pPr>
    </w:p>
    <w:p>
      <w:pPr>
        <w:ind w:left="840"/>
        <w:spacing w:after="0"/>
        <w:tabs>
          <w:tab w:leader="none" w:pos="2080" w:val="left"/>
          <w:tab w:leader="none" w:pos="3080" w:val="left"/>
        </w:tabs>
        <w:rPr>
          <w:sz w:val="20"/>
          <w:szCs w:val="20"/>
          <w:color w:val="auto"/>
        </w:rPr>
      </w:pPr>
      <w:r>
        <w:rPr>
          <w:rFonts w:ascii="Courier New" w:cs="Courier New" w:eastAsia="Courier New" w:hAnsi="Courier New"/>
          <w:sz w:val="14"/>
          <w:szCs w:val="14"/>
          <w:color w:val="auto"/>
        </w:rPr>
        <w:t>SECTION 6.18.</w:t>
        <w:tab/>
        <w:t>Gains Tax.</w:t>
      </w:r>
      <w:r>
        <w:rPr>
          <w:sz w:val="20"/>
          <w:szCs w:val="20"/>
          <w:color w:val="auto"/>
        </w:rPr>
        <w:tab/>
      </w:r>
      <w:r>
        <w:rPr>
          <w:rFonts w:ascii="Courier New" w:cs="Courier New" w:eastAsia="Courier New" w:hAnsi="Courier New"/>
          <w:sz w:val="13"/>
          <w:szCs w:val="13"/>
          <w:color w:val="auto"/>
        </w:rPr>
        <w:t>Except as provided in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62" w:lineRule="auto"/>
        <w:rPr>
          <w:sz w:val="20"/>
          <w:szCs w:val="20"/>
          <w:color w:val="auto"/>
        </w:rPr>
      </w:pPr>
      <w:r>
        <w:rPr>
          <w:rFonts w:ascii="Courier New" w:cs="Courier New" w:eastAsia="Courier New" w:hAnsi="Courier New"/>
          <w:sz w:val="13"/>
          <w:szCs w:val="13"/>
          <w:color w:val="auto"/>
        </w:rPr>
        <w:t>Section 1.7(b), Viacom shall pay any New York State Tax on Gains Derived from Certain Real Property Transfers (the "Gains Tax"),</w:t>
      </w:r>
    </w:p>
    <w:p>
      <w:pPr>
        <w:ind w:left="428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spacing w:after="0" w:line="262" w:lineRule="auto"/>
        <w:rPr>
          <w:sz w:val="20"/>
          <w:szCs w:val="20"/>
          <w:color w:val="auto"/>
        </w:rPr>
      </w:pPr>
      <w:r>
        <w:rPr>
          <w:rFonts w:ascii="Courier New" w:cs="Courier New" w:eastAsia="Courier New" w:hAnsi="Courier New"/>
          <w:sz w:val="13"/>
          <w:szCs w:val="13"/>
          <w:color w:val="auto"/>
        </w:rPr>
        <w:t>New York State Real Estate Transfer Tax and New York City Real Property Transfer Tax (the "Transfer Taxes") and any similar</w:t>
      </w:r>
    </w:p>
    <w:p>
      <w:pPr>
        <w:ind w:left="234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3" w:lineRule="auto"/>
        <w:rPr>
          <w:sz w:val="20"/>
          <w:szCs w:val="20"/>
          <w:color w:val="auto"/>
        </w:rPr>
      </w:pPr>
      <w:r>
        <w:rPr>
          <w:rFonts w:ascii="Courier New" w:cs="Courier New" w:eastAsia="Courier New" w:hAnsi="Courier New"/>
          <w:sz w:val="13"/>
          <w:szCs w:val="13"/>
          <w:color w:val="auto"/>
        </w:rPr>
        <w:t>taxes in any other jurisdiction (and any penalties and interest with respect to such taxes), which become payable in connection with the Offer and the Merger, on behalf of the stockholders of Paramount. Viacom and Paramount shall cooperate in the preparation, execution and filing of any required returns with respect to such taxes (including returns on behalf of the stockholders of Paramount) and in the determination of the portion of the consideration allocable to the real property of Paramount and the Paramount Subsidiaries in New York State and City (or in any other jurisdiction, if applicable). The terms of the Offer to Purchase and of the Proxy Statement shall provide that the stockholders of Paramount shall be deemed to have agreed to be bound by the allocation established pursuant to this Section 6.18 in the preparation of any return with respect to the</w:t>
      </w: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I-51</w:t>
      </w:r>
    </w:p>
    <w:p>
      <w:pPr>
        <w:sectPr>
          <w:pgSz w:w="11900" w:h="16838" w:orient="portrait"/>
          <w:cols w:equalWidth="0" w:num="1">
            <w:col w:w="10239"/>
          </w:cols>
          <w:pgMar w:left="220" w:top="764" w:right="1440" w:bottom="1440" w:gutter="0" w:footer="0" w:header="0"/>
        </w:sectPr>
      </w:pPr>
    </w:p>
    <w:bookmarkStart w:id="250" w:name="page251"/>
    <w:bookmarkEnd w:id="250"/>
    <w:p>
      <w:pPr>
        <w:jc w:val="center"/>
        <w:ind w:right="-480"/>
        <w:spacing w:after="0"/>
        <w:rPr>
          <w:sz w:val="20"/>
          <w:szCs w:val="20"/>
          <w:color w:val="auto"/>
        </w:rPr>
      </w:pPr>
      <w:r>
        <w:rPr>
          <w:rFonts w:ascii="Courier New" w:cs="Courier New" w:eastAsia="Courier New" w:hAnsi="Courier New"/>
          <w:sz w:val="13"/>
          <w:szCs w:val="13"/>
          <w:color w:val="auto"/>
        </w:rPr>
        <w:t>52</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Tax and the Transfer Taxes and any similar taxes, if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w:t>
      </w:r>
    </w:p>
    <w:p>
      <w:pPr>
        <w:spacing w:after="0" w:line="163" w:lineRule="exact"/>
        <w:rPr>
          <w:sz w:val="20"/>
          <w:szCs w:val="20"/>
          <w:color w:val="auto"/>
        </w:rPr>
      </w:pPr>
    </w:p>
    <w:p>
      <w:pPr>
        <w:ind w:left="840"/>
        <w:spacing w:after="0"/>
        <w:tabs>
          <w:tab w:leader="none" w:pos="2080" w:val="left"/>
          <w:tab w:leader="none" w:pos="3500" w:val="left"/>
        </w:tabs>
        <w:rPr>
          <w:sz w:val="20"/>
          <w:szCs w:val="20"/>
          <w:color w:val="auto"/>
        </w:rPr>
      </w:pPr>
      <w:r>
        <w:rPr>
          <w:rFonts w:ascii="Courier New" w:cs="Courier New" w:eastAsia="Courier New" w:hAnsi="Courier New"/>
          <w:sz w:val="14"/>
          <w:szCs w:val="14"/>
          <w:color w:val="auto"/>
        </w:rPr>
        <w:t>SECTION 6.19.</w:t>
        <w:tab/>
        <w:t>Reverse Merger.</w:t>
      </w:r>
      <w:r>
        <w:rPr>
          <w:sz w:val="20"/>
          <w:szCs w:val="20"/>
          <w:color w:val="auto"/>
        </w:rPr>
        <w:tab/>
      </w:r>
      <w:r>
        <w:rPr>
          <w:rFonts w:ascii="Courier New" w:cs="Courier New" w:eastAsia="Courier New" w:hAnsi="Courier New"/>
          <w:sz w:val="13"/>
          <w:szCs w:val="13"/>
          <w:color w:val="auto"/>
        </w:rPr>
        <w:t>In the event that a</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decision is made to structure the Merger as a Reverse Merger pursuant to Section 1.1, Viacom agrees to form Merger Subsidiary as promptly as practicable following such decision and to cause a merger agreement conforming to Section 251 of the Delaware Law and effecting the terms hereof to be adopted by Merger Subsidiary. Paramount agrees in such case to enter into such merger agreement.</w:t>
      </w:r>
    </w:p>
    <w:p>
      <w:pPr>
        <w:spacing w:after="0" w:line="165" w:lineRule="exact"/>
        <w:rPr>
          <w:sz w:val="20"/>
          <w:szCs w:val="20"/>
          <w:color w:val="auto"/>
        </w:rPr>
      </w:pPr>
    </w:p>
    <w:p>
      <w:pPr>
        <w:jc w:val="center"/>
        <w:ind w:right="4299"/>
        <w:spacing w:after="0"/>
        <w:tabs>
          <w:tab w:leader="none" w:pos="140" w:val="left"/>
          <w:tab w:leader="none" w:pos="140" w:val="left"/>
        </w:tabs>
        <w:rPr>
          <w:sz w:val="20"/>
          <w:szCs w:val="20"/>
          <w:color w:val="auto"/>
        </w:rPr>
      </w:pPr>
      <w:r>
        <w:rPr>
          <w:rFonts w:ascii="Courier New" w:cs="Courier New" w:eastAsia="Courier New" w:hAnsi="Courier New"/>
          <w:sz w:val="14"/>
          <w:szCs w:val="14"/>
          <w:color w:val="auto"/>
        </w:rPr>
        <w:t>SECTION 6.20.</w:t>
        <w:tab/>
        <w:t>Post-Offer Agreements.</w:t>
      </w:r>
      <w:r>
        <w:rPr>
          <w:sz w:val="20"/>
          <w:szCs w:val="20"/>
          <w:color w:val="auto"/>
        </w:rPr>
        <w:tab/>
      </w:r>
      <w:r>
        <w:rPr>
          <w:rFonts w:ascii="Courier New" w:cs="Courier New" w:eastAsia="Courier New" w:hAnsi="Courier New"/>
          <w:sz w:val="13"/>
          <w:szCs w:val="13"/>
          <w:color w:val="auto"/>
        </w:rPr>
        <w:t>In the event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that the Offer is consummated and subject to any applicable requirements of the FCC: (a) the affirmative vote of a majority of the directors of Paramount who are directors on the date hereof and continue as directors on the date of the actions described below will be required to amend, modify or waive any provisions of this Agreement, or to approve any other action by Paramount with respect to the transactions contemplated hereby which adversely affect the interests of the stockholders of Paramount; (b) Viacom shall not directly or indirectly cause Paramount to breach its obligations hereunder; and (c) at the Paramount Stockholders' Meeting, Viacom shall cause all shares of Paramount Common Stock then owned by it or its subsidiaries to be voted in favor of the approval and adoption of this Agreement and the transactions contemplated hereby.</w:t>
      </w:r>
    </w:p>
    <w:p>
      <w:pPr>
        <w:spacing w:after="0" w:line="163" w:lineRule="exact"/>
        <w:rPr>
          <w:sz w:val="20"/>
          <w:szCs w:val="20"/>
          <w:color w:val="auto"/>
        </w:rPr>
      </w:pPr>
    </w:p>
    <w:p>
      <w:pPr>
        <w:ind w:left="840"/>
        <w:spacing w:after="0"/>
        <w:tabs>
          <w:tab w:leader="none" w:pos="2080" w:val="left"/>
        </w:tabs>
        <w:rPr>
          <w:sz w:val="20"/>
          <w:szCs w:val="20"/>
          <w:color w:val="auto"/>
        </w:rPr>
      </w:pPr>
      <w:r>
        <w:rPr>
          <w:rFonts w:ascii="Courier New" w:cs="Courier New" w:eastAsia="Courier New" w:hAnsi="Courier New"/>
          <w:sz w:val="14"/>
          <w:szCs w:val="14"/>
          <w:color w:val="auto"/>
        </w:rPr>
        <w:t>SECTION 6.21.</w:t>
      </w:r>
      <w:r>
        <w:rPr>
          <w:sz w:val="20"/>
          <w:szCs w:val="20"/>
          <w:color w:val="auto"/>
        </w:rPr>
        <w:tab/>
      </w:r>
      <w:r>
        <w:rPr>
          <w:rFonts w:ascii="Courier New" w:cs="Courier New" w:eastAsia="Courier New" w:hAnsi="Courier New"/>
          <w:sz w:val="13"/>
          <w:szCs w:val="13"/>
          <w:color w:val="auto"/>
        </w:rPr>
        <w:t>Transactions With Significant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4"/>
          <w:szCs w:val="14"/>
          <w:color w:val="auto"/>
        </w:rPr>
        <w:t>Stockholder After the Effective Time.</w:t>
        <w:tab/>
        <w:t>From and after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Effective Time and until the tenth anniversary of the Effective Time, Viacom shall not enter into any agreement with any stockholder (the "Significant Stockholder") who beneficially owns</w:t>
      </w:r>
    </w:p>
    <w:p>
      <w:pPr>
        <w:ind w:left="152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more than 35% of the then outstanding securities entitled to vote at a meeting of the stockholders of Viacom that would constitute a Rule 13e-3 (as such rule is in effect today) transaction under the Exchange Act with respect to any class of common stock of Viacom (any such transaction being a "Going Private Transaction")</w:t>
      </w:r>
    </w:p>
    <w:p>
      <w:pPr>
        <w:ind w:left="318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unless Viacom provides in any agreement pursuant to which such Going Private Transaction shall be effected that, as a condition to the consummation of such Going Private Transaction, (a) the holders of a majority of the shares of each class of common stock subject to such Going Private Transaction and not beneficially owned by the Significant Stockholder that are voted and present (whether in person or by proxy) at the meeting of stockholders called to vote on such Going Private Transaction shall have voted in favor thereof and (b) a special committee (the "Special</w:t>
      </w:r>
    </w:p>
    <w:p>
      <w:pPr>
        <w:ind w:left="4280"/>
        <w:spacing w:after="0" w:line="238" w:lineRule="auto"/>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of the Board of Directors of Viacom comprised solely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of the independent directors of Viacom shall have (i) approved the terms and conditions of the Going Private Transaction and shall have recommended that the stockholders vote in favor thereof and (ii) received from its financial advisor a written opinion addressed to the Special Committee, for inclusion in the proxy statement to be delivered to the stockholders, and dated the date thereof, substantially to the effect that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I-52</w:t>
      </w:r>
    </w:p>
    <w:p>
      <w:pPr>
        <w:sectPr>
          <w:pgSz w:w="11900" w:h="16838" w:orient="portrait"/>
          <w:cols w:equalWidth="0" w:num="1">
            <w:col w:w="10239"/>
          </w:cols>
          <w:pgMar w:left="220" w:top="764" w:right="1440" w:bottom="1440" w:gutter="0" w:footer="0" w:header="0"/>
        </w:sectPr>
      </w:pPr>
    </w:p>
    <w:bookmarkStart w:id="251" w:name="page252"/>
    <w:bookmarkEnd w:id="251"/>
    <w:p>
      <w:pPr>
        <w:jc w:val="center"/>
        <w:ind w:right="-480"/>
        <w:spacing w:after="0"/>
        <w:rPr>
          <w:sz w:val="20"/>
          <w:szCs w:val="20"/>
          <w:color w:val="auto"/>
        </w:rPr>
      </w:pPr>
      <w:r>
        <w:rPr>
          <w:rFonts w:ascii="Courier New" w:cs="Courier New" w:eastAsia="Courier New" w:hAnsi="Courier New"/>
          <w:sz w:val="13"/>
          <w:szCs w:val="13"/>
          <w:color w:val="auto"/>
        </w:rPr>
        <w:t>53</w:t>
      </w:r>
    </w:p>
    <w:p>
      <w:pPr>
        <w:spacing w:after="0" w:line="33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consideration to be received by the stockholders (other than the Significant Stockholder) in the Going Private Transaction is fair to them from a financial point of view. Notwithstanding anything to the contrary in this Section 6.21, the restrictions contained in this Section 6.21 shall not apply to any Significant Stockholder if there exists another stockholder who beneficially owns a greater percentage of outstanding securities entitled to vote at the meeting than the Significant Stockholder.</w:t>
      </w:r>
    </w:p>
    <w:p>
      <w:pPr>
        <w:spacing w:after="0" w:line="150" w:lineRule="exact"/>
        <w:rPr>
          <w:sz w:val="20"/>
          <w:szCs w:val="20"/>
          <w:color w:val="auto"/>
        </w:rPr>
      </w:pPr>
    </w:p>
    <w:p>
      <w:pPr>
        <w:ind w:left="840"/>
        <w:spacing w:after="0"/>
        <w:tabs>
          <w:tab w:leader="none" w:pos="2080" w:val="left"/>
        </w:tabs>
        <w:rPr>
          <w:sz w:val="20"/>
          <w:szCs w:val="20"/>
          <w:color w:val="auto"/>
        </w:rPr>
      </w:pPr>
      <w:r>
        <w:rPr>
          <w:rFonts w:ascii="Courier New" w:cs="Courier New" w:eastAsia="Courier New" w:hAnsi="Courier New"/>
          <w:sz w:val="14"/>
          <w:szCs w:val="14"/>
          <w:color w:val="auto"/>
        </w:rPr>
        <w:t>SECTION 6.22.</w:t>
      </w:r>
      <w:r>
        <w:rPr>
          <w:sz w:val="20"/>
          <w:szCs w:val="20"/>
          <w:color w:val="auto"/>
        </w:rPr>
        <w:tab/>
      </w:r>
      <w:r>
        <w:rPr>
          <w:rFonts w:ascii="Courier New" w:cs="Courier New" w:eastAsia="Courier New" w:hAnsi="Courier New"/>
          <w:sz w:val="13"/>
          <w:szCs w:val="13"/>
          <w:color w:val="auto"/>
        </w:rPr>
        <w:t>Blockbuster Merger Agreement and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Subscription Agreement.</w:t>
      </w:r>
      <w:r>
        <w:rPr>
          <w:sz w:val="20"/>
          <w:szCs w:val="20"/>
          <w:color w:val="auto"/>
        </w:rPr>
        <w:tab/>
      </w:r>
      <w:r>
        <w:rPr>
          <w:rFonts w:ascii="Courier New" w:cs="Courier New" w:eastAsia="Courier New" w:hAnsi="Courier New"/>
          <w:sz w:val="13"/>
          <w:szCs w:val="13"/>
          <w:color w:val="auto"/>
        </w:rPr>
        <w:t>Viacom hereby agrees that, from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64" w:lineRule="auto"/>
        <w:rPr>
          <w:sz w:val="20"/>
          <w:szCs w:val="20"/>
          <w:color w:val="auto"/>
        </w:rPr>
      </w:pPr>
      <w:r>
        <w:rPr>
          <w:rFonts w:ascii="Courier New" w:cs="Courier New" w:eastAsia="Courier New" w:hAnsi="Courier New"/>
          <w:sz w:val="13"/>
          <w:szCs w:val="13"/>
          <w:color w:val="auto"/>
        </w:rPr>
        <w:t>after the date of this Agreement, the terms of (i) the Blockbuster Merger Agreement and (ii) the Blockbuster Subscription Agreement shall not, without the consent of Paramount, be amended or waived in any manner that would have a material adverse effect on the value of the aggregate consideration to be received by the Paramount stockholders pursuant to the terms of the Offer and the Merger taken together.</w:t>
      </w:r>
    </w:p>
    <w:p>
      <w:pPr>
        <w:spacing w:after="0" w:line="200" w:lineRule="exact"/>
        <w:rPr>
          <w:sz w:val="20"/>
          <w:szCs w:val="20"/>
          <w:color w:val="auto"/>
        </w:rPr>
      </w:pPr>
    </w:p>
    <w:p>
      <w:pPr>
        <w:spacing w:after="0" w:line="27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ARTICLE VII</w:t>
      </w:r>
    </w:p>
    <w:p>
      <w:pPr>
        <w:spacing w:after="0" w:line="16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CLOSING CONDITIONS</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7.1.</w:t>
      </w:r>
      <w:r>
        <w:rPr>
          <w:sz w:val="20"/>
          <w:szCs w:val="20"/>
          <w:color w:val="auto"/>
        </w:rPr>
        <w:tab/>
      </w:r>
      <w:r>
        <w:rPr>
          <w:rFonts w:ascii="Courier New" w:cs="Courier New" w:eastAsia="Courier New" w:hAnsi="Courier New"/>
          <w:sz w:val="13"/>
          <w:szCs w:val="13"/>
          <w:color w:val="auto"/>
        </w:rPr>
        <w:t>Conditions to Obligations of Each Party</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to Effect the Merger.</w:t>
      </w:r>
      <w:r>
        <w:rPr>
          <w:sz w:val="20"/>
          <w:szCs w:val="20"/>
          <w:color w:val="auto"/>
        </w:rPr>
        <w:tab/>
      </w:r>
      <w:r>
        <w:rPr>
          <w:rFonts w:ascii="Courier New" w:cs="Courier New" w:eastAsia="Courier New" w:hAnsi="Courier New"/>
          <w:sz w:val="13"/>
          <w:szCs w:val="13"/>
          <w:color w:val="auto"/>
        </w:rPr>
        <w:t>The respective obligations of each party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to effect the Merger and the other transactions contemplated herein shall be subject to the satisfaction at or prior to the Effective Time of the following conditions, any or all of which may be waived, in whole or in part, to the extent permitted by applicable law:</w:t>
      </w:r>
    </w:p>
    <w:p>
      <w:pPr>
        <w:spacing w:after="0" w:line="163" w:lineRule="exact"/>
        <w:rPr>
          <w:sz w:val="20"/>
          <w:szCs w:val="20"/>
          <w:color w:val="auto"/>
        </w:rPr>
      </w:pPr>
    </w:p>
    <w:p>
      <w:pPr>
        <w:ind w:left="1260" w:hanging="417"/>
        <w:spacing w:after="0"/>
        <w:tabs>
          <w:tab w:leader="none" w:pos="12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the Registration Statement.  The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Registration Statement shall have been declared effective by</w:t>
      </w:r>
    </w:p>
    <w:p>
      <w:pPr>
        <w:spacing w:after="0" w:line="11" w:lineRule="exact"/>
        <w:rPr>
          <w:sz w:val="20"/>
          <w:szCs w:val="20"/>
          <w:color w:val="auto"/>
        </w:rPr>
      </w:pPr>
    </w:p>
    <w:p>
      <w:pPr>
        <w:ind w:left="420"/>
        <w:spacing w:after="0"/>
        <w:tabs>
          <w:tab w:leader="none" w:pos="3340" w:val="left"/>
        </w:tabs>
        <w:rPr>
          <w:sz w:val="20"/>
          <w:szCs w:val="20"/>
          <w:color w:val="auto"/>
        </w:rPr>
      </w:pPr>
      <w:r>
        <w:rPr>
          <w:rFonts w:ascii="Courier New" w:cs="Courier New" w:eastAsia="Courier New" w:hAnsi="Courier New"/>
          <w:sz w:val="14"/>
          <w:szCs w:val="14"/>
          <w:color w:val="auto"/>
        </w:rPr>
        <w:t>the SEC under the Securities Act.</w:t>
      </w:r>
      <w:r>
        <w:rPr>
          <w:sz w:val="20"/>
          <w:szCs w:val="20"/>
          <w:color w:val="auto"/>
        </w:rPr>
        <w:tab/>
      </w:r>
      <w:r>
        <w:rPr>
          <w:rFonts w:ascii="Courier New" w:cs="Courier New" w:eastAsia="Courier New" w:hAnsi="Courier New"/>
          <w:sz w:val="13"/>
          <w:szCs w:val="13"/>
          <w:color w:val="auto"/>
        </w:rPr>
        <w:t>No stop order suspending</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effectiveness of the Registration Statement shall have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been issued by the SEC and no proceedings for that purpose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shall have been initiated or, to the knowledge of Viacom 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threatened by the SEC.</w:t>
      </w:r>
    </w:p>
    <w:p>
      <w:pPr>
        <w:spacing w:after="0" w:line="163" w:lineRule="exact"/>
        <w:rPr>
          <w:sz w:val="20"/>
          <w:szCs w:val="20"/>
          <w:color w:val="auto"/>
        </w:rPr>
      </w:pPr>
    </w:p>
    <w:p>
      <w:pPr>
        <w:ind w:left="1260" w:hanging="417"/>
        <w:spacing w:after="0"/>
        <w:tabs>
          <w:tab w:leader="none" w:pos="126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Approval.  This Agreement and the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Merger shall have been approved and adopted by the requisite</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vote of the stockholders of Paramount and the Viacom Vote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Matter (to the extent not previously voted upon and approved</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by the holders of Viacom Class A Common Stock) shall have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been approved and adopted by the requisite vote of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stockholders of Viacom.</w:t>
      </w:r>
    </w:p>
    <w:p>
      <w:pPr>
        <w:spacing w:after="0" w:line="163" w:lineRule="exact"/>
        <w:rPr>
          <w:sz w:val="20"/>
          <w:szCs w:val="20"/>
          <w:color w:val="auto"/>
        </w:rPr>
      </w:pPr>
    </w:p>
    <w:p>
      <w:pPr>
        <w:ind w:left="1260" w:hanging="417"/>
        <w:spacing w:after="0"/>
        <w:tabs>
          <w:tab w:leader="none" w:pos="12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Order.  No Governmental Entity or federal or</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state court of competent jurisdiction shall have enacted,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issued, promulgated, enforced or entered any statute, rule,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regulation, executive order, decree, injunction or other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order (whether temporary, preliminary or permanent) which is</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 effect and which materially restricts, prevents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I-53</w:t>
      </w:r>
    </w:p>
    <w:p>
      <w:pPr>
        <w:sectPr>
          <w:pgSz w:w="11900" w:h="16838" w:orient="portrait"/>
          <w:cols w:equalWidth="0" w:num="1">
            <w:col w:w="10239"/>
          </w:cols>
          <w:pgMar w:left="220" w:top="764" w:right="1440" w:bottom="1440" w:gutter="0" w:footer="0" w:header="0"/>
        </w:sectPr>
      </w:pPr>
    </w:p>
    <w:bookmarkStart w:id="252" w:name="page253"/>
    <w:bookmarkEnd w:id="252"/>
    <w:p>
      <w:pPr>
        <w:jc w:val="center"/>
        <w:ind w:right="-480"/>
        <w:spacing w:after="0"/>
        <w:rPr>
          <w:sz w:val="20"/>
          <w:szCs w:val="20"/>
          <w:color w:val="auto"/>
        </w:rPr>
      </w:pPr>
      <w:r>
        <w:rPr>
          <w:rFonts w:ascii="Courier New" w:cs="Courier New" w:eastAsia="Courier New" w:hAnsi="Courier New"/>
          <w:sz w:val="13"/>
          <w:szCs w:val="13"/>
          <w:color w:val="auto"/>
        </w:rPr>
        <w:t>54</w:t>
      </w:r>
    </w:p>
    <w:p>
      <w:pPr>
        <w:spacing w:after="0" w:line="33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prohibits consummation of the Merger or any transaction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contemplated by this Agreement; provided, however, that the</w:t>
      </w:r>
    </w:p>
    <w:p>
      <w:pPr>
        <w:spacing w:after="0" w:line="2" w:lineRule="exact"/>
        <w:rPr>
          <w:sz w:val="20"/>
          <w:szCs w:val="20"/>
          <w:color w:val="auto"/>
        </w:rPr>
      </w:pPr>
    </w:p>
    <w:p>
      <w:pPr>
        <w:ind w:left="3100"/>
        <w:spacing w:after="0"/>
        <w:tabs>
          <w:tab w:leader="none" w:pos="392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parties shall use their reasonable best efforts to cause any</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such decree, judgment, injunction or other order to be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vacated or lifted.</w:t>
      </w:r>
    </w:p>
    <w:p>
      <w:pPr>
        <w:spacing w:after="0" w:line="166" w:lineRule="exact"/>
        <w:rPr>
          <w:sz w:val="20"/>
          <w:szCs w:val="20"/>
          <w:color w:val="auto"/>
        </w:rPr>
      </w:pPr>
    </w:p>
    <w:p>
      <w:pPr>
        <w:ind w:left="1260" w:hanging="417"/>
        <w:spacing w:after="0"/>
        <w:tabs>
          <w:tab w:leader="none" w:pos="1260" w:val="left"/>
        </w:tabs>
        <w:numPr>
          <w:ilvl w:val="0"/>
          <w:numId w:val="2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AMEX Listing.  The shares of Viacom Class B Common</w:t>
      </w:r>
    </w:p>
    <w:p>
      <w:pPr>
        <w:spacing w:after="0" w:line="11"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Stock and the Warrants, Viacom Merger Debentures and CVRs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issuable to stockholders of Paramount in accordance with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Article II shall have been authorized for listing on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AMEX upon official notice of issuance.</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7.2.</w:t>
      </w:r>
      <w:r>
        <w:rPr>
          <w:sz w:val="20"/>
          <w:szCs w:val="20"/>
          <w:color w:val="auto"/>
        </w:rPr>
        <w:tab/>
      </w:r>
      <w:r>
        <w:rPr>
          <w:rFonts w:ascii="Courier New" w:cs="Courier New" w:eastAsia="Courier New" w:hAnsi="Courier New"/>
          <w:sz w:val="13"/>
          <w:szCs w:val="13"/>
          <w:color w:val="auto"/>
        </w:rPr>
        <w:t>Additional Conditions to Obligations of</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3"/>
          <w:szCs w:val="13"/>
          <w:color w:val="auto"/>
        </w:rPr>
        <w:t>The obligations of Viacom to effect the Merger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contemplated herein are also subject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conditions:</w:t>
      </w:r>
    </w:p>
    <w:p>
      <w:pPr>
        <w:spacing w:after="0" w:line="163" w:lineRule="exact"/>
        <w:rPr>
          <w:sz w:val="20"/>
          <w:szCs w:val="20"/>
          <w:color w:val="auto"/>
        </w:rPr>
      </w:pPr>
    </w:p>
    <w:p>
      <w:pPr>
        <w:ind w:left="1260" w:hanging="417"/>
        <w:spacing w:after="0"/>
        <w:tabs>
          <w:tab w:leader="none" w:pos="126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representations and warranties of Paramount contained in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this Agreement (including, without limitation,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Section 6.06), without giving effect to any notification to</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Viacom delivered pursuant to Section 6.4, shall be true and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correct as of the Effective Time as though made on and as of</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Effective Time, except (i) for changes specifically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permitted by this Agreement and (ii) that those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representations and warranties which address matters only as</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a particular date shall remain true and correct as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such date, except in any case for such failures to be true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correct which would not, individually or in the</w:t>
      </w:r>
    </w:p>
    <w:p>
      <w:pPr>
        <w:spacing w:after="0" w:line="2" w:lineRule="exact"/>
        <w:rPr>
          <w:sz w:val="20"/>
          <w:szCs w:val="20"/>
          <w:color w:val="auto"/>
        </w:rPr>
      </w:pPr>
    </w:p>
    <w:p>
      <w:pPr>
        <w:ind w:left="420"/>
        <w:spacing w:after="0"/>
        <w:tabs>
          <w:tab w:leader="none" w:pos="4920" w:val="left"/>
        </w:tabs>
        <w:rPr>
          <w:sz w:val="20"/>
          <w:szCs w:val="20"/>
          <w:color w:val="auto"/>
        </w:rPr>
      </w:pPr>
      <w:r>
        <w:rPr>
          <w:rFonts w:ascii="Courier New" w:cs="Courier New" w:eastAsia="Courier New" w:hAnsi="Courier New"/>
          <w:sz w:val="14"/>
          <w:szCs w:val="14"/>
          <w:color w:val="auto"/>
        </w:rPr>
        <w:t>aggregate, have a Paramount Material Adverse Effect.</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shall have received a certificate of the Chief Executive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Officer and Chief Financial Officer of Paramount to such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effect.</w:t>
      </w:r>
    </w:p>
    <w:p>
      <w:pPr>
        <w:spacing w:after="0" w:line="163" w:lineRule="exact"/>
        <w:rPr>
          <w:sz w:val="20"/>
          <w:szCs w:val="20"/>
          <w:color w:val="auto"/>
        </w:rPr>
      </w:pPr>
    </w:p>
    <w:p>
      <w:pPr>
        <w:ind w:left="1260" w:hanging="417"/>
        <w:spacing w:after="0"/>
        <w:tabs>
          <w:tab w:leader="none" w:pos="12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Covenants.  Paramount shall have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performed or complied in all material respects with all</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agreements and covenants required by this Agreement to be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performed or complied with by it on or prior to the</w:t>
      </w:r>
    </w:p>
    <w:p>
      <w:pPr>
        <w:spacing w:after="0" w:line="2" w:lineRule="exact"/>
        <w:rPr>
          <w:sz w:val="20"/>
          <w:szCs w:val="20"/>
          <w:color w:val="auto"/>
        </w:rPr>
      </w:pPr>
    </w:p>
    <w:p>
      <w:pPr>
        <w:ind w:left="420"/>
        <w:spacing w:after="0"/>
        <w:tabs>
          <w:tab w:leader="none" w:pos="1820" w:val="left"/>
        </w:tabs>
        <w:rPr>
          <w:sz w:val="20"/>
          <w:szCs w:val="20"/>
          <w:color w:val="auto"/>
        </w:rPr>
      </w:pPr>
      <w:r>
        <w:rPr>
          <w:rFonts w:ascii="Courier New" w:cs="Courier New" w:eastAsia="Courier New" w:hAnsi="Courier New"/>
          <w:sz w:val="14"/>
          <w:szCs w:val="14"/>
          <w:color w:val="auto"/>
        </w:rPr>
        <w:t>Effective Time.</w:t>
      </w:r>
      <w:r>
        <w:rPr>
          <w:sz w:val="20"/>
          <w:szCs w:val="20"/>
          <w:color w:val="auto"/>
        </w:rPr>
        <w:tab/>
      </w:r>
      <w:r>
        <w:rPr>
          <w:rFonts w:ascii="Courier New" w:cs="Courier New" w:eastAsia="Courier New" w:hAnsi="Courier New"/>
          <w:sz w:val="13"/>
          <w:szCs w:val="13"/>
          <w:color w:val="auto"/>
        </w:rPr>
        <w:t>Viacom shall have received a certificate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Chief Executive Officer and Chief Financial Officer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to that effect.</w:t>
      </w:r>
    </w:p>
    <w:p>
      <w:pPr>
        <w:spacing w:after="0" w:line="163" w:lineRule="exact"/>
        <w:rPr>
          <w:sz w:val="20"/>
          <w:szCs w:val="20"/>
          <w:color w:val="auto"/>
        </w:rPr>
      </w:pPr>
    </w:p>
    <w:p>
      <w:pPr>
        <w:ind w:left="1260" w:hanging="417"/>
        <w:spacing w:after="0"/>
        <w:tabs>
          <w:tab w:leader="none" w:pos="12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Change.  Since the date of this</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Agreement, there shall have been no change, occurrence 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circumstance in the business, results of operations or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financial condition of Paramount or any Paramount Subsidiary</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having or reasonably likely to have, individually or in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aggregate, a material adverse effect on the business,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results of operations or financial condition of Paramount</w:t>
      </w:r>
    </w:p>
    <w:p>
      <w:pPr>
        <w:spacing w:after="0" w:line="2" w:lineRule="exact"/>
        <w:rPr>
          <w:sz w:val="20"/>
          <w:szCs w:val="20"/>
          <w:color w:val="auto"/>
        </w:rPr>
      </w:pPr>
    </w:p>
    <w:p>
      <w:pPr>
        <w:ind w:left="420"/>
        <w:spacing w:after="0"/>
        <w:tabs>
          <w:tab w:leader="none" w:pos="4680" w:val="left"/>
        </w:tabs>
        <w:rPr>
          <w:sz w:val="20"/>
          <w:szCs w:val="20"/>
          <w:color w:val="auto"/>
        </w:rPr>
      </w:pPr>
      <w:r>
        <w:rPr>
          <w:rFonts w:ascii="Courier New" w:cs="Courier New" w:eastAsia="Courier New" w:hAnsi="Courier New"/>
          <w:sz w:val="14"/>
          <w:szCs w:val="14"/>
          <w:color w:val="auto"/>
        </w:rPr>
        <w:t>and the Paramount Subsidiaries, taken as a whole.</w:t>
      </w:r>
      <w:r>
        <w:rPr>
          <w:sz w:val="20"/>
          <w:szCs w:val="20"/>
          <w:color w:val="auto"/>
        </w:rPr>
        <w:tab/>
      </w:r>
      <w:r>
        <w:rPr>
          <w:rFonts w:ascii="Courier New" w:cs="Courier New" w:eastAsia="Courier New" w:hAnsi="Courier New"/>
          <w:sz w:val="13"/>
          <w:szCs w:val="13"/>
          <w:color w:val="auto"/>
        </w:rPr>
        <w:t>Viacom</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shall have received a certificate of the Chief Executive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Officer and Chief Financial Officer of Paramount to such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effect.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I-54</w:t>
      </w:r>
    </w:p>
    <w:p>
      <w:pPr>
        <w:sectPr>
          <w:pgSz w:w="11900" w:h="16838" w:orient="portrait"/>
          <w:cols w:equalWidth="0" w:num="1">
            <w:col w:w="10239"/>
          </w:cols>
          <w:pgMar w:left="220" w:top="764" w:right="1440" w:bottom="1440" w:gutter="0" w:footer="0" w:header="0"/>
        </w:sectPr>
      </w:pPr>
    </w:p>
    <w:bookmarkStart w:id="253" w:name="page254"/>
    <w:bookmarkEnd w:id="253"/>
    <w:p>
      <w:pPr>
        <w:jc w:val="center"/>
        <w:ind w:right="-480"/>
        <w:spacing w:after="0"/>
        <w:rPr>
          <w:sz w:val="20"/>
          <w:szCs w:val="20"/>
          <w:color w:val="auto"/>
        </w:rPr>
      </w:pPr>
      <w:r>
        <w:rPr>
          <w:rFonts w:ascii="Courier New" w:cs="Courier New" w:eastAsia="Courier New" w:hAnsi="Courier New"/>
          <w:sz w:val="13"/>
          <w:szCs w:val="13"/>
          <w:color w:val="auto"/>
        </w:rPr>
        <w:t>55</w:t>
      </w:r>
    </w:p>
    <w:p>
      <w:pPr>
        <w:spacing w:after="0" w:line="33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Notwithstanding the foregoing, the obligations of Viacom to effect the Merger and the other transactions contemplated herein following prior consummation of the Offer shall not be subject to the conditions set forth in Sections 7.2(a), (b) and (c).</w:t>
      </w:r>
    </w:p>
    <w:p>
      <w:pPr>
        <w:spacing w:after="0" w:line="162"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7.3.</w:t>
      </w:r>
      <w:r>
        <w:rPr>
          <w:sz w:val="20"/>
          <w:szCs w:val="20"/>
          <w:color w:val="auto"/>
        </w:rPr>
        <w:tab/>
      </w:r>
      <w:r>
        <w:rPr>
          <w:rFonts w:ascii="Courier New" w:cs="Courier New" w:eastAsia="Courier New" w:hAnsi="Courier New"/>
          <w:sz w:val="13"/>
          <w:szCs w:val="13"/>
          <w:color w:val="auto"/>
        </w:rPr>
        <w:t>Additional Conditions to Obligations of</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Paramount.</w:t>
      </w:r>
      <w:r>
        <w:rPr>
          <w:sz w:val="20"/>
          <w:szCs w:val="20"/>
          <w:color w:val="auto"/>
        </w:rPr>
        <w:tab/>
      </w:r>
      <w:r>
        <w:rPr>
          <w:rFonts w:ascii="Courier New" w:cs="Courier New" w:eastAsia="Courier New" w:hAnsi="Courier New"/>
          <w:sz w:val="13"/>
          <w:szCs w:val="13"/>
          <w:color w:val="auto"/>
        </w:rPr>
        <w:t>The obligation of Paramount to effect the Merger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5039"/>
        <w:spacing w:after="0" w:line="239" w:lineRule="auto"/>
        <w:rPr>
          <w:sz w:val="20"/>
          <w:szCs w:val="20"/>
          <w:color w:val="auto"/>
        </w:rPr>
      </w:pPr>
      <w:r>
        <w:rPr>
          <w:rFonts w:ascii="Courier New" w:cs="Courier New" w:eastAsia="Courier New" w:hAnsi="Courier New"/>
          <w:sz w:val="14"/>
          <w:szCs w:val="14"/>
          <w:color w:val="auto"/>
        </w:rPr>
        <w:t>the other transactions contemplated in this Agreement are also subject to the following conditions:</w:t>
      </w:r>
    </w:p>
    <w:p>
      <w:pPr>
        <w:spacing w:after="0" w:line="164" w:lineRule="exact"/>
        <w:rPr>
          <w:sz w:val="20"/>
          <w:szCs w:val="20"/>
          <w:color w:val="auto"/>
        </w:rPr>
      </w:pPr>
    </w:p>
    <w:p>
      <w:pPr>
        <w:ind w:left="1260" w:hanging="417"/>
        <w:spacing w:after="0"/>
        <w:tabs>
          <w:tab w:leader="none" w:pos="12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representations and warranties of Viacom contained in this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Agreement (including, without limitation, Section 6.6),</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without giving effect to any notification made by Viacom to</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Paramount pursuant to Section 6.4, shall be true and correct</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as of the Effective Time, as though made on and as of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Effective Time, except (i) for changes specifically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permitted by this Agreement and (ii) that those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representations and warranties which address matters only as</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a particular date shall remain true and correct as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such date, except in any case for such failures to be true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correct which would not, individually or in the</w:t>
      </w:r>
    </w:p>
    <w:p>
      <w:pPr>
        <w:spacing w:after="0" w:line="2" w:lineRule="exact"/>
        <w:rPr>
          <w:sz w:val="20"/>
          <w:szCs w:val="20"/>
          <w:color w:val="auto"/>
        </w:rPr>
      </w:pPr>
    </w:p>
    <w:p>
      <w:pPr>
        <w:ind w:left="420"/>
        <w:spacing w:after="0"/>
        <w:tabs>
          <w:tab w:leader="none" w:pos="4680" w:val="left"/>
        </w:tabs>
        <w:rPr>
          <w:sz w:val="20"/>
          <w:szCs w:val="20"/>
          <w:color w:val="auto"/>
        </w:rPr>
      </w:pPr>
      <w:r>
        <w:rPr>
          <w:rFonts w:ascii="Courier New" w:cs="Courier New" w:eastAsia="Courier New" w:hAnsi="Courier New"/>
          <w:sz w:val="14"/>
          <w:szCs w:val="14"/>
          <w:color w:val="auto"/>
        </w:rPr>
        <w:t>aggregate, have a Viacom Material Adverse Effect.</w:t>
      </w:r>
      <w:r>
        <w:rPr>
          <w:sz w:val="20"/>
          <w:szCs w:val="20"/>
          <w:color w:val="auto"/>
        </w:rPr>
        <w:tab/>
      </w:r>
      <w:r>
        <w:rPr>
          <w:rFonts w:ascii="Courier New" w:cs="Courier New" w:eastAsia="Courier New" w:hAnsi="Courier New"/>
          <w:sz w:val="13"/>
          <w:szCs w:val="13"/>
          <w:color w:val="auto"/>
        </w:rPr>
        <w:t>Paramount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shall have received a certificate of the Chief Executive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Officer and Chief Financial Officer of Viacom to such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effect.</w:t>
      </w:r>
    </w:p>
    <w:p>
      <w:pPr>
        <w:spacing w:after="0" w:line="163" w:lineRule="exact"/>
        <w:rPr>
          <w:sz w:val="20"/>
          <w:szCs w:val="20"/>
          <w:color w:val="auto"/>
        </w:rPr>
      </w:pPr>
    </w:p>
    <w:p>
      <w:pPr>
        <w:ind w:left="1260" w:hanging="417"/>
        <w:spacing w:after="0"/>
        <w:tabs>
          <w:tab w:leader="none" w:pos="126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Viacom shall have</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performed or complied in all material respects with all</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agreements and covenants required by this Agreement to be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performed or complied with by it on or prior to the</w:t>
      </w:r>
    </w:p>
    <w:p>
      <w:pPr>
        <w:spacing w:after="0" w:line="2" w:lineRule="exact"/>
        <w:rPr>
          <w:sz w:val="20"/>
          <w:szCs w:val="20"/>
          <w:color w:val="auto"/>
        </w:rPr>
      </w:pPr>
    </w:p>
    <w:p>
      <w:pPr>
        <w:ind w:left="420"/>
        <w:spacing w:after="0"/>
        <w:tabs>
          <w:tab w:leader="none" w:pos="1820" w:val="left"/>
        </w:tabs>
        <w:rPr>
          <w:sz w:val="20"/>
          <w:szCs w:val="20"/>
          <w:color w:val="auto"/>
        </w:rPr>
      </w:pPr>
      <w:r>
        <w:rPr>
          <w:rFonts w:ascii="Courier New" w:cs="Courier New" w:eastAsia="Courier New" w:hAnsi="Courier New"/>
          <w:sz w:val="14"/>
          <w:szCs w:val="14"/>
          <w:color w:val="auto"/>
        </w:rPr>
        <w:t>Effective Time.</w:t>
      </w:r>
      <w:r>
        <w:rPr>
          <w:sz w:val="20"/>
          <w:szCs w:val="20"/>
          <w:color w:val="auto"/>
        </w:rPr>
        <w:tab/>
      </w:r>
      <w:r>
        <w:rPr>
          <w:rFonts w:ascii="Courier New" w:cs="Courier New" w:eastAsia="Courier New" w:hAnsi="Courier New"/>
          <w:sz w:val="13"/>
          <w:szCs w:val="13"/>
          <w:color w:val="auto"/>
        </w:rPr>
        <w:t>Paramount shall have received a certificate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the Chief Executive Officer and Chief Financial Officer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Viacom to that effect.</w:t>
      </w:r>
    </w:p>
    <w:p>
      <w:pPr>
        <w:spacing w:after="0" w:line="163" w:lineRule="exact"/>
        <w:rPr>
          <w:sz w:val="20"/>
          <w:szCs w:val="20"/>
          <w:color w:val="auto"/>
        </w:rPr>
      </w:pPr>
    </w:p>
    <w:p>
      <w:pPr>
        <w:ind w:left="1260" w:hanging="417"/>
        <w:spacing w:after="0"/>
        <w:tabs>
          <w:tab w:leader="none" w:pos="12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Since the date of</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this Agreement, there shall have been no change, occurrence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or circumstance in the business, results of operations 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financial condition of Viacom or any Viacom Subsidiary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having or reasonably likely to have, individually or in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aggregate, a material adverse effect on the business,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results of operations or financial condition of Viacom and</w:t>
      </w:r>
    </w:p>
    <w:p>
      <w:pPr>
        <w:spacing w:after="0" w:line="2" w:lineRule="exact"/>
        <w:rPr>
          <w:sz w:val="20"/>
          <w:szCs w:val="20"/>
          <w:color w:val="auto"/>
        </w:rPr>
      </w:pPr>
    </w:p>
    <w:p>
      <w:pPr>
        <w:ind w:left="420"/>
        <w:spacing w:after="0"/>
        <w:tabs>
          <w:tab w:leader="none" w:pos="4080" w:val="left"/>
        </w:tabs>
        <w:rPr>
          <w:sz w:val="20"/>
          <w:szCs w:val="20"/>
          <w:color w:val="auto"/>
        </w:rPr>
      </w:pPr>
      <w:r>
        <w:rPr>
          <w:rFonts w:ascii="Courier New" w:cs="Courier New" w:eastAsia="Courier New" w:hAnsi="Courier New"/>
          <w:sz w:val="14"/>
          <w:szCs w:val="14"/>
          <w:color w:val="auto"/>
        </w:rPr>
        <w:t>the Viacom Subsidiaries, taken as a whole.</w:t>
      </w:r>
      <w:r>
        <w:rPr>
          <w:sz w:val="20"/>
          <w:szCs w:val="20"/>
          <w:color w:val="auto"/>
        </w:rPr>
        <w:tab/>
      </w:r>
      <w:r>
        <w:rPr>
          <w:rFonts w:ascii="Courier New" w:cs="Courier New" w:eastAsia="Courier New" w:hAnsi="Courier New"/>
          <w:sz w:val="13"/>
          <w:szCs w:val="13"/>
          <w:color w:val="auto"/>
        </w:rPr>
        <w:t>Paramount shall</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have received a certificate of the Chief Executive Officer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Chief Financial Officer of Viacom to such effect.</w:t>
      </w:r>
    </w:p>
    <w:p>
      <w:pPr>
        <w:spacing w:after="0" w:line="163" w:lineRule="exact"/>
        <w:rPr>
          <w:sz w:val="20"/>
          <w:szCs w:val="20"/>
          <w:color w:val="auto"/>
        </w:rPr>
      </w:pPr>
    </w:p>
    <w:p>
      <w:pPr>
        <w:ind w:left="1260" w:hanging="417"/>
        <w:spacing w:after="0"/>
        <w:tabs>
          <w:tab w:leader="none" w:pos="126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Viacom's Certificate of</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tabs>
          <w:tab w:leader="none" w:pos="1740" w:val="left"/>
        </w:tabs>
        <w:rPr>
          <w:sz w:val="20"/>
          <w:szCs w:val="20"/>
          <w:color w:val="auto"/>
        </w:rPr>
      </w:pPr>
      <w:r>
        <w:rPr>
          <w:rFonts w:ascii="Courier New" w:cs="Courier New" w:eastAsia="Courier New" w:hAnsi="Courier New"/>
          <w:sz w:val="14"/>
          <w:szCs w:val="14"/>
          <w:color w:val="auto"/>
        </w:rPr>
        <w:t>Incorporation.</w:t>
      </w:r>
      <w:r>
        <w:rPr>
          <w:sz w:val="20"/>
          <w:szCs w:val="20"/>
          <w:color w:val="auto"/>
        </w:rPr>
        <w:tab/>
      </w:r>
      <w:r>
        <w:rPr>
          <w:rFonts w:ascii="Courier New" w:cs="Courier New" w:eastAsia="Courier New" w:hAnsi="Courier New"/>
          <w:sz w:val="13"/>
          <w:szCs w:val="13"/>
          <w:color w:val="auto"/>
        </w:rPr>
        <w:t>Viacom shall have filed with the Secretary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of State of the State of Delaware a certificate of amendment</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to Viacom's certificate of incorporation pursuant to which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Viacom Certificate Amendments shall have become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effective.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I-55</w:t>
      </w:r>
    </w:p>
    <w:p>
      <w:pPr>
        <w:sectPr>
          <w:pgSz w:w="11900" w:h="16838" w:orient="portrait"/>
          <w:cols w:equalWidth="0" w:num="1">
            <w:col w:w="10239"/>
          </w:cols>
          <w:pgMar w:left="220" w:top="763" w:right="1440" w:bottom="1440" w:gutter="0" w:footer="0" w:header="0"/>
        </w:sectPr>
      </w:pPr>
    </w:p>
    <w:bookmarkStart w:id="254" w:name="page255"/>
    <w:bookmarkEnd w:id="254"/>
    <w:p>
      <w:pPr>
        <w:jc w:val="center"/>
        <w:ind w:right="-480"/>
        <w:spacing w:after="0"/>
        <w:rPr>
          <w:sz w:val="20"/>
          <w:szCs w:val="20"/>
          <w:color w:val="auto"/>
        </w:rPr>
      </w:pPr>
      <w:r>
        <w:rPr>
          <w:rFonts w:ascii="Courier New" w:cs="Courier New" w:eastAsia="Courier New" w:hAnsi="Courier New"/>
          <w:sz w:val="13"/>
          <w:szCs w:val="13"/>
          <w:color w:val="auto"/>
        </w:rPr>
        <w:t>56</w:t>
      </w:r>
    </w:p>
    <w:p>
      <w:pPr>
        <w:spacing w:after="0" w:line="333"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ARTICLE VIII</w:t>
      </w:r>
    </w:p>
    <w:p>
      <w:pPr>
        <w:spacing w:after="0" w:line="16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TERMINATION, AMENDMENT AND WAIVER</w:t>
      </w:r>
    </w:p>
    <w:p>
      <w:pPr>
        <w:spacing w:after="0" w:line="163" w:lineRule="exact"/>
        <w:rPr>
          <w:sz w:val="20"/>
          <w:szCs w:val="20"/>
          <w:color w:val="auto"/>
        </w:rPr>
      </w:pPr>
    </w:p>
    <w:p>
      <w:pPr>
        <w:ind w:left="840"/>
        <w:spacing w:after="0"/>
        <w:tabs>
          <w:tab w:leader="none" w:pos="2000" w:val="left"/>
          <w:tab w:leader="none" w:pos="3160" w:val="left"/>
        </w:tabs>
        <w:rPr>
          <w:sz w:val="20"/>
          <w:szCs w:val="20"/>
          <w:color w:val="auto"/>
        </w:rPr>
      </w:pPr>
      <w:r>
        <w:rPr>
          <w:rFonts w:ascii="Courier New" w:cs="Courier New" w:eastAsia="Courier New" w:hAnsi="Courier New"/>
          <w:sz w:val="14"/>
          <w:szCs w:val="14"/>
          <w:color w:val="auto"/>
        </w:rPr>
        <w:t>SECTION 8.1.</w:t>
        <w:tab/>
        <w:t>Termination.</w:t>
      </w:r>
      <w:r>
        <w:rPr>
          <w:sz w:val="20"/>
          <w:szCs w:val="20"/>
          <w:color w:val="auto"/>
        </w:rPr>
        <w:tab/>
      </w:r>
      <w:r>
        <w:rPr>
          <w:rFonts w:ascii="Courier New" w:cs="Courier New" w:eastAsia="Courier New" w:hAnsi="Courier New"/>
          <w:sz w:val="13"/>
          <w:szCs w:val="13"/>
          <w:color w:val="auto"/>
        </w:rPr>
        <w:t>This Agreement may be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terminated at any time prior to the Effective Time, whether before or after approval of this Agreement and the Merger by the stockholders of Paramount or the approval by the stockholders of Viacom of the issuance of the shares of Viacom Common Stock in accordance with Article II:</w:t>
      </w:r>
    </w:p>
    <w:p>
      <w:pPr>
        <w:spacing w:after="0" w:line="163" w:lineRule="exact"/>
        <w:rPr>
          <w:sz w:val="20"/>
          <w:szCs w:val="20"/>
          <w:color w:val="auto"/>
        </w:rPr>
      </w:pPr>
    </w:p>
    <w:p>
      <w:pPr>
        <w:ind w:left="1260" w:hanging="417"/>
        <w:spacing w:after="0"/>
        <w:tabs>
          <w:tab w:leader="none" w:pos="126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consent of Paramount and Viacom;</w:t>
      </w:r>
    </w:p>
    <w:p>
      <w:pPr>
        <w:spacing w:after="0" w:line="165" w:lineRule="exact"/>
        <w:rPr>
          <w:rFonts w:ascii="Courier New" w:cs="Courier New" w:eastAsia="Courier New" w:hAnsi="Courier New"/>
          <w:sz w:val="14"/>
          <w:szCs w:val="14"/>
          <w:color w:val="auto"/>
        </w:rPr>
      </w:pPr>
    </w:p>
    <w:p>
      <w:pPr>
        <w:ind w:left="420" w:right="4799" w:firstLine="423"/>
        <w:spacing w:after="0" w:line="262" w:lineRule="auto"/>
        <w:tabs>
          <w:tab w:leader="none" w:pos="1257" w:val="left"/>
        </w:tabs>
        <w:numPr>
          <w:ilvl w:val="0"/>
          <w:numId w:val="2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Viacom, prior to consummation of the Offer, upon a breach of any representation, warranty, covenant or agreement on the part of Paramount set forth in this Agreement, or if any representation or warranty of Paramount shall have become untrue, in either case such that the conditions set forth in Section 7.2(a) or Section 7.2(b), as the case may be, would be incapable of being satisfied by July 31, 1994 (or as otherwise extended); provided, that</w:t>
      </w:r>
    </w:p>
    <w:p>
      <w:pPr>
        <w:ind w:left="4180"/>
        <w:spacing w:after="0" w:line="237"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 any case, a wilful breach shall be deemed to cause such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conditions to be incapable of being satisfied for purposes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this Section 8.1(b);</w:t>
      </w:r>
    </w:p>
    <w:p>
      <w:pPr>
        <w:spacing w:after="0" w:line="166" w:lineRule="exact"/>
        <w:rPr>
          <w:sz w:val="20"/>
          <w:szCs w:val="20"/>
          <w:color w:val="auto"/>
        </w:rPr>
      </w:pPr>
    </w:p>
    <w:p>
      <w:pPr>
        <w:ind w:left="420" w:right="4799" w:firstLine="423"/>
        <w:spacing w:after="0" w:line="262" w:lineRule="auto"/>
        <w:tabs>
          <w:tab w:leader="none" w:pos="1257" w:val="left"/>
        </w:tabs>
        <w:numPr>
          <w:ilvl w:val="0"/>
          <w:numId w:val="2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Paramount, upon a breach of any representation, warranty, covenant or agreement on the part of Viacom set forth in this Agreement, or if any representation or warranty of Viacom shall have become untrue, in either case such that the conditions set forth in Section 7.3(a) or Section 7.3(b), as the case may be, would be incapable of being satisfied by July 31, 1994 (or as otherwise extended); provided, that in any case, a wilful breach shall be deemed</w:t>
      </w:r>
    </w:p>
    <w:p>
      <w:pPr>
        <w:ind w:left="4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3"/>
          <w:szCs w:val="13"/>
          <w:color w:val="auto"/>
        </w:rPr>
      </w:pPr>
    </w:p>
    <w:p>
      <w:pPr>
        <w:ind w:left="420" w:right="487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to cause such conditions to be incapable of being satisfied for purposes of this Section 8.1(c);</w:t>
      </w:r>
    </w:p>
    <w:p>
      <w:pPr>
        <w:spacing w:after="0" w:line="166" w:lineRule="exact"/>
        <w:rPr>
          <w:rFonts w:ascii="Courier New" w:cs="Courier New" w:eastAsia="Courier New" w:hAnsi="Courier New"/>
          <w:sz w:val="13"/>
          <w:szCs w:val="13"/>
          <w:color w:val="auto"/>
        </w:rPr>
      </w:pPr>
    </w:p>
    <w:p>
      <w:pPr>
        <w:ind w:left="420" w:right="4959" w:firstLine="423"/>
        <w:spacing w:after="0" w:line="242" w:lineRule="auto"/>
        <w:tabs>
          <w:tab w:leader="none" w:pos="1257"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Viacom or Paramount, if any permanent injunction or action by any Governmental Entity preventing the consummation of the Merger shall have become final and nonappealable;</w:t>
      </w:r>
    </w:p>
    <w:p>
      <w:pPr>
        <w:spacing w:after="0" w:line="164" w:lineRule="exact"/>
        <w:rPr>
          <w:rFonts w:ascii="Courier New" w:cs="Courier New" w:eastAsia="Courier New" w:hAnsi="Courier New"/>
          <w:sz w:val="14"/>
          <w:szCs w:val="14"/>
          <w:color w:val="auto"/>
        </w:rPr>
      </w:pPr>
    </w:p>
    <w:p>
      <w:pPr>
        <w:ind w:left="420" w:right="4799" w:firstLine="423"/>
        <w:spacing w:after="0" w:line="262" w:lineRule="auto"/>
        <w:tabs>
          <w:tab w:leader="none" w:pos="1257" w:val="left"/>
        </w:tabs>
        <w:numPr>
          <w:ilvl w:val="0"/>
          <w:numId w:val="2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either Viacom or Paramount, if the Merger shall not have been consummated before July 31, 1994; provided,</w:t>
      </w:r>
    </w:p>
    <w:p>
      <w:pPr>
        <w:ind w:left="444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however, that this Agreement may be extended by written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notice of either Viacom or Paramount to a date not later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than September 30, 1994, if the Merger shall not have been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consummated as a direct result of Viacom or Paramount having</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failed by July 31, 1994, to receive all required regulatory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approvals or consents with respect to the Merger;</w:t>
      </w:r>
    </w:p>
    <w:p>
      <w:pPr>
        <w:spacing w:after="0" w:line="166" w:lineRule="exact"/>
        <w:rPr>
          <w:sz w:val="20"/>
          <w:szCs w:val="20"/>
          <w:color w:val="auto"/>
        </w:rPr>
      </w:pPr>
    </w:p>
    <w:p>
      <w:pPr>
        <w:ind w:left="420" w:right="4879" w:firstLine="423"/>
        <w:spacing w:after="0" w:line="242" w:lineRule="auto"/>
        <w:tabs>
          <w:tab w:leader="none" w:pos="125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Viacom or Paramount, if this Agreement and the Merger shall fail to receive the requisite vote for approval and adoption by the stockholders of Paramount or Viacom at the Stockholders' Meetings;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I-56</w:t>
      </w:r>
    </w:p>
    <w:p>
      <w:pPr>
        <w:sectPr>
          <w:pgSz w:w="11900" w:h="16838" w:orient="portrait"/>
          <w:cols w:equalWidth="0" w:num="1">
            <w:col w:w="10239"/>
          </w:cols>
          <w:pgMar w:left="220" w:top="763" w:right="1440" w:bottom="1440" w:gutter="0" w:footer="0" w:header="0"/>
        </w:sectPr>
      </w:pPr>
    </w:p>
    <w:bookmarkStart w:id="255" w:name="page256"/>
    <w:bookmarkEnd w:id="255"/>
    <w:p>
      <w:pPr>
        <w:jc w:val="center"/>
        <w:ind w:right="-60"/>
        <w:spacing w:after="0"/>
        <w:rPr>
          <w:sz w:val="20"/>
          <w:szCs w:val="20"/>
          <w:color w:val="auto"/>
        </w:rPr>
      </w:pPr>
      <w:r>
        <w:rPr>
          <w:rFonts w:ascii="Courier New" w:cs="Courier New" w:eastAsia="Courier New" w:hAnsi="Courier New"/>
          <w:sz w:val="13"/>
          <w:szCs w:val="13"/>
          <w:color w:val="auto"/>
        </w:rPr>
        <w:t>57</w:t>
      </w:r>
    </w:p>
    <w:p>
      <w:pPr>
        <w:spacing w:after="0" w:line="335" w:lineRule="exact"/>
        <w:rPr>
          <w:sz w:val="20"/>
          <w:szCs w:val="20"/>
          <w:color w:val="auto"/>
        </w:rPr>
      </w:pPr>
    </w:p>
    <w:p>
      <w:pPr>
        <w:ind w:right="4799" w:firstLine="423"/>
        <w:spacing w:after="0" w:line="262" w:lineRule="auto"/>
        <w:tabs>
          <w:tab w:leader="none" w:pos="837" w:val="left"/>
        </w:tabs>
        <w:numPr>
          <w:ilvl w:val="0"/>
          <w:numId w:val="2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Viacom, if (i) the Board of Directors of Paramount shall withdraw, modify or change its recommendation of this Agreement, the Merger or the Offer in a manner adverse to Viacom or shall have resolved to do any of the foregoing; provided, that a statement by the Board of</w:t>
      </w:r>
    </w:p>
    <w:p>
      <w:pPr>
        <w:ind w:left="1520"/>
        <w:spacing w:after="0" w:line="237"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Directors of Paramount that it is neutral or unable to take a position with respect to the Offer after the commencement or amendment of a tender offer by a third party shall not be deemed to constitute a withdrawal, modification or change of its recommendation of this Agreement if the Solicitation/Recommendation Statement on Schedule 14D-9 relating to such third party tender offer recommends rejection of such tender offer and the Board of Directors of Paramount reconfirms its recommendation of the Offer on the date of the filing thereof; (ii) the Board of Directors of Paramount shall have recommended to the stockholders of Paramount a Competing Transaction (as defined below); (iii) Viacom has not consummated the Offer and a tender offer or exchange offer for 30% or more of the outstanding shares of capital stock of Paramount is commenced, and the Board of Directors of Paramount recommends that the stockholders of Paramount tender their shares in such tender or exchange offer; or (iv) Viacom has not consummated the Offer and any person shall have acquired beneficial ownership or the right to acquire beneficial ownership of or any "group" (as such term is defined under Section 13(d) of the Exchange Act and the rules and regulations promulgated thereunder) shall have been formed which beneficially owns, or has the right to acquire "beneficial ownership" (as defined in the Rights Plan) of, more than 30% of the then outstanding shares of capital stock of Paramount;</w:t>
      </w:r>
    </w:p>
    <w:p>
      <w:pPr>
        <w:spacing w:after="0" w:line="169" w:lineRule="exact"/>
        <w:rPr>
          <w:sz w:val="20"/>
          <w:szCs w:val="20"/>
          <w:color w:val="auto"/>
        </w:rPr>
      </w:pPr>
    </w:p>
    <w:p>
      <w:pPr>
        <w:ind w:right="4799" w:firstLine="423"/>
        <w:spacing w:after="0" w:line="243" w:lineRule="auto"/>
        <w:tabs>
          <w:tab w:leader="none" w:pos="837"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Paramount, if the Board of Directors of Paramount (x) fails to make or withdraws or modifies its recommendation referred to in Section 2.2(a) or Section 6.6(a) if there exists at such time a tender offer or exchange offer or a proposal by a third party to acquire Paramount pursuant to a merger, consolidation, share exchange, business combination, tender or exchange offer or other similar transaction or (y) recommends to Paramount's stockholders approval or acceptance of any of the foregoing in each case only if the Board of Directors of Paramount, after consultation with and based upon the advice of independent legal counsel (who may be such party's regularly engaged independent legal counsel), determines in good faith that such action is necessary for the Board of Directors of Paramount to comply with its fiduciary duties to stockholders under applicable law; and</w:t>
      </w:r>
    </w:p>
    <w:p>
      <w:pPr>
        <w:spacing w:after="0" w:line="166" w:lineRule="exact"/>
        <w:rPr>
          <w:rFonts w:ascii="Courier New" w:cs="Courier New" w:eastAsia="Courier New" w:hAnsi="Courier New"/>
          <w:sz w:val="14"/>
          <w:szCs w:val="14"/>
          <w:color w:val="auto"/>
        </w:rPr>
      </w:pPr>
    </w:p>
    <w:p>
      <w:pPr>
        <w:ind w:right="4799" w:firstLine="423"/>
        <w:spacing w:after="0" w:line="242" w:lineRule="auto"/>
        <w:tabs>
          <w:tab w:leader="none" w:pos="837"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Paramount, if due to the occurrence or circumstance that would result in a failure to satisfy any of the conditions set forth in Annex A or otherwise, (A) the Offer shall have expired without the purchase of shares of Paramount Common Stock thereunder or Viacom shall be obligated to terminate the Offer pursuant to Section 2.5 or</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I-57</w:t>
      </w:r>
    </w:p>
    <w:p>
      <w:pPr>
        <w:sectPr>
          <w:pgSz w:w="11900" w:h="16838" w:orient="portrait"/>
          <w:cols w:equalWidth="0" w:num="1">
            <w:col w:w="9819"/>
          </w:cols>
          <w:pgMar w:left="640" w:top="764" w:right="1440" w:bottom="1440" w:gutter="0" w:footer="0" w:header="0"/>
        </w:sectPr>
      </w:pPr>
    </w:p>
    <w:bookmarkStart w:id="256" w:name="page257"/>
    <w:bookmarkEnd w:id="256"/>
    <w:p>
      <w:pPr>
        <w:jc w:val="center"/>
        <w:ind w:right="-480"/>
        <w:spacing w:after="0"/>
        <w:rPr>
          <w:sz w:val="20"/>
          <w:szCs w:val="20"/>
          <w:color w:val="auto"/>
        </w:rPr>
      </w:pPr>
      <w:r>
        <w:rPr>
          <w:rFonts w:ascii="Courier New" w:cs="Courier New" w:eastAsia="Courier New" w:hAnsi="Courier New"/>
          <w:sz w:val="13"/>
          <w:szCs w:val="13"/>
          <w:color w:val="auto"/>
        </w:rPr>
        <w:t>58</w:t>
      </w:r>
    </w:p>
    <w:p>
      <w:pPr>
        <w:spacing w:after="0" w:line="335" w:lineRule="exact"/>
        <w:rPr>
          <w:sz w:val="20"/>
          <w:szCs w:val="20"/>
          <w:color w:val="auto"/>
        </w:rPr>
      </w:pPr>
    </w:p>
    <w:p>
      <w:pPr>
        <w:ind w:left="420" w:right="4799" w:firstLine="4"/>
        <w:spacing w:after="0" w:line="243" w:lineRule="auto"/>
        <w:tabs>
          <w:tab w:leader="none" w:pos="75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have failed to accept for payment shares of Paramount Common Stock pursuant to the Offer prior to 9:00 a.m. on the first business day following the Final Expiration Date, unless such failure to accept for payment shares of Paramount Common Stock shall have been caused by or resulted from the failure of Paramount to perform in any material respect its material covenants and agreements contained in this Agreement or resulted from the termination of the Offer pursuant to Section 2.1(c).</w:t>
      </w:r>
    </w:p>
    <w:p>
      <w:pPr>
        <w:spacing w:after="0" w:line="164"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The right of any party hereto to terminate this Agreement pursuant to this Section 8.1 shall remain operative and in full force and effect regardless of any investigation made by or on behalf of any party hereto, any person controlling any such party or any of their respective officers or directors, whether prior to or after the execution of this Agreement. For purposes of this Agreement, "Competing Transaction" shall mean any of the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799"/>
        <w:spacing w:after="0" w:line="262" w:lineRule="auto"/>
        <w:rPr>
          <w:sz w:val="20"/>
          <w:szCs w:val="20"/>
          <w:color w:val="auto"/>
        </w:rPr>
      </w:pPr>
      <w:r>
        <w:rPr>
          <w:rFonts w:ascii="Courier New" w:cs="Courier New" w:eastAsia="Courier New" w:hAnsi="Courier New"/>
          <w:sz w:val="13"/>
          <w:szCs w:val="13"/>
          <w:color w:val="auto"/>
        </w:rPr>
        <w:t>following involving Paramount or any Paramount Subsidiaries: (i) any merger, consolidation, share exchange, business combination, or other similar transaction; (ii) any disposition of 30% or more of the assets of Paramount and the Paramount Subsidiaries, taken as a whole in the single transaction or series of transactions;</w:t>
      </w:r>
    </w:p>
    <w:p>
      <w:pPr>
        <w:spacing w:after="0" w:line="1" w:lineRule="exact"/>
        <w:rPr>
          <w:sz w:val="20"/>
          <w:szCs w:val="20"/>
          <w:color w:val="auto"/>
        </w:rPr>
      </w:pPr>
    </w:p>
    <w:p>
      <w:pPr>
        <w:ind w:right="4799" w:firstLine="6"/>
        <w:spacing w:after="0" w:line="263" w:lineRule="auto"/>
        <w:tabs>
          <w:tab w:leader="none" w:pos="502" w:val="left"/>
        </w:tabs>
        <w:numPr>
          <w:ilvl w:val="0"/>
          <w:numId w:val="2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tender offer or exchange offer for 30% or more of the outstanding shares of capital stock of Paramount or the filing of a registration statement under the Securities Act in connection therewith; (iv) any person having acquired beneficial ownership or the right to acquire beneficial ownership of, or any "group" (as such term is defined under Section 13(d) of the Exchange Act and the rules and regulations promulgated thereunder) having been formed which beneficially owns or has the right to acquire beneficial ownership of, 30% or more of the then outstanding shares of capital stock of Paramount; or (v) any public announcement of a proposal, plan or intention to do any of the foregoing or any agreement to engage in any of the foregoing.</w:t>
      </w:r>
    </w:p>
    <w:p>
      <w:pPr>
        <w:spacing w:after="0" w:line="153" w:lineRule="exact"/>
        <w:rPr>
          <w:sz w:val="20"/>
          <w:szCs w:val="20"/>
          <w:color w:val="auto"/>
        </w:rPr>
      </w:pPr>
    </w:p>
    <w:p>
      <w:pPr>
        <w:ind w:left="840"/>
        <w:spacing w:after="0"/>
        <w:tabs>
          <w:tab w:leader="none" w:pos="2000" w:val="left"/>
          <w:tab w:leader="none" w:pos="4000" w:val="left"/>
        </w:tabs>
        <w:rPr>
          <w:sz w:val="20"/>
          <w:szCs w:val="20"/>
          <w:color w:val="auto"/>
        </w:rPr>
      </w:pPr>
      <w:r>
        <w:rPr>
          <w:rFonts w:ascii="Courier New" w:cs="Courier New" w:eastAsia="Courier New" w:hAnsi="Courier New"/>
          <w:sz w:val="14"/>
          <w:szCs w:val="14"/>
          <w:color w:val="auto"/>
        </w:rPr>
        <w:t>SECTION 8.2.</w:t>
        <w:tab/>
        <w:t>Effect of Termination.</w:t>
        <w:tab/>
        <w:t>Except as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provided in Section 9.1, in the event of the termination of this Agreement pursuant to Section 8.1, this Agreement shall forthwith become void, there shall be no liability on the part of Paramount or Viacom or any of their respective officers or directors to the other and all rights and obligations of any party hereto shall cease; provided, however, that (i) nothing herein shall relieve</w:t>
      </w:r>
    </w:p>
    <w:p>
      <w:pPr>
        <w:ind w:left="600"/>
        <w:spacing w:after="0" w:line="237" w:lineRule="auto"/>
        <w:tabs>
          <w:tab w:leader="none" w:pos="1400" w:val="left"/>
        </w:tabs>
        <w:rPr>
          <w:sz w:val="20"/>
          <w:szCs w:val="20"/>
          <w:color w:val="auto"/>
        </w:rPr>
      </w:pPr>
      <w:r>
        <w:rPr>
          <w:rFonts w:ascii="Courier New" w:cs="Courier New" w:eastAsia="Courier New" w:hAnsi="Courier New"/>
          <w:sz w:val="14"/>
          <w:szCs w:val="14"/>
          <w:color w:val="auto"/>
        </w:rPr>
        <w:t>--------</w:t>
        <w:tab/>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any party from liability for the wilful breach of any of its representations, warranties, covenants or agreements set forth in this Agreement and (ii) if Viacom or Paramount shall terminate this Agreement in accordance with the provisions of Section 8.1, and if Viacom shall continue the Offer, the exemption agreement between the parties dated as of December 22, 1993 shall again become effective.</w:t>
      </w:r>
    </w:p>
    <w:p>
      <w:pPr>
        <w:spacing w:after="0" w:line="165" w:lineRule="exact"/>
        <w:rPr>
          <w:sz w:val="20"/>
          <w:szCs w:val="20"/>
          <w:color w:val="auto"/>
        </w:rPr>
      </w:pPr>
    </w:p>
    <w:p>
      <w:pPr>
        <w:jc w:val="right"/>
        <w:ind w:right="4799"/>
        <w:spacing w:after="0"/>
        <w:tabs>
          <w:tab w:leader="none" w:pos="3400" w:val="left"/>
          <w:tab w:leader="none" w:pos="2400" w:val="left"/>
        </w:tabs>
        <w:rPr>
          <w:sz w:val="20"/>
          <w:szCs w:val="20"/>
          <w:color w:val="auto"/>
        </w:rPr>
      </w:pPr>
      <w:r>
        <w:rPr>
          <w:rFonts w:ascii="Courier New" w:cs="Courier New" w:eastAsia="Courier New" w:hAnsi="Courier New"/>
          <w:sz w:val="14"/>
          <w:szCs w:val="14"/>
          <w:color w:val="auto"/>
        </w:rPr>
        <w:t>SECTION 8.3.</w:t>
        <w:tab/>
        <w:t>Amendment.</w:t>
      </w:r>
      <w:r>
        <w:rPr>
          <w:sz w:val="20"/>
          <w:szCs w:val="20"/>
          <w:color w:val="auto"/>
        </w:rPr>
        <w:tab/>
      </w:r>
      <w:r>
        <w:rPr>
          <w:rFonts w:ascii="Courier New" w:cs="Courier New" w:eastAsia="Courier New" w:hAnsi="Courier New"/>
          <w:sz w:val="13"/>
          <w:szCs w:val="13"/>
          <w:color w:val="auto"/>
        </w:rPr>
        <w:t>This Agreement may be amended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by the parties hereto by action taken by or on behalf of their respective Boards of Directors at any time prior to the Effective Time; provided, further, that, after approval of the Merger by</w:t>
      </w:r>
    </w:p>
    <w:p>
      <w:pPr>
        <w:ind w:left="500"/>
        <w:spacing w:after="0" w:line="236" w:lineRule="auto"/>
        <w:tabs>
          <w:tab w:leader="none" w:pos="1320" w:val="left"/>
        </w:tabs>
        <w:rPr>
          <w:sz w:val="20"/>
          <w:szCs w:val="20"/>
          <w:color w:val="auto"/>
        </w:rPr>
      </w:pPr>
      <w:r>
        <w:rPr>
          <w:rFonts w:ascii="Courier New" w:cs="Courier New" w:eastAsia="Courier New" w:hAnsi="Courier New"/>
          <w:sz w:val="14"/>
          <w:szCs w:val="14"/>
          <w:color w:val="auto"/>
        </w:rPr>
        <w:t>--------</w:t>
        <w:tab/>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of Paramount or Viacom, no amendment, which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I-58</w:t>
      </w:r>
    </w:p>
    <w:p>
      <w:pPr>
        <w:sectPr>
          <w:pgSz w:w="11900" w:h="16838" w:orient="portrait"/>
          <w:cols w:equalWidth="0" w:num="1">
            <w:col w:w="10239"/>
          </w:cols>
          <w:pgMar w:left="220" w:top="764" w:right="1440" w:bottom="1440" w:gutter="0" w:footer="0" w:header="0"/>
        </w:sectPr>
      </w:pPr>
    </w:p>
    <w:bookmarkStart w:id="257" w:name="page258"/>
    <w:bookmarkEnd w:id="257"/>
    <w:p>
      <w:pPr>
        <w:jc w:val="center"/>
        <w:ind w:right="-480"/>
        <w:spacing w:after="0"/>
        <w:rPr>
          <w:sz w:val="20"/>
          <w:szCs w:val="20"/>
          <w:color w:val="auto"/>
        </w:rPr>
      </w:pPr>
      <w:r>
        <w:rPr>
          <w:rFonts w:ascii="Courier New" w:cs="Courier New" w:eastAsia="Courier New" w:hAnsi="Courier New"/>
          <w:sz w:val="13"/>
          <w:szCs w:val="13"/>
          <w:color w:val="auto"/>
        </w:rPr>
        <w:t>59</w:t>
      </w:r>
    </w:p>
    <w:p>
      <w:pPr>
        <w:spacing w:after="0" w:line="33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under applicable law may not be made without the approval of the stockholders of Paramount or Viacom, may be made without such approval. This Agreement may not be amended except by an instrument in writing signed by the parties hereto.</w:t>
      </w:r>
    </w:p>
    <w:p>
      <w:pPr>
        <w:spacing w:after="0" w:line="162" w:lineRule="exact"/>
        <w:rPr>
          <w:sz w:val="20"/>
          <w:szCs w:val="20"/>
          <w:color w:val="auto"/>
        </w:rPr>
      </w:pPr>
    </w:p>
    <w:p>
      <w:pPr>
        <w:ind w:left="840"/>
        <w:spacing w:after="0"/>
        <w:tabs>
          <w:tab w:leader="none" w:pos="2000" w:val="left"/>
          <w:tab w:leader="none" w:pos="2740" w:val="left"/>
        </w:tabs>
        <w:rPr>
          <w:sz w:val="20"/>
          <w:szCs w:val="20"/>
          <w:color w:val="auto"/>
        </w:rPr>
      </w:pPr>
      <w:r>
        <w:rPr>
          <w:rFonts w:ascii="Courier New" w:cs="Courier New" w:eastAsia="Courier New" w:hAnsi="Courier New"/>
          <w:sz w:val="14"/>
          <w:szCs w:val="14"/>
          <w:color w:val="auto"/>
        </w:rPr>
        <w:t>SECTION 8.4.</w:t>
        <w:tab/>
        <w:t>Waiver.</w:t>
        <w:tab/>
        <w:t>At any time prior to 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Effective Time, either party hereto may (a) 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Any such extension or waiver shall be valid only if set forth in an instrument in writing signed by the party or parties to be bound thereby.</w:t>
      </w:r>
    </w:p>
    <w:p>
      <w:pPr>
        <w:spacing w:after="0" w:line="161" w:lineRule="exact"/>
        <w:rPr>
          <w:sz w:val="20"/>
          <w:szCs w:val="20"/>
          <w:color w:val="auto"/>
        </w:rPr>
      </w:pPr>
    </w:p>
    <w:p>
      <w:pPr>
        <w:ind w:left="840"/>
        <w:spacing w:after="0"/>
        <w:tabs>
          <w:tab w:leader="none" w:pos="2000" w:val="left"/>
          <w:tab w:leader="none" w:pos="5000" w:val="left"/>
        </w:tabs>
        <w:rPr>
          <w:sz w:val="20"/>
          <w:szCs w:val="20"/>
          <w:color w:val="auto"/>
        </w:rPr>
      </w:pPr>
      <w:r>
        <w:rPr>
          <w:rFonts w:ascii="Courier New" w:cs="Courier New" w:eastAsia="Courier New" w:hAnsi="Courier New"/>
          <w:sz w:val="14"/>
          <w:szCs w:val="14"/>
          <w:color w:val="auto"/>
        </w:rPr>
        <w:t>SECTION 8.5.</w:t>
        <w:tab/>
        <w:t>Fees, Expenses and Other Payments.</w:t>
        <w:tab/>
        <w:t>All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costs and expenses, including, without limitation, fees and disbursements of counsel, financial advisors and accountants, incurred by the parties hereto shall be borne solely and entirely by the party which has incurred such costs and expenses; provided, however, that all costs and expenses related to</w:t>
      </w:r>
    </w:p>
    <w:p>
      <w:pPr>
        <w:spacing w:after="0"/>
        <w:tabs>
          <w:tab w:leader="none" w:pos="150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right="4959"/>
        <w:spacing w:after="0" w:line="267" w:lineRule="auto"/>
        <w:rPr>
          <w:sz w:val="20"/>
          <w:szCs w:val="20"/>
          <w:color w:val="auto"/>
        </w:rPr>
      </w:pPr>
      <w:r>
        <w:rPr>
          <w:rFonts w:ascii="Courier New" w:cs="Courier New" w:eastAsia="Courier New" w:hAnsi="Courier New"/>
          <w:sz w:val="13"/>
          <w:szCs w:val="13"/>
          <w:color w:val="auto"/>
        </w:rPr>
        <w:t>printing, filing and mailing the Registration Statement and the Proxy Statement and all SEC and other regulatory filing fees incurred in connection with the Registration Statement and the Proxy Statement shall be borne equally by Paramount and Viacom.</w:t>
      </w:r>
    </w:p>
    <w:p>
      <w:pPr>
        <w:spacing w:after="0" w:line="308"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ARTICLE IX</w:t>
      </w:r>
    </w:p>
    <w:p>
      <w:pPr>
        <w:spacing w:after="0" w:line="163"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GENERAL PROVISIONS</w:t>
      </w:r>
    </w:p>
    <w:p>
      <w:pPr>
        <w:spacing w:after="0" w:line="163" w:lineRule="exact"/>
        <w:rPr>
          <w:sz w:val="20"/>
          <w:szCs w:val="20"/>
          <w:color w:val="auto"/>
        </w:rPr>
      </w:pPr>
    </w:p>
    <w:p>
      <w:pPr>
        <w:ind w:left="840"/>
        <w:spacing w:after="0"/>
        <w:tabs>
          <w:tab w:leader="none" w:pos="2000" w:val="left"/>
        </w:tabs>
        <w:rPr>
          <w:sz w:val="20"/>
          <w:szCs w:val="20"/>
          <w:color w:val="auto"/>
        </w:rPr>
      </w:pPr>
      <w:r>
        <w:rPr>
          <w:rFonts w:ascii="Courier New" w:cs="Courier New" w:eastAsia="Courier New" w:hAnsi="Courier New"/>
          <w:sz w:val="14"/>
          <w:szCs w:val="14"/>
          <w:color w:val="auto"/>
        </w:rPr>
        <w:t>SECTION 9.1.</w:t>
      </w:r>
      <w:r>
        <w:rPr>
          <w:sz w:val="20"/>
          <w:szCs w:val="20"/>
          <w:color w:val="auto"/>
        </w:rPr>
        <w:tab/>
      </w:r>
      <w:r>
        <w:rPr>
          <w:rFonts w:ascii="Courier New" w:cs="Courier New" w:eastAsia="Courier New" w:hAnsi="Courier New"/>
          <w:sz w:val="13"/>
          <w:szCs w:val="13"/>
          <w:color w:val="auto"/>
        </w:rPr>
        <w:t>Effectiveness of Representations,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2320" w:val="left"/>
          <w:tab w:leader="none" w:pos="2740" w:val="left"/>
        </w:tabs>
        <w:rPr>
          <w:sz w:val="20"/>
          <w:szCs w:val="20"/>
          <w:color w:val="auto"/>
        </w:rPr>
      </w:pPr>
      <w:r>
        <w:rPr>
          <w:rFonts w:ascii="Courier New" w:cs="Courier New" w:eastAsia="Courier New" w:hAnsi="Courier New"/>
          <w:sz w:val="14"/>
          <w:szCs w:val="14"/>
          <w:color w:val="auto"/>
        </w:rPr>
        <w:t>Warranties and Agreements.</w:t>
        <w:tab/>
        <w:t>(a)</w:t>
      </w:r>
      <w:r>
        <w:rPr>
          <w:sz w:val="20"/>
          <w:szCs w:val="20"/>
          <w:color w:val="auto"/>
        </w:rPr>
        <w:tab/>
      </w:r>
      <w:r>
        <w:rPr>
          <w:rFonts w:ascii="Courier New" w:cs="Courier New" w:eastAsia="Courier New" w:hAnsi="Courier New"/>
          <w:sz w:val="13"/>
          <w:szCs w:val="13"/>
          <w:color w:val="auto"/>
        </w:rPr>
        <w:t>Except as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9.1(b), the representations, warranties and agreements of each party hereto shall remain operative and in full force and effect, regardless of any investigation made by or on behalf of any other party hereto, any person controlling any such party or any of their officers or directors, whether prior to or after the execution of this Agreement.</w:t>
      </w:r>
    </w:p>
    <w:p>
      <w:pPr>
        <w:spacing w:after="0" w:line="167" w:lineRule="exact"/>
        <w:rPr>
          <w:sz w:val="20"/>
          <w:szCs w:val="20"/>
          <w:color w:val="auto"/>
        </w:rPr>
      </w:pPr>
    </w:p>
    <w:p>
      <w:pPr>
        <w:ind w:right="4879" w:firstLine="843"/>
        <w:spacing w:after="0" w:line="242" w:lineRule="auto"/>
        <w:tabs>
          <w:tab w:leader="none" w:pos="1255"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warranties and agreements in this Agreement shall terminate at the Effective Time or upon the termination of this Agreement pursuant to Article VIII, except that the agreements set forth in Articles I, II and IX and Sections 6.3 and 6.21 shall survive the Effective Time and those set forth in Sections 2.2(c), 2.3, 6.1(b), 8.2 and 8.5 and Article IX hereof shall survive termination.</w:t>
      </w:r>
    </w:p>
    <w:p>
      <w:pPr>
        <w:spacing w:after="0" w:line="167" w:lineRule="exact"/>
        <w:rPr>
          <w:rFonts w:ascii="Courier New" w:cs="Courier New" w:eastAsia="Courier New" w:hAnsi="Courier New"/>
          <w:sz w:val="14"/>
          <w:szCs w:val="14"/>
          <w:color w:val="auto"/>
        </w:rPr>
      </w:pPr>
    </w:p>
    <w:p>
      <w:pPr>
        <w:ind w:right="4799" w:firstLine="843"/>
        <w:spacing w:after="0" w:line="262" w:lineRule="auto"/>
        <w:tabs>
          <w:tab w:leader="none" w:pos="1339" w:val="left"/>
        </w:tabs>
        <w:numPr>
          <w:ilvl w:val="1"/>
          <w:numId w:val="2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of the representations and warranties made in Article III shall be deemed to be made on September 12, 1993 and not made on the date hereof, except for representations and warranties which address matters as of a particular date, provided, that the representations set forth in the last sentence</w:t>
      </w:r>
    </w:p>
    <w:p>
      <w:pPr>
        <w:ind w:left="180" w:hanging="174"/>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Section 3.4, Sections 3.13, 3.14, 4.13 and 4.17 and 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I-59</w:t>
      </w:r>
    </w:p>
    <w:p>
      <w:pPr>
        <w:sectPr>
          <w:pgSz w:w="11900" w:h="16838" w:orient="portrait"/>
          <w:cols w:equalWidth="0" w:num="1">
            <w:col w:w="10239"/>
          </w:cols>
          <w:pgMar w:left="220" w:top="763" w:right="1440" w:bottom="1440" w:gutter="0" w:footer="0" w:header="0"/>
        </w:sectPr>
      </w:pPr>
    </w:p>
    <w:bookmarkStart w:id="258" w:name="page259"/>
    <w:bookmarkEnd w:id="258"/>
    <w:p>
      <w:pPr>
        <w:jc w:val="center"/>
        <w:ind w:right="-480"/>
        <w:spacing w:after="0"/>
        <w:rPr>
          <w:sz w:val="20"/>
          <w:szCs w:val="20"/>
          <w:color w:val="auto"/>
        </w:rPr>
      </w:pPr>
      <w:r>
        <w:rPr>
          <w:rFonts w:ascii="Courier New" w:cs="Courier New" w:eastAsia="Courier New" w:hAnsi="Courier New"/>
          <w:sz w:val="13"/>
          <w:szCs w:val="13"/>
          <w:color w:val="auto"/>
        </w:rPr>
        <w:t>60</w:t>
      </w:r>
    </w:p>
    <w:p>
      <w:pPr>
        <w:spacing w:after="0" w:line="335" w:lineRule="exact"/>
        <w:rPr>
          <w:sz w:val="20"/>
          <w:szCs w:val="20"/>
          <w:color w:val="auto"/>
        </w:rPr>
      </w:pPr>
    </w:p>
    <w:p>
      <w:pPr>
        <w:ind w:right="5039"/>
        <w:spacing w:after="0" w:line="276" w:lineRule="auto"/>
        <w:rPr>
          <w:sz w:val="20"/>
          <w:szCs w:val="20"/>
          <w:color w:val="auto"/>
        </w:rPr>
      </w:pPr>
      <w:r>
        <w:rPr>
          <w:rFonts w:ascii="Courier New" w:cs="Courier New" w:eastAsia="Courier New" w:hAnsi="Courier New"/>
          <w:sz w:val="13"/>
          <w:szCs w:val="13"/>
          <w:color w:val="auto"/>
        </w:rPr>
        <w:t>representations and warranties with respect to this Agreement, the Merger and the Offer are made on the date hereof.</w:t>
      </w:r>
    </w:p>
    <w:p>
      <w:pPr>
        <w:spacing w:after="0" w:line="144" w:lineRule="exact"/>
        <w:rPr>
          <w:sz w:val="20"/>
          <w:szCs w:val="20"/>
          <w:color w:val="auto"/>
        </w:rPr>
      </w:pPr>
    </w:p>
    <w:p>
      <w:pPr>
        <w:ind w:right="4879" w:firstLine="843"/>
        <w:spacing w:after="0" w:line="243" w:lineRule="auto"/>
        <w:tabs>
          <w:tab w:leader="none" w:pos="125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Paramount and Viacom agree that nothing herein shall constitute a waiver of any rights, claims or defenses of Viacom or Paramount created by or arising under the Amended and Restated Agreement and Plan of Merger, dated as of October 24, 1993, as subsequently amended, or the Stock Option Agreement, dated as of September 12, 1993, between Paramount and Viacom, as amended by Amendment No. 1 thereto, dated as of October 24, 1993, all of which rights, claims and defenses are hereby expressly reserved.</w:t>
      </w:r>
    </w:p>
    <w:p>
      <w:pPr>
        <w:spacing w:after="0" w:line="161" w:lineRule="exact"/>
        <w:rPr>
          <w:sz w:val="20"/>
          <w:szCs w:val="20"/>
          <w:color w:val="auto"/>
        </w:rPr>
      </w:pPr>
    </w:p>
    <w:p>
      <w:pPr>
        <w:ind w:left="840"/>
        <w:spacing w:after="0"/>
        <w:tabs>
          <w:tab w:leader="none" w:pos="2000" w:val="left"/>
          <w:tab w:leader="none" w:pos="2840" w:val="left"/>
        </w:tabs>
        <w:rPr>
          <w:sz w:val="20"/>
          <w:szCs w:val="20"/>
          <w:color w:val="auto"/>
        </w:rPr>
      </w:pPr>
      <w:r>
        <w:rPr>
          <w:rFonts w:ascii="Courier New" w:cs="Courier New" w:eastAsia="Courier New" w:hAnsi="Courier New"/>
          <w:sz w:val="14"/>
          <w:szCs w:val="14"/>
          <w:color w:val="auto"/>
        </w:rPr>
        <w:t>SECTION 9.2.</w:t>
        <w:tab/>
        <w:t>Notices.</w:t>
      </w:r>
      <w:r>
        <w:rPr>
          <w:sz w:val="20"/>
          <w:szCs w:val="20"/>
          <w:color w:val="auto"/>
        </w:rPr>
        <w:tab/>
      </w:r>
      <w:r>
        <w:rPr>
          <w:rFonts w:ascii="Courier New" w:cs="Courier New" w:eastAsia="Courier New" w:hAnsi="Courier New"/>
          <w:sz w:val="13"/>
          <w:szCs w:val="13"/>
          <w:color w:val="auto"/>
        </w:rPr>
        <w:t>All notices and other</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communications given or made pursuant hereto shall be in writing and shall be deemed to have been duly given or made as of the date delivered, mailed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telecopier number specified below:</w:t>
      </w:r>
    </w:p>
    <w:p>
      <w:pPr>
        <w:spacing w:after="0" w:line="161" w:lineRule="exact"/>
        <w:rPr>
          <w:sz w:val="20"/>
          <w:szCs w:val="20"/>
          <w:color w:val="auto"/>
        </w:rPr>
      </w:pPr>
    </w:p>
    <w:p>
      <w:pPr>
        <w:ind w:left="1260" w:hanging="417"/>
        <w:spacing w:after="0"/>
        <w:tabs>
          <w:tab w:leader="none" w:pos="12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Viacom:</w:t>
      </w:r>
    </w:p>
    <w:p>
      <w:pPr>
        <w:spacing w:after="0" w:line="163"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1515 Broadway</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NY  10036</w:t>
      </w:r>
    </w:p>
    <w:p>
      <w:pPr>
        <w:spacing w:after="0" w:line="4" w:lineRule="exact"/>
        <w:rPr>
          <w:rFonts w:ascii="Courier New" w:cs="Courier New" w:eastAsia="Courier New" w:hAnsi="Courier New"/>
          <w:sz w:val="14"/>
          <w:szCs w:val="14"/>
          <w:color w:val="auto"/>
        </w:rPr>
      </w:pPr>
    </w:p>
    <w:p>
      <w:pPr>
        <w:ind w:left="2260" w:right="6139" w:hanging="1004"/>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Senior Vice President, General Counsel</w:t>
      </w:r>
    </w:p>
    <w:p>
      <w:pPr>
        <w:spacing w:after="0" w:line="3"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Telecopier No.:  (212) 258-6134</w:t>
      </w:r>
    </w:p>
    <w:p>
      <w:pPr>
        <w:spacing w:after="0" w:line="324"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63"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Shearman &amp; Sterling</w:t>
      </w:r>
    </w:p>
    <w:p>
      <w:pPr>
        <w:spacing w:after="0" w:line="4" w:lineRule="exact"/>
        <w:rPr>
          <w:rFonts w:ascii="Courier New" w:cs="Courier New" w:eastAsia="Courier New" w:hAnsi="Courier New"/>
          <w:sz w:val="14"/>
          <w:szCs w:val="14"/>
          <w:color w:val="auto"/>
        </w:rPr>
      </w:pPr>
    </w:p>
    <w:p>
      <w:pPr>
        <w:ind w:left="1260" w:right="7299"/>
        <w:spacing w:after="0" w:line="262"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599 Lexington Avenue New York, NY 10022</w:t>
      </w: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Stephen R. Volk, Esq.</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Telecopier No.:  (212) 848-7179</w:t>
      </w:r>
    </w:p>
    <w:p>
      <w:pPr>
        <w:spacing w:after="0" w:line="324" w:lineRule="exact"/>
        <w:rPr>
          <w:rFonts w:ascii="Courier New" w:cs="Courier New" w:eastAsia="Courier New" w:hAnsi="Courier New"/>
          <w:sz w:val="14"/>
          <w:szCs w:val="14"/>
          <w:color w:val="auto"/>
        </w:rPr>
      </w:pPr>
    </w:p>
    <w:p>
      <w:pPr>
        <w:ind w:left="1260" w:hanging="417"/>
        <w:spacing w:after="0"/>
        <w:tabs>
          <w:tab w:leader="none" w:pos="12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Paramount:</w:t>
      </w:r>
    </w:p>
    <w:p>
      <w:pPr>
        <w:spacing w:after="0" w:line="163"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Communications Inc.</w:t>
      </w:r>
    </w:p>
    <w:p>
      <w:pPr>
        <w:spacing w:after="0" w:line="4" w:lineRule="exact"/>
        <w:rPr>
          <w:rFonts w:ascii="Courier New" w:cs="Courier New" w:eastAsia="Courier New" w:hAnsi="Courier New"/>
          <w:sz w:val="14"/>
          <w:szCs w:val="14"/>
          <w:color w:val="auto"/>
        </w:rPr>
      </w:pPr>
    </w:p>
    <w:p>
      <w:pPr>
        <w:ind w:left="1260" w:right="737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15 Columbus Circle New York, NY 10023</w:t>
      </w:r>
    </w:p>
    <w:p>
      <w:pPr>
        <w:spacing w:after="0" w:line="5" w:lineRule="exact"/>
        <w:rPr>
          <w:rFonts w:ascii="Courier New" w:cs="Courier New" w:eastAsia="Courier New" w:hAnsi="Courier New"/>
          <w:sz w:val="14"/>
          <w:szCs w:val="14"/>
          <w:color w:val="auto"/>
        </w:rPr>
      </w:pPr>
    </w:p>
    <w:p>
      <w:pPr>
        <w:jc w:val="center"/>
        <w:ind w:left="2260" w:right="5639" w:hanging="1004"/>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Executive Vice President and General Counsel</w:t>
      </w:r>
    </w:p>
    <w:p>
      <w:pPr>
        <w:spacing w:after="0" w:line="3"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Telecopier No.:  (212) 373-8184</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I-60</w:t>
      </w:r>
    </w:p>
    <w:p>
      <w:pPr>
        <w:sectPr>
          <w:pgSz w:w="11900" w:h="16838" w:orient="portrait"/>
          <w:cols w:equalWidth="0" w:num="1">
            <w:col w:w="10239"/>
          </w:cols>
          <w:pgMar w:left="220" w:top="764" w:right="1440" w:bottom="1440" w:gutter="0" w:footer="0" w:header="0"/>
        </w:sectPr>
      </w:pPr>
    </w:p>
    <w:bookmarkStart w:id="259" w:name="page260"/>
    <w:bookmarkEnd w:id="259"/>
    <w:p>
      <w:pPr>
        <w:jc w:val="center"/>
        <w:ind w:right="-480"/>
        <w:spacing w:after="0"/>
        <w:rPr>
          <w:sz w:val="20"/>
          <w:szCs w:val="20"/>
          <w:color w:val="auto"/>
        </w:rPr>
      </w:pPr>
      <w:r>
        <w:rPr>
          <w:rFonts w:ascii="Courier New" w:cs="Courier New" w:eastAsia="Courier New" w:hAnsi="Courier New"/>
          <w:sz w:val="13"/>
          <w:szCs w:val="13"/>
          <w:color w:val="auto"/>
        </w:rPr>
        <w:t>61</w:t>
      </w:r>
    </w:p>
    <w:p>
      <w:pPr>
        <w:spacing w:after="0" w:line="333"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with a copy to:</w:t>
      </w:r>
    </w:p>
    <w:p>
      <w:pPr>
        <w:spacing w:after="0" w:line="163"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Simpson Thacher &amp; Bartlett</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425 Lexington Avenue</w:t>
      </w:r>
    </w:p>
    <w:p>
      <w:pPr>
        <w:spacing w:after="0" w:line="2" w:lineRule="exact"/>
        <w:rPr>
          <w:sz w:val="20"/>
          <w:szCs w:val="20"/>
          <w:color w:val="auto"/>
        </w:rPr>
      </w:pPr>
    </w:p>
    <w:p>
      <w:pPr>
        <w:ind w:left="1260"/>
        <w:spacing w:after="0"/>
        <w:tabs>
          <w:tab w:leader="none" w:pos="2420" w:val="left"/>
        </w:tabs>
        <w:rPr>
          <w:sz w:val="20"/>
          <w:szCs w:val="20"/>
          <w:color w:val="auto"/>
        </w:rPr>
      </w:pPr>
      <w:r>
        <w:rPr>
          <w:rFonts w:ascii="Courier New" w:cs="Courier New" w:eastAsia="Courier New" w:hAnsi="Courier New"/>
          <w:sz w:val="14"/>
          <w:szCs w:val="14"/>
          <w:color w:val="auto"/>
        </w:rPr>
        <w:t>New York, NY</w:t>
        <w:tab/>
        <w:t>10017</w:t>
      </w:r>
    </w:p>
    <w:p>
      <w:pPr>
        <w:spacing w:after="0" w:line="2" w:lineRule="exact"/>
        <w:rPr>
          <w:sz w:val="20"/>
          <w:szCs w:val="20"/>
          <w:color w:val="auto"/>
        </w:rPr>
      </w:pPr>
    </w:p>
    <w:p>
      <w:pPr>
        <w:ind w:left="1260"/>
        <w:spacing w:after="0"/>
        <w:tabs>
          <w:tab w:leader="none" w:pos="2240" w:val="left"/>
        </w:tabs>
        <w:rPr>
          <w:sz w:val="20"/>
          <w:szCs w:val="20"/>
          <w:color w:val="auto"/>
        </w:rPr>
      </w:pPr>
      <w:r>
        <w:rPr>
          <w:rFonts w:ascii="Courier New" w:cs="Courier New" w:eastAsia="Courier New" w:hAnsi="Courier New"/>
          <w:sz w:val="14"/>
          <w:szCs w:val="14"/>
          <w:color w:val="auto"/>
        </w:rPr>
        <w:t>Attention:</w:t>
        <w:tab/>
        <w:t>Joel S. Hoffman</w:t>
      </w:r>
    </w:p>
    <w:p>
      <w:pPr>
        <w:spacing w:after="0" w:line="2" w:lineRule="exact"/>
        <w:rPr>
          <w:sz w:val="20"/>
          <w:szCs w:val="20"/>
          <w:color w:val="auto"/>
        </w:rPr>
      </w:pPr>
    </w:p>
    <w:p>
      <w:pPr>
        <w:ind w:left="1260"/>
        <w:spacing w:after="0"/>
        <w:tabs>
          <w:tab w:leader="none" w:pos="2660" w:val="left"/>
        </w:tabs>
        <w:rPr>
          <w:sz w:val="20"/>
          <w:szCs w:val="20"/>
          <w:color w:val="auto"/>
        </w:rPr>
      </w:pPr>
      <w:r>
        <w:rPr>
          <w:rFonts w:ascii="Courier New" w:cs="Courier New" w:eastAsia="Courier New" w:hAnsi="Courier New"/>
          <w:sz w:val="14"/>
          <w:szCs w:val="14"/>
          <w:color w:val="auto"/>
        </w:rPr>
        <w:t>Telecopier No.:</w:t>
        <w:tab/>
        <w:t>(212) 455-2502</w:t>
      </w:r>
    </w:p>
    <w:p>
      <w:pPr>
        <w:spacing w:after="0" w:line="163" w:lineRule="exact"/>
        <w:rPr>
          <w:sz w:val="20"/>
          <w:szCs w:val="20"/>
          <w:color w:val="auto"/>
        </w:rPr>
      </w:pPr>
    </w:p>
    <w:p>
      <w:pPr>
        <w:ind w:left="840"/>
        <w:spacing w:after="0"/>
        <w:tabs>
          <w:tab w:leader="none" w:pos="2000" w:val="left"/>
          <w:tab w:leader="none" w:pos="3840" w:val="left"/>
        </w:tabs>
        <w:rPr>
          <w:sz w:val="20"/>
          <w:szCs w:val="20"/>
          <w:color w:val="auto"/>
        </w:rPr>
      </w:pPr>
      <w:r>
        <w:rPr>
          <w:rFonts w:ascii="Courier New" w:cs="Courier New" w:eastAsia="Courier New" w:hAnsi="Courier New"/>
          <w:sz w:val="14"/>
          <w:szCs w:val="14"/>
          <w:color w:val="auto"/>
        </w:rPr>
        <w:t>SECTION 9.3.</w:t>
        <w:tab/>
        <w:t>Certain Definitions.</w:t>
      </w:r>
      <w:r>
        <w:rPr>
          <w:sz w:val="20"/>
          <w:szCs w:val="20"/>
          <w:color w:val="auto"/>
        </w:rPr>
        <w:tab/>
      </w:r>
      <w:r>
        <w:rPr>
          <w:rFonts w:ascii="Courier New" w:cs="Courier New" w:eastAsia="Courier New" w:hAnsi="Courier New"/>
          <w:sz w:val="13"/>
          <w:szCs w:val="13"/>
          <w:color w:val="auto"/>
        </w:rPr>
        <w:t>For purposes of</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the term:</w:t>
      </w:r>
    </w:p>
    <w:p>
      <w:pPr>
        <w:spacing w:after="0" w:line="163" w:lineRule="exact"/>
        <w:rPr>
          <w:sz w:val="20"/>
          <w:szCs w:val="20"/>
          <w:color w:val="auto"/>
        </w:rPr>
      </w:pPr>
    </w:p>
    <w:p>
      <w:pPr>
        <w:ind w:left="1260" w:hanging="417"/>
        <w:spacing w:after="0"/>
        <w:tabs>
          <w:tab w:leader="none" w:pos="12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indirectly, through one or more intermediaries, controls, is</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controlled by, or is under common control with, the first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mentioned person;</w:t>
      </w:r>
    </w:p>
    <w:p>
      <w:pPr>
        <w:spacing w:after="0" w:line="163" w:lineRule="exact"/>
        <w:rPr>
          <w:sz w:val="20"/>
          <w:szCs w:val="20"/>
          <w:color w:val="auto"/>
        </w:rPr>
      </w:pPr>
    </w:p>
    <w:p>
      <w:pPr>
        <w:ind w:left="1260" w:hanging="417"/>
        <w:spacing w:after="0"/>
        <w:tabs>
          <w:tab w:leader="none" w:pos="12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with respect to any shares of</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Common Stock means, unless otherwise defined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herein, a person who shall be deemed to be the beneficial</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owner of such shares (i) which such person or any of its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affiliates or associates (as such term is defined in Rule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12b-2 promulgated under the Exchange Act) beneficially owns,</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directly or indirectly, (ii) which such person or any of its</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affiliates or associates has, directly or indirectly, (A)</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right to acquire (whether such right is exercisable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immediately or subject only to the passage of time),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pursuant to any agreement, arrangement or understanding 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upon the exercise of conversion rights, exchange rights,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warrants or options, or otherwise or (B) the right to vote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pursuant to any agreement, arrangement or understanding or</w:t>
      </w:r>
    </w:p>
    <w:p>
      <w:pPr>
        <w:spacing w:after="0" w:line="5" w:lineRule="exact"/>
        <w:rPr>
          <w:sz w:val="20"/>
          <w:szCs w:val="20"/>
          <w:color w:val="auto"/>
        </w:rPr>
      </w:pPr>
    </w:p>
    <w:p>
      <w:pPr>
        <w:ind w:left="420" w:right="4879" w:firstLine="4"/>
        <w:spacing w:after="0" w:line="265" w:lineRule="auto"/>
        <w:tabs>
          <w:tab w:leader="none" w:pos="922" w:val="left"/>
        </w:tabs>
        <w:numPr>
          <w:ilvl w:val="0"/>
          <w:numId w:val="2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which are beneficially owned, directly or indirectly, by any other persons with whom such person or any of its affiliates or associates, or any person with whom such person or any of its affiliates or associates has any agreement, arrangement or understanding for the purpose of acquiring, holding, voting or disposing of any shares;</w:t>
      </w:r>
    </w:p>
    <w:p>
      <w:pPr>
        <w:spacing w:after="0" w:line="151" w:lineRule="exact"/>
        <w:rPr>
          <w:sz w:val="20"/>
          <w:szCs w:val="20"/>
          <w:color w:val="auto"/>
        </w:rPr>
      </w:pPr>
    </w:p>
    <w:p>
      <w:pPr>
        <w:ind w:left="1260" w:hanging="417"/>
        <w:spacing w:after="0"/>
        <w:tabs>
          <w:tab w:leader="none" w:pos="1260" w:val="left"/>
        </w:tabs>
        <w:numPr>
          <w:ilvl w:val="0"/>
          <w:numId w:val="2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"business day" shall have the meaning set forth in</w:t>
      </w:r>
    </w:p>
    <w:p>
      <w:pPr>
        <w:spacing w:after="0" w:line="11" w:lineRule="exact"/>
        <w:rPr>
          <w:rFonts w:ascii="Courier New" w:cs="Courier New" w:eastAsia="Courier New" w:hAnsi="Courier New"/>
          <w:sz w:val="13"/>
          <w:szCs w:val="13"/>
          <w:color w:val="auto"/>
        </w:rPr>
      </w:pPr>
    </w:p>
    <w:p>
      <w:pPr>
        <w:ind w:left="134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Rule 14d-1(c)(6) as promulgated under the Exchange Act;</w:t>
      </w:r>
    </w:p>
    <w:p>
      <w:pPr>
        <w:spacing w:after="0" w:line="163" w:lineRule="exact"/>
        <w:rPr>
          <w:sz w:val="20"/>
          <w:szCs w:val="20"/>
          <w:color w:val="auto"/>
        </w:rPr>
      </w:pPr>
    </w:p>
    <w:p>
      <w:pPr>
        <w:ind w:left="1260" w:hanging="417"/>
        <w:spacing w:after="0"/>
        <w:tabs>
          <w:tab w:leader="none" w:pos="12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(including the terms "controlled",</w:t>
      </w:r>
    </w:p>
    <w:p>
      <w:pPr>
        <w:spacing w:after="0" w:line="2" w:lineRule="exact"/>
        <w:rPr>
          <w:rFonts w:ascii="Courier New" w:cs="Courier New" w:eastAsia="Courier New" w:hAnsi="Courier New"/>
          <w:sz w:val="14"/>
          <w:szCs w:val="14"/>
          <w:color w:val="auto"/>
        </w:rPr>
      </w:pPr>
    </w:p>
    <w:p>
      <w:pPr>
        <w:ind w:left="3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"controlled by" and "under common control with") means the</w:t>
      </w:r>
    </w:p>
    <w:p>
      <w:pPr>
        <w:spacing w:after="0" w:line="2" w:lineRule="exact"/>
        <w:rPr>
          <w:sz w:val="20"/>
          <w:szCs w:val="20"/>
          <w:color w:val="auto"/>
        </w:rPr>
      </w:pPr>
    </w:p>
    <w:p>
      <w:pPr>
        <w:ind w:left="500"/>
        <w:spacing w:after="0"/>
        <w:tabs>
          <w:tab w:leader="none" w:pos="2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possession, directly or indirectly or as trustee 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executor, of the power to direct or cause the direction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management or policies of a person, whether through the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ownership of stock or as trustee or executor, by contract or</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credit arrangement or otherwise;</w:t>
      </w:r>
    </w:p>
    <w:p>
      <w:pPr>
        <w:spacing w:after="0" w:line="163" w:lineRule="exact"/>
        <w:rPr>
          <w:sz w:val="20"/>
          <w:szCs w:val="20"/>
          <w:color w:val="auto"/>
        </w:rPr>
      </w:pPr>
    </w:p>
    <w:p>
      <w:pPr>
        <w:ind w:left="1260" w:hanging="417"/>
        <w:spacing w:after="0"/>
        <w:tabs>
          <w:tab w:leader="none" w:pos="12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term "fully diluted</w:t>
      </w:r>
    </w:p>
    <w:p>
      <w:pPr>
        <w:spacing w:after="0" w:line="2" w:lineRule="exact"/>
        <w:rPr>
          <w:rFonts w:ascii="Courier New" w:cs="Courier New" w:eastAsia="Courier New" w:hAnsi="Courier New"/>
          <w:sz w:val="14"/>
          <w:szCs w:val="14"/>
          <w:color w:val="auto"/>
        </w:rPr>
      </w:pPr>
    </w:p>
    <w:p>
      <w:pPr>
        <w:ind w:left="4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basis" as used herein, shall mean giving effect to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shares of Paramount Common Stock then outstanding plus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shares of Paramount Common Stock issuable upon the exercise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the then exercisable stock options;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I-61</w:t>
      </w:r>
    </w:p>
    <w:p>
      <w:pPr>
        <w:sectPr>
          <w:pgSz w:w="11900" w:h="16838" w:orient="portrait"/>
          <w:cols w:equalWidth="0" w:num="1">
            <w:col w:w="10239"/>
          </w:cols>
          <w:pgMar w:left="220" w:top="764" w:right="1440" w:bottom="1440" w:gutter="0" w:footer="0" w:header="0"/>
        </w:sectPr>
      </w:pPr>
    </w:p>
    <w:bookmarkStart w:id="260" w:name="page261"/>
    <w:bookmarkEnd w:id="260"/>
    <w:p>
      <w:pPr>
        <w:jc w:val="center"/>
        <w:ind w:right="-480"/>
        <w:spacing w:after="0"/>
        <w:rPr>
          <w:sz w:val="20"/>
          <w:szCs w:val="20"/>
          <w:color w:val="auto"/>
        </w:rPr>
      </w:pPr>
      <w:r>
        <w:rPr>
          <w:rFonts w:ascii="Courier New" w:cs="Courier New" w:eastAsia="Courier New" w:hAnsi="Courier New"/>
          <w:sz w:val="13"/>
          <w:szCs w:val="13"/>
          <w:color w:val="auto"/>
        </w:rPr>
        <w:t>62</w:t>
      </w:r>
    </w:p>
    <w:p>
      <w:pPr>
        <w:spacing w:after="0" w:line="333" w:lineRule="exact"/>
        <w:rPr>
          <w:sz w:val="20"/>
          <w:szCs w:val="20"/>
          <w:color w:val="auto"/>
        </w:rPr>
      </w:pPr>
    </w:p>
    <w:p>
      <w:pPr>
        <w:ind w:left="1260" w:hanging="417"/>
        <w:spacing w:after="0"/>
        <w:tabs>
          <w:tab w:leader="none" w:pos="126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term "Merger", as used</w:t>
      </w:r>
    </w:p>
    <w:p>
      <w:pPr>
        <w:spacing w:after="0" w:line="2" w:lineRule="exact"/>
        <w:rPr>
          <w:rFonts w:ascii="Courier New" w:cs="Courier New" w:eastAsia="Courier New" w:hAnsi="Courier New"/>
          <w:sz w:val="14"/>
          <w:szCs w:val="14"/>
          <w:color w:val="auto"/>
        </w:rPr>
      </w:pPr>
    </w:p>
    <w:p>
      <w:pPr>
        <w:ind w:left="4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herein, may refer to, consistent with the context of such</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usage, each of the single step merger, the second step</w:t>
      </w:r>
    </w:p>
    <w:p>
      <w:pPr>
        <w:spacing w:after="0" w:line="2" w:lineRule="exact"/>
        <w:rPr>
          <w:sz w:val="20"/>
          <w:szCs w:val="20"/>
          <w:color w:val="auto"/>
        </w:rPr>
      </w:pPr>
    </w:p>
    <w:p>
      <w:pPr>
        <w:ind w:left="420"/>
        <w:spacing w:after="0"/>
        <w:tabs>
          <w:tab w:leader="none" w:pos="3580" w:val="left"/>
        </w:tabs>
        <w:rPr>
          <w:sz w:val="20"/>
          <w:szCs w:val="20"/>
          <w:color w:val="auto"/>
        </w:rPr>
      </w:pPr>
      <w:r>
        <w:rPr>
          <w:rFonts w:ascii="Courier New" w:cs="Courier New" w:eastAsia="Courier New" w:hAnsi="Courier New"/>
          <w:sz w:val="14"/>
          <w:szCs w:val="14"/>
          <w:color w:val="auto"/>
        </w:rPr>
        <w:t>merger following the Offer, or both.</w:t>
      </w:r>
      <w:r>
        <w:rPr>
          <w:sz w:val="20"/>
          <w:szCs w:val="20"/>
          <w:color w:val="auto"/>
        </w:rPr>
        <w:tab/>
      </w:r>
      <w:r>
        <w:rPr>
          <w:rFonts w:ascii="Courier New" w:cs="Courier New" w:eastAsia="Courier New" w:hAnsi="Courier New"/>
          <w:sz w:val="13"/>
          <w:szCs w:val="13"/>
          <w:color w:val="auto"/>
        </w:rPr>
        <w:t>The parties hereto</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 to promptly amend this Agreement subsequent to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execution and delivery thereof to provide for more precise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defined terms and usage thereof; and</w:t>
      </w:r>
    </w:p>
    <w:p>
      <w:pPr>
        <w:spacing w:after="0" w:line="163" w:lineRule="exact"/>
        <w:rPr>
          <w:sz w:val="20"/>
          <w:szCs w:val="20"/>
          <w:color w:val="auto"/>
        </w:rPr>
      </w:pPr>
    </w:p>
    <w:p>
      <w:pPr>
        <w:ind w:left="1260" w:hanging="417"/>
        <w:spacing w:after="0"/>
        <w:tabs>
          <w:tab w:leader="none" w:pos="126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or "subsidiaries" of Paramount,</w:t>
      </w:r>
    </w:p>
    <w:p>
      <w:pPr>
        <w:spacing w:after="0" w:line="2" w:lineRule="exact"/>
        <w:rPr>
          <w:sz w:val="20"/>
          <w:szCs w:val="20"/>
          <w:color w:val="auto"/>
        </w:rPr>
      </w:pPr>
    </w:p>
    <w:p>
      <w:pPr>
        <w:ind w:left="1340"/>
        <w:spacing w:after="0"/>
        <w:tabs>
          <w:tab w:leader="none" w:pos="2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Viacom, the Surviving Corporation or any other person means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any corporation, partnership, joint venture or other legal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entity of which Paramount, Viacom, the Surviving Corporation</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or such other person, as the case may be (either alone 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through or together with any other subsidiary), owns,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directly or indirectly, 50% or more of the stock or other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equity interests, the holders of which are generally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entitled to vote for the election of the board of directors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or other governing body of such corporation or other legal</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entity.</w:t>
      </w:r>
    </w:p>
    <w:p>
      <w:pPr>
        <w:spacing w:after="0" w:line="163" w:lineRule="exact"/>
        <w:rPr>
          <w:sz w:val="20"/>
          <w:szCs w:val="20"/>
          <w:color w:val="auto"/>
        </w:rPr>
      </w:pPr>
    </w:p>
    <w:p>
      <w:pPr>
        <w:ind w:left="840"/>
        <w:spacing w:after="0"/>
        <w:tabs>
          <w:tab w:leader="none" w:pos="2000" w:val="left"/>
          <w:tab w:leader="none" w:pos="3160" w:val="left"/>
        </w:tabs>
        <w:rPr>
          <w:sz w:val="20"/>
          <w:szCs w:val="20"/>
          <w:color w:val="auto"/>
        </w:rPr>
      </w:pPr>
      <w:r>
        <w:rPr>
          <w:rFonts w:ascii="Courier New" w:cs="Courier New" w:eastAsia="Courier New" w:hAnsi="Courier New"/>
          <w:sz w:val="14"/>
          <w:szCs w:val="14"/>
          <w:color w:val="auto"/>
        </w:rPr>
        <w:t>SECTION 9.4.</w:t>
        <w:tab/>
        <w:t>Time Period.</w:t>
      </w:r>
      <w:r>
        <w:rPr>
          <w:sz w:val="20"/>
          <w:szCs w:val="20"/>
          <w:color w:val="auto"/>
        </w:rPr>
        <w:tab/>
      </w:r>
      <w:r>
        <w:rPr>
          <w:rFonts w:ascii="Courier New" w:cs="Courier New" w:eastAsia="Courier New" w:hAnsi="Courier New"/>
          <w:sz w:val="13"/>
          <w:szCs w:val="13"/>
          <w:color w:val="auto"/>
        </w:rPr>
        <w:t>In computing any time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hereunder, the computation shall be governed by Rule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14d-1(c)(6) as promulgated under the Exchange Act.</w:t>
      </w:r>
    </w:p>
    <w:p>
      <w:pPr>
        <w:spacing w:after="0" w:line="163" w:lineRule="exact"/>
        <w:rPr>
          <w:sz w:val="20"/>
          <w:szCs w:val="20"/>
          <w:color w:val="auto"/>
        </w:rPr>
      </w:pPr>
    </w:p>
    <w:p>
      <w:pPr>
        <w:jc w:val="right"/>
        <w:ind w:right="4799"/>
        <w:spacing w:after="0"/>
        <w:tabs>
          <w:tab w:leader="none" w:pos="3400" w:val="left"/>
          <w:tab w:leader="none" w:pos="2480" w:val="left"/>
        </w:tabs>
        <w:rPr>
          <w:sz w:val="20"/>
          <w:szCs w:val="20"/>
          <w:color w:val="auto"/>
        </w:rPr>
      </w:pPr>
      <w:r>
        <w:rPr>
          <w:rFonts w:ascii="Courier New" w:cs="Courier New" w:eastAsia="Courier New" w:hAnsi="Courier New"/>
          <w:sz w:val="14"/>
          <w:szCs w:val="14"/>
          <w:color w:val="auto"/>
        </w:rPr>
        <w:t>SECTION 9.5.</w:t>
        <w:tab/>
        <w:t>Headings.</w:t>
      </w:r>
      <w:r>
        <w:rPr>
          <w:sz w:val="20"/>
          <w:szCs w:val="20"/>
          <w:color w:val="auto"/>
        </w:rPr>
        <w:tab/>
      </w:r>
      <w:r>
        <w:rPr>
          <w:rFonts w:ascii="Courier New" w:cs="Courier New" w:eastAsia="Courier New" w:hAnsi="Courier New"/>
          <w:sz w:val="13"/>
          <w:szCs w:val="13"/>
          <w:color w:val="auto"/>
        </w:rPr>
        <w:t>The headings contained in this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39" w:lineRule="auto"/>
        <w:rPr>
          <w:sz w:val="20"/>
          <w:szCs w:val="20"/>
          <w:color w:val="auto"/>
        </w:rPr>
      </w:pPr>
      <w:r>
        <w:rPr>
          <w:rFonts w:ascii="Courier New" w:cs="Courier New" w:eastAsia="Courier New" w:hAnsi="Courier New"/>
          <w:sz w:val="14"/>
          <w:szCs w:val="14"/>
          <w:color w:val="auto"/>
        </w:rPr>
        <w:t>Agreement are for reference purposes only and shall not affect in any way the meaning or interpretation of this Agreement.</w:t>
      </w:r>
    </w:p>
    <w:p>
      <w:pPr>
        <w:spacing w:after="0" w:line="164" w:lineRule="exact"/>
        <w:rPr>
          <w:sz w:val="20"/>
          <w:szCs w:val="20"/>
          <w:color w:val="auto"/>
        </w:rPr>
      </w:pPr>
    </w:p>
    <w:p>
      <w:pPr>
        <w:ind w:left="840"/>
        <w:spacing w:after="0"/>
        <w:tabs>
          <w:tab w:leader="none" w:pos="2000" w:val="left"/>
          <w:tab w:leader="none" w:pos="3240" w:val="left"/>
        </w:tabs>
        <w:rPr>
          <w:sz w:val="20"/>
          <w:szCs w:val="20"/>
          <w:color w:val="auto"/>
        </w:rPr>
      </w:pPr>
      <w:r>
        <w:rPr>
          <w:rFonts w:ascii="Courier New" w:cs="Courier New" w:eastAsia="Courier New" w:hAnsi="Courier New"/>
          <w:sz w:val="14"/>
          <w:szCs w:val="14"/>
          <w:color w:val="auto"/>
        </w:rPr>
        <w:t>SECTION 9.6.</w:t>
        <w:tab/>
        <w:t>Severability.</w:t>
      </w:r>
      <w:r>
        <w:rPr>
          <w:sz w:val="20"/>
          <w:szCs w:val="20"/>
          <w:color w:val="auto"/>
        </w:rPr>
        <w:tab/>
      </w:r>
      <w:r>
        <w:rPr>
          <w:rFonts w:ascii="Courier New" w:cs="Courier New" w:eastAsia="Courier New" w:hAnsi="Courier New"/>
          <w:sz w:val="13"/>
          <w:szCs w:val="13"/>
          <w:color w:val="auto"/>
        </w:rPr>
        <w:t>If any term or other</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3" w:lineRule="auto"/>
        <w:rPr>
          <w:sz w:val="20"/>
          <w:szCs w:val="20"/>
          <w:color w:val="auto"/>
        </w:rPr>
      </w:pPr>
      <w:r>
        <w:rPr>
          <w:rFonts w:ascii="Courier New" w:cs="Courier New" w:eastAsia="Courier New" w:hAnsi="Courier New"/>
          <w:sz w:val="14"/>
          <w:szCs w:val="14"/>
          <w:color w:val="auto"/>
        </w:rPr>
        <w:t>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3" w:lineRule="exact"/>
        <w:rPr>
          <w:sz w:val="20"/>
          <w:szCs w:val="20"/>
          <w:color w:val="auto"/>
        </w:rPr>
      </w:pPr>
    </w:p>
    <w:p>
      <w:pPr>
        <w:ind w:left="840"/>
        <w:spacing w:after="0"/>
        <w:tabs>
          <w:tab w:leader="none" w:pos="2000" w:val="left"/>
          <w:tab w:leader="none" w:pos="3580" w:val="left"/>
        </w:tabs>
        <w:rPr>
          <w:sz w:val="20"/>
          <w:szCs w:val="20"/>
          <w:color w:val="auto"/>
        </w:rPr>
      </w:pPr>
      <w:r>
        <w:rPr>
          <w:rFonts w:ascii="Courier New" w:cs="Courier New" w:eastAsia="Courier New" w:hAnsi="Courier New"/>
          <w:sz w:val="14"/>
          <w:szCs w:val="14"/>
          <w:color w:val="auto"/>
        </w:rPr>
        <w:t>SECTION 9.7.</w:t>
        <w:tab/>
        <w:t>Entire Agreement.</w:t>
        <w:tab/>
        <w:t>This Agreement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(together with the Exhibits, the Paramount Disclosure Schedule, the Viacom Disclosure Schedule and the other documents delivered pursuant hereto) and the Confidentiality Agreements constitute the entire agreement of the parties and supersede all prior agreements and undertakings, both written and oral, between the parties, or any of them, with respect to the subject matter hereof.</w:t>
      </w:r>
    </w:p>
    <w:p>
      <w:pPr>
        <w:spacing w:after="0" w:line="165" w:lineRule="exact"/>
        <w:rPr>
          <w:sz w:val="20"/>
          <w:szCs w:val="20"/>
          <w:color w:val="auto"/>
        </w:rPr>
      </w:pPr>
    </w:p>
    <w:p>
      <w:pPr>
        <w:ind w:left="840"/>
        <w:spacing w:after="0"/>
        <w:tabs>
          <w:tab w:leader="none" w:pos="2000" w:val="left"/>
          <w:tab w:leader="none" w:pos="3080" w:val="left"/>
        </w:tabs>
        <w:rPr>
          <w:sz w:val="20"/>
          <w:szCs w:val="20"/>
          <w:color w:val="auto"/>
        </w:rPr>
      </w:pPr>
      <w:r>
        <w:rPr>
          <w:rFonts w:ascii="Courier New" w:cs="Courier New" w:eastAsia="Courier New" w:hAnsi="Courier New"/>
          <w:sz w:val="14"/>
          <w:szCs w:val="14"/>
          <w:color w:val="auto"/>
        </w:rPr>
        <w:t>SECTION 9.8.</w:t>
        <w:tab/>
        <w:t>Assignment.</w:t>
      </w:r>
      <w:r>
        <w:rPr>
          <w:sz w:val="20"/>
          <w:szCs w:val="20"/>
          <w:color w:val="auto"/>
        </w:rPr>
        <w:tab/>
      </w:r>
      <w:r>
        <w:rPr>
          <w:rFonts w:ascii="Courier New" w:cs="Courier New" w:eastAsia="Courier New" w:hAnsi="Courier New"/>
          <w:sz w:val="13"/>
          <w:szCs w:val="13"/>
          <w:color w:val="auto"/>
        </w:rPr>
        <w:t>This Agreement shall not be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assigned by operation of law or otherwise.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I-62</w:t>
      </w:r>
    </w:p>
    <w:p>
      <w:pPr>
        <w:sectPr>
          <w:pgSz w:w="11900" w:h="16838" w:orient="portrait"/>
          <w:cols w:equalWidth="0" w:num="1">
            <w:col w:w="10239"/>
          </w:cols>
          <w:pgMar w:left="220" w:top="764" w:right="1440" w:bottom="1440" w:gutter="0" w:footer="0" w:header="0"/>
        </w:sectPr>
      </w:pPr>
    </w:p>
    <w:bookmarkStart w:id="261" w:name="page262"/>
    <w:bookmarkEnd w:id="261"/>
    <w:p>
      <w:pPr>
        <w:jc w:val="center"/>
        <w:ind w:right="-480"/>
        <w:spacing w:after="0"/>
        <w:rPr>
          <w:sz w:val="20"/>
          <w:szCs w:val="20"/>
          <w:color w:val="auto"/>
        </w:rPr>
      </w:pPr>
      <w:r>
        <w:rPr>
          <w:rFonts w:ascii="Courier New" w:cs="Courier New" w:eastAsia="Courier New" w:hAnsi="Courier New"/>
          <w:sz w:val="13"/>
          <w:szCs w:val="13"/>
          <w:color w:val="auto"/>
        </w:rPr>
        <w:t>63</w:t>
      </w:r>
    </w:p>
    <w:p>
      <w:pPr>
        <w:spacing w:after="0" w:line="333" w:lineRule="exact"/>
        <w:rPr>
          <w:sz w:val="20"/>
          <w:szCs w:val="20"/>
          <w:color w:val="auto"/>
        </w:rPr>
      </w:pPr>
    </w:p>
    <w:p>
      <w:pPr>
        <w:ind w:left="840"/>
        <w:spacing w:after="0"/>
        <w:tabs>
          <w:tab w:leader="none" w:pos="2000" w:val="left"/>
          <w:tab w:leader="none" w:pos="3840" w:val="left"/>
        </w:tabs>
        <w:rPr>
          <w:sz w:val="20"/>
          <w:szCs w:val="20"/>
          <w:color w:val="auto"/>
        </w:rPr>
      </w:pPr>
      <w:r>
        <w:rPr>
          <w:rFonts w:ascii="Courier New" w:cs="Courier New" w:eastAsia="Courier New" w:hAnsi="Courier New"/>
          <w:sz w:val="14"/>
          <w:szCs w:val="14"/>
          <w:color w:val="auto"/>
        </w:rPr>
        <w:t>SECTION 9.9.</w:t>
        <w:tab/>
        <w:t>Parties in Interest.</w:t>
      </w:r>
      <w:r>
        <w:rPr>
          <w:sz w:val="20"/>
          <w:szCs w:val="20"/>
          <w:color w:val="auto"/>
        </w:rPr>
        <w:tab/>
      </w:r>
      <w:r>
        <w:rPr>
          <w:rFonts w:ascii="Courier New" w:cs="Courier New" w:eastAsia="Courier New" w:hAnsi="Courier New"/>
          <w:sz w:val="13"/>
          <w:szCs w:val="13"/>
          <w:color w:val="auto"/>
        </w:rPr>
        <w:t>This Agreement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62" w:lineRule="auto"/>
        <w:rPr>
          <w:sz w:val="20"/>
          <w:szCs w:val="20"/>
          <w:color w:val="auto"/>
        </w:rPr>
      </w:pPr>
      <w:r>
        <w:rPr>
          <w:rFonts w:ascii="Courier New" w:cs="Courier New" w:eastAsia="Courier New" w:hAnsi="Courier New"/>
          <w:sz w:val="13"/>
          <w:szCs w:val="13"/>
          <w:color w:val="auto"/>
        </w:rPr>
        <w:t>shall be binding upon and inure solely to the benefit of each party hereto, and nothing in this Agreement, express or implied (other than the provisions of Section 6.3), is intended to or shall confer upon any person any right, benefit or remedy of any nature whatsoever under or by reason of this Agreement, including to confer third party beneficiary rights; provided, however,</w:t>
      </w:r>
    </w:p>
    <w:p>
      <w:pPr>
        <w:ind w:left="3520"/>
        <w:spacing w:after="0"/>
        <w:tabs>
          <w:tab w:leader="none" w:pos="4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right="5039"/>
        <w:spacing w:after="0" w:line="242" w:lineRule="auto"/>
        <w:rPr>
          <w:sz w:val="20"/>
          <w:szCs w:val="20"/>
          <w:color w:val="auto"/>
        </w:rPr>
      </w:pPr>
      <w:r>
        <w:rPr>
          <w:rFonts w:ascii="Courier New" w:cs="Courier New" w:eastAsia="Courier New" w:hAnsi="Courier New"/>
          <w:sz w:val="14"/>
          <w:szCs w:val="14"/>
          <w:color w:val="auto"/>
        </w:rPr>
        <w:t>nothing in the foregoing shall be deemed to derogate from any rights of the Other Offeror (other than as a third party beneficiary) as against Paramount or its Board with respect to any amendment of this Agreement or failure to enforce the Agreement.</w:t>
      </w:r>
    </w:p>
    <w:p>
      <w:pPr>
        <w:spacing w:after="0" w:line="163" w:lineRule="exact"/>
        <w:rPr>
          <w:sz w:val="20"/>
          <w:szCs w:val="20"/>
          <w:color w:val="auto"/>
        </w:rPr>
      </w:pPr>
    </w:p>
    <w:p>
      <w:pPr>
        <w:jc w:val="center"/>
        <w:ind w:right="4459"/>
        <w:spacing w:after="0"/>
        <w:tabs>
          <w:tab w:leader="none" w:pos="140" w:val="left"/>
          <w:tab w:leader="none" w:pos="140" w:val="left"/>
        </w:tabs>
        <w:rPr>
          <w:sz w:val="20"/>
          <w:szCs w:val="20"/>
          <w:color w:val="auto"/>
        </w:rPr>
      </w:pPr>
      <w:r>
        <w:rPr>
          <w:rFonts w:ascii="Courier New" w:cs="Courier New" w:eastAsia="Courier New" w:hAnsi="Courier New"/>
          <w:sz w:val="14"/>
          <w:szCs w:val="14"/>
          <w:color w:val="auto"/>
        </w:rPr>
        <w:t>SECTION 9.10.</w:t>
        <w:tab/>
        <w:t>Specific Performance.</w:t>
      </w:r>
      <w:r>
        <w:rPr>
          <w:sz w:val="20"/>
          <w:szCs w:val="20"/>
          <w:color w:val="auto"/>
        </w:rPr>
        <w:tab/>
      </w:r>
      <w:r>
        <w:rPr>
          <w:rFonts w:ascii="Courier New" w:cs="Courier New" w:eastAsia="Courier New" w:hAnsi="Courier New"/>
          <w:sz w:val="13"/>
          <w:szCs w:val="13"/>
          <w:color w:val="auto"/>
        </w:rPr>
        <w:t>The parties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63" w:lineRule="exact"/>
        <w:rPr>
          <w:sz w:val="20"/>
          <w:szCs w:val="20"/>
          <w:color w:val="auto"/>
        </w:rPr>
      </w:pPr>
    </w:p>
    <w:p>
      <w:pPr>
        <w:ind w:left="840"/>
        <w:spacing w:after="0"/>
        <w:tabs>
          <w:tab w:leader="none" w:pos="2080" w:val="left"/>
          <w:tab w:leader="none" w:pos="3420" w:val="left"/>
        </w:tabs>
        <w:rPr>
          <w:sz w:val="20"/>
          <w:szCs w:val="20"/>
          <w:color w:val="auto"/>
        </w:rPr>
      </w:pPr>
      <w:r>
        <w:rPr>
          <w:rFonts w:ascii="Courier New" w:cs="Courier New" w:eastAsia="Courier New" w:hAnsi="Courier New"/>
          <w:sz w:val="14"/>
          <w:szCs w:val="14"/>
          <w:color w:val="auto"/>
        </w:rPr>
        <w:t>SECTION 9.11.</w:t>
        <w:tab/>
        <w:t>Governing Law.</w:t>
      </w:r>
      <w:r>
        <w:rPr>
          <w:sz w:val="20"/>
          <w:szCs w:val="20"/>
          <w:color w:val="auto"/>
        </w:rPr>
        <w:tab/>
      </w:r>
      <w:r>
        <w:rPr>
          <w:rFonts w:ascii="Courier New" w:cs="Courier New" w:eastAsia="Courier New" w:hAnsi="Courier New"/>
          <w:sz w:val="13"/>
          <w:szCs w:val="13"/>
          <w:color w:val="auto"/>
        </w:rPr>
        <w:t>Except to the extent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that Delaware Law is mandatorily applicable to the Merger and the rights of the stockholders of Paramount and Viacom, this Agreement shall be governed by, and construed in accordance with, the laws of the State of New York, regardless of the laws that might otherwise govern under applicable principles of conflicts of law.</w:t>
      </w:r>
    </w:p>
    <w:p>
      <w:pPr>
        <w:spacing w:after="0" w:line="164" w:lineRule="exact"/>
        <w:rPr>
          <w:sz w:val="20"/>
          <w:szCs w:val="20"/>
          <w:color w:val="auto"/>
        </w:rPr>
      </w:pPr>
    </w:p>
    <w:p>
      <w:pPr>
        <w:ind w:left="840"/>
        <w:spacing w:after="0"/>
        <w:tabs>
          <w:tab w:leader="none" w:pos="2080" w:val="left"/>
          <w:tab w:leader="none" w:pos="3340" w:val="left"/>
        </w:tabs>
        <w:rPr>
          <w:sz w:val="20"/>
          <w:szCs w:val="20"/>
          <w:color w:val="auto"/>
        </w:rPr>
      </w:pPr>
      <w:r>
        <w:rPr>
          <w:rFonts w:ascii="Courier New" w:cs="Courier New" w:eastAsia="Courier New" w:hAnsi="Courier New"/>
          <w:sz w:val="14"/>
          <w:szCs w:val="14"/>
          <w:color w:val="auto"/>
        </w:rPr>
        <w:t>SECTION 9.12.</w:t>
        <w:tab/>
        <w:t>Counterparts.</w:t>
      </w:r>
      <w:r>
        <w:rPr>
          <w:sz w:val="20"/>
          <w:szCs w:val="20"/>
          <w:color w:val="auto"/>
        </w:rPr>
        <w:tab/>
      </w:r>
      <w:r>
        <w:rPr>
          <w:rFonts w:ascii="Courier New" w:cs="Courier New" w:eastAsia="Courier New" w:hAnsi="Courier New"/>
          <w:sz w:val="13"/>
          <w:szCs w:val="13"/>
          <w:color w:val="auto"/>
        </w:rPr>
        <w:t>This Agreement may be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executed in one or more counterparts, and by the different parties hereto in separate counterparts, each of which when executed shall be deemed to be an original but all of which taken together shall constitute one and the same agreement.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I-63</w:t>
      </w:r>
    </w:p>
    <w:p>
      <w:pPr>
        <w:sectPr>
          <w:pgSz w:w="11900" w:h="16838" w:orient="portrait"/>
          <w:cols w:equalWidth="0" w:num="1">
            <w:col w:w="10239"/>
          </w:cols>
          <w:pgMar w:left="220" w:top="764" w:right="1440" w:bottom="1440" w:gutter="0" w:footer="0" w:header="0"/>
        </w:sectPr>
      </w:pPr>
    </w:p>
    <w:bookmarkStart w:id="262" w:name="page263"/>
    <w:bookmarkEnd w:id="262"/>
    <w:p>
      <w:pPr>
        <w:jc w:val="center"/>
        <w:ind w:right="-480"/>
        <w:spacing w:after="0"/>
        <w:rPr>
          <w:sz w:val="20"/>
          <w:szCs w:val="20"/>
          <w:color w:val="auto"/>
        </w:rPr>
      </w:pPr>
      <w:r>
        <w:rPr>
          <w:rFonts w:ascii="Courier New" w:cs="Courier New" w:eastAsia="Courier New" w:hAnsi="Courier New"/>
          <w:sz w:val="13"/>
          <w:szCs w:val="13"/>
          <w:color w:val="auto"/>
        </w:rPr>
        <w:t>64</w:t>
      </w:r>
    </w:p>
    <w:p>
      <w:pPr>
        <w:spacing w:after="0" w:line="200" w:lineRule="exact"/>
        <w:rPr>
          <w:sz w:val="20"/>
          <w:szCs w:val="20"/>
          <w:color w:val="auto"/>
        </w:rPr>
      </w:pPr>
    </w:p>
    <w:p>
      <w:pPr>
        <w:spacing w:after="0" w:line="296" w:lineRule="exact"/>
        <w:rPr>
          <w:sz w:val="20"/>
          <w:szCs w:val="20"/>
          <w:color w:val="auto"/>
        </w:rPr>
      </w:pPr>
    </w:p>
    <w:p>
      <w:pPr>
        <w:ind w:right="4879" w:firstLine="837"/>
        <w:spacing w:after="0" w:line="241" w:lineRule="auto"/>
        <w:rPr>
          <w:sz w:val="20"/>
          <w:szCs w:val="20"/>
          <w:color w:val="auto"/>
        </w:rPr>
      </w:pPr>
      <w:r>
        <w:rPr>
          <w:rFonts w:ascii="Courier New" w:cs="Courier New" w:eastAsia="Courier New" w:hAnsi="Courier New"/>
          <w:sz w:val="14"/>
          <w:szCs w:val="14"/>
          <w:color w:val="auto"/>
        </w:rPr>
        <w:t>IN WITNESS WHEREOF, Viacom and Paramount have caused this Agreement to be executed as of the date first written above by their respective officers thereunto duly authorized.</w:t>
      </w:r>
    </w:p>
    <w:p>
      <w:pPr>
        <w:sectPr>
          <w:pgSz w:w="11900" w:h="16838" w:orient="portrait"/>
          <w:cols w:equalWidth="0" w:num="1">
            <w:col w:w="10239"/>
          </w:cols>
          <w:pgMar w:left="220" w:top="764" w:right="1440" w:bottom="1440" w:gutter="0" w:footer="0" w:header="0"/>
        </w:sectPr>
      </w:pPr>
    </w:p>
    <w:p>
      <w:pPr>
        <w:spacing w:after="0" w:line="327"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ATTEST: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INC.</w:t>
      </w:r>
    </w:p>
    <w:p>
      <w:pPr>
        <w:spacing w:after="0" w:line="200" w:lineRule="exact"/>
        <w:rPr>
          <w:sz w:val="20"/>
          <w:szCs w:val="20"/>
          <w:color w:val="auto"/>
        </w:rPr>
      </w:pPr>
    </w:p>
    <w:p>
      <w:pPr>
        <w:sectPr>
          <w:pgSz w:w="11900" w:h="16838" w:orient="portrait"/>
          <w:cols w:equalWidth="0" w:num="2">
            <w:col w:w="3060" w:space="720"/>
            <w:col w:w="6459"/>
          </w:cols>
          <w:pgMar w:left="220" w:top="764" w:right="1440" w:bottom="1440" w:gutter="0" w:footer="0" w:header="0"/>
          <w:type w:val="continuous"/>
        </w:sectPr>
      </w:pPr>
    </w:p>
    <w:p>
      <w:pPr>
        <w:spacing w:after="0" w:line="135"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By /s/ Katherine B. Rosenberg</w:t>
      </w:r>
    </w:p>
    <w:p>
      <w:pPr>
        <w:spacing w:after="0" w:line="14" w:lineRule="exact"/>
        <w:rPr>
          <w:sz w:val="20"/>
          <w:szCs w:val="20"/>
          <w:color w:val="auto"/>
        </w:rPr>
      </w:pPr>
    </w:p>
    <w:p>
      <w:pPr>
        <w:ind w:left="11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Philippe P. Dauman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Senior Vice President,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General Counsel and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ectPr>
          <w:pgSz w:w="11900" w:h="16838" w:orient="portrait"/>
          <w:cols w:equalWidth="0" w:num="2">
            <w:col w:w="3260" w:space="520"/>
            <w:col w:w="6459"/>
          </w:cols>
          <w:pgMar w:left="220" w:top="764" w:right="1440" w:bottom="1440" w:gutter="0" w:footer="0" w:header="0"/>
          <w:type w:val="continuous"/>
        </w:sectPr>
      </w:pPr>
    </w:p>
    <w:p>
      <w:pPr>
        <w:spacing w:after="0" w:line="127"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ATTEST: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PARAMOUNT COMMUNICATIONS INC.</w:t>
      </w:r>
    </w:p>
    <w:p>
      <w:pPr>
        <w:spacing w:after="0" w:line="200" w:lineRule="exact"/>
        <w:rPr>
          <w:sz w:val="20"/>
          <w:szCs w:val="20"/>
          <w:color w:val="auto"/>
        </w:rPr>
      </w:pPr>
    </w:p>
    <w:p>
      <w:pPr>
        <w:sectPr>
          <w:pgSz w:w="11900" w:h="16838" w:orient="portrait"/>
          <w:cols w:equalWidth="0" w:num="2">
            <w:col w:w="3060" w:space="720"/>
            <w:col w:w="6459"/>
          </w:cols>
          <w:pgMar w:left="220" w:top="764" w:right="1440" w:bottom="1440" w:gutter="0" w:footer="0" w:header="0"/>
          <w:type w:val="continuous"/>
        </w:sectPr>
      </w:pPr>
    </w:p>
    <w:p>
      <w:pPr>
        <w:spacing w:after="0" w:line="13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By /s/ Earl H. Doppelt</w:t>
      </w:r>
    </w:p>
    <w:p>
      <w:pPr>
        <w:spacing w:after="0" w:line="5" w:lineRule="exact"/>
        <w:rPr>
          <w:sz w:val="20"/>
          <w:szCs w:val="20"/>
          <w:color w:val="auto"/>
        </w:rPr>
      </w:pPr>
    </w:p>
    <w:p>
      <w:pPr>
        <w:ind w:left="11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Donald Oresman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Executive Vice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President</w:t>
      </w:r>
    </w:p>
    <w:p>
      <w:pPr>
        <w:spacing w:after="0" w:line="166" w:lineRule="exact"/>
        <w:rPr>
          <w:sz w:val="20"/>
          <w:szCs w:val="20"/>
          <w:color w:val="auto"/>
        </w:rPr>
      </w:pPr>
    </w:p>
    <w:p>
      <w:pPr>
        <w:sectPr>
          <w:pgSz w:w="11900" w:h="16838" w:orient="portrait"/>
          <w:cols w:equalWidth="0" w:num="2">
            <w:col w:w="3100" w:space="680"/>
            <w:col w:w="6459"/>
          </w:cols>
          <w:pgMar w:left="220" w:top="764"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3"/>
          <w:szCs w:val="13"/>
          <w:color w:val="auto"/>
        </w:rPr>
        <w:t>I-64</w:t>
      </w:r>
    </w:p>
    <w:p>
      <w:pPr>
        <w:sectPr>
          <w:pgSz w:w="11900" w:h="16838" w:orient="portrait"/>
          <w:cols w:equalWidth="0" w:num="1">
            <w:col w:w="10239"/>
          </w:cols>
          <w:pgMar w:left="220" w:top="764" w:right="1440" w:bottom="1440" w:gutter="0" w:footer="0" w:header="0"/>
          <w:type w:val="continuous"/>
        </w:sectPr>
      </w:pPr>
    </w:p>
    <w:bookmarkStart w:id="263" w:name="page264"/>
    <w:bookmarkEnd w:id="263"/>
    <w:p>
      <w:pPr>
        <w:jc w:val="center"/>
        <w:ind w:right="-60"/>
        <w:spacing w:after="0"/>
        <w:rPr>
          <w:sz w:val="20"/>
          <w:szCs w:val="20"/>
          <w:color w:val="auto"/>
        </w:rPr>
      </w:pPr>
      <w:r>
        <w:rPr>
          <w:rFonts w:ascii="Courier New" w:cs="Courier New" w:eastAsia="Courier New" w:hAnsi="Courier New"/>
          <w:sz w:val="13"/>
          <w:szCs w:val="13"/>
          <w:color w:val="auto"/>
        </w:rPr>
        <w:t>ANNEX A</w:t>
      </w:r>
    </w:p>
    <w:p>
      <w:pPr>
        <w:spacing w:after="0" w:line="333"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CONDITIONS TO THE OFFER</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0"/>
          <w:szCs w:val="20"/>
          <w:color w:val="auto"/>
        </w:rPr>
      </w:pPr>
    </w:p>
    <w:p>
      <w:pPr>
        <w:ind w:right="4799" w:firstLine="837"/>
        <w:spacing w:after="0" w:line="243" w:lineRule="auto"/>
        <w:rPr>
          <w:sz w:val="20"/>
          <w:szCs w:val="20"/>
          <w:color w:val="auto"/>
        </w:rPr>
      </w:pPr>
      <w:r>
        <w:rPr>
          <w:rFonts w:ascii="Courier New" w:cs="Courier New" w:eastAsia="Courier New" w:hAnsi="Courier New"/>
          <w:sz w:val="14"/>
          <w:szCs w:val="14"/>
          <w:color w:val="auto"/>
        </w:rPr>
        <w:t>Notwithstanding any other provision of the Offer, Viacom shall not be required to accept for payment or pay for any shares of Paramount Common Stock tendered pursuant to the Offer, and may terminate or amend the Offer and may postpone the acceptance for payment of and payment for shares of Paramount Common Stock tendered, if (i) the Minimum Condition shall not have been satisfied, (ii) the Rights Condition shall not have been satisfied, or (iii) at any time on or after the date of this Agreement, and prior to the acceptance for payment of shares of Paramount Common Stock, any of the following conditions shall not exist:</w:t>
      </w:r>
    </w:p>
    <w:p>
      <w:pPr>
        <w:spacing w:after="0" w:line="164" w:lineRule="exact"/>
        <w:rPr>
          <w:sz w:val="20"/>
          <w:szCs w:val="20"/>
          <w:color w:val="auto"/>
        </w:rPr>
      </w:pPr>
    </w:p>
    <w:p>
      <w:pPr>
        <w:ind w:left="420" w:right="4799" w:firstLine="423"/>
        <w:spacing w:after="0" w:line="242" w:lineRule="auto"/>
        <w:tabs>
          <w:tab w:leader="none" w:pos="1257"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Offer, the Merger or any transaction contemplated by the Agreement; provided that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Viacom shall have used its reasonable best efforts to cause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any such decree, judgment, injunction or other order to be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vacated or lifted;</w:t>
      </w:r>
    </w:p>
    <w:p>
      <w:pPr>
        <w:spacing w:after="0" w:line="166" w:lineRule="exact"/>
        <w:rPr>
          <w:sz w:val="20"/>
          <w:szCs w:val="20"/>
          <w:color w:val="auto"/>
        </w:rPr>
      </w:pPr>
    </w:p>
    <w:p>
      <w:pPr>
        <w:ind w:left="420" w:right="4799" w:firstLine="423"/>
        <w:spacing w:after="0" w:line="243" w:lineRule="auto"/>
        <w:tabs>
          <w:tab w:leader="none" w:pos="1257"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Paramount contained in the Agreement (including, without limitation, Section 6.6), without giving effect to any notification to Viacom delivered pursuant to Section 6.4, shall be true and correct as of the date of consummation of the Offer as though made on and as of such date, except (i) for changes specifically permitted by the Agreement and (ii) that those representations and warranties which address matters only as of a particular date shall remain true and correct as of such date, except in any case for such failures to be true and correct which would not, individually or in the aggregate, have a Paramount Material Adverse Effect;</w:t>
      </w:r>
    </w:p>
    <w:p>
      <w:pPr>
        <w:spacing w:after="0" w:line="165" w:lineRule="exact"/>
        <w:rPr>
          <w:rFonts w:ascii="Courier New" w:cs="Courier New" w:eastAsia="Courier New" w:hAnsi="Courier New"/>
          <w:sz w:val="14"/>
          <w:szCs w:val="14"/>
          <w:color w:val="auto"/>
        </w:rPr>
      </w:pPr>
    </w:p>
    <w:p>
      <w:pPr>
        <w:ind w:left="420" w:right="4799" w:firstLine="423"/>
        <w:spacing w:after="0" w:line="242" w:lineRule="auto"/>
        <w:tabs>
          <w:tab w:leader="none" w:pos="1257"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shall have performed or complied in all material respects with all agreements and covenants required by the Agreement to be performed or complied with by it on or prior to the date of consummation of the Offer;</w:t>
      </w:r>
    </w:p>
    <w:p>
      <w:pPr>
        <w:spacing w:after="0" w:line="164" w:lineRule="exact"/>
        <w:rPr>
          <w:rFonts w:ascii="Courier New" w:cs="Courier New" w:eastAsia="Courier New" w:hAnsi="Courier New"/>
          <w:sz w:val="14"/>
          <w:szCs w:val="14"/>
          <w:color w:val="auto"/>
        </w:rPr>
      </w:pPr>
    </w:p>
    <w:p>
      <w:pPr>
        <w:ind w:left="420" w:right="4879" w:firstLine="423"/>
        <w:spacing w:after="0" w:line="267" w:lineRule="auto"/>
        <w:tabs>
          <w:tab w:leader="none" w:pos="1257" w:val="left"/>
        </w:tabs>
        <w:numPr>
          <w:ilvl w:val="0"/>
          <w:numId w:val="2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Since December 22, 1993, there shall have been no change, occurrence or circumstance in the business, results of operations or financial condition of Paramount or any Paramount Subsidiary having or reasonably likely to have,</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I-65</w:t>
      </w:r>
    </w:p>
    <w:p>
      <w:pPr>
        <w:sectPr>
          <w:pgSz w:w="11900" w:h="16838" w:orient="portrait"/>
          <w:cols w:equalWidth="0" w:num="1">
            <w:col w:w="10239"/>
          </w:cols>
          <w:pgMar w:left="220" w:top="764" w:right="1440" w:bottom="1440" w:gutter="0" w:footer="0" w:header="0"/>
        </w:sectPr>
      </w:pPr>
    </w:p>
    <w:bookmarkStart w:id="264" w:name="page265"/>
    <w:bookmarkEnd w:id="264"/>
    <w:p>
      <w:pPr>
        <w:jc w:val="right"/>
        <w:ind w:right="4799"/>
        <w:spacing w:after="0"/>
        <w:rPr>
          <w:sz w:val="20"/>
          <w:szCs w:val="20"/>
          <w:color w:val="auto"/>
        </w:rPr>
      </w:pPr>
      <w:r>
        <w:rPr>
          <w:rFonts w:ascii="Courier New" w:cs="Courier New" w:eastAsia="Courier New" w:hAnsi="Courier New"/>
          <w:sz w:val="14"/>
          <w:szCs w:val="14"/>
          <w:color w:val="auto"/>
        </w:rPr>
        <w:t>2</w:t>
      </w:r>
    </w:p>
    <w:p>
      <w:pPr>
        <w:spacing w:after="0" w:line="32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individually or in the aggregate, a material adverse effect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 the business, results of operations or financial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condition of Paramount and the Paramount Subsidiaries, taken</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as a whole;</w:t>
      </w:r>
    </w:p>
    <w:p>
      <w:pPr>
        <w:spacing w:after="0" w:line="166" w:lineRule="exact"/>
        <w:rPr>
          <w:sz w:val="20"/>
          <w:szCs w:val="20"/>
          <w:color w:val="auto"/>
        </w:rPr>
      </w:pPr>
    </w:p>
    <w:p>
      <w:pPr>
        <w:ind w:left="420" w:right="5039" w:firstLine="423"/>
        <w:spacing w:after="0" w:line="239" w:lineRule="auto"/>
        <w:tabs>
          <w:tab w:leader="none" w:pos="125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shall not have been terminated in accordance with its terms;</w:t>
      </w:r>
    </w:p>
    <w:p>
      <w:pPr>
        <w:spacing w:after="0" w:line="166" w:lineRule="exact"/>
        <w:rPr>
          <w:rFonts w:ascii="Courier New" w:cs="Courier New" w:eastAsia="Courier New" w:hAnsi="Courier New"/>
          <w:sz w:val="14"/>
          <w:szCs w:val="14"/>
          <w:color w:val="auto"/>
        </w:rPr>
      </w:pPr>
    </w:p>
    <w:p>
      <w:pPr>
        <w:ind w:left="420" w:right="4959" w:firstLine="423"/>
        <w:spacing w:after="0" w:line="239" w:lineRule="auto"/>
        <w:tabs>
          <w:tab w:leader="none" w:pos="125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not have terminated the Offer under Sections 2.1(c) or 2.5 of the Agreement;</w:t>
      </w:r>
    </w:p>
    <w:p>
      <w:pPr>
        <w:spacing w:after="0" w:line="166" w:lineRule="exact"/>
        <w:rPr>
          <w:rFonts w:ascii="Courier New" w:cs="Courier New" w:eastAsia="Courier New" w:hAnsi="Courier New"/>
          <w:sz w:val="14"/>
          <w:szCs w:val="14"/>
          <w:color w:val="auto"/>
        </w:rPr>
      </w:pPr>
    </w:p>
    <w:p>
      <w:pPr>
        <w:ind w:left="420" w:right="4879" w:firstLine="423"/>
        <w:spacing w:after="0" w:line="242" w:lineRule="auto"/>
        <w:tabs>
          <w:tab w:leader="none" w:pos="125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and Paramount shall not have agreed that Viacom shall terminate the Offer or postpone the acceptance for payment of or payment for shares of Paramount Common Stock thereunder;</w:t>
      </w:r>
    </w:p>
    <w:p>
      <w:pPr>
        <w:spacing w:after="0" w:line="165" w:lineRule="exact"/>
        <w:rPr>
          <w:sz w:val="20"/>
          <w:szCs w:val="20"/>
          <w:color w:val="auto"/>
        </w:rPr>
      </w:pPr>
    </w:p>
    <w:p>
      <w:pPr>
        <w:ind w:right="4799"/>
        <w:spacing w:after="0" w:line="242" w:lineRule="auto"/>
        <w:rPr>
          <w:sz w:val="20"/>
          <w:szCs w:val="20"/>
          <w:color w:val="auto"/>
        </w:rPr>
      </w:pPr>
      <w:r>
        <w:rPr>
          <w:rFonts w:ascii="Courier New" w:cs="Courier New" w:eastAsia="Courier New" w:hAnsi="Courier New"/>
          <w:sz w:val="14"/>
          <w:szCs w:val="14"/>
          <w:color w:val="auto"/>
        </w:rPr>
        <w:t>and, in the reasonable judgment of Viacom in any such case, and regardless of the circumstances (including any action or inaction by Viacom or any of its affiliates) giving rise to any such condition, it is inadvisable to proceed with such acceptance for payment or payment.</w:t>
      </w:r>
    </w:p>
    <w:p>
      <w:pPr>
        <w:spacing w:after="0" w:line="166" w:lineRule="exact"/>
        <w:rPr>
          <w:sz w:val="20"/>
          <w:szCs w:val="20"/>
          <w:color w:val="auto"/>
        </w:rPr>
      </w:pPr>
    </w:p>
    <w:p>
      <w:pPr>
        <w:ind w:right="4799" w:firstLine="837"/>
        <w:spacing w:after="0" w:line="243" w:lineRule="auto"/>
        <w:rPr>
          <w:sz w:val="20"/>
          <w:szCs w:val="20"/>
          <w:color w:val="auto"/>
        </w:rPr>
      </w:pPr>
      <w:r>
        <w:rPr>
          <w:rFonts w:ascii="Courier New" w:cs="Courier New" w:eastAsia="Courier New" w:hAnsi="Courier New"/>
          <w:sz w:val="14"/>
          <w:szCs w:val="14"/>
          <w:color w:val="auto"/>
        </w:rPr>
        <w:t>The foregoing conditions are for the sole benefit of Viacom and may be asserted by Viacom regardless of the circumstances giving rise to any such condition or may be waived by Viacom in whole or in part at any time and from time to time in their sole discretion, subject to the terms of this Agreement. The failure by Viacom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I-66</w:t>
      </w:r>
    </w:p>
    <w:p>
      <w:pPr>
        <w:sectPr>
          <w:pgSz w:w="11900" w:h="16838" w:orient="portrait"/>
          <w:cols w:equalWidth="0" w:num="1">
            <w:col w:w="10239"/>
          </w:cols>
          <w:pgMar w:left="220" w:top="761" w:right="1440" w:bottom="1440" w:gutter="0" w:footer="0" w:header="0"/>
        </w:sectPr>
      </w:pPr>
    </w:p>
    <w:bookmarkStart w:id="265" w:name="page266"/>
    <w:bookmarkEnd w:id="265"/>
    <w:p>
      <w:pPr>
        <w:jc w:val="center"/>
        <w:ind w:right="-60"/>
        <w:spacing w:after="0"/>
        <w:rPr>
          <w:sz w:val="20"/>
          <w:szCs w:val="20"/>
          <w:color w:val="auto"/>
        </w:rPr>
      </w:pPr>
      <w:r>
        <w:rPr>
          <w:rFonts w:ascii="Courier New" w:cs="Courier New" w:eastAsia="Courier New" w:hAnsi="Courier New"/>
          <w:sz w:val="13"/>
          <w:szCs w:val="13"/>
          <w:color w:val="auto"/>
        </w:rPr>
        <w:t>ANNEX B</w:t>
      </w:r>
    </w:p>
    <w:p>
      <w:pPr>
        <w:spacing w:after="0" w:line="33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PRINCIPAL TERMS OF VIACOM MERGER DEBENTURES</w:t>
      </w:r>
    </w:p>
    <w:p>
      <w:pPr>
        <w:sectPr>
          <w:pgSz w:w="11900" w:h="16838" w:orient="portrait"/>
          <w:cols w:equalWidth="0" w:num="1">
            <w:col w:w="10239"/>
          </w:cols>
          <w:pgMar w:left="220" w:top="763" w:right="1440" w:bottom="1440" w:gutter="0" w:footer="0" w:header="0"/>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w:t>
      </w:r>
    </w:p>
    <w:p>
      <w:pPr>
        <w:spacing w:after="0" w:line="166"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3"/>
          <w:szCs w:val="13"/>
          <w:color w:val="auto"/>
        </w:rPr>
        <w:t>Issuer</w:t>
        <w:tab/>
        <w:t>. . . . . . . . .</w:t>
      </w:r>
    </w:p>
    <w:p>
      <w:pPr>
        <w:spacing w:after="0" w:line="17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Interest</w:t>
        <w:tab/>
        <w:t>. . . . . . . .</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Maturity</w:t>
        <w:tab/>
        <w:t>. . . . . .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Optional Redemption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Mandatory Redemption</w:t>
        <w:tab/>
        <w:t>. .</w:t>
      </w:r>
    </w:p>
    <w:p>
      <w:pPr>
        <w:spacing w:after="0" w:line="166"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3"/>
          <w:szCs w:val="13"/>
          <w:color w:val="auto"/>
        </w:rPr>
        <w:t>Denomination</w:t>
        <w:tab/>
        <w:t>. . . . . .</w:t>
      </w:r>
    </w:p>
    <w:p>
      <w:pPr>
        <w:spacing w:after="0" w:line="200" w:lineRule="exact"/>
        <w:rPr>
          <w:sz w:val="20"/>
          <w:szCs w:val="20"/>
          <w:color w:val="auto"/>
        </w:rPr>
      </w:pPr>
    </w:p>
    <w:p>
      <w:pPr>
        <w:spacing w:after="0" w:line="296" w:lineRule="exact"/>
        <w:rPr>
          <w:sz w:val="20"/>
          <w:szCs w:val="20"/>
          <w:color w:val="auto"/>
        </w:rPr>
      </w:pPr>
    </w:p>
    <w:p>
      <w:pPr>
        <w:ind w:left="180" w:hanging="166"/>
        <w:spacing w:after="0" w:line="269" w:lineRule="auto"/>
        <w:rPr>
          <w:sz w:val="20"/>
          <w:szCs w:val="20"/>
          <w:color w:val="auto"/>
        </w:rPr>
      </w:pPr>
      <w:r>
        <w:rPr>
          <w:rFonts w:ascii="Courier New" w:cs="Courier New" w:eastAsia="Courier New" w:hAnsi="Courier New"/>
          <w:sz w:val="13"/>
          <w:szCs w:val="13"/>
          <w:color w:val="auto"/>
        </w:rPr>
        <w:t>Exchange for Viacom Exchange Preferred Stock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 per annum, payable semi-annually,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the initial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date shall be January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years from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Effective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and after that date, redeemable,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whole or in part, at the 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Viacom, initially at a redemption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103% of the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thereof and thereafter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declining to 100%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thereof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eighth anniversary of the Effective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plus, in each case,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and unpaid interest.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Issuable in minimum denominations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and integral multiples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Exchangeable, at the option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in whole but not in part, 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after the earlier of (i)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1995, but only if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 has not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by such date, and (ii)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acquisition by a third party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ownership of a majority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the outstanding voting securities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Blockbuster, into shares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Viacom's 5% Cumulative Exchangeable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(the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Preferred Stock")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rate of one share of Viacom Exchange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for each $50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Viacom Merger</w:t>
      </w:r>
    </w:p>
    <w:p>
      <w:pPr>
        <w:spacing w:after="0" w:line="2"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Debentures exchanged.</w:t>
      </w:r>
      <w:r>
        <w:rPr>
          <w:sz w:val="20"/>
          <w:szCs w:val="20"/>
          <w:color w:val="auto"/>
        </w:rPr>
        <w:tab/>
      </w:r>
      <w:r>
        <w:rPr>
          <w:rFonts w:ascii="Courier New" w:cs="Courier New" w:eastAsia="Courier New" w:hAnsi="Courier New"/>
          <w:sz w:val="13"/>
          <w:szCs w:val="13"/>
          <w:color w:val="auto"/>
        </w:rPr>
        <w:t>At the time</w:t>
      </w:r>
    </w:p>
    <w:p>
      <w:pPr>
        <w:spacing w:after="0" w:line="16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I-67</w:t>
      </w:r>
    </w:p>
    <w:p>
      <w:pPr>
        <w:sectPr>
          <w:pgSz w:w="11900" w:h="16838" w:orient="portrait"/>
          <w:cols w:equalWidth="0" w:num="2">
            <w:col w:w="2100" w:space="340"/>
            <w:col w:w="7799"/>
          </w:cols>
          <w:pgMar w:left="220" w:top="763" w:right="1440" w:bottom="1440" w:gutter="0" w:footer="0" w:header="0"/>
          <w:type w:val="continuous"/>
        </w:sectPr>
      </w:pPr>
    </w:p>
    <w:bookmarkStart w:id="266" w:name="page267"/>
    <w:bookmarkEnd w:id="266"/>
    <w:p>
      <w:pPr>
        <w:jc w:val="right"/>
        <w:ind w:right="4799"/>
        <w:spacing w:after="0"/>
        <w:rPr>
          <w:sz w:val="20"/>
          <w:szCs w:val="20"/>
          <w:color w:val="auto"/>
        </w:rPr>
      </w:pPr>
      <w:r>
        <w:rPr>
          <w:rFonts w:ascii="Courier New" w:cs="Courier New" w:eastAsia="Courier New" w:hAnsi="Courier New"/>
          <w:sz w:val="14"/>
          <w:szCs w:val="14"/>
          <w:color w:val="auto"/>
        </w:rPr>
        <w:t>2</w:t>
      </w: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of the exchange, dividends on the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3"/>
          <w:szCs w:val="13"/>
          <w:color w:val="auto"/>
        </w:rPr>
        <w:t>Viacom Exchange Preferred Stock will</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be deemed to have accrued from the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date of issuance of the Viacom</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Merger Debentures, and no accrued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interest will be paid with respect</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the Viacom Merger Debentures.</w:t>
      </w:r>
    </w:p>
    <w:p>
      <w:pPr>
        <w:spacing w:after="0" w:line="16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4"/>
          <w:szCs w:val="14"/>
          <w:color w:val="auto"/>
        </w:rPr>
        <w:t>Subordination . . . . . .</w:t>
      </w:r>
      <w:r>
        <w:rPr>
          <w:sz w:val="20"/>
          <w:szCs w:val="20"/>
          <w:color w:val="auto"/>
        </w:rPr>
        <w:tab/>
      </w:r>
      <w:r>
        <w:rPr>
          <w:rFonts w:ascii="Courier New" w:cs="Courier New" w:eastAsia="Courier New" w:hAnsi="Courier New"/>
          <w:sz w:val="13"/>
          <w:szCs w:val="13"/>
          <w:color w:val="auto"/>
        </w:rPr>
        <w:t>Subordinated in right of payment to</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all Senior Indebtedness of Viacom.</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Senior Indebtedness of Viacom will</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be defined as (a) the principal of,</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premium, if any, and accrued and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unpaid interest on (i) indebtedness</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of Viacom for money borrowed,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including all obligations of Viacom</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under its bank credit facilities,</w:t>
      </w:r>
    </w:p>
    <w:p>
      <w:pPr>
        <w:spacing w:after="0" w:line="5" w:lineRule="exact"/>
        <w:rPr>
          <w:sz w:val="20"/>
          <w:szCs w:val="20"/>
          <w:color w:val="auto"/>
        </w:rPr>
      </w:pPr>
    </w:p>
    <w:p>
      <w:pPr>
        <w:ind w:left="2440" w:right="4799" w:hanging="8"/>
        <w:spacing w:after="0" w:line="263" w:lineRule="auto"/>
        <w:tabs>
          <w:tab w:leader="none" w:pos="2858" w:val="left"/>
        </w:tabs>
        <w:numPr>
          <w:ilvl w:val="0"/>
          <w:numId w:val="2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guarantees by Viacom of indebtedness for money borrowed by any other person, including any guarantees by Viacom of obligations of Viacom International Inc., (iii) trade credit of Viacom and indebtedness evidenced by notes, debentures, bonds or other instruments of indebtedness for payment of which Viacom is responsible or liable, by guarantees or otherwise, and (iv) obligations of Viacom under capital leases, and</w:t>
      </w:r>
    </w:p>
    <w:p>
      <w:pPr>
        <w:spacing w:after="0" w:line="155" w:lineRule="exact"/>
        <w:rPr>
          <w:rFonts w:ascii="Courier New" w:cs="Courier New" w:eastAsia="Courier New" w:hAnsi="Courier New"/>
          <w:sz w:val="13"/>
          <w:szCs w:val="13"/>
          <w:color w:val="auto"/>
        </w:rPr>
      </w:pPr>
    </w:p>
    <w:p>
      <w:pPr>
        <w:ind w:left="2440" w:right="4799" w:hanging="8"/>
        <w:spacing w:after="0" w:line="243" w:lineRule="auto"/>
        <w:tabs>
          <w:tab w:leader="none" w:pos="2775"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modifications, renewals, extensions and refunding of any such indebtedness, obligations or guarantees, unless it is provided that such indebtedness, obligations or guarantees, or such modifications, renewals, extensions or refundings thereof, are not superior in right of payment to the Viacom Merger Debentures. No payment on account of principal or interest on the Viacom Merger Debentures may be made if at the time of such payment there exists a payment default with respect to any Senior Indebtedness. Upon any distribution of the assets of Viacom upon any dissolution, total or partial liquidation or reorganization of or similar proceeding relating to Viacom, the holders of its Senior Indebtedness will be entitled to receive payment in full before the Viacom Merger</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I-68</w:t>
      </w:r>
    </w:p>
    <w:p>
      <w:pPr>
        <w:sectPr>
          <w:pgSz w:w="11900" w:h="16838" w:orient="portrait"/>
          <w:cols w:equalWidth="0" w:num="1">
            <w:col w:w="10239"/>
          </w:cols>
          <w:pgMar w:left="220" w:top="761" w:right="1440" w:bottom="1440" w:gutter="0" w:footer="0" w:header="0"/>
        </w:sectPr>
      </w:pPr>
    </w:p>
    <w:bookmarkStart w:id="267" w:name="page268"/>
    <w:bookmarkEnd w:id="267"/>
    <w:p>
      <w:pPr>
        <w:jc w:val="right"/>
        <w:ind w:right="4799"/>
        <w:spacing w:after="0"/>
        <w:rPr>
          <w:sz w:val="20"/>
          <w:szCs w:val="20"/>
          <w:color w:val="auto"/>
        </w:rPr>
      </w:pPr>
      <w:r>
        <w:rPr>
          <w:rFonts w:ascii="Courier New" w:cs="Courier New" w:eastAsia="Courier New" w:hAnsi="Courier New"/>
          <w:sz w:val="14"/>
          <w:szCs w:val="14"/>
          <w:color w:val="auto"/>
        </w:rPr>
        <w:t>3</w:t>
      </w: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Debenture holders are entitled to</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receive any payment.</w:t>
      </w:r>
    </w:p>
    <w:p>
      <w:pPr>
        <w:spacing w:after="0" w:line="16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4"/>
          <w:szCs w:val="14"/>
          <w:color w:val="auto"/>
        </w:rPr>
        <w:t>Events of Default . . . .</w:t>
      </w:r>
      <w:r>
        <w:rPr>
          <w:sz w:val="20"/>
          <w:szCs w:val="20"/>
          <w:color w:val="auto"/>
        </w:rPr>
        <w:tab/>
      </w:r>
      <w:r>
        <w:rPr>
          <w:rFonts w:ascii="Courier New" w:cs="Courier New" w:eastAsia="Courier New" w:hAnsi="Courier New"/>
          <w:sz w:val="13"/>
          <w:szCs w:val="13"/>
          <w:color w:val="auto"/>
        </w:rPr>
        <w:t>The term "Event of Default" when</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3"/>
          <w:szCs w:val="13"/>
          <w:color w:val="auto"/>
        </w:rPr>
        <w:t>used in the indenture for the Viacom</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Merger Debentures will mean any of</w:t>
      </w:r>
    </w:p>
    <w:p>
      <w:pPr>
        <w:spacing w:after="0" w:line="2" w:lineRule="exact"/>
        <w:rPr>
          <w:sz w:val="20"/>
          <w:szCs w:val="20"/>
          <w:color w:val="auto"/>
        </w:rPr>
      </w:pPr>
    </w:p>
    <w:p>
      <w:pPr>
        <w:ind w:left="2440"/>
        <w:spacing w:after="0"/>
        <w:tabs>
          <w:tab w:leader="none" w:pos="3760" w:val="left"/>
        </w:tabs>
        <w:rPr>
          <w:sz w:val="20"/>
          <w:szCs w:val="20"/>
          <w:color w:val="auto"/>
        </w:rPr>
      </w:pPr>
      <w:r>
        <w:rPr>
          <w:rFonts w:ascii="Courier New" w:cs="Courier New" w:eastAsia="Courier New" w:hAnsi="Courier New"/>
          <w:sz w:val="14"/>
          <w:szCs w:val="14"/>
          <w:color w:val="auto"/>
        </w:rPr>
        <w:t>the following:</w:t>
      </w:r>
      <w:r>
        <w:rPr>
          <w:sz w:val="20"/>
          <w:szCs w:val="20"/>
          <w:color w:val="auto"/>
        </w:rPr>
        <w:tab/>
      </w:r>
      <w:r>
        <w:rPr>
          <w:rFonts w:ascii="Courier New" w:cs="Courier New" w:eastAsia="Courier New" w:hAnsi="Courier New"/>
          <w:sz w:val="13"/>
          <w:szCs w:val="13"/>
          <w:color w:val="auto"/>
        </w:rPr>
        <w:t>(i) failure of</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Viacom to pay (whether or not</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prohibited by the subordination</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3"/>
          <w:szCs w:val="13"/>
          <w:color w:val="auto"/>
        </w:rPr>
        <w:t>provisions) interest for thirty days</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on the principal of or any</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redemption payment on any of the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Viacom Merger Debentures, (ii)</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failure to perform any other</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covenant contained in the Indenture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for sixty days after notice to</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Viacom by the trustee (or to Viacom</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3"/>
          <w:szCs w:val="13"/>
          <w:color w:val="auto"/>
        </w:rPr>
        <w:t>and the trustee by the holders of at</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least 25% in aggregate principal</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amount of Viacom Merger Debentures</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then outstanding) and (iii) certain</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events of bankruptcy, insolvency or</w:t>
      </w:r>
    </w:p>
    <w:p>
      <w:pPr>
        <w:spacing w:after="0" w:line="2" w:lineRule="exact"/>
        <w:rPr>
          <w:sz w:val="20"/>
          <w:szCs w:val="20"/>
          <w:color w:val="auto"/>
        </w:rPr>
      </w:pPr>
    </w:p>
    <w:p>
      <w:pPr>
        <w:ind w:left="2440"/>
        <w:spacing w:after="0"/>
        <w:tabs>
          <w:tab w:leader="none" w:pos="3840" w:val="left"/>
        </w:tabs>
        <w:rPr>
          <w:sz w:val="20"/>
          <w:szCs w:val="20"/>
          <w:color w:val="auto"/>
        </w:rPr>
      </w:pPr>
      <w:r>
        <w:rPr>
          <w:rFonts w:ascii="Courier New" w:cs="Courier New" w:eastAsia="Courier New" w:hAnsi="Courier New"/>
          <w:sz w:val="14"/>
          <w:szCs w:val="14"/>
          <w:color w:val="auto"/>
        </w:rPr>
        <w:t>reorganization.</w:t>
      </w:r>
      <w:r>
        <w:rPr>
          <w:sz w:val="20"/>
          <w:szCs w:val="20"/>
          <w:color w:val="auto"/>
        </w:rPr>
        <w:tab/>
      </w:r>
      <w:r>
        <w:rPr>
          <w:rFonts w:ascii="Courier New" w:cs="Courier New" w:eastAsia="Courier New" w:hAnsi="Courier New"/>
          <w:sz w:val="13"/>
          <w:szCs w:val="13"/>
          <w:color w:val="auto"/>
        </w:rPr>
        <w:t>Any acceleration of</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Viacom Merger Debentures</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following an Event of Default shall</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not be effective until 5 business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3"/>
          <w:szCs w:val="13"/>
          <w:color w:val="auto"/>
        </w:rPr>
        <w:t>days after notice of acceleration to</w:t>
      </w:r>
    </w:p>
    <w:p>
      <w:pPr>
        <w:spacing w:after="0" w:line="14" w:lineRule="exact"/>
        <w:rPr>
          <w:sz w:val="20"/>
          <w:szCs w:val="20"/>
          <w:color w:val="auto"/>
        </w:rPr>
      </w:pPr>
    </w:p>
    <w:p>
      <w:pPr>
        <w:ind w:left="2440"/>
        <w:spacing w:after="0"/>
        <w:rPr>
          <w:sz w:val="20"/>
          <w:szCs w:val="20"/>
          <w:color w:val="auto"/>
        </w:rPr>
      </w:pPr>
      <w:r>
        <w:rPr>
          <w:rFonts w:ascii="Courier New" w:cs="Courier New" w:eastAsia="Courier New" w:hAnsi="Courier New"/>
          <w:sz w:val="13"/>
          <w:szCs w:val="13"/>
          <w:color w:val="auto"/>
        </w:rPr>
        <w:t>holders of Senior Indebtedness under</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Viacom's bank credit facilities.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Preferred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w:t>
      </w:r>
    </w:p>
    <w:p>
      <w:pPr>
        <w:spacing w:after="0" w:line="16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4"/>
          <w:szCs w:val="14"/>
          <w:color w:val="auto"/>
        </w:rPr>
        <w:t>Dividends . . . . . . . .</w:t>
      </w:r>
      <w:r>
        <w:rPr>
          <w:sz w:val="20"/>
          <w:szCs w:val="20"/>
          <w:color w:val="auto"/>
        </w:rPr>
        <w:tab/>
      </w:r>
      <w:r>
        <w:rPr>
          <w:rFonts w:ascii="Courier New" w:cs="Courier New" w:eastAsia="Courier New" w:hAnsi="Courier New"/>
          <w:sz w:val="13"/>
          <w:szCs w:val="13"/>
          <w:color w:val="auto"/>
        </w:rPr>
        <w:t>Cumulative from the Effective Time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at the annual rate of $2.50 per</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share of Viacom Exchange Preferred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Stock, payable quarterly; provided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that, from and after the tenth</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anniversary of the Effective Time,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annual rate shall increase from</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$2.50 to $5.00 per share of Viacom</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Exchange Preferred Stock.</w:t>
      </w:r>
    </w:p>
    <w:p>
      <w:pPr>
        <w:spacing w:after="0" w:line="166" w:lineRule="exact"/>
        <w:rPr>
          <w:sz w:val="20"/>
          <w:szCs w:val="20"/>
          <w:color w:val="auto"/>
        </w:rPr>
      </w:pPr>
    </w:p>
    <w:p>
      <w:pPr>
        <w:ind w:left="2020" w:right="4879" w:hanging="2425"/>
        <w:spacing w:after="0" w:line="241" w:lineRule="auto"/>
        <w:tabs>
          <w:tab w:leader="none" w:pos="2000" w:val="left"/>
        </w:tabs>
        <w:rPr>
          <w:sz w:val="20"/>
          <w:szCs w:val="20"/>
          <w:color w:val="auto"/>
        </w:rPr>
      </w:pPr>
      <w:r>
        <w:rPr>
          <w:rFonts w:ascii="Courier New" w:cs="Courier New" w:eastAsia="Courier New" w:hAnsi="Courier New"/>
          <w:sz w:val="14"/>
          <w:szCs w:val="14"/>
          <w:color w:val="auto"/>
        </w:rPr>
        <w:t>Liquidation Preference</w:t>
        <w:tab/>
        <w:t>. $50.00 per share of Viacom Exchange Preferred Stock, plus accrued and unpaid dividends.</w:t>
      </w:r>
    </w:p>
    <w:p>
      <w:pPr>
        <w:spacing w:after="0" w:line="16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4"/>
          <w:szCs w:val="14"/>
          <w:color w:val="auto"/>
        </w:rPr>
        <w:t>Optional Redemption . . .</w:t>
      </w:r>
      <w:r>
        <w:rPr>
          <w:sz w:val="20"/>
          <w:szCs w:val="20"/>
          <w:color w:val="auto"/>
        </w:rPr>
        <w:tab/>
      </w:r>
      <w:r>
        <w:rPr>
          <w:rFonts w:ascii="Courier New" w:cs="Courier New" w:eastAsia="Courier New" w:hAnsi="Courier New"/>
          <w:sz w:val="13"/>
          <w:szCs w:val="13"/>
          <w:color w:val="auto"/>
        </w:rPr>
        <w:t>Not redeemable prior to the fifth</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anniversary of the Effective Time.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On and after that date, redeemable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 whole or in part, at the option</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of Viacom, initially at a per share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redemption price of $52.50 and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thereafter at prices declining 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I-69</w:t>
      </w:r>
    </w:p>
    <w:p>
      <w:pPr>
        <w:sectPr>
          <w:pgSz w:w="11900" w:h="16838" w:orient="portrait"/>
          <w:cols w:equalWidth="0" w:num="1">
            <w:col w:w="10239"/>
          </w:cols>
          <w:pgMar w:left="220" w:top="761" w:right="1440"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Mandatory Redemption</w:t>
        <w:tab/>
        <w:t>. .</w:t>
      </w:r>
    </w:p>
    <w:p>
      <w:pPr>
        <w:spacing w:after="0" w:line="166" w:lineRule="exact"/>
        <w:rPr>
          <w:sz w:val="20"/>
          <w:szCs w:val="20"/>
          <w:color w:val="auto"/>
        </w:rPr>
      </w:pPr>
    </w:p>
    <w:p>
      <w:pPr>
        <w:ind w:left="180" w:right="80" w:hanging="166"/>
        <w:spacing w:after="0" w:line="276" w:lineRule="auto"/>
        <w:rPr>
          <w:sz w:val="20"/>
          <w:szCs w:val="20"/>
          <w:color w:val="auto"/>
        </w:rPr>
      </w:pPr>
      <w:r>
        <w:rPr>
          <w:rFonts w:ascii="Courier New" w:cs="Courier New" w:eastAsia="Courier New" w:hAnsi="Courier New"/>
          <w:sz w:val="13"/>
          <w:szCs w:val="13"/>
          <w:color w:val="auto"/>
        </w:rPr>
        <w:t>Exchange for Viacom Exchange Debentures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Exchange Debentures</w:t>
      </w:r>
    </w:p>
    <w:p>
      <w:pPr>
        <w:spacing w:after="0" w:line="17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Interest</w:t>
        <w:tab/>
        <w:t>. . . . . . . .</w:t>
      </w:r>
    </w:p>
    <w:p>
      <w:pPr>
        <w:spacing w:after="0" w:line="20" w:lineRule="exact"/>
        <w:rPr>
          <w:sz w:val="20"/>
          <w:szCs w:val="20"/>
          <w:color w:val="auto"/>
        </w:rPr>
      </w:pPr>
      <w:r>
        <w:rPr>
          <w:sz w:val="20"/>
          <w:szCs w:val="20"/>
          <w:color w:val="auto"/>
        </w:rPr>
        <w:br w:type="column"/>
      </w:r>
    </w:p>
    <w:p>
      <w:pPr>
        <w:jc w:val="right"/>
        <w:ind w:right="4799"/>
        <w:spacing w:after="0"/>
        <w:rPr>
          <w:sz w:val="20"/>
          <w:szCs w:val="20"/>
          <w:color w:val="auto"/>
        </w:rPr>
      </w:pPr>
      <w:r>
        <w:rPr>
          <w:rFonts w:ascii="Courier New" w:cs="Courier New" w:eastAsia="Courier New" w:hAnsi="Courier New"/>
          <w:sz w:val="14"/>
          <w:szCs w:val="14"/>
          <w:color w:val="auto"/>
        </w:rPr>
        <w:t>4</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 on and after the tenth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Effective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plus, in each case, all accrued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unpaid dividends.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Exchangeable in whole or in part, 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option of Viacom, on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payment date beginning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after the third anniversary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Time, for Viacom's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Subordinated Debentures (the "Viacom</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Exchange Debentures") at the rate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 principal amount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Debentures for each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Exchange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may effect such exchange only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all accrued and unpaid dividends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Viacom Exchange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have been paid.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voting rights except (i)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required by law and (ii)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right to elect two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directors to Viacom's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Board of Directors in the event that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has failed to pay dividends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on the shares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Preferred Stock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dividend periods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in the aggregate contain not</w:t>
      </w:r>
    </w:p>
    <w:p>
      <w:pPr>
        <w:spacing w:after="0" w:line="2"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less than 360 days.</w:t>
      </w:r>
      <w:r>
        <w:rPr>
          <w:sz w:val="20"/>
          <w:szCs w:val="20"/>
          <w:color w:val="auto"/>
        </w:rPr>
        <w:tab/>
      </w:r>
      <w:r>
        <w:rPr>
          <w:rFonts w:ascii="Courier New" w:cs="Courier New" w:eastAsia="Courier New" w:hAnsi="Courier New"/>
          <w:sz w:val="13"/>
          <w:szCs w:val="13"/>
          <w:color w:val="auto"/>
        </w:rPr>
        <w:t>In any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the holders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Exchange Preferred Stock will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separately as a class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holders of shares of any one or more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shares of preferred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ranking on a parity with the Viacom</w:t>
      </w:r>
    </w:p>
    <w:p>
      <w:pPr>
        <w:spacing w:after="0" w:line="2"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Exchange Preferred Stock.</w:t>
      </w:r>
      <w:r>
        <w:rPr>
          <w:sz w:val="20"/>
          <w:szCs w:val="20"/>
          <w:color w:val="auto"/>
        </w:rPr>
        <w:tab/>
      </w:r>
      <w:r>
        <w:rPr>
          <w:rFonts w:ascii="Courier New" w:cs="Courier New" w:eastAsia="Courier New" w:hAnsi="Courier New"/>
          <w:sz w:val="13"/>
          <w:szCs w:val="13"/>
          <w:color w:val="auto"/>
        </w:rPr>
        <w:t>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to elect two directors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 until such dividend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arrearages have been paid.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per annum; provided that,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after the tenth anniversary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Time, the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shall increase to 10%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annum, payable semi-annually.</w:t>
      </w:r>
    </w:p>
    <w:p>
      <w:pPr>
        <w:spacing w:after="0" w:line="16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I-70</w:t>
      </w:r>
    </w:p>
    <w:p>
      <w:pPr>
        <w:sectPr>
          <w:pgSz w:w="11900" w:h="16838" w:orient="portrait"/>
          <w:cols w:equalWidth="0" w:num="2">
            <w:col w:w="2180" w:space="260"/>
            <w:col w:w="7799"/>
          </w:cols>
          <w:pgMar w:left="220" w:top="761" w:right="1440" w:bottom="1440" w:gutter="0" w:footer="0" w:header="0"/>
        </w:sectPr>
      </w:pPr>
    </w:p>
    <w:bookmarkStart w:id="269" w:name="page270"/>
    <w:bookmarkEnd w:id="269"/>
    <w:p>
      <w:pPr>
        <w:spacing w:after="0" w:line="200" w:lineRule="exact"/>
        <w:rPr>
          <w:sz w:val="20"/>
          <w:szCs w:val="20"/>
          <w:color w:val="auto"/>
        </w:rPr>
      </w:pPr>
    </w:p>
    <w:p>
      <w:pPr>
        <w:spacing w:after="0" w:line="285" w:lineRule="exact"/>
        <w:rPr>
          <w:sz w:val="20"/>
          <w:szCs w:val="20"/>
          <w:color w:val="auto"/>
        </w:rPr>
      </w:pPr>
    </w:p>
    <w:p>
      <w:pPr>
        <w:ind w:left="180" w:hanging="166"/>
        <w:spacing w:after="0" w:line="239" w:lineRule="auto"/>
        <w:rPr>
          <w:sz w:val="20"/>
          <w:szCs w:val="20"/>
          <w:color w:val="auto"/>
        </w:rPr>
      </w:pPr>
      <w:r>
        <w:rPr>
          <w:rFonts w:ascii="Courier New" w:cs="Courier New" w:eastAsia="Courier New" w:hAnsi="Courier New"/>
          <w:sz w:val="14"/>
          <w:szCs w:val="14"/>
          <w:color w:val="auto"/>
        </w:rPr>
        <w:t>Aggregate Principal Amount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Maturity</w:t>
        <w:tab/>
        <w:t>. . . . . .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Optional Redemption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Mandatory Redemption</w:t>
        <w:tab/>
        <w:t>. .</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 . . . . . .</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Events of Default . . . .</w:t>
      </w:r>
    </w:p>
    <w:p>
      <w:pPr>
        <w:spacing w:after="0" w:line="20" w:lineRule="exact"/>
        <w:rPr>
          <w:sz w:val="20"/>
          <w:szCs w:val="20"/>
          <w:color w:val="auto"/>
        </w:rPr>
      </w:pPr>
      <w:r>
        <w:rPr>
          <w:sz w:val="20"/>
          <w:szCs w:val="20"/>
          <w:color w:val="auto"/>
        </w:rPr>
        <w:br w:type="column"/>
      </w:r>
    </w:p>
    <w:p>
      <w:pPr>
        <w:jc w:val="right"/>
        <w:ind w:right="4799"/>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aggregate liquidation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 of Viacom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exchanged,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Debentures being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in minimum denominations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and integral multiples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years from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Effective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and after that date, redeemable,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whole or in part, at the 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Viacom, initially at a redemption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105% of the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thereof and thereafter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declining to 100%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thereof 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tenth anniversary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plus, in each case,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accrued and unpaid interest.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as the Viacom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as the Viacom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16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I-71</w:t>
      </w:r>
    </w:p>
    <w:p>
      <w:pPr>
        <w:sectPr>
          <w:pgSz w:w="11900" w:h="16838" w:orient="portrait"/>
          <w:cols w:equalWidth="0" w:num="2">
            <w:col w:w="2100" w:space="340"/>
            <w:col w:w="7799"/>
          </w:cols>
          <w:pgMar w:left="220" w:top="761" w:right="1440" w:bottom="1440" w:gutter="0" w:footer="0" w:header="0"/>
        </w:sectPr>
      </w:pPr>
    </w:p>
    <w:bookmarkStart w:id="270" w:name="page271"/>
    <w:bookmarkEnd w:id="270"/>
    <w:p>
      <w:pPr>
        <w:jc w:val="center"/>
        <w:ind w:right="-60"/>
        <w:spacing w:after="0"/>
        <w:rPr>
          <w:sz w:val="20"/>
          <w:szCs w:val="20"/>
          <w:color w:val="auto"/>
        </w:rPr>
      </w:pPr>
      <w:r>
        <w:rPr>
          <w:rFonts w:ascii="Courier New" w:cs="Courier New" w:eastAsia="Courier New" w:hAnsi="Courier New"/>
          <w:sz w:val="13"/>
          <w:szCs w:val="13"/>
          <w:color w:val="auto"/>
        </w:rPr>
        <w:t>ANNEX C</w:t>
      </w:r>
    </w:p>
    <w:p>
      <w:pPr>
        <w:spacing w:after="0" w:line="33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PRINCIPAL TERMS OF CONTINGENT VALUE RIGHTS ("CVRs")</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64"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w:t>
      </w:r>
    </w:p>
    <w:p>
      <w:pPr>
        <w:spacing w:after="0" w:line="171" w:lineRule="exact"/>
        <w:rPr>
          <w:sz w:val="20"/>
          <w:szCs w:val="20"/>
          <w:color w:val="auto"/>
        </w:rPr>
      </w:pPr>
    </w:p>
    <w:p>
      <w:pPr>
        <w:sectPr>
          <w:pgSz w:w="11900" w:h="16838" w:orient="portrait"/>
          <w:cols w:equalWidth="0" w:num="2">
            <w:col w:w="1380" w:space="720"/>
            <w:col w:w="8139"/>
          </w:cols>
          <w:pgMar w:left="220" w:top="76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Payment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Following the maturity of a CVR,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of such CVR (the "CVR Holder")</w:t>
      </w:r>
    </w:p>
    <w:p>
      <w:pPr>
        <w:spacing w:after="0" w:line="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have the right to receive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if any, by which the Target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Price exceeds the greater of the Current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Market Value and the Minimum Price (each</w:t>
      </w:r>
    </w:p>
    <w:p>
      <w:pPr>
        <w:spacing w:after="0" w:line="1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4"/>
          <w:szCs w:val="14"/>
          <w:color w:val="auto"/>
        </w:rPr>
        <w:t>as defined below).</w:t>
      </w:r>
      <w:r>
        <w:rPr>
          <w:sz w:val="20"/>
          <w:szCs w:val="20"/>
          <w:color w:val="auto"/>
        </w:rPr>
        <w:tab/>
      </w:r>
      <w:r>
        <w:rPr>
          <w:rFonts w:ascii="Courier New" w:cs="Courier New" w:eastAsia="Courier New" w:hAnsi="Courier New"/>
          <w:sz w:val="13"/>
          <w:szCs w:val="13"/>
          <w:color w:val="auto"/>
        </w:rPr>
        <w:t>The CVRs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mature on the Maturity Date unless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otherwise extended to the First Extended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Date or the Second Extended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Date, as the case may be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defined below).</w:t>
      </w:r>
    </w:p>
    <w:p>
      <w:pPr>
        <w:spacing w:after="0" w:line="163" w:lineRule="exact"/>
        <w:rPr>
          <w:sz w:val="20"/>
          <w:szCs w:val="20"/>
          <w:color w:val="auto"/>
        </w:rPr>
      </w:pPr>
    </w:p>
    <w:p>
      <w:pPr>
        <w:sectPr>
          <w:pgSz w:w="11900" w:h="16838" w:orient="portrait"/>
          <w:cols w:equalWidth="0" w:num="2">
            <w:col w:w="1680" w:space="420"/>
            <w:col w:w="8139"/>
          </w:cols>
          <w:pgMar w:left="220" w:top="76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Form of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Viacom, at its option, may pay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due under the terms of the CVRs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CVR Holders in cash or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fair market value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determined by an independent nationally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investment bank)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securities of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without limitation,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preferred stock, notes or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63" w:lineRule="exact"/>
        <w:rPr>
          <w:sz w:val="20"/>
          <w:szCs w:val="20"/>
          <w:color w:val="auto"/>
        </w:rPr>
      </w:pPr>
    </w:p>
    <w:p>
      <w:pPr>
        <w:sectPr>
          <w:pgSz w:w="11900" w:h="16838" w:orient="portrait"/>
          <w:cols w:equalWidth="0" w:num="2">
            <w:col w:w="1380" w:space="72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Target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"Target Price" means (i) at the Maturity</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$48.00, (ii) at the First Extended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Date, $51.00 and (iii) 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Extended Maturity Date, $55.00.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each case, such Target Prices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adjusted upon the occurrence of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described in the Section entitled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"Antidilution" set forth below.</w:t>
      </w:r>
    </w:p>
    <w:p>
      <w:pPr>
        <w:spacing w:after="0" w:line="163" w:lineRule="exact"/>
        <w:rPr>
          <w:sz w:val="20"/>
          <w:szCs w:val="20"/>
          <w:color w:val="auto"/>
        </w:rPr>
      </w:pPr>
    </w:p>
    <w:p>
      <w:pPr>
        <w:sectPr>
          <w:pgSz w:w="11900" w:h="16838" w:orient="portrait"/>
          <w:cols w:equalWidth="0" w:num="2">
            <w:col w:w="1380" w:space="720"/>
            <w:col w:w="8139"/>
          </w:cols>
          <w:pgMar w:left="220" w:top="76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Current 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"Current Market Value" means (i) with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Maturity Date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First Extended Maturity Date, the median</w:t>
      </w:r>
    </w:p>
    <w:p>
      <w:pPr>
        <w:spacing w:after="0" w:line="14" w:lineRule="exact"/>
        <w:rPr>
          <w:sz w:val="20"/>
          <w:szCs w:val="20"/>
          <w:color w:val="auto"/>
        </w:rPr>
      </w:pPr>
    </w:p>
    <w:p>
      <w:pPr>
        <w:sectPr>
          <w:pgSz w:w="11900" w:h="16838" w:orient="portrait"/>
          <w:cols w:equalWidth="0" w:num="2">
            <w:col w:w="1760" w:space="340"/>
            <w:col w:w="8139"/>
          </w:cols>
          <w:pgMar w:left="220" w:top="764"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3"/>
          <w:szCs w:val="13"/>
          <w:color w:val="auto"/>
        </w:rPr>
        <w:t>of the averages of the closing prices on</w:t>
      </w: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American Stock Exchange (or such</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other exchange on which such shares are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3"/>
          <w:szCs w:val="13"/>
          <w:color w:val="auto"/>
        </w:rPr>
        <w:t>then listed) of shares of Viacom's Class</w:t>
      </w:r>
    </w:p>
    <w:p>
      <w:pPr>
        <w:spacing w:after="0" w:line="14" w:lineRule="exact"/>
        <w:rPr>
          <w:sz w:val="20"/>
          <w:szCs w:val="20"/>
          <w:color w:val="auto"/>
        </w:rPr>
      </w:pPr>
    </w:p>
    <w:p>
      <w:pPr>
        <w:ind w:left="2100"/>
        <w:spacing w:after="0"/>
        <w:rPr>
          <w:sz w:val="20"/>
          <w:szCs w:val="20"/>
          <w:color w:val="auto"/>
        </w:rPr>
      </w:pPr>
      <w:r>
        <w:rPr>
          <w:rFonts w:ascii="Courier New" w:cs="Courier New" w:eastAsia="Courier New" w:hAnsi="Courier New"/>
          <w:sz w:val="13"/>
          <w:szCs w:val="13"/>
          <w:color w:val="auto"/>
        </w:rPr>
        <w:t>B Common Stock, par value $.01 per share</w:t>
      </w: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"Class B Common Stock"), during</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each 20 consecutive trading day period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that both begins and ends in 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Valuation Period and (ii) with respect</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Second Extended Maturity Date,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3"/>
          <w:szCs w:val="13"/>
          <w:color w:val="auto"/>
        </w:rPr>
        <w:t>the average of the closing prices on the</w:t>
      </w: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American Stock Exchange (or such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I-72</w:t>
      </w:r>
    </w:p>
    <w:p>
      <w:pPr>
        <w:sectPr>
          <w:pgSz w:w="11900" w:h="16838" w:orient="portrait"/>
          <w:cols w:equalWidth="0" w:num="1">
            <w:col w:w="10239"/>
          </w:cols>
          <w:pgMar w:left="220" w:top="764" w:right="1440" w:bottom="1440" w:gutter="0" w:footer="0" w:header="0"/>
          <w:type w:val="continuous"/>
        </w:sectPr>
      </w:pPr>
    </w:p>
    <w:bookmarkStart w:id="271" w:name="page272"/>
    <w:bookmarkEnd w:id="271"/>
    <w:p>
      <w:pPr>
        <w:ind w:left="5360"/>
        <w:spacing w:after="0"/>
        <w:rPr>
          <w:sz w:val="20"/>
          <w:szCs w:val="20"/>
          <w:color w:val="auto"/>
        </w:rPr>
      </w:pPr>
      <w:r>
        <w:rPr>
          <w:rFonts w:ascii="Courier New" w:cs="Courier New" w:eastAsia="Courier New" w:hAnsi="Courier New"/>
          <w:sz w:val="13"/>
          <w:szCs w:val="13"/>
          <w:color w:val="auto"/>
        </w:rPr>
        <w:t>2</w:t>
      </w:r>
    </w:p>
    <w:p>
      <w:pPr>
        <w:spacing w:after="0" w:line="33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exchange on which such shares are then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listed) of the Class B Common Stock</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during the 20 consecutive trading days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 the Valuation Period which yield 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highest such average of the closing</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prices for any such 20 consecutive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trading day period within the Valuation</w:t>
      </w:r>
    </w:p>
    <w:p>
      <w:pPr>
        <w:spacing w:after="0" w:line="5" w:lineRule="exact"/>
        <w:rPr>
          <w:sz w:val="20"/>
          <w:szCs w:val="20"/>
          <w:color w:val="auto"/>
        </w:rPr>
      </w:pPr>
    </w:p>
    <w:p>
      <w:pPr>
        <w:ind w:left="2100"/>
        <w:spacing w:after="0"/>
        <w:tabs>
          <w:tab w:leader="none" w:pos="2840" w:val="left"/>
        </w:tabs>
        <w:rPr>
          <w:sz w:val="20"/>
          <w:szCs w:val="20"/>
          <w:color w:val="auto"/>
        </w:rPr>
      </w:pPr>
      <w:r>
        <w:rPr>
          <w:rFonts w:ascii="Courier New" w:cs="Courier New" w:eastAsia="Courier New" w:hAnsi="Courier New"/>
          <w:sz w:val="13"/>
          <w:szCs w:val="13"/>
          <w:color w:val="auto"/>
        </w:rPr>
        <w:t>Period.</w:t>
        <w:tab/>
        <w:t>"Valuation Period" means the 60</w:t>
      </w:r>
    </w:p>
    <w:p>
      <w:pPr>
        <w:spacing w:after="0" w:line="1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3"/>
          <w:szCs w:val="13"/>
          <w:color w:val="auto"/>
        </w:rPr>
        <w:t>trading day period immediately preceding</w:t>
      </w: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(and including) the Maturity Date, 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First Extended Maturity Date or 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Second Extended Maturity Date, as the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case may be.</w:t>
      </w:r>
    </w:p>
    <w:p>
      <w:pPr>
        <w:sectPr>
          <w:pgSz w:w="11900" w:h="16838" w:orient="portrait"/>
          <w:cols w:equalWidth="0" w:num="1">
            <w:col w:w="10239"/>
          </w:cols>
          <w:pgMar w:left="220" w:top="763"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Price: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Price" means (i) at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Maturity Date, $36.00, (ii) at the First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Extended Maturity Date, $37.00 and (iii)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Second Extended Maturity Date,</w:t>
      </w:r>
    </w:p>
    <w:p>
      <w:pPr>
        <w:spacing w:after="0" w:line="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$38.00.</w:t>
      </w:r>
      <w:r>
        <w:rPr>
          <w:sz w:val="20"/>
          <w:szCs w:val="20"/>
          <w:color w:val="auto"/>
        </w:rPr>
        <w:tab/>
      </w:r>
      <w:r>
        <w:rPr>
          <w:rFonts w:ascii="Courier New" w:cs="Courier New" w:eastAsia="Courier New" w:hAnsi="Courier New"/>
          <w:sz w:val="13"/>
          <w:szCs w:val="13"/>
          <w:color w:val="auto"/>
        </w:rPr>
        <w:t>In each case, subject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 upon the occurrence of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described in the Section entitled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"Antidilution" set forth below.</w:t>
      </w:r>
    </w:p>
    <w:p>
      <w:pPr>
        <w:spacing w:after="0" w:line="163" w:lineRule="exact"/>
        <w:rPr>
          <w:sz w:val="20"/>
          <w:szCs w:val="20"/>
          <w:color w:val="auto"/>
        </w:rPr>
      </w:pPr>
    </w:p>
    <w:p>
      <w:pPr>
        <w:sectPr>
          <w:pgSz w:w="11900" w:h="16838" w:orient="portrait"/>
          <w:cols w:equalWidth="0" w:num="2">
            <w:col w:w="1380" w:space="720"/>
            <w:col w:w="8139"/>
          </w:cols>
          <w:pgMar w:left="220" w:top="7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 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Extensions Thereof: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Date" means the first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effective time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 between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and Paramount Communications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provided, however, that</w:t>
      </w:r>
    </w:p>
    <w:p>
      <w:pPr>
        <w:spacing w:after="0" w:line="2" w:lineRule="exact"/>
        <w:rPr>
          <w:sz w:val="20"/>
          <w:szCs w:val="20"/>
          <w:color w:val="auto"/>
        </w:rPr>
      </w:pPr>
    </w:p>
    <w:p>
      <w:pPr>
        <w:ind w:left="500"/>
        <w:spacing w:after="0"/>
        <w:tabs>
          <w:tab w:leader="none" w:pos="1320" w:val="left"/>
          <w:tab w:leader="none" w:pos="2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at its option, may (i) extend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Maturity Date to the second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Effective Time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"First Extended Maturity Date") and (ii)</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extend the First Extended Maturity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third anniversary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(the "Second Extended</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3"/>
          <w:szCs w:val="13"/>
          <w:color w:val="auto"/>
        </w:rPr>
        <w:t>Viacom shall exercise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either such option to extend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publishing notice of such exercise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Wall Street Journal (Eastern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Edition), or if the Wall Street Journal</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not then published, such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newspaper with general circulation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City of New York, New York no later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one business day preceding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Maturity Date or First Extended Maturity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as the case may be.</w:t>
      </w:r>
    </w:p>
    <w:p>
      <w:pPr>
        <w:spacing w:after="0" w:line="163" w:lineRule="exact"/>
        <w:rPr>
          <w:sz w:val="20"/>
          <w:szCs w:val="20"/>
          <w:color w:val="auto"/>
        </w:rPr>
      </w:pPr>
    </w:p>
    <w:p>
      <w:pPr>
        <w:sectPr>
          <w:pgSz w:w="11900" w:h="16838" w:orient="portrait"/>
          <w:cols w:equalWidth="0" w:num="2">
            <w:col w:w="1760" w:space="340"/>
            <w:col w:w="8139"/>
          </w:cols>
          <w:pgMar w:left="220" w:top="76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than in the case of interest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Default Amount (as defined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 interest shall accrue on any amounts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to the CVR Holders pursuant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CVRs.</w:t>
      </w:r>
    </w:p>
    <w:p>
      <w:pPr>
        <w:spacing w:after="0" w:line="166" w:lineRule="exact"/>
        <w:rPr>
          <w:sz w:val="20"/>
          <w:szCs w:val="20"/>
          <w:color w:val="auto"/>
        </w:rPr>
      </w:pPr>
    </w:p>
    <w:p>
      <w:pPr>
        <w:sectPr>
          <w:pgSz w:w="11900" w:h="16838" w:orient="portrait"/>
          <w:cols w:equalWidth="0" w:num="2">
            <w:col w:w="1380" w:space="720"/>
            <w:col w:w="8139"/>
          </w:cols>
          <w:pgMar w:left="220" w:top="763"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3"/>
          <w:szCs w:val="13"/>
          <w:color w:val="auto"/>
        </w:rPr>
        <w:t>I-73</w:t>
      </w:r>
    </w:p>
    <w:p>
      <w:pPr>
        <w:sectPr>
          <w:pgSz w:w="11900" w:h="16838" w:orient="portrait"/>
          <w:cols w:equalWidth="0" w:num="1">
            <w:col w:w="10239"/>
          </w:cols>
          <w:pgMar w:left="220" w:top="763" w:right="1440" w:bottom="1440" w:gutter="0" w:footer="0" w:header="0"/>
          <w:type w:val="continuous"/>
        </w:sectPr>
      </w:pPr>
    </w:p>
    <w:bookmarkStart w:id="272" w:name="page273"/>
    <w:bookmarkEnd w:id="272"/>
    <w:p>
      <w:pPr>
        <w:ind w:left="53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764"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Disposition Payment: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the consummation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 (as defined below),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pay to each CVR Holder for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held by such CVR Holder an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any, by which the Discounted Target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(as defined below) exceeds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greater of (a) the fair market value (as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by an independent nationally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investment banking firm)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consideration, if any, received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holders of Class B Common Stock for each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Class B Common Stock held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holder as a result of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 and (b) the Minimum Price.</w:t>
      </w:r>
    </w:p>
    <w:p>
      <w:pPr>
        <w:spacing w:after="0" w:line="163" w:lineRule="exact"/>
        <w:rPr>
          <w:sz w:val="20"/>
          <w:szCs w:val="20"/>
          <w:color w:val="auto"/>
        </w:rPr>
      </w:pPr>
    </w:p>
    <w:p>
      <w:pPr>
        <w:sectPr>
          <w:pgSz w:w="11900" w:h="16838" w:orient="portrait"/>
          <w:cols w:equalWidth="0" w:num="2">
            <w:col w:w="1680" w:space="42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Dispositions: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"Disposition" means (a) a merger,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consolidation or other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combination involving Viacom as a result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which no shares of Class B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shall remain outstanding, (b)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transfer or other disposition,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or a series of transactions, of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substantially all of the assets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or (c) a reclassification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as any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 of Viacom or any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w:t>
      </w:r>
    </w:p>
    <w:p>
      <w:pPr>
        <w:spacing w:after="0" w:line="163" w:lineRule="exact"/>
        <w:rPr>
          <w:sz w:val="20"/>
          <w:szCs w:val="20"/>
          <w:color w:val="auto"/>
        </w:rPr>
      </w:pPr>
    </w:p>
    <w:p>
      <w:pPr>
        <w:sectPr>
          <w:pgSz w:w="11900" w:h="16838" w:orient="portrait"/>
          <w:cols w:equalWidth="0" w:num="2">
            <w:col w:w="1380" w:space="72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Acceleration Upon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Event of Default: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 Event of Default (as defined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below) occurs and is continuing, either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bank or trust company acting as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(the "Trustee") or CVR Holders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holding at least 25% of the outstanding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CVRs, by notice to Viacom (and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if given by CVR Holders),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declare the CVRs to be due and payable,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upon any such declaration,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Amount shall become due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and, thereafter, shall bear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at an interest rate of 8%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annum until payment is made to the</w:t>
      </w:r>
    </w:p>
    <w:p>
      <w:pPr>
        <w:spacing w:after="0" w:line="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3"/>
          <w:szCs w:val="13"/>
          <w:color w:val="auto"/>
        </w:rPr>
        <w:t>"Default Amount" means the</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amount, if any, by which the Discounted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Target Price exceeds the Minimum Price.</w:t>
      </w:r>
    </w:p>
    <w:p>
      <w:pPr>
        <w:spacing w:after="0" w:line="175" w:lineRule="exact"/>
        <w:rPr>
          <w:sz w:val="20"/>
          <w:szCs w:val="20"/>
          <w:color w:val="auto"/>
        </w:rPr>
      </w:pPr>
    </w:p>
    <w:p>
      <w:pPr>
        <w:sectPr>
          <w:pgSz w:w="11900" w:h="16838" w:orient="portrait"/>
          <w:cols w:equalWidth="0" w:num="2">
            <w:col w:w="1600" w:space="50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Discounted Target</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Price: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"Discounted Target Price" means (a) if a</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Disposition or an Event of Default shall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 prior to the Maturity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 discounted to the Disposition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Date (as defined below) 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Default Payment Date (as defined below),</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case may be, at a per annum 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8%; (b) if a Disposition or an Event</w:t>
      </w:r>
    </w:p>
    <w:p>
      <w:pPr>
        <w:spacing w:after="0" w:line="166" w:lineRule="exact"/>
        <w:rPr>
          <w:sz w:val="20"/>
          <w:szCs w:val="20"/>
          <w:color w:val="auto"/>
        </w:rPr>
      </w:pPr>
    </w:p>
    <w:p>
      <w:pPr>
        <w:sectPr>
          <w:pgSz w:w="11900" w:h="16838" w:orient="portrait"/>
          <w:cols w:equalWidth="0" w:num="2">
            <w:col w:w="1420" w:space="680"/>
            <w:col w:w="8139"/>
          </w:cols>
          <w:pgMar w:left="220" w:top="764"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3"/>
          <w:szCs w:val="13"/>
          <w:color w:val="auto"/>
        </w:rPr>
        <w:t>I-74</w:t>
      </w:r>
    </w:p>
    <w:p>
      <w:pPr>
        <w:sectPr>
          <w:pgSz w:w="11900" w:h="16838" w:orient="portrait"/>
          <w:cols w:equalWidth="0" w:num="1">
            <w:col w:w="10239"/>
          </w:cols>
          <w:pgMar w:left="220" w:top="764" w:right="1440" w:bottom="1440" w:gutter="0" w:footer="0" w:header="0"/>
          <w:type w:val="continuous"/>
        </w:sectPr>
      </w:pPr>
    </w:p>
    <w:bookmarkStart w:id="273" w:name="page274"/>
    <w:bookmarkEnd w:id="273"/>
    <w:tbl>
      <w:tblPr>
        <w:tblLayout w:type="fixed"/>
        <w:tblInd w:w="0" w:type="dxa"/>
        <w:tblCellMar>
          <w:top w:w="0" w:type="dxa"/>
          <w:left w:w="0" w:type="dxa"/>
          <w:bottom w:w="0" w:type="dxa"/>
          <w:right w:w="0" w:type="dxa"/>
        </w:tblCellMar>
      </w:tblPr>
      <w:tr>
        <w:trPr>
          <w:trHeight w:val="159"/>
        </w:trPr>
        <w:tc>
          <w:tcPr>
            <w:tcW w:w="1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60" w:type="dxa"/>
            <w:vAlign w:val="bottom"/>
          </w:tcPr>
          <w:p>
            <w:pPr>
              <w:ind w:left="2180"/>
              <w:spacing w:after="0"/>
              <w:rPr>
                <w:sz w:val="20"/>
                <w:szCs w:val="20"/>
                <w:color w:val="auto"/>
              </w:rPr>
            </w:pPr>
            <w:r>
              <w:rPr>
                <w:rFonts w:ascii="Courier New" w:cs="Courier New" w:eastAsia="Courier New" w:hAnsi="Courier New"/>
                <w:sz w:val="14"/>
                <w:szCs w:val="14"/>
                <w:color w:val="auto"/>
                <w:w w:val="70"/>
              </w:rPr>
              <w:t>4</w:t>
            </w:r>
          </w:p>
        </w:tc>
      </w:tr>
      <w:tr>
        <w:trPr>
          <w:trHeight w:val="483"/>
        </w:trPr>
        <w:tc>
          <w:tcPr>
            <w:tcW w:w="1800" w:type="dxa"/>
            <w:vAlign w:val="bottom"/>
          </w:tcPr>
          <w:p>
            <w:pPr>
              <w:spacing w:after="0"/>
              <w:rPr>
                <w:sz w:val="24"/>
                <w:szCs w:val="24"/>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of Default shall occur after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Maturity Date but prior to the First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Extended Maturity Date, $51.00</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discounted to the date of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Disposition Payment Date or Default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Payment Date, as the case may be, at a</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per annum rate of 8%; or (c) if a</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Disposition or an Event of Default shall</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occur after the First Extended Maturity</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Date but prior to the Second Extended</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Maturity Date, $55.00 discounted to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Disposition Payment Date or Default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Payment Date, as the case may be, at a</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per annum rate of 8%.  In each case,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Discounted Target Price and the Minimum</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Price shall be adjusted upon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occurrence of any event described in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Section entitled "Antidilution" set</w:t>
            </w:r>
          </w:p>
        </w:tc>
      </w:tr>
      <w:tr>
        <w:trPr>
          <w:trHeight w:val="161"/>
        </w:trPr>
        <w:tc>
          <w:tcPr>
            <w:tcW w:w="1800" w:type="dxa"/>
            <w:vAlign w:val="bottom"/>
          </w:tcPr>
          <w:p>
            <w:pPr>
              <w:spacing w:after="0"/>
              <w:rPr>
                <w:sz w:val="13"/>
                <w:szCs w:val="13"/>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forth below.</w:t>
            </w:r>
          </w:p>
        </w:tc>
        <w:tc>
          <w:tcPr>
            <w:tcW w:w="2260" w:type="dxa"/>
            <w:vAlign w:val="bottom"/>
          </w:tcPr>
          <w:p>
            <w:pPr>
              <w:ind w:left="80"/>
              <w:spacing w:after="0"/>
              <w:rPr>
                <w:sz w:val="20"/>
                <w:szCs w:val="20"/>
                <w:color w:val="auto"/>
              </w:rPr>
            </w:pPr>
            <w:r>
              <w:rPr>
                <w:rFonts w:ascii="Courier New" w:cs="Courier New" w:eastAsia="Courier New" w:hAnsi="Courier New"/>
                <w:sz w:val="14"/>
                <w:szCs w:val="14"/>
                <w:color w:val="auto"/>
              </w:rPr>
              <w:t>"Disposition Payment</w:t>
            </w:r>
          </w:p>
        </w:tc>
      </w:tr>
      <w:tr>
        <w:trPr>
          <w:trHeight w:val="161"/>
        </w:trPr>
        <w:tc>
          <w:tcPr>
            <w:tcW w:w="1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Date", with respect to a Disposition,</w:t>
            </w:r>
          </w:p>
        </w:tc>
      </w:tr>
      <w:tr>
        <w:trPr>
          <w:trHeight w:val="161"/>
        </w:trPr>
        <w:tc>
          <w:tcPr>
            <w:tcW w:w="1800" w:type="dxa"/>
            <w:vAlign w:val="bottom"/>
          </w:tcPr>
          <w:p>
            <w:pPr>
              <w:spacing w:after="0"/>
              <w:rPr>
                <w:sz w:val="13"/>
                <w:szCs w:val="13"/>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spacing w:after="0"/>
              <w:rPr>
                <w:sz w:val="13"/>
                <w:szCs w:val="13"/>
                <w:color w:val="auto"/>
              </w:rPr>
            </w:pP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means the date established by Viacom for</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payment of the amount due on the CVRs in</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respect of such Disposition, which in no</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event shall be more than 30 days after</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the date on which such Disposition was</w:t>
            </w:r>
          </w:p>
        </w:tc>
      </w:tr>
      <w:tr>
        <w:trPr>
          <w:trHeight w:val="161"/>
        </w:trPr>
        <w:tc>
          <w:tcPr>
            <w:tcW w:w="1800" w:type="dxa"/>
            <w:vAlign w:val="bottom"/>
          </w:tcPr>
          <w:p>
            <w:pPr>
              <w:spacing w:after="0"/>
              <w:rPr>
                <w:sz w:val="13"/>
                <w:szCs w:val="13"/>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consummated.</w:t>
            </w:r>
          </w:p>
        </w:tc>
        <w:tc>
          <w:tcPr>
            <w:tcW w:w="2260" w:type="dxa"/>
            <w:vAlign w:val="bottom"/>
          </w:tcPr>
          <w:p>
            <w:pPr>
              <w:ind w:left="80"/>
              <w:spacing w:after="0"/>
              <w:rPr>
                <w:sz w:val="20"/>
                <w:szCs w:val="20"/>
                <w:color w:val="auto"/>
              </w:rPr>
            </w:pPr>
            <w:r>
              <w:rPr>
                <w:rFonts w:ascii="Courier New" w:cs="Courier New" w:eastAsia="Courier New" w:hAnsi="Courier New"/>
                <w:sz w:val="14"/>
                <w:szCs w:val="14"/>
                <w:color w:val="auto"/>
              </w:rPr>
              <w:t>"Default Payment Date"</w:t>
            </w:r>
          </w:p>
        </w:tc>
      </w:tr>
      <w:tr>
        <w:trPr>
          <w:trHeight w:val="161"/>
        </w:trPr>
        <w:tc>
          <w:tcPr>
            <w:tcW w:w="1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means the date on which the CVRs become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due and payable upon the declaration</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thereof following an Event of Default.</w:t>
            </w:r>
          </w:p>
        </w:tc>
      </w:tr>
      <w:tr>
        <w:trPr>
          <w:trHeight w:val="322"/>
        </w:trPr>
        <w:tc>
          <w:tcPr>
            <w:tcW w:w="1800" w:type="dxa"/>
            <w:vAlign w:val="bottom"/>
          </w:tcPr>
          <w:p>
            <w:pPr>
              <w:spacing w:after="0"/>
              <w:rPr>
                <w:sz w:val="20"/>
                <w:szCs w:val="20"/>
                <w:color w:val="auto"/>
              </w:rPr>
            </w:pPr>
            <w:r>
              <w:rPr>
                <w:rFonts w:ascii="Courier New" w:cs="Courier New" w:eastAsia="Courier New" w:hAnsi="Courier New"/>
                <w:sz w:val="14"/>
                <w:szCs w:val="14"/>
                <w:color w:val="auto"/>
              </w:rPr>
              <w:t>Events of Default:</w:t>
            </w: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"Event of Default", with respect to the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CVRs, means any of the following which</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shall have occurred and be continuing;</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(a) default in the payment of all or any</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part of the amounts payable in respect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of any of the CVRs as and when the same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shall become due and payable following</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the Maturity Date, the First Extended</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Maturity Date or the Second Extended</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Maturity Date, the Disposition Payment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Date or otherwise; (b) material default</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 the performance, or material breach,</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of any material covenant or warranty of</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Viacom, and continuance of such material</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default or breach for a period of 90</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days after written notice has been given</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to Viacom by the Trustee or to Viacom</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and the Trustee by CVR Holders holding</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8"/>
              </w:rPr>
              <w:t>at least 25% of the outstanding CVRs; or</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 certain events of bankruptcy,</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insolvency, reorganization or other</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similar events in respect of Viacom.</w:t>
            </w:r>
          </w:p>
        </w:tc>
      </w:tr>
      <w:tr>
        <w:trPr>
          <w:trHeight w:val="322"/>
        </w:trPr>
        <w:tc>
          <w:tcPr>
            <w:tcW w:w="1800" w:type="dxa"/>
            <w:vAlign w:val="bottom"/>
          </w:tcPr>
          <w:p>
            <w:pPr>
              <w:spacing w:after="0"/>
              <w:rPr>
                <w:sz w:val="20"/>
                <w:szCs w:val="20"/>
                <w:color w:val="auto"/>
              </w:rPr>
            </w:pPr>
            <w:r>
              <w:rPr>
                <w:rFonts w:ascii="Courier New" w:cs="Courier New" w:eastAsia="Courier New" w:hAnsi="Courier New"/>
                <w:sz w:val="14"/>
                <w:szCs w:val="14"/>
                <w:color w:val="auto"/>
              </w:rPr>
              <w:t>Antidilution:</w:t>
            </w: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If Viacom shall in any manner subdivide</w:t>
            </w:r>
          </w:p>
        </w:tc>
      </w:tr>
      <w:tr>
        <w:trPr>
          <w:trHeight w:val="161"/>
        </w:trPr>
        <w:tc>
          <w:tcPr>
            <w:tcW w:w="1800" w:type="dxa"/>
            <w:vAlign w:val="bottom"/>
          </w:tcPr>
          <w:p>
            <w:pPr>
              <w:spacing w:after="0"/>
              <w:rPr>
                <w:sz w:val="13"/>
                <w:szCs w:val="13"/>
                <w:color w:val="auto"/>
              </w:rPr>
            </w:pPr>
          </w:p>
        </w:tc>
        <w:tc>
          <w:tcPr>
            <w:tcW w:w="3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(by stock split, stock dividend or</w:t>
            </w:r>
          </w:p>
        </w:tc>
      </w:tr>
      <w:tr>
        <w:trPr>
          <w:trHeight w:val="322"/>
        </w:trPr>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I-75</w:t>
            </w:r>
          </w:p>
        </w:tc>
      </w:tr>
    </w:tbl>
    <w:p>
      <w:pPr>
        <w:sectPr>
          <w:pgSz w:w="11900" w:h="16838" w:orient="portrait"/>
          <w:cols w:equalWidth="0" w:num="1">
            <w:col w:w="10239"/>
          </w:cols>
          <w:pgMar w:left="220" w:top="761" w:right="1440" w:bottom="1440" w:gutter="0" w:footer="0" w:header="0"/>
        </w:sectPr>
      </w:pPr>
    </w:p>
    <w:bookmarkStart w:id="274" w:name="page275"/>
    <w:bookmarkEnd w:id="274"/>
    <w:p>
      <w:pPr>
        <w:ind w:left="5360"/>
        <w:spacing w:after="0"/>
        <w:rPr>
          <w:sz w:val="20"/>
          <w:szCs w:val="20"/>
          <w:color w:val="auto"/>
        </w:rPr>
      </w:pPr>
      <w:r>
        <w:rPr>
          <w:rFonts w:ascii="Courier New" w:cs="Courier New" w:eastAsia="Courier New" w:hAnsi="Courier New"/>
          <w:sz w:val="13"/>
          <w:szCs w:val="13"/>
          <w:color w:val="auto"/>
        </w:rPr>
        <w:t>5</w:t>
      </w:r>
    </w:p>
    <w:p>
      <w:pPr>
        <w:spacing w:after="0" w:line="33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otherwise) or combine (by reverse stock</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split or otherwise) the number of</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outstanding shares of Class B Common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Stock, Viacom shall correspondingly</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subdivide or combine the CVRs and shall</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appropriately adjust the Target Price,</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Minimum Price and the Discounted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Target Price.</w:t>
      </w:r>
    </w:p>
    <w:p>
      <w:pPr>
        <w:sectPr>
          <w:pgSz w:w="11900" w:h="16838" w:orient="portrait"/>
          <w:cols w:equalWidth="0" w:num="1">
            <w:col w:w="10239"/>
          </w:cols>
          <w:pgMar w:left="220" w:top="764"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 of Viacom, National Amusements,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or any of their affiliates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trade in shares of Class B Common Stock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during the period commencing 10 trading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 before the Valuation Period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ending on the last day of the Valuation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Period, except with respect to employee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and other incentive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arrangements.</w:t>
      </w:r>
    </w:p>
    <w:p>
      <w:pPr>
        <w:spacing w:after="0" w:line="163" w:lineRule="exact"/>
        <w:rPr>
          <w:sz w:val="20"/>
          <w:szCs w:val="20"/>
          <w:color w:val="auto"/>
        </w:rPr>
      </w:pPr>
    </w:p>
    <w:p>
      <w:pPr>
        <w:sectPr>
          <w:pgSz w:w="11900" w:h="16838" w:orient="portrait"/>
          <w:cols w:equalWidth="0" w:num="2">
            <w:col w:w="1380" w:space="72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 Fractional CVRs: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No fraction of a CVR will be issued in</w:t>
      </w:r>
    </w:p>
    <w:p>
      <w:pPr>
        <w:spacing w:after="0" w:line="1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3"/>
          <w:szCs w:val="13"/>
          <w:color w:val="auto"/>
        </w:rPr>
        <w:t>In lieu thereof, a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will be made in an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equivalent to the fair market value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fraction of the CVR.</w:t>
      </w:r>
    </w:p>
    <w:p>
      <w:pPr>
        <w:spacing w:after="0" w:line="163" w:lineRule="exact"/>
        <w:rPr>
          <w:sz w:val="20"/>
          <w:szCs w:val="20"/>
          <w:color w:val="auto"/>
        </w:rPr>
      </w:pPr>
    </w:p>
    <w:p>
      <w:pPr>
        <w:sectPr>
          <w:pgSz w:w="11900" w:h="16838" w:orient="portrait"/>
          <w:cols w:equalWidth="0" w:num="2">
            <w:col w:w="1600" w:space="50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CVR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CVRs will be issued pursuant 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Agreement between Viacom and the</w:t>
      </w:r>
    </w:p>
    <w:p>
      <w:pPr>
        <w:spacing w:after="0" w:line="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3"/>
          <w:szCs w:val="13"/>
          <w:color w:val="auto"/>
        </w:rPr>
        <w:t>Viacom shall use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reasonable best efforts to cause the CVR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to be qualified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Trust Indenture Act of 1939, as amended.</w:t>
      </w:r>
    </w:p>
    <w:p>
      <w:pPr>
        <w:spacing w:after="0" w:line="172" w:lineRule="exact"/>
        <w:rPr>
          <w:sz w:val="20"/>
          <w:szCs w:val="20"/>
          <w:color w:val="auto"/>
        </w:rPr>
      </w:pPr>
    </w:p>
    <w:p>
      <w:pPr>
        <w:sectPr>
          <w:pgSz w:w="11900" w:h="16838" w:orient="portrait"/>
          <w:cols w:equalWidth="0" w:num="2">
            <w:col w:w="1380" w:space="720"/>
            <w:col w:w="8139"/>
          </w:cols>
          <w:pgMar w:left="220" w:top="76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Registration/Listing: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CVRs will be issued in registered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and Viacom shall use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reasonable best efforts to list the CVRs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American Stock Exchange (or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securities exchange on which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Class B Common Stock are then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w:t>
      </w:r>
    </w:p>
    <w:p>
      <w:pPr>
        <w:spacing w:after="0" w:line="166" w:lineRule="exact"/>
        <w:rPr>
          <w:sz w:val="20"/>
          <w:szCs w:val="20"/>
          <w:color w:val="auto"/>
        </w:rPr>
      </w:pPr>
    </w:p>
    <w:p>
      <w:pPr>
        <w:sectPr>
          <w:pgSz w:w="11900" w:h="16838" w:orient="portrait"/>
          <w:cols w:equalWidth="0" w:num="2">
            <w:col w:w="1760" w:space="340"/>
            <w:col w:w="8139"/>
          </w:cols>
          <w:pgMar w:left="220" w:top="764"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Nature and Ranking of</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CVRs: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CVRs are unsecured obligations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and will rank equally with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 unsecured obligations of Viacom.</w:t>
      </w:r>
    </w:p>
    <w:p>
      <w:pPr>
        <w:spacing w:after="0" w:line="175" w:lineRule="exact"/>
        <w:rPr>
          <w:sz w:val="20"/>
          <w:szCs w:val="20"/>
          <w:color w:val="auto"/>
        </w:rPr>
      </w:pPr>
    </w:p>
    <w:p>
      <w:pPr>
        <w:sectPr>
          <w:pgSz w:w="11900" w:h="16838" w:orient="portrait"/>
          <w:cols w:equalWidth="0" w:num="2">
            <w:col w:w="1760" w:space="340"/>
            <w:col w:w="8139"/>
          </w:cols>
          <w:pgMar w:left="220" w:top="764"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3"/>
          <w:szCs w:val="13"/>
          <w:color w:val="auto"/>
        </w:rPr>
        <w:t>I-76</w:t>
      </w:r>
    </w:p>
    <w:p>
      <w:pPr>
        <w:sectPr>
          <w:pgSz w:w="11900" w:h="16838" w:orient="portrait"/>
          <w:cols w:equalWidth="0" w:num="1">
            <w:col w:w="10239"/>
          </w:cols>
          <w:pgMar w:left="220" w:top="764" w:right="1440" w:bottom="1440" w:gutter="0" w:footer="0" w:header="0"/>
          <w:type w:val="continuous"/>
        </w:sectPr>
      </w:pPr>
    </w:p>
    <w:bookmarkStart w:id="275" w:name="page276"/>
    <w:bookmarkEnd w:id="275"/>
    <w:p>
      <w:pPr>
        <w:jc w:val="center"/>
        <w:ind w:right="-60"/>
        <w:spacing w:after="0"/>
        <w:rPr>
          <w:sz w:val="20"/>
          <w:szCs w:val="20"/>
          <w:color w:val="auto"/>
        </w:rPr>
      </w:pPr>
      <w:r>
        <w:rPr>
          <w:rFonts w:ascii="Courier New" w:cs="Courier New" w:eastAsia="Courier New" w:hAnsi="Courier New"/>
          <w:sz w:val="14"/>
          <w:szCs w:val="14"/>
          <w:color w:val="auto"/>
        </w:rPr>
        <w:t>ANNEX D</w:t>
      </w:r>
    </w:p>
    <w:p>
      <w:pPr>
        <w:spacing w:after="0" w:line="324"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Principal Terms of Three Year Warrants</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0"/>
          <w:szCs w:val="20"/>
          <w:color w:val="auto"/>
        </w:rPr>
      </w:pPr>
    </w:p>
    <w:p>
      <w:pPr>
        <w:ind w:right="4539" w:firstLine="837"/>
        <w:spacing w:after="0" w:line="242" w:lineRule="auto"/>
        <w:rPr>
          <w:sz w:val="20"/>
          <w:szCs w:val="20"/>
          <w:color w:val="auto"/>
        </w:rPr>
      </w:pPr>
      <w:r>
        <w:rPr>
          <w:rFonts w:ascii="Courier New" w:cs="Courier New" w:eastAsia="Courier New" w:hAnsi="Courier New"/>
          <w:sz w:val="14"/>
          <w:szCs w:val="14"/>
          <w:color w:val="auto"/>
        </w:rPr>
        <w:t>Each Three Year Warrant will entitle the holder thereof to purchase one share of Viacom Class B Common Stock per whole Three Year Warrant at any time prior to the third anniversary of the Merger at a price of $60.00, payable in cash. The terms of the Three Year Warrants will include customary anti-dilution (with respect to stock splits, stock dividends, reverse stock splits or other similar subdivisions or combinations of stock) and other provisions. No fraction of a Three Year Warrant will be issued</w:t>
      </w:r>
    </w:p>
    <w:p>
      <w:pPr>
        <w:spacing w:after="0" w:line="8" w:lineRule="exact"/>
        <w:rPr>
          <w:sz w:val="20"/>
          <w:szCs w:val="20"/>
          <w:color w:val="auto"/>
        </w:rPr>
      </w:pPr>
    </w:p>
    <w:p>
      <w:pPr>
        <w:ind w:right="4959"/>
        <w:spacing w:after="0" w:line="241" w:lineRule="auto"/>
        <w:rPr>
          <w:sz w:val="20"/>
          <w:szCs w:val="20"/>
          <w:color w:val="auto"/>
        </w:rPr>
      </w:pPr>
      <w:r>
        <w:rPr>
          <w:rFonts w:ascii="Courier New" w:cs="Courier New" w:eastAsia="Courier New" w:hAnsi="Courier New"/>
          <w:sz w:val="14"/>
          <w:szCs w:val="14"/>
          <w:color w:val="auto"/>
        </w:rPr>
        <w:t>in the Merger. In lieu thereof, a cash payment will be made in an amount determined in accordance with Section 1.7 of this Agreement.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I-77</w:t>
      </w:r>
    </w:p>
    <w:p>
      <w:pPr>
        <w:sectPr>
          <w:pgSz w:w="11900" w:h="16838" w:orient="portrait"/>
          <w:cols w:equalWidth="0" w:num="1">
            <w:col w:w="10239"/>
          </w:cols>
          <w:pgMar w:left="220" w:top="761" w:right="1440" w:bottom="1440" w:gutter="0" w:footer="0" w:header="0"/>
        </w:sectPr>
      </w:pPr>
    </w:p>
    <w:bookmarkStart w:id="276" w:name="page277"/>
    <w:bookmarkEnd w:id="276"/>
    <w:p>
      <w:pPr>
        <w:jc w:val="center"/>
        <w:ind w:right="-60"/>
        <w:spacing w:after="0"/>
        <w:rPr>
          <w:sz w:val="20"/>
          <w:szCs w:val="20"/>
          <w:color w:val="auto"/>
        </w:rPr>
      </w:pPr>
      <w:r>
        <w:rPr>
          <w:rFonts w:ascii="Courier New" w:cs="Courier New" w:eastAsia="Courier New" w:hAnsi="Courier New"/>
          <w:sz w:val="13"/>
          <w:szCs w:val="13"/>
          <w:color w:val="auto"/>
        </w:rPr>
        <w:t>ANNEX E</w:t>
      </w:r>
    </w:p>
    <w:p>
      <w:pPr>
        <w:spacing w:after="0" w:line="33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Principal Terms of Five Year Warrants</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0"/>
          <w:szCs w:val="20"/>
          <w:color w:val="auto"/>
        </w:rPr>
      </w:pPr>
    </w:p>
    <w:p>
      <w:pPr>
        <w:ind w:right="4799" w:firstLine="837"/>
        <w:spacing w:after="0" w:line="243" w:lineRule="auto"/>
        <w:rPr>
          <w:sz w:val="20"/>
          <w:szCs w:val="20"/>
          <w:color w:val="auto"/>
        </w:rPr>
      </w:pPr>
      <w:r>
        <w:rPr>
          <w:rFonts w:ascii="Courier New" w:cs="Courier New" w:eastAsia="Courier New" w:hAnsi="Courier New"/>
          <w:sz w:val="14"/>
          <w:szCs w:val="14"/>
          <w:color w:val="auto"/>
        </w:rPr>
        <w:t>Each Five Year Warrant will entitle the holder thereof to purchase one share of Viacom Class B Common Stock per whole Five Year Warrant at any time prior to the fifth anniversary of the Merger at a price of $70.00, exercisable for cash or by exchanging, if issued, either Viacom Exchange Preferred Stock with an equivalent liquidation preference or an equivalent principal amount of Viacom Exchange Debentures. The terms of the Five Year Warrants will include customary anti-dilution (with respect to stock splits, stock dividends, reverse stock splits or other similar subdivisions or combinations of stock) and other provisions. No fraction of a Five Year Warrant will be issued in the Merger. In lieu thereof, a cash payment will be made in an amount determined in accordance with Section 1.7 of this Agreement.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I-78</w:t>
      </w:r>
    </w:p>
    <w:p>
      <w:pPr>
        <w:sectPr>
          <w:pgSz w:w="11900" w:h="16838" w:orient="portrait"/>
          <w:cols w:equalWidth="0" w:num="1">
            <w:col w:w="10239"/>
          </w:cols>
          <w:pgMar w:left="220" w:top="764" w:right="1440" w:bottom="1440" w:gutter="0" w:footer="0" w:header="0"/>
        </w:sectPr>
      </w:pPr>
    </w:p>
    <w:bookmarkStart w:id="277" w:name="page278"/>
    <w:bookmarkEnd w:id="277"/>
    <w:p>
      <w:pPr>
        <w:ind w:left="2260"/>
        <w:spacing w:after="0"/>
        <w:rPr>
          <w:sz w:val="20"/>
          <w:szCs w:val="20"/>
          <w:color w:val="auto"/>
        </w:rPr>
      </w:pPr>
      <w:r>
        <w:rPr>
          <w:rFonts w:ascii="Courier New" w:cs="Courier New" w:eastAsia="Courier New" w:hAnsi="Courier New"/>
          <w:sz w:val="14"/>
          <w:szCs w:val="14"/>
          <w:color w:val="auto"/>
        </w:rPr>
        <w:t>EXHIBIT 6.14</w:t>
      </w:r>
    </w:p>
    <w:p>
      <w:pPr>
        <w:spacing w:after="0" w:line="32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FORM OF AFFILIATE LETTER</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 Broadway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10036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66" w:lineRule="exact"/>
        <w:rPr>
          <w:sz w:val="20"/>
          <w:szCs w:val="20"/>
          <w:color w:val="auto"/>
        </w:rPr>
      </w:pPr>
    </w:p>
    <w:p>
      <w:pPr>
        <w:jc w:val="both"/>
        <w:ind w:right="4879" w:firstLine="837"/>
        <w:spacing w:after="0" w:line="262" w:lineRule="auto"/>
        <w:rPr>
          <w:sz w:val="20"/>
          <w:szCs w:val="20"/>
          <w:color w:val="auto"/>
        </w:rPr>
      </w:pPr>
      <w:r>
        <w:rPr>
          <w:rFonts w:ascii="Courier New" w:cs="Courier New" w:eastAsia="Courier New" w:hAnsi="Courier New"/>
          <w:sz w:val="13"/>
          <w:szCs w:val="13"/>
          <w:color w:val="auto"/>
        </w:rPr>
        <w:t>I have been advised that as of the date of this letter I may be deemed to be an "affiliate" of Paramount Communications Inc., a Delaware corporation (the "Company"), as the term</w:t>
      </w:r>
    </w:p>
    <w:p>
      <w:pPr>
        <w:ind w:left="294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879"/>
        <w:spacing w:after="0" w:line="239" w:lineRule="auto"/>
        <w:rPr>
          <w:sz w:val="20"/>
          <w:szCs w:val="20"/>
          <w:color w:val="auto"/>
        </w:rPr>
      </w:pPr>
      <w:r>
        <w:rPr>
          <w:rFonts w:ascii="Courier New" w:cs="Courier New" w:eastAsia="Courier New" w:hAnsi="Courier New"/>
          <w:sz w:val="14"/>
          <w:szCs w:val="14"/>
          <w:color w:val="auto"/>
        </w:rPr>
        <w:t>"affiliate" is defined for purposes of paragraphs (c) and (d) of Rule 145 of the rules and regulations (the "Rules and</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Regulations") of the Securities and Exchange Commission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under the Securities Act of 1933, as amended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"Act").</w:t>
      </w:r>
      <w:r>
        <w:rPr>
          <w:sz w:val="20"/>
          <w:szCs w:val="20"/>
          <w:color w:val="auto"/>
        </w:rPr>
        <w:tab/>
      </w:r>
      <w:r>
        <w:rPr>
          <w:rFonts w:ascii="Courier New" w:cs="Courier New" w:eastAsia="Courier New" w:hAnsi="Courier New"/>
          <w:sz w:val="13"/>
          <w:szCs w:val="13"/>
          <w:color w:val="auto"/>
        </w:rPr>
        <w:t>Pursuant to the terms of the Amended and Restated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spacing w:after="0" w:line="262" w:lineRule="auto"/>
        <w:rPr>
          <w:sz w:val="20"/>
          <w:szCs w:val="20"/>
          <w:color w:val="auto"/>
        </w:rPr>
      </w:pPr>
      <w:r>
        <w:rPr>
          <w:rFonts w:ascii="Courier New" w:cs="Courier New" w:eastAsia="Courier New" w:hAnsi="Courier New"/>
          <w:sz w:val="13"/>
          <w:szCs w:val="13"/>
          <w:color w:val="auto"/>
        </w:rPr>
        <w:t>Agreement and Plan of Merger dated as of February 4, 1994 (the "Agreement"), between Viacom Inc., a Delaware corporation</w:t>
      </w:r>
    </w:p>
    <w:p>
      <w:pPr>
        <w:ind w:left="8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and the Company, the Company will be merged with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Viacom or a wholly owned Subsidiary of Viacom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ind w:right="4799" w:firstLine="837"/>
        <w:spacing w:after="0" w:line="242" w:lineRule="auto"/>
        <w:rPr>
          <w:sz w:val="20"/>
          <w:szCs w:val="20"/>
          <w:color w:val="auto"/>
        </w:rPr>
      </w:pPr>
      <w:r>
        <w:rPr>
          <w:rFonts w:ascii="Courier New" w:cs="Courier New" w:eastAsia="Courier New" w:hAnsi="Courier New"/>
          <w:sz w:val="14"/>
          <w:szCs w:val="14"/>
          <w:color w:val="auto"/>
        </w:rPr>
        <w:t>As a result of the Merger, I may receive (i) shares of Class B common stock, par value $.01 per share, of Viacom, (ii) 8% exchangeable subordinated debentures of Viacom, (iii) CVRs (as defined in the Agreement) and (iv) Warrants (as defined in the Agreement) (collectively, the "Viacom Securities"). I would</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both"/>
        <w:ind w:right="4799"/>
        <w:spacing w:after="0" w:line="241" w:lineRule="auto"/>
        <w:rPr>
          <w:sz w:val="20"/>
          <w:szCs w:val="20"/>
          <w:color w:val="auto"/>
        </w:rPr>
      </w:pPr>
      <w:r>
        <w:rPr>
          <w:rFonts w:ascii="Courier New" w:cs="Courier New" w:eastAsia="Courier New" w:hAnsi="Courier New"/>
          <w:sz w:val="14"/>
          <w:szCs w:val="14"/>
          <w:color w:val="auto"/>
        </w:rPr>
        <w:t>receive such securities in exchange for, respectively, shares (or options for shares) owned by me of common stock, par value $1.00 per share, of the Company (the "Company Securities").</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jc w:val="both"/>
        <w:ind w:right="4799" w:firstLine="837"/>
        <w:spacing w:after="0" w:line="276" w:lineRule="auto"/>
        <w:rPr>
          <w:sz w:val="20"/>
          <w:szCs w:val="20"/>
          <w:color w:val="auto"/>
        </w:rPr>
      </w:pPr>
      <w:r>
        <w:rPr>
          <w:rFonts w:ascii="Courier New" w:cs="Courier New" w:eastAsia="Courier New" w:hAnsi="Courier New"/>
          <w:sz w:val="13"/>
          <w:szCs w:val="13"/>
          <w:color w:val="auto"/>
        </w:rPr>
        <w:t>I represent, warrant and covenant to Viacom that in the event I receive any Viacom Securities as a result of the Merger:</w:t>
      </w:r>
    </w:p>
    <w:p>
      <w:pPr>
        <w:spacing w:after="0" w:line="144" w:lineRule="exact"/>
        <w:rPr>
          <w:sz w:val="20"/>
          <w:szCs w:val="20"/>
          <w:color w:val="auto"/>
        </w:rPr>
      </w:pPr>
    </w:p>
    <w:p>
      <w:pPr>
        <w:ind w:left="420" w:right="4799" w:firstLine="423"/>
        <w:spacing w:after="0" w:line="241" w:lineRule="auto"/>
        <w:tabs>
          <w:tab w:leader="none" w:pos="125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shall not make any sale, transfer or other disposition of the Viacom Securities in violation of the Act or the Rules and Regulations.</w:t>
      </w:r>
    </w:p>
    <w:p>
      <w:pPr>
        <w:spacing w:after="0" w:line="165" w:lineRule="exact"/>
        <w:rPr>
          <w:rFonts w:ascii="Courier New" w:cs="Courier New" w:eastAsia="Courier New" w:hAnsi="Courier New"/>
          <w:sz w:val="14"/>
          <w:szCs w:val="14"/>
          <w:color w:val="auto"/>
        </w:rPr>
      </w:pPr>
    </w:p>
    <w:p>
      <w:pPr>
        <w:ind w:left="420" w:right="4879" w:firstLine="423"/>
        <w:spacing w:after="0" w:line="242" w:lineRule="auto"/>
        <w:tabs>
          <w:tab w:leader="none" w:pos="125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carefully read this letter and the Agreement and discussed the requirements of such documents and other applicable limitations upon my ability to sell, transfer or otherwise dispose of Viacom Securities to the extent I felt necessary, with my counsel or counsel for the Company.</w:t>
      </w:r>
    </w:p>
    <w:p>
      <w:pPr>
        <w:spacing w:after="0" w:line="166" w:lineRule="exact"/>
        <w:rPr>
          <w:rFonts w:ascii="Courier New" w:cs="Courier New" w:eastAsia="Courier New" w:hAnsi="Courier New"/>
          <w:sz w:val="14"/>
          <w:szCs w:val="14"/>
          <w:color w:val="auto"/>
        </w:rPr>
      </w:pPr>
    </w:p>
    <w:p>
      <w:pPr>
        <w:ind w:left="420" w:right="4799" w:firstLine="423"/>
        <w:spacing w:after="0" w:line="242" w:lineRule="auto"/>
        <w:tabs>
          <w:tab w:leader="none" w:pos="125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been advised that the issuance of Viacom Securities to me pursuant to the Merger has been registered with the Commission under the Act on a Registration Statement Form S-4. However, I have also been advised that, because at the time the Merger is submitted for a vote of the stockholders of the Company, (a) I may be deemed to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I-79</w:t>
      </w:r>
    </w:p>
    <w:p>
      <w:pPr>
        <w:sectPr>
          <w:pgSz w:w="11900" w:h="16838" w:orient="portrait"/>
          <w:cols w:equalWidth="0" w:num="1">
            <w:col w:w="10239"/>
          </w:cols>
          <w:pgMar w:left="220" w:top="761" w:right="1440" w:bottom="1440" w:gutter="0" w:footer="0" w:header="0"/>
        </w:sectPr>
      </w:pPr>
    </w:p>
    <w:bookmarkStart w:id="278" w:name="page279"/>
    <w:bookmarkEnd w:id="278"/>
    <w:p>
      <w:pPr>
        <w:jc w:val="right"/>
        <w:ind w:right="4799"/>
        <w:spacing w:after="0"/>
        <w:rPr>
          <w:sz w:val="20"/>
          <w:szCs w:val="20"/>
          <w:color w:val="auto"/>
        </w:rPr>
      </w:pPr>
      <w:r>
        <w:rPr>
          <w:rFonts w:ascii="Courier New" w:cs="Courier New" w:eastAsia="Courier New" w:hAnsi="Courier New"/>
          <w:sz w:val="14"/>
          <w:szCs w:val="14"/>
          <w:color w:val="auto"/>
        </w:rPr>
        <w:t>2</w:t>
      </w:r>
    </w:p>
    <w:p>
      <w:pPr>
        <w:spacing w:after="0" w:line="32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 affiliate of the Company and (b) the distribution by me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the Viacom Securities has not been registered under the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Act, I may not sell, transfer or otherwise dispose of Viacom</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Securities issued to me in the Merger unless (i) such sale,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transfer or other disposition is made in conformity with the</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volume and other limitations of Rule 145 promulgated by the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Commission under the Act, (ii) such sale, transfer or other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disposition has been registered under the Act or (iii) in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the opinion of counsel reasonably acceptable to Viacom, such</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sale, transfer or other disposition is otherwise exempt from</w:t>
      </w:r>
    </w:p>
    <w:p>
      <w:pPr>
        <w:spacing w:after="0" w:line="1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registration under the Act.</w:t>
      </w:r>
    </w:p>
    <w:p>
      <w:pPr>
        <w:spacing w:after="0" w:line="166" w:lineRule="exact"/>
        <w:rPr>
          <w:sz w:val="20"/>
          <w:szCs w:val="20"/>
          <w:color w:val="auto"/>
        </w:rPr>
      </w:pPr>
    </w:p>
    <w:p>
      <w:pPr>
        <w:ind w:left="420" w:right="4799" w:firstLine="423"/>
        <w:spacing w:after="0" w:line="242" w:lineRule="auto"/>
        <w:tabs>
          <w:tab w:leader="none" w:pos="1257"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understand that Viacom is under no obligation to register the sale, transfer or other disposition of the Viacom Securities by me or on my behalf under the Act or to take any other action necessary in order to make compliance with an exemption from such registration available solely as a result of the Merger.</w:t>
      </w:r>
    </w:p>
    <w:p>
      <w:pPr>
        <w:spacing w:after="0" w:line="166" w:lineRule="exact"/>
        <w:rPr>
          <w:rFonts w:ascii="Courier New" w:cs="Courier New" w:eastAsia="Courier New" w:hAnsi="Courier New"/>
          <w:sz w:val="14"/>
          <w:szCs w:val="14"/>
          <w:color w:val="auto"/>
        </w:rPr>
      </w:pPr>
    </w:p>
    <w:p>
      <w:pPr>
        <w:ind w:left="420" w:right="4799" w:firstLine="423"/>
        <w:spacing w:after="0" w:line="241" w:lineRule="auto"/>
        <w:tabs>
          <w:tab w:leader="none" w:pos="1257"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also understand that there will be placed on the certificates for the Viacom Securities issued to me, or any substitutions therefor, a legend stating in substance:</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[SHARES] [RIGHTS] [DEBENTURES] [WARRANTS]</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REPRESENTED BY THIS CERTIFICATE WERE ISSUED IN A</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TRANSACTION TO WHICH RULE 145 PROMULGATED UNDER THE</w:t>
      </w:r>
    </w:p>
    <w:p>
      <w:pPr>
        <w:spacing w:after="0" w:line="2" w:lineRule="exact"/>
        <w:rPr>
          <w:sz w:val="20"/>
          <w:szCs w:val="20"/>
          <w:color w:val="auto"/>
        </w:rPr>
      </w:pPr>
    </w:p>
    <w:p>
      <w:pPr>
        <w:ind w:left="840"/>
        <w:spacing w:after="0"/>
        <w:tabs>
          <w:tab w:leader="none" w:pos="3580" w:val="left"/>
        </w:tabs>
        <w:rPr>
          <w:sz w:val="20"/>
          <w:szCs w:val="20"/>
          <w:color w:val="auto"/>
        </w:rPr>
      </w:pPr>
      <w:r>
        <w:rPr>
          <w:rFonts w:ascii="Courier New" w:cs="Courier New" w:eastAsia="Courier New" w:hAnsi="Courier New"/>
          <w:sz w:val="14"/>
          <w:szCs w:val="14"/>
          <w:color w:val="auto"/>
        </w:rPr>
        <w:t>SECURITIES ACT OF 1933 APPLIES.</w:t>
      </w:r>
      <w:r>
        <w:rPr>
          <w:sz w:val="20"/>
          <w:szCs w:val="20"/>
          <w:color w:val="auto"/>
        </w:rPr>
        <w:tab/>
      </w:r>
      <w:r>
        <w:rPr>
          <w:rFonts w:ascii="Courier New" w:cs="Courier New" w:eastAsia="Courier New" w:hAnsi="Courier New"/>
          <w:sz w:val="13"/>
          <w:szCs w:val="13"/>
          <w:color w:val="auto"/>
        </w:rPr>
        <w:t>THE [SHARES] [RIGHTS]</w:t>
      </w:r>
    </w:p>
    <w:p>
      <w:pPr>
        <w:spacing w:after="0" w:line="2" w:lineRule="exact"/>
        <w:rPr>
          <w:sz w:val="20"/>
          <w:szCs w:val="20"/>
          <w:color w:val="auto"/>
        </w:rPr>
      </w:pPr>
    </w:p>
    <w:p>
      <w:pPr>
        <w:ind w:left="840"/>
        <w:spacing w:after="0"/>
        <w:tabs>
          <w:tab w:leader="none" w:pos="2920" w:val="left"/>
        </w:tabs>
        <w:rPr>
          <w:sz w:val="20"/>
          <w:szCs w:val="20"/>
          <w:color w:val="auto"/>
        </w:rPr>
      </w:pPr>
      <w:r>
        <w:rPr>
          <w:rFonts w:ascii="Courier New" w:cs="Courier New" w:eastAsia="Courier New" w:hAnsi="Courier New"/>
          <w:sz w:val="14"/>
          <w:szCs w:val="14"/>
          <w:color w:val="auto"/>
        </w:rPr>
        <w:t>[DEBENTURES] [WARRANTS]</w:t>
      </w:r>
      <w:r>
        <w:rPr>
          <w:sz w:val="20"/>
          <w:szCs w:val="20"/>
          <w:color w:val="auto"/>
        </w:rPr>
        <w:tab/>
      </w:r>
      <w:r>
        <w:rPr>
          <w:rFonts w:ascii="Courier New" w:cs="Courier New" w:eastAsia="Courier New" w:hAnsi="Courier New"/>
          <w:sz w:val="13"/>
          <w:szCs w:val="13"/>
          <w:color w:val="auto"/>
        </w:rPr>
        <w:t>REPRESENTED BY THIS</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CERTIFICATE MAY ONLY BE TRANSFERRED IN ACCORDANCE WITH</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TERMS OF AN AGREEMENT DATED ____________ BETWEEN</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THE REGISTERED HOLDER HEREOF AND VIACOM INC., A COPY OF</w:t>
      </w:r>
    </w:p>
    <w:p>
      <w:pPr>
        <w:spacing w:after="0" w:line="11"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WHICH AGREEMENT IS ON FILE AT THE PRINCIPAL OFFICES OF</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VIACOM INC."</w:t>
      </w:r>
    </w:p>
    <w:p>
      <w:pPr>
        <w:spacing w:after="0" w:line="166" w:lineRule="exact"/>
        <w:rPr>
          <w:sz w:val="20"/>
          <w:szCs w:val="20"/>
          <w:color w:val="auto"/>
        </w:rPr>
      </w:pPr>
    </w:p>
    <w:p>
      <w:pPr>
        <w:ind w:right="4959" w:firstLine="843"/>
        <w:spacing w:after="0" w:line="242" w:lineRule="auto"/>
        <w:tabs>
          <w:tab w:leader="none" w:pos="125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also understand that unless a sale or transfer is made in conformity with the provisions of Rule 145, or pursuant to a registration statement, Viacom reserves the right to put the following legend on the certificates issued to my transferee:</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[SHARES] [RIGHTS] [DEBENTURES] [WARRANTS]</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REPRESENTED BY THIS CERTIFICATE HAVE NOT BEEN</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REGISTERED UNDER THE SECURITIES ACT OF 1933 AND WERE</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ACQUIRED FROM A PERSON WHO RECEIVED SUCH SHARES IN A</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TRANSACTION TO WHICH RULE 145 PROMULGATED UNDER THE</w:t>
      </w:r>
    </w:p>
    <w:p>
      <w:pPr>
        <w:spacing w:after="0" w:line="2" w:lineRule="exact"/>
        <w:rPr>
          <w:sz w:val="20"/>
          <w:szCs w:val="20"/>
          <w:color w:val="auto"/>
        </w:rPr>
      </w:pPr>
    </w:p>
    <w:p>
      <w:pPr>
        <w:ind w:left="840"/>
        <w:spacing w:after="0"/>
        <w:tabs>
          <w:tab w:leader="none" w:pos="3580" w:val="left"/>
        </w:tabs>
        <w:rPr>
          <w:sz w:val="20"/>
          <w:szCs w:val="20"/>
          <w:color w:val="auto"/>
        </w:rPr>
      </w:pPr>
      <w:r>
        <w:rPr>
          <w:rFonts w:ascii="Courier New" w:cs="Courier New" w:eastAsia="Courier New" w:hAnsi="Courier New"/>
          <w:sz w:val="14"/>
          <w:szCs w:val="14"/>
          <w:color w:val="auto"/>
        </w:rPr>
        <w:t>SECURITIES ACT OF 1933 APPLIES.</w:t>
      </w:r>
      <w:r>
        <w:rPr>
          <w:sz w:val="20"/>
          <w:szCs w:val="20"/>
          <w:color w:val="auto"/>
        </w:rPr>
        <w:tab/>
      </w:r>
      <w:r>
        <w:rPr>
          <w:rFonts w:ascii="Courier New" w:cs="Courier New" w:eastAsia="Courier New" w:hAnsi="Courier New"/>
          <w:sz w:val="13"/>
          <w:szCs w:val="13"/>
          <w:color w:val="auto"/>
        </w:rPr>
        <w:t>THE [SHARES] [RIGHTS]</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[DEBENTURES] [WARRANTS] HAVE BEEN ACQUIRED BY THE</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HOLDER NOT WITH A VIEW TO, OR FOR RESALE IN CONNECTION</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WITH, ANY DISTRIBUTION THEREOF WITHIN THE MEANING OF</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THE SECURITIES ACT OF 1933 AND MAY NOT BE SOLD, PLEDGED</w:t>
      </w:r>
    </w:p>
    <w:p>
      <w:pPr>
        <w:spacing w:after="0" w:line="11"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OR OTHERWISE TRANSFERRED EXCEPT IN ACCORDANCE WITH AN</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EXEMPTION FROM THE REGISTRATION REQUIREMENTS OF THE</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SECURITIES ACT OF 1933."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I-80</w:t>
      </w:r>
    </w:p>
    <w:p>
      <w:pPr>
        <w:sectPr>
          <w:pgSz w:w="11900" w:h="16838" w:orient="portrait"/>
          <w:cols w:equalWidth="0" w:num="1">
            <w:col w:w="10239"/>
          </w:cols>
          <w:pgMar w:left="220" w:top="761" w:right="1440" w:bottom="1440" w:gutter="0" w:footer="0" w:header="0"/>
        </w:sectPr>
      </w:pPr>
    </w:p>
    <w:bookmarkStart w:id="279" w:name="page280"/>
    <w:bookmarkEnd w:id="279"/>
    <w:p>
      <w:pPr>
        <w:ind w:left="5360"/>
        <w:spacing w:after="0"/>
        <w:rPr>
          <w:sz w:val="20"/>
          <w:szCs w:val="20"/>
          <w:color w:val="auto"/>
        </w:rPr>
      </w:pPr>
      <w:r>
        <w:rPr>
          <w:rFonts w:ascii="Courier New" w:cs="Courier New" w:eastAsia="Courier New" w:hAnsi="Courier New"/>
          <w:sz w:val="14"/>
          <w:szCs w:val="14"/>
          <w:color w:val="auto"/>
        </w:rPr>
        <w:t>3</w:t>
      </w:r>
    </w:p>
    <w:p>
      <w:pPr>
        <w:spacing w:after="0" w:line="327" w:lineRule="exact"/>
        <w:rPr>
          <w:sz w:val="20"/>
          <w:szCs w:val="20"/>
          <w:color w:val="auto"/>
        </w:rPr>
      </w:pPr>
    </w:p>
    <w:p>
      <w:pPr>
        <w:ind w:right="4879" w:firstLine="837"/>
        <w:spacing w:after="0" w:line="242" w:lineRule="auto"/>
        <w:rPr>
          <w:sz w:val="20"/>
          <w:szCs w:val="20"/>
          <w:color w:val="auto"/>
        </w:rPr>
      </w:pPr>
      <w:r>
        <w:rPr>
          <w:rFonts w:ascii="Courier New" w:cs="Courier New" w:eastAsia="Courier New" w:hAnsi="Courier New"/>
          <w:sz w:val="14"/>
          <w:szCs w:val="14"/>
          <w:color w:val="auto"/>
        </w:rPr>
        <w:t>It is understood and agreed that the legends set forth in paragraphs E and F above shall be removed by delivery of substitute certificates without such legend if the undersigned shall have delivered to Viacom a copy of a letter from the staff of the Commission, or an opinion of counsel reasonably satisfactory to Viacom in form and substance reasonably satisfactory to Viacom, to the effect that such legend is not required for purposes of the Act.</w:t>
      </w:r>
    </w:p>
    <w:p>
      <w:pPr>
        <w:spacing w:after="0" w:line="169" w:lineRule="exact"/>
        <w:rPr>
          <w:sz w:val="20"/>
          <w:szCs w:val="20"/>
          <w:color w:val="auto"/>
        </w:rPr>
      </w:pPr>
    </w:p>
    <w:p>
      <w:pPr>
        <w:ind w:right="4799" w:firstLine="837"/>
        <w:spacing w:after="0" w:line="242" w:lineRule="auto"/>
        <w:rPr>
          <w:sz w:val="20"/>
          <w:szCs w:val="20"/>
          <w:color w:val="auto"/>
        </w:rPr>
      </w:pPr>
      <w:r>
        <w:rPr>
          <w:rFonts w:ascii="Courier New" w:cs="Courier New" w:eastAsia="Courier New" w:hAnsi="Courier New"/>
          <w:sz w:val="14"/>
          <w:szCs w:val="14"/>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87" w:lineRule="exact"/>
        <w:rPr>
          <w:sz w:val="20"/>
          <w:szCs w:val="20"/>
          <w:color w:val="auto"/>
        </w:rPr>
      </w:pPr>
    </w:p>
    <w:p>
      <w:pPr>
        <w:ind w:left="33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w:t>
      </w:r>
    </w:p>
    <w:p>
      <w:pPr>
        <w:sectPr>
          <w:pgSz w:w="11900" w:h="16838" w:orient="portrait"/>
          <w:cols w:equalWidth="0" w:num="1">
            <w:col w:w="10239"/>
          </w:cols>
          <w:pgMar w:left="220" w:top="761" w:right="1440" w:bottom="1440" w:gutter="0" w:footer="0" w:header="0"/>
        </w:sectPr>
      </w:pP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Accepted this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 w:lineRule="exact"/>
        <w:rPr>
          <w:sz w:val="20"/>
          <w:szCs w:val="20"/>
          <w:color w:val="auto"/>
        </w:rPr>
      </w:pPr>
    </w:p>
    <w:p>
      <w:pPr>
        <w:sectPr>
          <w:pgSz w:w="11900" w:h="16838" w:orient="portrait"/>
          <w:cols w:equalWidth="0" w:num="2">
            <w:col w:w="1940" w:space="400"/>
            <w:col w:w="7899"/>
          </w:cols>
          <w:pgMar w:left="220" w:top="761" w:right="1440" w:bottom="1440" w:gutter="0" w:footer="0" w:header="0"/>
          <w:type w:val="continuous"/>
        </w:sect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3"/>
          <w:szCs w:val="13"/>
          <w:color w:val="auto"/>
        </w:rPr>
        <w:t>, 1994, by</w:t>
      </w:r>
    </w:p>
    <w:p>
      <w:pPr>
        <w:spacing w:after="0" w:line="11"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VIACOM INC.</w:t>
      </w:r>
    </w:p>
    <w:p>
      <w:pPr>
        <w:sectPr>
          <w:pgSz w:w="11900" w:h="16838" w:orient="portrait"/>
          <w:cols w:equalWidth="0" w:num="1">
            <w:col w:w="10239"/>
          </w:cols>
          <w:pgMar w:left="220" w:top="761" w:right="1440" w:bottom="1440" w:gutter="0" w:footer="0" w:header="0"/>
          <w:type w:val="continuous"/>
        </w:sectPr>
      </w:pPr>
    </w:p>
    <w:p>
      <w:pPr>
        <w:spacing w:after="0" w:line="32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60"/>
        <w:spacing w:after="0"/>
        <w:rPr>
          <w:sz w:val="20"/>
          <w:szCs w:val="20"/>
          <w:color w:val="auto"/>
        </w:rPr>
      </w:pPr>
      <w:r>
        <w:rPr>
          <w:rFonts w:ascii="Courier New" w:cs="Courier New" w:eastAsia="Courier New" w:hAnsi="Courier New"/>
          <w:sz w:val="13"/>
          <w:szCs w:val="13"/>
          <w:color w:val="auto"/>
        </w:rPr>
        <w:t>I-81</w:t>
      </w:r>
    </w:p>
    <w:p>
      <w:pPr>
        <w:sectPr>
          <w:pgSz w:w="11900" w:h="16838" w:orient="portrait"/>
          <w:cols w:equalWidth="0" w:num="1">
            <w:col w:w="10239"/>
          </w:cols>
          <w:pgMar w:left="220" w:top="761" w:right="1440" w:bottom="1440" w:gutter="0" w:footer="0" w:header="0"/>
          <w:type w:val="continuous"/>
        </w:sectPr>
      </w:pPr>
    </w:p>
    <w:bookmarkStart w:id="280" w:name="page281"/>
    <w:bookmarkEnd w:id="280"/>
    <w:p>
      <w:pPr>
        <w:spacing w:after="0"/>
        <w:tabs>
          <w:tab w:leader="none" w:pos="5260" w:val="left"/>
        </w:tabs>
        <w:rPr>
          <w:sz w:val="20"/>
          <w:szCs w:val="20"/>
          <w:color w:val="auto"/>
        </w:rPr>
      </w:pPr>
      <w:r>
        <w:rPr>
          <w:rFonts w:ascii="Courier New" w:cs="Courier New" w:eastAsia="Courier New" w:hAnsi="Courier New"/>
          <w:sz w:val="14"/>
          <w:szCs w:val="14"/>
          <w:color w:val="auto"/>
        </w:rPr>
        <w:t>PRELIMINARY COPIES</w:t>
      </w:r>
      <w:r>
        <w:rPr>
          <w:sz w:val="20"/>
          <w:szCs w:val="20"/>
          <w:color w:val="auto"/>
        </w:rPr>
        <w:tab/>
      </w:r>
      <w:r>
        <w:rPr>
          <w:rFonts w:ascii="Courier New" w:cs="Courier New" w:eastAsia="Courier New" w:hAnsi="Courier New"/>
          <w:sz w:val="13"/>
          <w:szCs w:val="13"/>
          <w:color w:val="auto"/>
        </w:rPr>
        <w:t>ANNEX II</w:t>
      </w:r>
    </w:p>
    <w:p>
      <w:pPr>
        <w:sectPr>
          <w:pgSz w:w="11900" w:h="16838" w:orient="portrait"/>
          <w:cols w:equalWidth="0" w:num="1">
            <w:col w:w="10239"/>
          </w:cols>
          <w:pgMar w:left="220" w:top="761" w:right="1440" w:bottom="1440" w:gutter="0" w:footer="0" w:header="0"/>
        </w:sectPr>
      </w:pP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3"/>
          <w:szCs w:val="13"/>
          <w:color w:val="auto"/>
        </w:rPr>
        <w:t>PARAMOUNT VOTING AGREEMENT</w:t>
      </w:r>
    </w:p>
    <w:p>
      <w:pPr>
        <w:sectPr>
          <w:pgSz w:w="11900" w:h="16838" w:orient="portrait"/>
          <w:cols w:equalWidth="0" w:num="1">
            <w:col w:w="10239"/>
          </w:cols>
          <w:pgMar w:left="220" w:top="761" w:right="1440" w:bottom="1440" w:gutter="0" w:footer="0" w:header="0"/>
          <w:type w:val="continuous"/>
        </w:sectPr>
      </w:pPr>
    </w:p>
    <w:bookmarkStart w:id="281" w:name="page282"/>
    <w:bookmarkEnd w:id="281"/>
    <w:p>
      <w:pPr>
        <w:jc w:val="center"/>
        <w:ind w:right="-480"/>
        <w:spacing w:after="0"/>
        <w:rPr>
          <w:sz w:val="20"/>
          <w:szCs w:val="20"/>
          <w:color w:val="auto"/>
        </w:rPr>
      </w:pPr>
      <w:r>
        <w:rPr>
          <w:rFonts w:ascii="Courier New" w:cs="Courier New" w:eastAsia="Courier New" w:hAnsi="Courier New"/>
          <w:sz w:val="14"/>
          <w:szCs w:val="14"/>
          <w:color w:val="auto"/>
        </w:rPr>
        <w:t>ANNEX II</w:t>
      </w: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[Conformed Copy]</w:t>
      </w:r>
    </w:p>
    <w:p>
      <w:pPr>
        <w:spacing w:after="0" w:line="32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VOTING AGREEMENT, dated as of January 21, 1994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between NATIONAL AMUSEMENTS, INC., a Maryland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(the "Stockholder"), and PARAMOUNT COMMUNICATIONS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a Delaware corporation ("Paramount").</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WHEREAS, Viacom Inc., a Delaware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and Paramount propose to enter into an Agreement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Plan of Merger, dated as of the date hereof (the "Merger</w:t>
      </w:r>
    </w:p>
    <w:p>
      <w:pPr>
        <w:spacing w:after="0" w:line="2"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which provides, among other things, that Paramount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merge with Viacom pursuant to the merger contemplated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(the "Merger");</w:t>
      </w:r>
    </w:p>
    <w:p>
      <w:pPr>
        <w:spacing w:after="0" w:line="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WHEREAS, as of the date hereof, the Stockholder owns</w:t>
      </w:r>
    </w:p>
    <w:p>
      <w:pPr>
        <w:spacing w:after="0" w:line="5" w:lineRule="exact"/>
        <w:rPr>
          <w:sz w:val="20"/>
          <w:szCs w:val="20"/>
          <w:color w:val="auto"/>
        </w:rPr>
      </w:pPr>
    </w:p>
    <w:p>
      <w:pPr>
        <w:ind w:right="5139" w:firstLine="6"/>
        <w:spacing w:after="0" w:line="262" w:lineRule="auto"/>
        <w:tabs>
          <w:tab w:leader="none" w:pos="335" w:val="left"/>
        </w:tabs>
        <w:numPr>
          <w:ilvl w:val="0"/>
          <w:numId w:val="3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45,547,214 shares of Class A Common Stock, par value $.01 per share, of Viacom ("Viacom Class A Common Stock") and</w:t>
      </w:r>
    </w:p>
    <w:p>
      <w:pPr>
        <w:ind w:left="1940"/>
        <w:spacing w:after="0" w:line="236" w:lineRule="auto"/>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5039" w:firstLine="6"/>
        <w:spacing w:after="0" w:line="262" w:lineRule="auto"/>
        <w:tabs>
          <w:tab w:leader="none" w:pos="418" w:val="left"/>
        </w:tabs>
        <w:numPr>
          <w:ilvl w:val="0"/>
          <w:numId w:val="3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46,565,414 shares of Class B Common Stock, par value $.01 per share, of Viacom ("Viacom Class B Common Stock"; together</w:t>
      </w:r>
    </w:p>
    <w:p>
      <w:pPr>
        <w:ind w:left="1940"/>
        <w:spacing w:after="0" w:line="236" w:lineRule="auto"/>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Viacom Class A Common Stock, the "Viacom Common</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WHEREAS, as a condition to the willingness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to enter into the Merger Agreement, Paramount has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that the Stockholder agree, and in order to induce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to enter into the Merger Agreement, the Stockholder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agreed, to enter into this Agreement with respect to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shares of Viacom Class A Common Stock now owned and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hereafter be acquired by the Stockholder (the "Shares").</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ind w:right="4959" w:firstLine="753"/>
        <w:spacing w:after="0" w:line="24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hereto hereby agree as follows:</w:t>
      </w:r>
    </w:p>
    <w:p>
      <w:pPr>
        <w:spacing w:after="0" w:line="32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ARTICLE I</w:t>
      </w:r>
    </w:p>
    <w:p>
      <w:pPr>
        <w:spacing w:after="0" w:line="16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VOTING OF SHARES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760"/>
        <w:spacing w:after="0"/>
        <w:tabs>
          <w:tab w:leader="none" w:pos="2000" w:val="left"/>
          <w:tab w:leader="none" w:pos="3580" w:val="left"/>
        </w:tabs>
        <w:rPr>
          <w:sz w:val="20"/>
          <w:szCs w:val="20"/>
          <w:color w:val="auto"/>
        </w:rPr>
      </w:pPr>
      <w:r>
        <w:rPr>
          <w:rFonts w:ascii="Courier New" w:cs="Courier New" w:eastAsia="Courier New" w:hAnsi="Courier New"/>
          <w:sz w:val="14"/>
          <w:szCs w:val="14"/>
          <w:color w:val="auto"/>
        </w:rPr>
        <w:t>SECTION 1.01.</w:t>
        <w:tab/>
        <w:t>Voting Agreement.</w:t>
      </w:r>
      <w:r>
        <w:rPr>
          <w:sz w:val="20"/>
          <w:szCs w:val="20"/>
          <w:color w:val="auto"/>
        </w:rPr>
        <w:tab/>
      </w:r>
      <w:r>
        <w:rPr>
          <w:rFonts w:ascii="Courier New" w:cs="Courier New" w:eastAsia="Courier New" w:hAnsi="Courier New"/>
          <w:sz w:val="13"/>
          <w:szCs w:val="13"/>
          <w:color w:val="auto"/>
        </w:rPr>
        <w:t>The Stockholder</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3" w:lineRule="auto"/>
        <w:rPr>
          <w:sz w:val="20"/>
          <w:szCs w:val="20"/>
          <w:color w:val="auto"/>
        </w:rPr>
      </w:pPr>
      <w:r>
        <w:rPr>
          <w:rFonts w:ascii="Courier New" w:cs="Courier New" w:eastAsia="Courier New" w:hAnsi="Courier New"/>
          <w:sz w:val="14"/>
          <w:szCs w:val="14"/>
          <w:color w:val="auto"/>
        </w:rPr>
        <w:t>hereby agrees that during the time this Agreement is in effect, at any meeting of the stockholders of Viacom, however called, and in any action by consent of the stockholders of Viacom, the Stockholder shall vote the Shares: (a) in favor of the Merger, the Merger Agreement (as amended from time to time) and the transactions contemplated by the Merger Agreement, including, but not limited to, the amendments to the Certificate of Incorporation of Viacom contemplated thereby, and (b) against any proposal for any recapitalization, merger, sale of assets or other business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761" w:right="1440" w:bottom="1440" w:gutter="0" w:footer="0" w:header="0"/>
        </w:sectPr>
      </w:pPr>
    </w:p>
    <w:bookmarkStart w:id="282" w:name="page283"/>
    <w:bookmarkEnd w:id="282"/>
    <w:p>
      <w:pPr>
        <w:ind w:left="268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959"/>
        <w:spacing w:after="0" w:line="241" w:lineRule="auto"/>
        <w:rPr>
          <w:sz w:val="20"/>
          <w:szCs w:val="20"/>
          <w:color w:val="auto"/>
        </w:rPr>
      </w:pPr>
      <w:r>
        <w:rPr>
          <w:rFonts w:ascii="Courier New" w:cs="Courier New" w:eastAsia="Courier New" w:hAnsi="Courier New"/>
          <w:sz w:val="14"/>
          <w:szCs w:val="14"/>
          <w:color w:val="auto"/>
        </w:rPr>
        <w:t>combination between Viacom and any person or entity (other than the Merger and any merger of Blockbuster Entertainment Corporation, a Delaware corporation ("Blockbuster"), with</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Viacom) or any other action or agreement that would result in a breach of any covenant, representation or warranty or any other obligation or agreement of Viacom under the Merger Agreement or which could result in any of the conditions to Viacom's obligations under the Merger Agreement not being fulfilled. The Stockholder acknowledges receipt and review of a copy of the Merger Agreement.</w:t>
      </w:r>
    </w:p>
    <w:p>
      <w:pPr>
        <w:spacing w:after="0" w:line="326"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4"/>
          <w:szCs w:val="14"/>
          <w:color w:val="auto"/>
        </w:rPr>
        <w:t>ARTICLE II</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REPRESENTATIONS AND WARRANTIES OF THE STOCKHOLDER</w:t>
      </w:r>
    </w:p>
    <w:p>
      <w:pPr>
        <w:spacing w:after="0" w:line="2"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The Stockholder hereby represents and warrants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as follows:</w:t>
      </w:r>
    </w:p>
    <w:p>
      <w:pPr>
        <w:spacing w:after="0" w:line="163" w:lineRule="exact"/>
        <w:rPr>
          <w:sz w:val="20"/>
          <w:szCs w:val="20"/>
          <w:color w:val="auto"/>
        </w:rPr>
      </w:pPr>
    </w:p>
    <w:p>
      <w:pPr>
        <w:ind w:left="760"/>
        <w:spacing w:after="0"/>
        <w:tabs>
          <w:tab w:leader="none" w:pos="200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3"/>
          <w:szCs w:val="13"/>
          <w:color w:val="auto"/>
        </w:rPr>
        <w:t>Authority Relative to This Agreement.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3" w:lineRule="auto"/>
        <w:rPr>
          <w:sz w:val="20"/>
          <w:szCs w:val="20"/>
          <w:color w:val="auto"/>
        </w:rPr>
      </w:pPr>
      <w:r>
        <w:rPr>
          <w:rFonts w:ascii="Courier New" w:cs="Courier New" w:eastAsia="Courier New" w:hAnsi="Courier New"/>
          <w:sz w:val="14"/>
          <w:szCs w:val="14"/>
          <w:color w:val="auto"/>
        </w:rPr>
        <w:t>The Stockholder has all necessary power and authority to execute and deliver this Agreement, to perform its obligations hereunder and to consummate the transactions contemplated hereby. The execution and delivery of this Agreement by the Stockholder and the consummation by the Stockholder of the transactions contemplated hereby have been duly and validly authorized by the Board of Directors of the Stockholder, and no other corporate proceedings on the part of the Stockholder are necessary to authorize this Agreement or to consummate such transactions. This Agreement has been duly and validly executed and delivered by the Stockholder and, assuming the due authorization, execution and delivery by Paramount, constitutes a legal, valid and binding obligation of the Stockholder, enforceable against the Stockholder in accordance with its terms.</w:t>
      </w:r>
    </w:p>
    <w:p>
      <w:pPr>
        <w:spacing w:after="0" w:line="163" w:lineRule="exact"/>
        <w:rPr>
          <w:sz w:val="20"/>
          <w:szCs w:val="20"/>
          <w:color w:val="auto"/>
        </w:rPr>
      </w:pPr>
    </w:p>
    <w:p>
      <w:pPr>
        <w:ind w:left="760"/>
        <w:spacing w:after="0"/>
        <w:tabs>
          <w:tab w:leader="none" w:pos="2000" w:val="left"/>
          <w:tab w:leader="none" w:pos="3160" w:val="left"/>
          <w:tab w:leader="none" w:pos="3580" w:val="left"/>
        </w:tabs>
        <w:rPr>
          <w:sz w:val="20"/>
          <w:szCs w:val="20"/>
          <w:color w:val="auto"/>
        </w:rPr>
      </w:pPr>
      <w:r>
        <w:rPr>
          <w:rFonts w:ascii="Courier New" w:cs="Courier New" w:eastAsia="Courier New" w:hAnsi="Courier New"/>
          <w:sz w:val="14"/>
          <w:szCs w:val="14"/>
          <w:color w:val="auto"/>
        </w:rPr>
        <w:t>SECTION 2.02.</w:t>
        <w:tab/>
        <w:t>No Conflict.</w:t>
        <w:tab/>
        <w:t>(a)</w:t>
      </w:r>
      <w:r>
        <w:rPr>
          <w:sz w:val="20"/>
          <w:szCs w:val="20"/>
          <w:color w:val="auto"/>
        </w:rPr>
        <w:tab/>
      </w:r>
      <w:r>
        <w:rPr>
          <w:rFonts w:ascii="Courier New" w:cs="Courier New" w:eastAsia="Courier New" w:hAnsi="Courier New"/>
          <w:sz w:val="13"/>
          <w:szCs w:val="13"/>
          <w:color w:val="auto"/>
        </w:rPr>
        <w:t>The execution and</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delivery of this Agreement by the Stockholder do not, and the performance of this Agreement by the Stockholder shall not, (i) conflict with or violate the Certificate of Incorporation or By-laws or equivalent organizational documents of the Stockholder, (ii) conflict with or violate any law, rule, regulation, order, judgment or decree applicable to the Stockholder or by which the Shares are bound or affected or</w:t>
      </w:r>
    </w:p>
    <w:p>
      <w:pPr>
        <w:spacing w:after="0" w:line="7" w:lineRule="exact"/>
        <w:rPr>
          <w:sz w:val="20"/>
          <w:szCs w:val="20"/>
          <w:color w:val="auto"/>
        </w:rPr>
      </w:pPr>
    </w:p>
    <w:p>
      <w:pPr>
        <w:ind w:right="4959" w:firstLine="6"/>
        <w:spacing w:after="0" w:line="242" w:lineRule="auto"/>
        <w:tabs>
          <w:tab w:leader="none" w:pos="502"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Shares pursuant to, any note, bond, mortgage, indenture, contract, agreement, lease, license, permit, franchise or other instrument or obligation to which the Stockholder is a</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761" w:right="1440" w:bottom="1440" w:gutter="0" w:footer="0" w:header="0"/>
        </w:sectPr>
      </w:pPr>
    </w:p>
    <w:bookmarkStart w:id="283" w:name="page284"/>
    <w:bookmarkEnd w:id="283"/>
    <w:p>
      <w:pPr>
        <w:ind w:left="268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party or by which the Stockholder or the Shares are bound or affected, except, in the case of clauses (ii) and (iii), for any such conflicts, violations, breaches, defaults or other occurrences which would not prevent or delay the performance by the Stockholder of its obligations under this Agreement.</w:t>
      </w:r>
    </w:p>
    <w:p>
      <w:pPr>
        <w:spacing w:after="0" w:line="166" w:lineRule="exact"/>
        <w:rPr>
          <w:sz w:val="20"/>
          <w:szCs w:val="20"/>
          <w:color w:val="auto"/>
        </w:rPr>
      </w:pPr>
    </w:p>
    <w:p>
      <w:pPr>
        <w:ind w:right="4959" w:firstLine="759"/>
        <w:spacing w:after="0" w:line="243" w:lineRule="auto"/>
        <w:tabs>
          <w:tab w:leader="none" w:pos="1171"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Stockholder do not, and the performance of this Agreement by the Stockholder shall not, require any consent, approval, authorization or permit of, or filing with or notification to, any Governmental Entity (as such term is defined in the Merger Agreement) except for applicable requirements, if any, of the Securities Exchange Act of 1934, as amended, and except where the failure to obtain such consents, approvals, authorizations or permits, or to make such filings or notifications, would not prevent or delay the performance by the Stockholder of its obligations under this Agreement.</w:t>
      </w:r>
    </w:p>
    <w:p>
      <w:pPr>
        <w:spacing w:after="0" w:line="162" w:lineRule="exact"/>
        <w:rPr>
          <w:sz w:val="20"/>
          <w:szCs w:val="20"/>
          <w:color w:val="auto"/>
        </w:rPr>
      </w:pPr>
    </w:p>
    <w:p>
      <w:pPr>
        <w:ind w:left="760"/>
        <w:spacing w:after="0"/>
        <w:tabs>
          <w:tab w:leader="none" w:pos="2000" w:val="left"/>
          <w:tab w:leader="none" w:pos="3840" w:val="left"/>
        </w:tabs>
        <w:rPr>
          <w:sz w:val="20"/>
          <w:szCs w:val="20"/>
          <w:color w:val="auto"/>
        </w:rPr>
      </w:pPr>
      <w:r>
        <w:rPr>
          <w:rFonts w:ascii="Courier New" w:cs="Courier New" w:eastAsia="Courier New" w:hAnsi="Courier New"/>
          <w:sz w:val="14"/>
          <w:szCs w:val="14"/>
          <w:color w:val="auto"/>
        </w:rPr>
        <w:t>SECTION 2.03.</w:t>
        <w:tab/>
        <w:t>Title to the Shares.</w:t>
      </w:r>
      <w:r>
        <w:rPr>
          <w:sz w:val="20"/>
          <w:szCs w:val="20"/>
          <w:color w:val="auto"/>
        </w:rPr>
        <w:tab/>
      </w:r>
      <w:r>
        <w:rPr>
          <w:rFonts w:ascii="Courier New" w:cs="Courier New" w:eastAsia="Courier New" w:hAnsi="Courier New"/>
          <w:sz w:val="13"/>
          <w:szCs w:val="13"/>
          <w:color w:val="auto"/>
        </w:rPr>
        <w:t>As of the date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3" w:lineRule="auto"/>
        <w:rPr>
          <w:sz w:val="20"/>
          <w:szCs w:val="20"/>
          <w:color w:val="auto"/>
        </w:rPr>
      </w:pPr>
      <w:r>
        <w:rPr>
          <w:rFonts w:ascii="Courier New" w:cs="Courier New" w:eastAsia="Courier New" w:hAnsi="Courier New"/>
          <w:sz w:val="14"/>
          <w:szCs w:val="14"/>
          <w:color w:val="auto"/>
        </w:rPr>
        <w:t>hereof, the Stockholder is the record and beneficial owner of 45,547,214 shares of Viacom Class A Common Stock. Other than 46,565,414 shares of Viacom Class B Common Stock of which the Stockholder is the record and beneficial owner, such Shares are all the securities of Viacom owned, either of record or beneficially, by the Stockholder. The Shares are owned free and clear of all security interests, liens, claims, pledges, options, rights of first refusal, agreements, limitations on the Stockholder's voting rights, charges and other encumbrances of any nature whatsoever (other than a voting agreement entered into in connection with the merger of Blockbuster and Viacom). The Stockholder has not appointed or granted any proxy, which appointment or grant is still effective, with respect to the Shares.</w:t>
      </w:r>
    </w:p>
    <w:p>
      <w:pPr>
        <w:spacing w:after="0" w:line="3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ARTICLE III</w:t>
      </w:r>
    </w:p>
    <w:p>
      <w:pPr>
        <w:spacing w:after="0" w:line="163"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COVENANTS OF THE STOCKHOLDER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760"/>
        <w:spacing w:after="0"/>
        <w:tabs>
          <w:tab w:leader="none" w:pos="2000" w:val="left"/>
          <w:tab w:leader="none" w:pos="4420" w:val="left"/>
        </w:tabs>
        <w:rPr>
          <w:sz w:val="20"/>
          <w:szCs w:val="20"/>
          <w:color w:val="auto"/>
        </w:rPr>
      </w:pPr>
      <w:r>
        <w:rPr>
          <w:rFonts w:ascii="Courier New" w:cs="Courier New" w:eastAsia="Courier New" w:hAnsi="Courier New"/>
          <w:sz w:val="14"/>
          <w:szCs w:val="14"/>
          <w:color w:val="auto"/>
        </w:rPr>
        <w:t>SECTION 3.01.</w:t>
        <w:tab/>
        <w:t>No Inconsistent Agreements.</w:t>
        <w:tab/>
        <w:t>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879"/>
        <w:spacing w:after="0" w:line="242" w:lineRule="auto"/>
        <w:rPr>
          <w:sz w:val="20"/>
          <w:szCs w:val="20"/>
          <w:color w:val="auto"/>
        </w:rPr>
      </w:pPr>
      <w:r>
        <w:rPr>
          <w:rFonts w:ascii="Courier New" w:cs="Courier New" w:eastAsia="Courier New" w:hAnsi="Courier New"/>
          <w:sz w:val="14"/>
          <w:szCs w:val="14"/>
          <w:color w:val="auto"/>
        </w:rPr>
        <w:t>Stockholder hereby covenants and agrees that, except as contemplated by this Agreement and the Merger Agreement, the Stockholder shall not enter into any voting agreement or grant a proxy or power of attorney with respect to the Shares which is inconsistent with this Agreement (it being agreed that any voting agreement entered into in connection with a merger of Viacom and Blockbuster shall not be deemed to be inconsistent with this Agreement.)</w:t>
      </w:r>
    </w:p>
    <w:p>
      <w:pPr>
        <w:spacing w:after="0" w:line="166" w:lineRule="exact"/>
        <w:rPr>
          <w:sz w:val="20"/>
          <w:szCs w:val="20"/>
          <w:color w:val="auto"/>
        </w:rPr>
      </w:pPr>
    </w:p>
    <w:p>
      <w:pPr>
        <w:ind w:left="760"/>
        <w:spacing w:after="0"/>
        <w:tabs>
          <w:tab w:leader="none" w:pos="2000" w:val="left"/>
          <w:tab w:leader="none" w:pos="3660" w:val="left"/>
        </w:tabs>
        <w:rPr>
          <w:sz w:val="20"/>
          <w:szCs w:val="20"/>
          <w:color w:val="auto"/>
        </w:rPr>
      </w:pPr>
      <w:r>
        <w:rPr>
          <w:rFonts w:ascii="Courier New" w:cs="Courier New" w:eastAsia="Courier New" w:hAnsi="Courier New"/>
          <w:sz w:val="14"/>
          <w:szCs w:val="14"/>
          <w:color w:val="auto"/>
        </w:rPr>
        <w:t>SECTION 3.02.</w:t>
        <w:tab/>
        <w:t>Transfer of Title.</w:t>
      </w:r>
      <w:r>
        <w:rPr>
          <w:sz w:val="20"/>
          <w:szCs w:val="20"/>
          <w:color w:val="auto"/>
        </w:rPr>
        <w:tab/>
      </w:r>
      <w:r>
        <w:rPr>
          <w:rFonts w:ascii="Courier New" w:cs="Courier New" w:eastAsia="Courier New" w:hAnsi="Courier New"/>
          <w:sz w:val="13"/>
          <w:szCs w:val="13"/>
          <w:color w:val="auto"/>
        </w:rPr>
        <w:t>The Stockholder</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covenants and agrees that the Stockholder shall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record or beneficial ownership of any of the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unless the transferee agrees in writing to be bound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and conditions of this Agreement.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761" w:right="1440" w:bottom="1440" w:gutter="0" w:footer="0" w:header="0"/>
        </w:sectPr>
      </w:pPr>
    </w:p>
    <w:bookmarkStart w:id="284" w:name="page285"/>
    <w:bookmarkEnd w:id="284"/>
    <w:p>
      <w:pPr>
        <w:ind w:left="268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ARTICLE IV</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MISCELLANEOUS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760"/>
        <w:spacing w:after="0"/>
        <w:tabs>
          <w:tab w:leader="none" w:pos="2000" w:val="left"/>
          <w:tab w:leader="none" w:pos="3160" w:val="left"/>
        </w:tabs>
        <w:rPr>
          <w:sz w:val="20"/>
          <w:szCs w:val="20"/>
          <w:color w:val="auto"/>
        </w:rPr>
      </w:pPr>
      <w:r>
        <w:rPr>
          <w:rFonts w:ascii="Courier New" w:cs="Courier New" w:eastAsia="Courier New" w:hAnsi="Courier New"/>
          <w:sz w:val="14"/>
          <w:szCs w:val="14"/>
          <w:color w:val="auto"/>
        </w:rPr>
        <w:t>SECTION 4.01.</w:t>
        <w:tab/>
        <w:t>Termination.</w:t>
      </w:r>
      <w:r>
        <w:rPr>
          <w:sz w:val="20"/>
          <w:szCs w:val="20"/>
          <w:color w:val="auto"/>
        </w:rPr>
        <w:tab/>
      </w:r>
      <w:r>
        <w:rPr>
          <w:rFonts w:ascii="Courier New" w:cs="Courier New" w:eastAsia="Courier New" w:hAnsi="Courier New"/>
          <w:sz w:val="13"/>
          <w:szCs w:val="13"/>
          <w:color w:val="auto"/>
        </w:rPr>
        <w:t>This Agreement shall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 upon the termination of the Merger Agreement.</w:t>
      </w:r>
    </w:p>
    <w:p>
      <w:pPr>
        <w:spacing w:after="0" w:line="163" w:lineRule="exact"/>
        <w:rPr>
          <w:sz w:val="20"/>
          <w:szCs w:val="20"/>
          <w:color w:val="auto"/>
        </w:rPr>
      </w:pPr>
    </w:p>
    <w:p>
      <w:pPr>
        <w:jc w:val="center"/>
        <w:ind w:right="4619"/>
        <w:spacing w:after="0"/>
        <w:tabs>
          <w:tab w:leader="none" w:pos="160" w:val="left"/>
          <w:tab w:leader="none" w:pos="140" w:val="left"/>
        </w:tabs>
        <w:rPr>
          <w:sz w:val="20"/>
          <w:szCs w:val="20"/>
          <w:color w:val="auto"/>
        </w:rPr>
      </w:pPr>
      <w:r>
        <w:rPr>
          <w:rFonts w:ascii="Courier New" w:cs="Courier New" w:eastAsia="Courier New" w:hAnsi="Courier New"/>
          <w:sz w:val="14"/>
          <w:szCs w:val="14"/>
          <w:color w:val="auto"/>
        </w:rPr>
        <w:t>SECTION 4.02.</w:t>
        <w:tab/>
        <w:t>Specific Performance.</w:t>
      </w:r>
      <w:r>
        <w:rPr>
          <w:sz w:val="20"/>
          <w:szCs w:val="20"/>
          <w:color w:val="auto"/>
        </w:rPr>
        <w:tab/>
      </w:r>
      <w:r>
        <w:rPr>
          <w:rFonts w:ascii="Courier New" w:cs="Courier New" w:eastAsia="Courier New" w:hAnsi="Courier New"/>
          <w:sz w:val="13"/>
          <w:szCs w:val="13"/>
          <w:color w:val="auto"/>
        </w:rPr>
        <w:t>The parties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42" w:lineRule="auto"/>
        <w:rPr>
          <w:sz w:val="20"/>
          <w:szCs w:val="20"/>
          <w:color w:val="auto"/>
        </w:rPr>
      </w:pPr>
      <w:r>
        <w:rPr>
          <w:rFonts w:ascii="Courier New" w:cs="Courier New" w:eastAsia="Courier New" w:hAnsi="Courier New"/>
          <w:sz w:val="14"/>
          <w:szCs w:val="14"/>
          <w:color w:val="auto"/>
        </w:rPr>
        <w:t>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63" w:lineRule="exact"/>
        <w:rPr>
          <w:sz w:val="20"/>
          <w:szCs w:val="20"/>
          <w:color w:val="auto"/>
        </w:rPr>
      </w:pPr>
    </w:p>
    <w:p>
      <w:pPr>
        <w:ind w:left="760"/>
        <w:spacing w:after="0"/>
        <w:tabs>
          <w:tab w:leader="none" w:pos="2000" w:val="left"/>
          <w:tab w:leader="none" w:pos="3580" w:val="left"/>
        </w:tabs>
        <w:rPr>
          <w:sz w:val="20"/>
          <w:szCs w:val="20"/>
          <w:color w:val="auto"/>
        </w:rPr>
      </w:pPr>
      <w:r>
        <w:rPr>
          <w:rFonts w:ascii="Courier New" w:cs="Courier New" w:eastAsia="Courier New" w:hAnsi="Courier New"/>
          <w:sz w:val="14"/>
          <w:szCs w:val="14"/>
          <w:color w:val="auto"/>
        </w:rPr>
        <w:t>SECTION 4.03.</w:t>
        <w:tab/>
        <w:t>Entire Agreement.</w:t>
        <w:tab/>
        <w:t>This Agreement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constitutes the entire agreement between Paramount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with respect to the subject matter hereof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supersedes all prior agreements and understandings, both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and oral, between Paramount and the Stockholder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subject matter hereof.</w:t>
      </w:r>
    </w:p>
    <w:p>
      <w:pPr>
        <w:spacing w:after="0" w:line="163" w:lineRule="exact"/>
        <w:rPr>
          <w:sz w:val="20"/>
          <w:szCs w:val="20"/>
          <w:color w:val="auto"/>
        </w:rPr>
      </w:pPr>
    </w:p>
    <w:p>
      <w:pPr>
        <w:ind w:left="760"/>
        <w:spacing w:after="0"/>
        <w:tabs>
          <w:tab w:leader="none" w:pos="2000" w:val="left"/>
          <w:tab w:leader="none" w:pos="3000" w:val="left"/>
        </w:tabs>
        <w:rPr>
          <w:sz w:val="20"/>
          <w:szCs w:val="20"/>
          <w:color w:val="auto"/>
        </w:rPr>
      </w:pPr>
      <w:r>
        <w:rPr>
          <w:rFonts w:ascii="Courier New" w:cs="Courier New" w:eastAsia="Courier New" w:hAnsi="Courier New"/>
          <w:sz w:val="14"/>
          <w:szCs w:val="14"/>
          <w:color w:val="auto"/>
        </w:rPr>
        <w:t>SECTION 4.04.</w:t>
        <w:tab/>
        <w:t>Amendment.</w:t>
      </w:r>
      <w:r>
        <w:rPr>
          <w:sz w:val="20"/>
          <w:szCs w:val="20"/>
          <w:color w:val="auto"/>
        </w:rPr>
        <w:tab/>
      </w:r>
      <w:r>
        <w:rPr>
          <w:rFonts w:ascii="Courier New" w:cs="Courier New" w:eastAsia="Courier New" w:hAnsi="Courier New"/>
          <w:sz w:val="13"/>
          <w:szCs w:val="13"/>
          <w:color w:val="auto"/>
        </w:rPr>
        <w:t>This Agreement may not be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except by an instrument in writing signed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hereto.</w:t>
      </w:r>
    </w:p>
    <w:p>
      <w:pPr>
        <w:spacing w:after="0" w:line="163" w:lineRule="exact"/>
        <w:rPr>
          <w:sz w:val="20"/>
          <w:szCs w:val="20"/>
          <w:color w:val="auto"/>
        </w:rPr>
      </w:pPr>
    </w:p>
    <w:p>
      <w:pPr>
        <w:ind w:left="760"/>
        <w:spacing w:after="0"/>
        <w:tabs>
          <w:tab w:leader="none" w:pos="2000" w:val="left"/>
          <w:tab w:leader="none" w:pos="3240" w:val="left"/>
        </w:tabs>
        <w:rPr>
          <w:sz w:val="20"/>
          <w:szCs w:val="20"/>
          <w:color w:val="auto"/>
        </w:rPr>
      </w:pPr>
      <w:r>
        <w:rPr>
          <w:rFonts w:ascii="Courier New" w:cs="Courier New" w:eastAsia="Courier New" w:hAnsi="Courier New"/>
          <w:sz w:val="14"/>
          <w:szCs w:val="14"/>
          <w:color w:val="auto"/>
        </w:rPr>
        <w:t>SECTION 4.05.</w:t>
        <w:tab/>
        <w:t>Severability.</w:t>
      </w:r>
      <w:r>
        <w:rPr>
          <w:sz w:val="20"/>
          <w:szCs w:val="20"/>
          <w:color w:val="auto"/>
        </w:rPr>
        <w:tab/>
      </w:r>
      <w:r>
        <w:rPr>
          <w:rFonts w:ascii="Courier New" w:cs="Courier New" w:eastAsia="Courier New" w:hAnsi="Courier New"/>
          <w:sz w:val="13"/>
          <w:szCs w:val="13"/>
          <w:color w:val="auto"/>
        </w:rPr>
        <w:t>If any term or other</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4959"/>
        <w:spacing w:after="0" w:line="263" w:lineRule="auto"/>
        <w:rPr>
          <w:sz w:val="20"/>
          <w:szCs w:val="20"/>
          <w:color w:val="auto"/>
        </w:rPr>
      </w:pPr>
      <w:r>
        <w:rPr>
          <w:rFonts w:ascii="Courier New" w:cs="Courier New" w:eastAsia="Courier New" w:hAnsi="Courier New"/>
          <w:sz w:val="13"/>
          <w:szCs w:val="13"/>
          <w:color w:val="auto"/>
        </w:rPr>
        <w:t>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or being enforced, the parties hereto shall negotiate in good faith to modify this Agreement so as to effect the original intent of the parties as closely as possible to the fullest extent permitted by applicable law in a mutually acceptable manner in order that the terms of this Agreement remain as originally contemplated to the fullest extent possible.</w:t>
      </w:r>
    </w:p>
    <w:p>
      <w:pPr>
        <w:spacing w:after="0" w:line="152" w:lineRule="exact"/>
        <w:rPr>
          <w:sz w:val="20"/>
          <w:szCs w:val="20"/>
          <w:color w:val="auto"/>
        </w:rPr>
      </w:pPr>
    </w:p>
    <w:p>
      <w:pPr>
        <w:ind w:left="760"/>
        <w:spacing w:after="0"/>
        <w:tabs>
          <w:tab w:leader="none" w:pos="2000" w:val="left"/>
          <w:tab w:leader="none" w:pos="3340" w:val="left"/>
        </w:tabs>
        <w:rPr>
          <w:sz w:val="20"/>
          <w:szCs w:val="20"/>
          <w:color w:val="auto"/>
        </w:rPr>
      </w:pPr>
      <w:r>
        <w:rPr>
          <w:rFonts w:ascii="Courier New" w:cs="Courier New" w:eastAsia="Courier New" w:hAnsi="Courier New"/>
          <w:sz w:val="14"/>
          <w:szCs w:val="14"/>
          <w:color w:val="auto"/>
        </w:rPr>
        <w:t>SECTION 4.06.</w:t>
        <w:tab/>
        <w:t>Governing Law.</w:t>
      </w:r>
      <w:r>
        <w:rPr>
          <w:sz w:val="20"/>
          <w:szCs w:val="20"/>
          <w:color w:val="auto"/>
        </w:rPr>
        <w:tab/>
      </w:r>
      <w:r>
        <w:rPr>
          <w:rFonts w:ascii="Courier New" w:cs="Courier New" w:eastAsia="Courier New" w:hAnsi="Courier New"/>
          <w:sz w:val="13"/>
          <w:szCs w:val="13"/>
          <w:color w:val="auto"/>
        </w:rPr>
        <w:t>Except to the extent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General Corporation Law of the State of Delaware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mandatorily applicable to the rights of the stockholders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this Agreement shall be governed by, and construed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the laws of the State of New York regardless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laws that might otherwise govern under applicable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conflicts of law.</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761" w:right="1440" w:bottom="1440" w:gutter="0" w:footer="0" w:header="0"/>
        </w:sectPr>
      </w:pPr>
    </w:p>
    <w:bookmarkStart w:id="285" w:name="page286"/>
    <w:bookmarkEnd w:id="285"/>
    <w:p>
      <w:pPr>
        <w:ind w:left="268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959" w:firstLine="753"/>
        <w:spacing w:after="0" w:line="276" w:lineRule="auto"/>
        <w:rPr>
          <w:sz w:val="20"/>
          <w:szCs w:val="20"/>
          <w:color w:val="auto"/>
        </w:rPr>
      </w:pPr>
      <w:r>
        <w:rPr>
          <w:rFonts w:ascii="Courier New" w:cs="Courier New" w:eastAsia="Courier New" w:hAnsi="Courier New"/>
          <w:sz w:val="13"/>
          <w:szCs w:val="13"/>
          <w:color w:val="auto"/>
        </w:rPr>
        <w:t>IN WITNESS WHEREOF, the Stockholder and Paramount have caused this Agreement to be duly executed on the date hereof.</w:t>
      </w:r>
    </w:p>
    <w:p>
      <w:pPr>
        <w:spacing w:after="0" w:line="30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NATIONAL AMUSEMENTS, INC.</w:t>
      </w:r>
    </w:p>
    <w:p>
      <w:pPr>
        <w:spacing w:after="0" w:line="32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Sumner M. Redstone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Name: Sumner M. Redstone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Title: Chairman of the Board,</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President and Chief</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Executive Officer</w:t>
      </w:r>
    </w:p>
    <w:p>
      <w:pPr>
        <w:spacing w:after="0" w:line="32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PARAMOUNT COMMUNICATIONS INC.</w:t>
      </w:r>
    </w:p>
    <w:p>
      <w:pPr>
        <w:spacing w:after="0" w:line="200" w:lineRule="exact"/>
        <w:rPr>
          <w:sz w:val="20"/>
          <w:szCs w:val="20"/>
          <w:color w:val="auto"/>
        </w:rPr>
      </w:pPr>
    </w:p>
    <w:p>
      <w:pPr>
        <w:spacing w:after="0" w:line="28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Donald Oresman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Name: Donald Oresman</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Title: Executive Vice President,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Chief Administrative Officer,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761" w:right="1440" w:bottom="1440" w:gutter="0" w:footer="0" w:header="0"/>
        </w:sectPr>
      </w:pPr>
    </w:p>
    <w:bookmarkStart w:id="286" w:name="page287"/>
    <w:bookmarkEnd w:id="286"/>
    <w:p>
      <w:pPr>
        <w:spacing w:after="0"/>
        <w:tabs>
          <w:tab w:leader="none" w:pos="5180" w:val="left"/>
        </w:tabs>
        <w:rPr>
          <w:sz w:val="20"/>
          <w:szCs w:val="20"/>
          <w:color w:val="auto"/>
        </w:rPr>
      </w:pPr>
      <w:r>
        <w:rPr>
          <w:rFonts w:ascii="Courier New" w:cs="Courier New" w:eastAsia="Courier New" w:hAnsi="Courier New"/>
          <w:sz w:val="14"/>
          <w:szCs w:val="14"/>
          <w:color w:val="auto"/>
        </w:rPr>
        <w:t>PRELIMINARY COPIES</w:t>
      </w:r>
      <w:r>
        <w:rPr>
          <w:sz w:val="20"/>
          <w:szCs w:val="20"/>
          <w:color w:val="auto"/>
        </w:rPr>
        <w:tab/>
      </w:r>
      <w:r>
        <w:rPr>
          <w:rFonts w:ascii="Courier New" w:cs="Courier New" w:eastAsia="Courier New" w:hAnsi="Courier New"/>
          <w:sz w:val="13"/>
          <w:szCs w:val="13"/>
          <w:color w:val="auto"/>
        </w:rPr>
        <w:t>ANNEX III</w:t>
      </w:r>
    </w:p>
    <w:p>
      <w:pPr>
        <w:sectPr>
          <w:pgSz w:w="11900" w:h="16838" w:orient="portrait"/>
          <w:cols w:equalWidth="0" w:num="1">
            <w:col w:w="10239"/>
          </w:cols>
          <w:pgMar w:left="220" w:top="761" w:right="1440" w:bottom="1440" w:gutter="0" w:footer="0" w:header="0"/>
        </w:sectPr>
      </w:pP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OPINION OF SMITH BARNEY SHEARSON INC.</w:t>
      </w:r>
    </w:p>
    <w:p>
      <w:pPr>
        <w:sectPr>
          <w:pgSz w:w="11900" w:h="16838" w:orient="portrait"/>
          <w:cols w:equalWidth="0" w:num="1">
            <w:col w:w="10239"/>
          </w:cols>
          <w:pgMar w:left="220" w:top="761" w:right="1440" w:bottom="1440" w:gutter="0" w:footer="0" w:header="0"/>
          <w:type w:val="continuous"/>
        </w:sectPr>
      </w:pPr>
    </w:p>
    <w:bookmarkStart w:id="287" w:name="page288"/>
    <w:bookmarkEnd w:id="287"/>
    <w:p>
      <w:pPr>
        <w:spacing w:after="0"/>
        <w:rPr>
          <w:sz w:val="20"/>
          <w:szCs w:val="20"/>
          <w:color w:val="auto"/>
        </w:rPr>
      </w:pPr>
      <w:r>
        <w:rPr>
          <w:rFonts w:ascii="Courier New" w:cs="Courier New" w:eastAsia="Courier New" w:hAnsi="Courier New"/>
          <w:sz w:val="14"/>
          <w:szCs w:val="14"/>
          <w:color w:val="auto"/>
        </w:rPr>
        <w:t>SMITH BARNEY SHEARSON</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 Broadway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10036</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Viacom Inc. ("Viacom") and its stockholders, of the terms of the proposed acquisition (the "Acquisition") by Viacom of Paramount Communications Inc. ("Paramount"). We understand that the Acquisition will be effected pursuant to the terms and subject to the conditions set forth in Viacom's Offer to Purchase, dated October 25, 1993, as amended and supplemented by the Supplement thereto, dated November 8, 1993, the Second Supplement thereto, dated January 7, 1994, the Third Supplement thereto, dated January 18, 1994 and the Fourth Supplement thereto, to be filed with the Securities and Exchange Commission on February 1, 1994 (as amended and supplemented, the "Offer to Purchase"). The terms of the Offer to Purchase provide for the Acquisition pursuant to a tender offer (the "Offer") by Viacom for 61,607,892 shares of common stock, par value $1.00 per share, of Paramount ("Paramount Common Stock"), or such greater number of shares as equals 50.1% of the shares outstanding on a fully diluted basis, as of the expiration of the Offer, at a price of $107.00 per share in cash, to be followed by a merger of either Paramount with and into Viacom or a new subsidiary of Viacom with and into Paramount (the "Merger"). In the event the Offer is consummated, each share of Paramount Common Stock issued and outstanding at the Effective Time, subject to adjustment as specified in the Offer to Purchase, will be converted into the right to receive (a) 0.93065 of a share of Class B common stock, par value $.01 per share, of Viacom (the "Class B Common Stock"); (b) $17.50 face amount of 5% exchangeable debentures of $50.00, of Viacom containing the principal terms described in the Offer to Purchase (the "Merger Debentures"); (iii) 0.93065 of a contingent value right issued by Viacom ("CVRs") which, as more fully described in the Offer to Purchase, entitles the holder to consideration in certain circumstances; (iv) 0.500 of a warrant issued by Viacom each of which, as more fully described in the Offer to Purchase, entitle the holder to purchase Class B Common Stock at $60.00 per share under certain circumstances (the "$60.00 Warrants"), and (v) 0.300 of a warrant issued by Viacom each of which, as more fully described in the Offer to Purchase, entitle the holder to purchase Class B Common Stock at $70.00 per share under certain circumstances (the "$70.00 Warrants") (the Merger Debentures, CVRs, $60.00 Warrants and $70.00 Warrants, together with the Class B Common Stock, being the "Viacom Securities"). The terms set forth in the preceding two sentences are referred to in this letter as the "Financial Terms of the Acquisition."</w:t>
      </w:r>
    </w:p>
    <w:p>
      <w:pPr>
        <w:sectPr>
          <w:pgSz w:w="11900" w:h="16838" w:orient="portrait"/>
          <w:cols w:equalWidth="0" w:num="1">
            <w:col w:w="10239"/>
          </w:cols>
          <w:pgMar w:left="220" w:top="1083" w:right="1440" w:bottom="1440" w:gutter="0" w:footer="0" w:header="0"/>
        </w:sectPr>
      </w:pPr>
    </w:p>
    <w:bookmarkStart w:id="288" w:name="page289"/>
    <w:bookmarkEnd w:id="288"/>
    <w:p>
      <w:pPr>
        <w:ind w:right="3619" w:firstLine="418"/>
        <w:spacing w:after="0" w:line="263" w:lineRule="auto"/>
        <w:rPr>
          <w:sz w:val="20"/>
          <w:szCs w:val="20"/>
          <w:color w:val="auto"/>
        </w:rPr>
      </w:pPr>
      <w:r>
        <w:rPr>
          <w:rFonts w:ascii="Courier New" w:cs="Courier New" w:eastAsia="Courier New" w:hAnsi="Courier New"/>
          <w:sz w:val="13"/>
          <w:szCs w:val="13"/>
          <w:color w:val="auto"/>
        </w:rPr>
        <w:t>We understand further that Viacom and Blockbuster Entertainment Corporation ("Blockbuster") have entered into an Agreement and Plan of Merger (the "Blockbuster Merger Agreement") pursuant to which Blockbuster will merge with and into Viacom (the "Blockbuster Merger"). As more fully described in the Blockbuster Merger Agreement, and subject to the terms and conditions set forth therein, each share of common stock, par value $.10 per share, of Blockbuster, issued and outstanding as of the effective time of the Blockbuster Merger will be converted into the right to receive (a) 0.0800 of a share of Class A common stock, par value $.01 per share, of Viacom, (b) 0.60615 of a share of Class B Common Stock and (c) 1.0000 variable contingent right ("VCRs") issued by Viacom which, as more fully described in the Blockbuster Merger Agreement, provides for up to a maximum of 0.13829 of a share of Class B Common Stock to be issued subsequent to the consummation of the Blockbuster Merger for each VCR held.</w:t>
      </w:r>
    </w:p>
    <w:p>
      <w:pPr>
        <w:spacing w:after="0" w:line="155"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We further understand that the consummation of the Acquisition will not be conditioned upon the consummation of the Blockbuster Merger and may occur whether or not the Blockbuster Merger is consummated.</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 arriving at our opinion, we have (i) reviewed the Offer to Purchase;</w:t>
      </w:r>
    </w:p>
    <w:p>
      <w:pPr>
        <w:spacing w:after="0" w:line="5" w:lineRule="exact"/>
        <w:rPr>
          <w:sz w:val="20"/>
          <w:szCs w:val="20"/>
          <w:color w:val="auto"/>
        </w:rPr>
      </w:pPr>
    </w:p>
    <w:p>
      <w:pPr>
        <w:ind w:right="3619" w:firstLine="6"/>
        <w:spacing w:after="0" w:line="262" w:lineRule="auto"/>
        <w:tabs>
          <w:tab w:leader="none" w:pos="418" w:val="left"/>
        </w:tabs>
        <w:numPr>
          <w:ilvl w:val="0"/>
          <w:numId w:val="3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reviewed the Exemption Agreement between Viacom and Paramount dated as of December 22, 1993 and the form of Agreement and Plan of Merger attached thereto; (iii) reviewed the Blockbuster Merger Agreement; (iv) met with certain senior officers of Viacom, Paramount and Blockbuster to discuss the business, operations, assets, financial condition and prospects of their respective companies; (v) examined certain publicly available business and financial forecasts and other data for each of Viacom, Paramount and Blockbuster which were provided to us by the senior management of Viacom, Paramount and Blockbuster, respectively, which are not publicly available; (vi) taken into account certain long-term strategic benefits expected to occur from each of the Acquisition and the Blockbuster Merger, both operational and financial, that were described to us by Viacom, Paramount and Blockbuster senior management; and (vii) reviewed the financial terms of the Acquisition as set forth in the Offer to Purchase and the Blockbuster Merger as set forth in the Blockbuster Merger Agreement in relation to, among other things, current and historical market prices and trading volumes of the Class B Common Stock, Paramount Common Stock and the common stock of Blockbuster; the earnings and book value per share of each of Viacom, Paramount and Blockbuster; and the capitalization and financial condition of each of Viacom, Paramount and Blockbuster. We have also considered, to the extent publicly available, the financial terms of certain other business combination transactions which we considered relevant in evaluating each of the Acquisition and the Blockbuster Merger and analyzed certain financial, stock market and other publicly available information relating to the businesses of other companies that we considered relevant in evaluating Viacom, Paramount and Blockbuster. We have also evaluated the pro forma financial impact of each of the Acquisition and Blockbuster Merger on Viacom. In addition to the foregoing, we have conducted such other analyses and examinations and considered such other financial, economic and market criteria as we deemed necessary in arriving at our opinion.</w:t>
      </w:r>
    </w:p>
    <w:p>
      <w:pPr>
        <w:spacing w:after="0" w:line="326"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In arriving at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prepared by the senior managements of</w:t>
      </w:r>
    </w:p>
    <w:p>
      <w:pPr>
        <w:spacing w:after="0" w:line="31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764" w:right="1440" w:bottom="1440" w:gutter="0" w:footer="0" w:header="0"/>
        </w:sectPr>
      </w:pPr>
    </w:p>
    <w:bookmarkStart w:id="289" w:name="page290"/>
    <w:bookmarkEnd w:id="289"/>
    <w:p>
      <w:pPr>
        <w:ind w:right="3619"/>
        <w:spacing w:after="0" w:line="263" w:lineRule="auto"/>
        <w:rPr>
          <w:sz w:val="20"/>
          <w:szCs w:val="20"/>
          <w:color w:val="auto"/>
        </w:rPr>
      </w:pPr>
      <w:r>
        <w:rPr>
          <w:rFonts w:ascii="Courier New" w:cs="Courier New" w:eastAsia="Courier New" w:hAnsi="Courier New"/>
          <w:sz w:val="13"/>
          <w:szCs w:val="13"/>
          <w:color w:val="auto"/>
        </w:rPr>
        <w:t>Viacom, Paramount and Blockbuster with respect to the expected future financial performance of Viacom, Paramount and Blockbuster, we assumed that such forecasts and other information were reasonably prepared on bases reflecting the best currently available estimates and judgments of the respective senior managements of Viacom, Paramount and Blockbuster. We have also relied upon the views of the management of Viacom, Paramount and Blockbuster and have assumed, with your consent, that certain long-term strategic benefits, both operational and financial, will result from each of the Acquisition and the Blockbuster Merger. We express no opinion as to what the value of the Viacom Securities will be when issued to Paramount stockholders pursuant to the Merger or the price at which the Viacom Securities will trade subsequent to the Acquisition. We have not made or been provided with an independent evaluation or appraisal of the assets or liabilities (contingent or otherwise) of Viacom, Paramount or Blockbuster nor have we made any physical inspection of the properties or assets of Viacom, Paramount or Blockbuster. Our opinion herein is necessarily based upon financial, stock market and other conditions and circumstances existing and disclosed to us as of the date hereof.</w:t>
      </w:r>
    </w:p>
    <w:p>
      <w:pPr>
        <w:spacing w:after="0" w:line="314"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Smith Barney Shearson Inc. has acted as financial advisor to the Board of Directors of Viacom in connection with this transaction and will receive a fee for such services. In the ordinary course of our business, we may actively trade the equity or debt securities of Viacom, Paramount or Blockbuster for our own account or for the account of our customers and, accordingly, may at any time hold a long or short position in such securities.</w:t>
      </w:r>
    </w:p>
    <w:p>
      <w:pPr>
        <w:spacing w:after="0" w:line="167"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Our advisory services and the opinion expressed herein are provided solely for the use of Viacom's Board of Directors in evaluating the Acquisition and are not on behalf of, and are not intended to confer rights or remedies upon, Paramount, any stockholder of Viacom or Paramount or any person other than Viacom's Board of Directors. It is understood that this opinion letter is for the information of the Board of Directors of Viacom only, and without our prior written consent, is not to be quoted or referred to, in whole or in part, in connection with the offering or sale of securities, nor shall this letter be used for any other purpose, other than in connection with the Tender Offer Statement on Schedule 14D-1 and any amendments thereto to be filed by Viacom with the Securities and Exchange Commission in connection with the Acquisition or the Blockbuster Merger or in connection with the respective proxy statements of Blockbuster and Paramount or the proxy statement/prospectus of Viacom relating to the Acquisition or any Registration Statement of which any such proxy statement or proxy statement/prospectus forms a part.</w:t>
      </w:r>
    </w:p>
    <w:p>
      <w:pPr>
        <w:spacing w:after="0" w:line="154"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Based upon and subject to the foregoing, our experience as investment bankers and other factors we deemed relevant, we are of the opinion that, as of the date hereof, the Financial Terms of the Acquisition are fair, from a financial point of view, to Viacom and its stockholders, whether or not the Blockbuster Merger is consummated.</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Very truly yours,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 SMITH BARNEY SHEARSON INC.</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SMITH BARNEY SHEARSON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764" w:right="1440" w:bottom="1440" w:gutter="0" w:footer="0" w:header="0"/>
        </w:sectPr>
      </w:pPr>
    </w:p>
    <w:bookmarkStart w:id="290" w:name="page291"/>
    <w:bookmarkEnd w:id="290"/>
    <w:p>
      <w:pPr>
        <w:spacing w:after="0"/>
        <w:tabs>
          <w:tab w:leader="none" w:pos="5260" w:val="left"/>
        </w:tabs>
        <w:rPr>
          <w:sz w:val="20"/>
          <w:szCs w:val="20"/>
          <w:color w:val="auto"/>
        </w:rPr>
      </w:pPr>
      <w:r>
        <w:rPr>
          <w:rFonts w:ascii="Courier New" w:cs="Courier New" w:eastAsia="Courier New" w:hAnsi="Courier New"/>
          <w:sz w:val="14"/>
          <w:szCs w:val="14"/>
          <w:color w:val="auto"/>
        </w:rPr>
        <w:t>PRELIMINARY COPIES</w:t>
      </w:r>
      <w:r>
        <w:rPr>
          <w:sz w:val="20"/>
          <w:szCs w:val="20"/>
          <w:color w:val="auto"/>
        </w:rPr>
        <w:tab/>
      </w:r>
      <w:r>
        <w:rPr>
          <w:rFonts w:ascii="Courier New" w:cs="Courier New" w:eastAsia="Courier New" w:hAnsi="Courier New"/>
          <w:sz w:val="13"/>
          <w:szCs w:val="13"/>
          <w:color w:val="auto"/>
        </w:rPr>
        <w:t>ANNEX IV</w:t>
      </w:r>
    </w:p>
    <w:p>
      <w:pPr>
        <w:sectPr>
          <w:pgSz w:w="11900" w:h="16838" w:orient="portrait"/>
          <w:cols w:equalWidth="0" w:num="1">
            <w:col w:w="10239"/>
          </w:cols>
          <w:pgMar w:left="220" w:top="600" w:right="1440" w:bottom="1440" w:gutter="0" w:footer="0" w:header="0"/>
        </w:sectPr>
      </w:pP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3"/>
          <w:szCs w:val="13"/>
          <w:color w:val="auto"/>
        </w:rPr>
        <w:t>OPINION OF LAZARD FRERES &amp; CO.</w:t>
      </w:r>
    </w:p>
    <w:p>
      <w:pPr>
        <w:sectPr>
          <w:pgSz w:w="11900" w:h="16838" w:orient="portrait"/>
          <w:cols w:equalWidth="0" w:num="1">
            <w:col w:w="10239"/>
          </w:cols>
          <w:pgMar w:left="220" w:top="600" w:right="1440" w:bottom="1440" w:gutter="0" w:footer="0" w:header="0"/>
          <w:type w:val="continuous"/>
        </w:sectPr>
      </w:pPr>
    </w:p>
    <w:bookmarkStart w:id="291" w:name="page292"/>
    <w:bookmarkEnd w:id="291"/>
    <w:p>
      <w:pPr>
        <w:jc w:val="center"/>
        <w:ind w:right="-480"/>
        <w:spacing w:after="0"/>
        <w:rPr>
          <w:sz w:val="20"/>
          <w:szCs w:val="20"/>
          <w:color w:val="auto"/>
        </w:rPr>
      </w:pPr>
      <w:r>
        <w:rPr>
          <w:rFonts w:ascii="Courier New" w:cs="Courier New" w:eastAsia="Courier New" w:hAnsi="Courier New"/>
          <w:sz w:val="14"/>
          <w:szCs w:val="14"/>
          <w:color w:val="auto"/>
        </w:rPr>
        <w:t>ANNEX IV</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LAZARD FRERES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Rockefeller Plaza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c>
          <w:tcPr>
            <w:tcW w:w="2520" w:type="dxa"/>
            <w:vAlign w:val="bottom"/>
          </w:tcPr>
          <w:p>
            <w:pPr>
              <w:jc w:val="right"/>
              <w:ind w:right="1730"/>
              <w:spacing w:after="0"/>
              <w:rPr>
                <w:sz w:val="20"/>
                <w:szCs w:val="20"/>
                <w:color w:val="auto"/>
              </w:rPr>
            </w:pPr>
            <w:r>
              <w:rPr>
                <w:rFonts w:ascii="Courier New" w:cs="Courier New" w:eastAsia="Courier New" w:hAnsi="Courier New"/>
                <w:sz w:val="14"/>
                <w:szCs w:val="14"/>
                <w:color w:val="auto"/>
              </w:rPr>
              <w:t>632-6000</w:t>
            </w:r>
          </w:p>
        </w:tc>
        <w:tc>
          <w:tcPr>
            <w:tcW w:w="2460" w:type="dxa"/>
            <w:vAlign w:val="bottom"/>
          </w:tcPr>
          <w:p>
            <w:pPr>
              <w:spacing w:after="0"/>
              <w:rPr>
                <w:sz w:val="13"/>
                <w:szCs w:val="13"/>
                <w:color w:val="auto"/>
              </w:rPr>
            </w:pPr>
          </w:p>
        </w:tc>
      </w:tr>
      <w:tr>
        <w:trPr>
          <w:trHeight w:val="161"/>
        </w:trPr>
        <w:tc>
          <w:tcPr>
            <w:tcW w:w="80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c>
          <w:tcPr>
            <w:tcW w:w="2520" w:type="dxa"/>
            <w:vAlign w:val="bottom"/>
          </w:tcPr>
          <w:p>
            <w:pPr>
              <w:jc w:val="right"/>
              <w:ind w:right="1730"/>
              <w:spacing w:after="0"/>
              <w:rPr>
                <w:sz w:val="20"/>
                <w:szCs w:val="20"/>
                <w:color w:val="auto"/>
              </w:rPr>
            </w:pPr>
            <w:r>
              <w:rPr>
                <w:rFonts w:ascii="Courier New" w:cs="Courier New" w:eastAsia="Courier New" w:hAnsi="Courier New"/>
                <w:sz w:val="14"/>
                <w:szCs w:val="14"/>
                <w:color w:val="auto"/>
              </w:rPr>
              <w:t>632-6060</w:t>
            </w:r>
          </w:p>
        </w:tc>
        <w:tc>
          <w:tcPr>
            <w:tcW w:w="2460" w:type="dxa"/>
            <w:vAlign w:val="bottom"/>
          </w:tcPr>
          <w:p>
            <w:pPr>
              <w:ind w:left="1800"/>
              <w:spacing w:after="0"/>
              <w:rPr>
                <w:sz w:val="20"/>
                <w:szCs w:val="20"/>
                <w:color w:val="auto"/>
              </w:rPr>
            </w:pPr>
            <w:r>
              <w:rPr>
                <w:rFonts w:ascii="Courier New" w:cs="Courier New" w:eastAsia="Courier New" w:hAnsi="Courier New"/>
                <w:sz w:val="14"/>
                <w:szCs w:val="14"/>
                <w:color w:val="auto"/>
                <w:w w:val="95"/>
              </w:rPr>
              <w:t>NEW YORK</w:t>
            </w:r>
          </w:p>
        </w:tc>
      </w:tr>
    </w:tbl>
    <w:p>
      <w:pPr>
        <w:spacing w:after="0" w:line="324"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4"/>
          <w:szCs w:val="14"/>
          <w:color w:val="auto"/>
        </w:rPr>
        <w:t>February 4, 1994</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Columbus Circle</w:t>
      </w:r>
    </w:p>
    <w:p>
      <w:pPr>
        <w:spacing w:after="0" w:line="2"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3"/>
          <w:szCs w:val="13"/>
          <w:color w:val="auto"/>
        </w:rPr>
        <w:t>10023-7780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Members of the Board:</w:t>
      </w:r>
    </w:p>
    <w:p>
      <w:pPr>
        <w:spacing w:after="0" w:line="166" w:lineRule="exact"/>
        <w:rPr>
          <w:sz w:val="20"/>
          <w:szCs w:val="20"/>
          <w:color w:val="auto"/>
        </w:rPr>
      </w:pPr>
    </w:p>
    <w:p>
      <w:pPr>
        <w:ind w:right="4119" w:firstLine="418"/>
        <w:spacing w:after="0" w:line="242" w:lineRule="auto"/>
        <w:rPr>
          <w:sz w:val="20"/>
          <w:szCs w:val="20"/>
          <w:color w:val="auto"/>
        </w:rPr>
      </w:pPr>
      <w:r>
        <w:rPr>
          <w:rFonts w:ascii="Courier New" w:cs="Courier New" w:eastAsia="Courier New" w:hAnsi="Courier New"/>
          <w:sz w:val="14"/>
          <w:szCs w:val="14"/>
          <w:color w:val="auto"/>
        </w:rPr>
        <w:t>You have requested our opinion, as of this date, as to the relationship from a financial point of view of the Viacom Transaction Consideration (as defined below) to the QVC Transaction Consideration (as defined below).</w:t>
      </w:r>
    </w:p>
    <w:p>
      <w:pPr>
        <w:spacing w:after="0" w:line="165" w:lineRule="exact"/>
        <w:rPr>
          <w:sz w:val="20"/>
          <w:szCs w:val="20"/>
          <w:color w:val="auto"/>
        </w:rPr>
      </w:pPr>
    </w:p>
    <w:p>
      <w:pPr>
        <w:ind w:right="3959" w:firstLine="418"/>
        <w:spacing w:after="0" w:line="262" w:lineRule="auto"/>
        <w:rPr>
          <w:sz w:val="20"/>
          <w:szCs w:val="20"/>
          <w:color w:val="auto"/>
        </w:rPr>
      </w:pPr>
      <w:r>
        <w:rPr>
          <w:rFonts w:ascii="Courier New" w:cs="Courier New" w:eastAsia="Courier New" w:hAnsi="Courier New"/>
          <w:sz w:val="13"/>
          <w:szCs w:val="13"/>
          <w:color w:val="auto"/>
        </w:rPr>
        <w:t>We understand that, as set forth in Amendment Number 34 to the Tender Offer Statement on Schedule 14D-1 filed by QVC Network, Inc. ("QVC"), Comcast Corporation and BellSouth Corporation with the Securities and Exchange Commission (the "Commission") on February 1, 1994 (the "QVC Tender Offer Statement"), QVC has amended its proposal (the "Amended QVC Proposal") to acquire Paramount Communications Inc. ("Paramount") by amending the terms of the cash tender offer (the "QVC Offer") that QVC commenced on October 27, 1993 and the terms of the consideration payable to the holders (the "Stockholders") of common stock of Paramount ("Common Stock") in the QVC Second-Step Merger (as defined below). Under the Amended QVC Proposal, (i) QVC is offering in the QVC Offer to purchase 61,657,432 shares of Common Stock, or such greater number as equals 50.1% of the outstanding shares of Common Stock (on a fully diluted basis), at a purchase price of $104.00 per share in cash, and (ii) following completion of the QVC Offer, in accordance with the form of Agreement and Plan of Merger, between QVC and Paramount (the "Form QVC Merger Agreement") that is attached to the Exemption Agreement, dated as of January 21, 1994, between QVC and Paramount, as amended on January 27, 1994 (the "QVC Exemption Agreement"), Paramount would be merged into QVC in the proposed second-step merger between QVC and Paramount (the "QVC Second-Step Merger"; collectively with the QVC Offer, the "QVC Two-Step Transaction"), and each share of Common Stock not purchased in the QVC Offer (other than shares of Common Stock held in the treasury of Paramount or owned by Paramount or any direct or indirect wholly-owned subsidiary of Paramount or QVC or shares of Common Stock held by those Stockholders (as defined below) who exercise and perfect stockholders appraisal rights under Delaware law) would be converted into the right to receive (a) 1.2361 shares of common stock of QVC (the "QVC Common Stock"), (b) 0.2386 shares of a new series of 6% cumulative non-convertible exchangeable preferred stock of QVC (the "QVC Merger Preferred Stock") and (c) 0.32 warrants to purchase one share of QVC Common Stock at a price of $70.34 per share, exercisable at any time by the</w:t>
      </w:r>
    </w:p>
    <w:p>
      <w:pPr>
        <w:spacing w:after="0" w:line="32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IV-1</w:t>
      </w:r>
    </w:p>
    <w:p>
      <w:pPr>
        <w:sectPr>
          <w:pgSz w:w="11900" w:h="16838" w:orient="portrait"/>
          <w:cols w:equalWidth="0" w:num="1">
            <w:col w:w="10239"/>
          </w:cols>
          <w:pgMar w:left="220" w:top="761" w:right="1440" w:bottom="1440" w:gutter="0" w:footer="0" w:header="0"/>
        </w:sectPr>
      </w:pPr>
    </w:p>
    <w:bookmarkStart w:id="292" w:name="page293"/>
    <w:bookmarkEnd w:id="292"/>
    <w:p>
      <w:pPr>
        <w:ind w:right="3959"/>
        <w:spacing w:after="0" w:line="243" w:lineRule="auto"/>
        <w:rPr>
          <w:sz w:val="20"/>
          <w:szCs w:val="20"/>
          <w:color w:val="auto"/>
        </w:rPr>
      </w:pPr>
      <w:r>
        <w:rPr>
          <w:rFonts w:ascii="Courier New" w:cs="Courier New" w:eastAsia="Courier New" w:hAnsi="Courier New"/>
          <w:sz w:val="14"/>
          <w:szCs w:val="14"/>
          <w:color w:val="auto"/>
        </w:rPr>
        <w:t>holder prior to the tenth anniversary of the QVC Second-Step Merger (the "QVC Warrants") (the aggregate consideration payable to the Stockholders pursuant to the QVC Offer set forth in clause (i) and the aggregate consideration payable to the Stockholders pursuant to the QVC Second-Step Merger set forth in subclauses (a), (b) and (c) of clause (ii) is collectively referred to as the "QVC Transaction Consideration"). We also understand that the Amended QVC Proposal provides that the QVC Merger Preferred Stock will pay cumulative quarterly dividends at a rate of $3.00 per annum per share, will have a liquidation preference of $50.00 per share, will be redeemable for cash by QVC at declining redemption premiums on and after the fifth anniversary of the QVC Second-Step Merger and will be exchangeable by QVC into QVC's 6% subordinated debentures (the "QVC Debentures") at an exchange rate of $50.00 principal amount of QVC Debenture per share of QVC Merger Preferred Stock on and after the third anniversary of the QVC Second-Step Merger. In addition, we understand that the QVC Warrants will be exercisable with cash or by using an equivalent amount of liquidation preference of QVC Merger Preferred Stock or principal amount of QVC Debentures and will be redeemable for cash by QVC, at its option, at $15.00 per QVC Warrant on and after the fifth anniversary of the QVC Second-Step Merger.</w:t>
      </w:r>
    </w:p>
    <w:p>
      <w:pPr>
        <w:spacing w:after="0" w:line="167" w:lineRule="exact"/>
        <w:rPr>
          <w:sz w:val="20"/>
          <w:szCs w:val="20"/>
          <w:color w:val="auto"/>
        </w:rPr>
      </w:pPr>
    </w:p>
    <w:p>
      <w:pPr>
        <w:ind w:right="3959" w:firstLine="418"/>
        <w:spacing w:after="0" w:line="262" w:lineRule="auto"/>
        <w:rPr>
          <w:sz w:val="20"/>
          <w:szCs w:val="20"/>
          <w:color w:val="auto"/>
        </w:rPr>
      </w:pPr>
      <w:r>
        <w:rPr>
          <w:rFonts w:ascii="Courier New" w:cs="Courier New" w:eastAsia="Courier New" w:hAnsi="Courier New"/>
          <w:sz w:val="13"/>
          <w:szCs w:val="13"/>
          <w:color w:val="auto"/>
        </w:rPr>
        <w:t>In addition, we understand that, as set forth in (i) the written proposal submitted to Paramount by Viacom Inc. ("Viacom") on February 1, 1994 and (ii) Amendment Number 35 to the Tender Offer Statement on Schedule 14D-1 filed by Viacom, National Amusements, Inc., Mr. Sumner M. Redstone and Blockbuster Entertainment Corporation ("Blockbuster") with the Commission on February 1, 1994 (the "Viacom Tender Offer Statement") (collectively, the "Amended Viacom Proposal"), Viacom did not amend the terms of the cash tender offer (the "Viacom Offer") that it had commenced on October 25, 1993, but amended the terms of the consideration payable to the Stockholders in the proposed Viacom Second-Step Merger (as defined below). Under the Amended Viacom Proposal, (a) Viacom is continuing to offer in the Viacom Offer to purchase 61,657,432 shares of Common Stock, or such greater number as equals 50.1% of the outstanding shares of Common Stock (on a fully diluted basis), at a purchase price of $107.00 per share in cash, and (b) following completion of the Viacom Offer, in accordance with the Agreement and Plan of Merger, between Viacom and Paramount, dated as of January 21, 1994, as amended on January 27, 1994 and as proposed to be amended to reflect the Amended Viacom Proposal (the "Viacom Merger Agreement"), Paramount would be merged into Viacom in the proposed second-step merger between Viacom and Paramount (the "Viacom Second-Step Merger"; collectively with the Viacom Offer, the " Viacom Two-Step Transaction"), and each share of Common Stock not purchased in the Viacom Offer (other than shares of Common Stock held in the treasury of Paramount or owned by Paramount or any direct or indirect wholly-owned subsidiary of Paramount or Viacom or shares of Common Stock held by those Stockholders who exercise and perfect stockholders appraisal rights under Delaware law) would be converted into the right to receive (1) 0.93065 shares of Class B common stock of Viacom (the "Viacom Class B Common Stock"), (2) $17.50 principal amount of 8% exchangeable subordinated debentures of Viacom (the "Viacom Exchangeable Debentures"), (3) 0.5 warrants to purchase one share of Viacom Class B Common Stock at a price of $60.00 per share, exercisable at any time by the holder prior to the third anniversary of the Viacom Second-Step Merger, (4) 0.3 warrants to purchase one share of Viacom Class B Common</w:t>
      </w: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IV-2</w:t>
      </w:r>
    </w:p>
    <w:p>
      <w:pPr>
        <w:sectPr>
          <w:pgSz w:w="11900" w:h="16838" w:orient="portrait"/>
          <w:cols w:equalWidth="0" w:num="1">
            <w:col w:w="10239"/>
          </w:cols>
          <w:pgMar w:left="220" w:top="763" w:right="1440" w:bottom="1440" w:gutter="0" w:footer="0" w:header="0"/>
        </w:sectPr>
      </w:pPr>
    </w:p>
    <w:bookmarkStart w:id="293" w:name="page294"/>
    <w:bookmarkEnd w:id="293"/>
    <w:p>
      <w:pPr>
        <w:ind w:right="3959"/>
        <w:spacing w:after="0" w:line="262" w:lineRule="auto"/>
        <w:rPr>
          <w:sz w:val="20"/>
          <w:szCs w:val="20"/>
          <w:color w:val="auto"/>
        </w:rPr>
      </w:pPr>
      <w:r>
        <w:rPr>
          <w:rFonts w:ascii="Courier New" w:cs="Courier New" w:eastAsia="Courier New" w:hAnsi="Courier New"/>
          <w:sz w:val="13"/>
          <w:szCs w:val="13"/>
          <w:color w:val="auto"/>
        </w:rPr>
        <w:t>Stock at a price of $70.00 per share, exercisable at any time by the holder prior to the fifth anniversary of the Viacom Second-Step Merger (the "Viacom Five Year Warrants") and (5) 0.93065 contingent value rights of Viacom (the "Viacom CVRs") having the terms described below (the aggregate consideration payable to Stockholders pursuant to the Viacom Offer set forth in clause (a) and the aggregate consideration payable to Stockholders pursuant to the Viacom Second- Step Merger set forth in subclauses (1), (2), (3), (4) and (5) of clause (b) is collectively referred to as the</w:t>
      </w:r>
    </w:p>
    <w:p>
      <w:pPr>
        <w:spacing w:after="0"/>
        <w:tabs>
          <w:tab w:leader="none" w:pos="3160" w:val="left"/>
        </w:tabs>
        <w:rPr>
          <w:sz w:val="20"/>
          <w:szCs w:val="20"/>
          <w:color w:val="auto"/>
        </w:rPr>
      </w:pPr>
      <w:r>
        <w:rPr>
          <w:rFonts w:ascii="Courier New" w:cs="Courier New" w:eastAsia="Courier New" w:hAnsi="Courier New"/>
          <w:sz w:val="14"/>
          <w:szCs w:val="14"/>
          <w:color w:val="auto"/>
        </w:rPr>
        <w:t>"Viacom Transaction Consideration").</w:t>
      </w:r>
      <w:r>
        <w:rPr>
          <w:sz w:val="20"/>
          <w:szCs w:val="20"/>
          <w:color w:val="auto"/>
        </w:rPr>
        <w:tab/>
      </w:r>
      <w:r>
        <w:rPr>
          <w:rFonts w:ascii="Courier New" w:cs="Courier New" w:eastAsia="Courier New" w:hAnsi="Courier New"/>
          <w:sz w:val="13"/>
          <w:szCs w:val="13"/>
          <w:color w:val="auto"/>
        </w:rPr>
        <w:t>In addition, we understand that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Viacom Proposal provides that the Viacom Exchangeable Debentures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mature on the twelfth anniversary of the Viacom Second-Step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pay interest semi-annually beginning on January 1, 1995 and will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non-callable until the fifth anniversary of the Viacom Second-Step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thereafter may be redeemed for cash by Viacom at declining redemption</w:t>
      </w:r>
    </w:p>
    <w:p>
      <w:pPr>
        <w:spacing w:after="0" w:line="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4"/>
          <w:szCs w:val="14"/>
          <w:color w:val="auto"/>
        </w:rPr>
        <w:t>premiums.</w:t>
        <w:tab/>
        <w:t>The Amended Viacom Proposal also provides that Viacom will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option to exchange at par the Viacom Exchangeable Debentures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liquidation preference of a new series of Viacom 5% cumulative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exchangeable (non-convertible) preferred stock (the "Viacom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if the proposed merger between Viacom and Blockbuster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by the Agreement and Plan of Merger, dated as of January 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between Blockbuster and Viacom (the "Blockbuster Merger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not been consummated by January 1, 1995, or earlier, if beneficial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a majority of the outstanding shares of common stock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(the "Blockbuster Common Stock") has been acquired by a third</w:t>
      </w:r>
    </w:p>
    <w:p>
      <w:pPr>
        <w:spacing w:after="0" w:line="2"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party prior to January 1, 1995.</w:t>
      </w:r>
      <w:r>
        <w:rPr>
          <w:sz w:val="20"/>
          <w:szCs w:val="20"/>
          <w:color w:val="auto"/>
        </w:rPr>
        <w:tab/>
      </w:r>
      <w:r>
        <w:rPr>
          <w:rFonts w:ascii="Courier New" w:cs="Courier New" w:eastAsia="Courier New" w:hAnsi="Courier New"/>
          <w:sz w:val="13"/>
          <w:szCs w:val="13"/>
          <w:color w:val="auto"/>
        </w:rPr>
        <w:t>The Amended Viacom Proposal further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provides that the Viacom Merger Preferred Stock will be non-callable until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fifth anniversary of the Viacom Second-Step Merger, and thereafter, may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redeemed by Viacom for cash at declining redemption premiums and will</w:t>
      </w:r>
    </w:p>
    <w:p>
      <w:pPr>
        <w:spacing w:after="0" w:line="2"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4"/>
          <w:szCs w:val="14"/>
          <w:color w:val="auto"/>
        </w:rPr>
        <w:t>have a liquidation preference of $50.00 per share.</w:t>
      </w:r>
      <w:r>
        <w:rPr>
          <w:sz w:val="20"/>
          <w:szCs w:val="20"/>
          <w:color w:val="auto"/>
        </w:rPr>
        <w:tab/>
      </w:r>
      <w:r>
        <w:rPr>
          <w:rFonts w:ascii="Courier New" w:cs="Courier New" w:eastAsia="Courier New" w:hAnsi="Courier New"/>
          <w:sz w:val="13"/>
          <w:szCs w:val="13"/>
          <w:color w:val="auto"/>
        </w:rPr>
        <w:t>In addition, the Viacom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Preferred Stock will be exchangeable into Viacom's 5% subordinated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(the "Viacom Subordinated Debentures") after the third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Viacom Second-Step Merger at an exchange rate of $50.00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amount of Viacom Subordinated Debentures for each share of Viacom</w:t>
      </w:r>
    </w:p>
    <w:p>
      <w:pPr>
        <w:spacing w:after="0" w:line="1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Merger Preferred Stock.</w:t>
      </w:r>
      <w:r>
        <w:rPr>
          <w:sz w:val="20"/>
          <w:szCs w:val="20"/>
          <w:color w:val="auto"/>
        </w:rPr>
        <w:tab/>
      </w:r>
      <w:r>
        <w:rPr>
          <w:rFonts w:ascii="Courier New" w:cs="Courier New" w:eastAsia="Courier New" w:hAnsi="Courier New"/>
          <w:sz w:val="13"/>
          <w:szCs w:val="13"/>
          <w:color w:val="auto"/>
        </w:rPr>
        <w:t>Moreover, the dividend rate on the Viacom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Preferred Stock and the interest rate on the Viacom Subordinated Debentures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increase to 10% per annum on the tenth anniversary of the Viacom</w:t>
      </w:r>
    </w:p>
    <w:p>
      <w:pPr>
        <w:spacing w:after="0" w:line="2"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4"/>
          <w:szCs w:val="14"/>
          <w:color w:val="auto"/>
        </w:rPr>
        <w:t>Second-Step Merger, if not previously redeemed by Viacom.</w:t>
      </w:r>
      <w:r>
        <w:rPr>
          <w:sz w:val="20"/>
          <w:szCs w:val="20"/>
          <w:color w:val="auto"/>
        </w:rPr>
        <w:tab/>
      </w:r>
      <w:r>
        <w:rPr>
          <w:rFonts w:ascii="Courier New" w:cs="Courier New" w:eastAsia="Courier New" w:hAnsi="Courier New"/>
          <w:sz w:val="13"/>
          <w:szCs w:val="13"/>
          <w:color w:val="auto"/>
        </w:rPr>
        <w:t>We further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understand that the Amended Viacom Proposal provides that the Viacom Five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Warrants will be exercisable with cash or by using an equivalent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liquidation preference of Viacom Merger Preferred Stock or principal amount</w:t>
      </w:r>
    </w:p>
    <w:p>
      <w:pPr>
        <w:spacing w:after="0" w:line="11"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of Viacom Subordinated Debentures.</w:t>
      </w:r>
      <w:r>
        <w:rPr>
          <w:sz w:val="20"/>
          <w:szCs w:val="20"/>
          <w:color w:val="auto"/>
        </w:rPr>
        <w:tab/>
      </w:r>
      <w:r>
        <w:rPr>
          <w:rFonts w:ascii="Courier New" w:cs="Courier New" w:eastAsia="Courier New" w:hAnsi="Courier New"/>
          <w:sz w:val="13"/>
          <w:szCs w:val="13"/>
          <w:color w:val="auto"/>
        </w:rPr>
        <w:t>We also understand that the Amended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Proposal provides that each Viacom CVR will represent the right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anniversary of the Viacom Second-Step Merger to receive in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securities, at Viacom's election, the amount by which the Average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Value (as defined in the Amended Viacom Proposal and as described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of Viacom Class B Common Stock is less than a minimum price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 per share of Viacom Class B Common Stock, and Viacom will have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in its sole discretion, to extend the payment measurement dates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Viacom CVR by one year, in which case the minimum price will increase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$51.00 per share of Viacom Class B Common Stock, and a further one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extension right which, if exercised, would increase the minimum price to</w:t>
      </w:r>
    </w:p>
    <w:p>
      <w:pPr>
        <w:spacing w:after="0" w:line="2"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4"/>
          <w:szCs w:val="14"/>
          <w:color w:val="auto"/>
        </w:rPr>
        <w:t>$55.00 per share of Viacom Class B Common Stock.</w:t>
        <w:tab/>
        <w:t>As used in the Amended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Proposal, the "Average Trading Value" will be based upon the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of Viacom Class B Common Stock during the 60 trading days ending 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IV-3</w:t>
      </w:r>
    </w:p>
    <w:p>
      <w:pPr>
        <w:sectPr>
          <w:pgSz w:w="11900" w:h="16838" w:orient="portrait"/>
          <w:cols w:equalWidth="0" w:num="1">
            <w:col w:w="10239"/>
          </w:cols>
          <w:pgMar w:left="220" w:top="763" w:right="1440" w:bottom="1440" w:gutter="0" w:footer="0" w:header="0"/>
        </w:sectPr>
      </w:pPr>
    </w:p>
    <w:bookmarkStart w:id="294" w:name="page295"/>
    <w:bookmarkEnd w:id="294"/>
    <w:p>
      <w:pPr>
        <w:ind w:right="3959"/>
        <w:spacing w:after="0" w:line="242" w:lineRule="auto"/>
        <w:rPr>
          <w:sz w:val="20"/>
          <w:szCs w:val="20"/>
          <w:color w:val="auto"/>
        </w:rPr>
      </w:pPr>
      <w:r>
        <w:rPr>
          <w:rFonts w:ascii="Courier New" w:cs="Courier New" w:eastAsia="Courier New" w:hAnsi="Courier New"/>
          <w:sz w:val="14"/>
          <w:szCs w:val="14"/>
          <w:color w:val="auto"/>
        </w:rPr>
        <w:t>the last day of the relevant period and is subject to a floor of $36.00 per share of Viacom Class B Common Stock on the first anniversary of the Viacom Second-Step Merger, a floor of $37.00 per share of Viacom Class B Common Stock on the second anniversary of the Viacom Second-Step Merger and a floor of $38.00 per share of Viacom Class B Common Stock on the third anniversary of the Viacom Second-Step Merger.</w:t>
      </w:r>
    </w:p>
    <w:p>
      <w:pPr>
        <w:spacing w:after="0" w:line="167" w:lineRule="exact"/>
        <w:rPr>
          <w:sz w:val="20"/>
          <w:szCs w:val="20"/>
          <w:color w:val="auto"/>
        </w:rPr>
      </w:pPr>
    </w:p>
    <w:p>
      <w:pPr>
        <w:ind w:right="3959" w:firstLine="418"/>
        <w:spacing w:after="0" w:line="263" w:lineRule="auto"/>
        <w:rPr>
          <w:sz w:val="20"/>
          <w:szCs w:val="20"/>
          <w:color w:val="auto"/>
        </w:rPr>
      </w:pPr>
      <w:r>
        <w:rPr>
          <w:rFonts w:ascii="Courier New" w:cs="Courier New" w:eastAsia="Courier New" w:hAnsi="Courier New"/>
          <w:sz w:val="13"/>
          <w:szCs w:val="13"/>
          <w:color w:val="auto"/>
        </w:rPr>
        <w:t>Lazard Freres &amp; Co. has from time to time acted as financial advisor to Paramount and has acted as its financial advisor in connection with proposed QVC Two-Step Transaction and proposed Viacom Two-Step Transaction. As you know, a General Partner of our firm is a member of Paramount's Board of Directors. In addition, we have from time to time in the past provided, and we are currently providing, in matters unrelated to Paramount, financial advisory or financing services to one or more of the respective equity investors in Viacom and QVC, or persons engaged in pending transactions with one or more of such investors, and we have received, or expect to receive, fees for the rendering of such services. In connection with our opinions set forth in this letter, we have, among other things:</w:t>
      </w:r>
    </w:p>
    <w:p>
      <w:pPr>
        <w:spacing w:after="0" w:line="156" w:lineRule="exact"/>
        <w:rPr>
          <w:sz w:val="20"/>
          <w:szCs w:val="20"/>
          <w:color w:val="auto"/>
        </w:rPr>
      </w:pPr>
    </w:p>
    <w:p>
      <w:pPr>
        <w:ind w:right="3959" w:firstLine="424"/>
        <w:spacing w:after="0" w:line="242" w:lineRule="auto"/>
        <w:tabs>
          <w:tab w:leader="none" w:pos="837"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terms and conditions of (a) the Amended QVC Proposal, the QVC Tender Offer Statement, and the QVC Exemption Agreement (including the Form QVC Merger Agreement attached thereto) and (b) the Amended Viacom Proposal, the Viacom Tender Offer Statement and the Viacom Merger Agreement (including the form Exemption Agreement between Viacom and Paramount attached thereto);</w:t>
      </w:r>
    </w:p>
    <w:p>
      <w:pPr>
        <w:spacing w:after="0" w:line="166" w:lineRule="exact"/>
        <w:rPr>
          <w:rFonts w:ascii="Courier New" w:cs="Courier New" w:eastAsia="Courier New" w:hAnsi="Courier New"/>
          <w:sz w:val="14"/>
          <w:szCs w:val="14"/>
          <w:color w:val="auto"/>
        </w:rPr>
      </w:pPr>
    </w:p>
    <w:p>
      <w:pPr>
        <w:ind w:right="3959" w:firstLine="340"/>
        <w:spacing w:after="0" w:line="242" w:lineRule="auto"/>
        <w:tabs>
          <w:tab w:leader="none" w:pos="837"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terms and conditions of the Blockbuster Merger Agreement and the Subscription Agreement, dated January 7, 1994, between Viacom and Blockbuster, analyzed the Amended Viacom Proposal both with and without giving effect to the consummation of the proposed merger between Viacom and Blockbuster contemplated by the Blockbuster Merger Agreement and observed that the proposed merger between Viacom and Blockbuster is subject to the approval of the stockholders of Blockbuster;</w:t>
      </w:r>
    </w:p>
    <w:p>
      <w:pPr>
        <w:spacing w:after="0" w:line="167" w:lineRule="exact"/>
        <w:rPr>
          <w:rFonts w:ascii="Courier New" w:cs="Courier New" w:eastAsia="Courier New" w:hAnsi="Courier New"/>
          <w:sz w:val="14"/>
          <w:szCs w:val="14"/>
          <w:color w:val="auto"/>
        </w:rPr>
      </w:pPr>
    </w:p>
    <w:p>
      <w:pPr>
        <w:ind w:right="3959" w:firstLine="257"/>
        <w:spacing w:after="0" w:line="263" w:lineRule="auto"/>
        <w:tabs>
          <w:tab w:leader="none" w:pos="837" w:val="left"/>
        </w:tabs>
        <w:numPr>
          <w:ilvl w:val="0"/>
          <w:numId w:val="3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analyzed certain historical business and financial information relating to Paramount, Viacom, QVC and Blockbuster, including (a) the Annual Reports to Stockholders and the Annual Reports on Form 10-K of Paramount for each of the fiscal years ended October 31, 1988 through 1992, the Transition Report on Form 10-K of Paramount for the period from November 1, 1992 through April 30, 1993 and Quarterly Reports on Form 10-Q of Paramount for the quarters ended January 31, April 30, and July 31 for each of the same fiscal years and for the quarters ended January 31, April 30, July 31 and October 31, 1993, (b) the Annual Reports to Stockholders and the Annual Reports on Form 10-K of Viacom for each of the fiscal years ended December 31, 1988 through 1992, and Quarterly Reports on Form 10-Q of Viacom for the quarters ended March 31, June 30 and September 30 for each of the same fiscal years, and for the quarters ended March 31, June 30, and September 30, 1993, (c) the Annual Reports to Stockholders and the Annual Reports on Form 10-K of QVC for each of the fiscal years ended January 31, 1989 through 1993, and Quarterly Reports on Form 10-Q of QVC for the quarters ended April 30, July 31 and October 31 for each of the same fiscal years, and for the quarters ended April 30, July 31 and October 31, 1993 and (d) the Annual Reports to Stockholders and the Annual Reports on Form 10-K of Blockbuster for each of the fiscal years ended December 31, 1988</w:t>
      </w: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IV-4</w:t>
      </w:r>
    </w:p>
    <w:p>
      <w:pPr>
        <w:sectPr>
          <w:pgSz w:w="11900" w:h="16838" w:orient="portrait"/>
          <w:cols w:equalWidth="0" w:num="1">
            <w:col w:w="10239"/>
          </w:cols>
          <w:pgMar w:left="220" w:top="764" w:right="1440" w:bottom="1440" w:gutter="0" w:footer="0" w:header="0"/>
        </w:sectPr>
      </w:pPr>
    </w:p>
    <w:bookmarkStart w:id="295" w:name="page296"/>
    <w:bookmarkEnd w:id="295"/>
    <w:p>
      <w:pPr>
        <w:ind w:right="4119"/>
        <w:spacing w:after="0" w:line="242" w:lineRule="auto"/>
        <w:rPr>
          <w:sz w:val="20"/>
          <w:szCs w:val="20"/>
          <w:color w:val="auto"/>
        </w:rPr>
      </w:pPr>
      <w:r>
        <w:rPr>
          <w:rFonts w:ascii="Courier New" w:cs="Courier New" w:eastAsia="Courier New" w:hAnsi="Courier New"/>
          <w:sz w:val="14"/>
          <w:szCs w:val="14"/>
          <w:color w:val="auto"/>
        </w:rPr>
        <w:t>through 1992, and Quarterly Reports on Form 10-Q of Blockbuster for the quarters ended March 31, June 30 and September 30 for each of the same fiscal years, and for the quarters ended March 31, June 30, and September 30, 1993;</w:t>
      </w:r>
    </w:p>
    <w:p>
      <w:pPr>
        <w:spacing w:after="0" w:line="165" w:lineRule="exact"/>
        <w:rPr>
          <w:sz w:val="20"/>
          <w:szCs w:val="20"/>
          <w:color w:val="auto"/>
        </w:rPr>
      </w:pPr>
    </w:p>
    <w:p>
      <w:pPr>
        <w:ind w:right="4119" w:firstLine="340"/>
        <w:spacing w:after="0" w:line="242"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financial forecasts and other data provided to us by Paramount, Viacom, QVC and Blockbuster relating to their respective businesses (except in the case of Paramount, financial forecasts for the current fiscal year only, having been advised that Paramount has not prepared projections beyond the current fiscal year);</w:t>
      </w:r>
    </w:p>
    <w:p>
      <w:pPr>
        <w:spacing w:after="0" w:line="165" w:lineRule="exact"/>
        <w:rPr>
          <w:rFonts w:ascii="Courier New" w:cs="Courier New" w:eastAsia="Courier New" w:hAnsi="Courier New"/>
          <w:sz w:val="14"/>
          <w:szCs w:val="14"/>
          <w:color w:val="auto"/>
        </w:rPr>
      </w:pPr>
    </w:p>
    <w:p>
      <w:pPr>
        <w:ind w:right="4199" w:firstLine="424"/>
        <w:spacing w:after="0" w:line="242"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 of Paramount, Viacom, QVC and Blockbuster with respect to the business and prospects of Paramount, Viacom, QVC and Blockbuster and the strategic objectives of each;</w:t>
      </w:r>
    </w:p>
    <w:p>
      <w:pPr>
        <w:spacing w:after="0" w:line="164" w:lineRule="exact"/>
        <w:rPr>
          <w:rFonts w:ascii="Courier New" w:cs="Courier New" w:eastAsia="Courier New" w:hAnsi="Courier New"/>
          <w:sz w:val="14"/>
          <w:szCs w:val="14"/>
          <w:color w:val="auto"/>
        </w:rPr>
      </w:pPr>
    </w:p>
    <w:p>
      <w:pPr>
        <w:jc w:val="both"/>
        <w:ind w:right="4619" w:firstLine="340"/>
        <w:spacing w:after="0" w:line="241"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 information with respect to certain other companies in lines of businesses we believe to be comparable to the businesses of Paramount, Viacom, QVC and Blockbuster;</w:t>
      </w:r>
    </w:p>
    <w:p>
      <w:pPr>
        <w:spacing w:after="0" w:line="165" w:lineRule="exact"/>
        <w:rPr>
          <w:rFonts w:ascii="Courier New" w:cs="Courier New" w:eastAsia="Courier New" w:hAnsi="Courier New"/>
          <w:sz w:val="14"/>
          <w:szCs w:val="14"/>
          <w:color w:val="auto"/>
        </w:rPr>
      </w:pPr>
    </w:p>
    <w:p>
      <w:pPr>
        <w:jc w:val="both"/>
        <w:ind w:right="4199" w:firstLine="257"/>
        <w:spacing w:after="0" w:line="242"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certain business combinations involving companies in lines of business we believe to be comparable to those of Paramount, Viacom, QVC and Blockbuster, and in other industries generally;</w:t>
      </w:r>
    </w:p>
    <w:p>
      <w:pPr>
        <w:spacing w:after="0" w:line="164" w:lineRule="exact"/>
        <w:rPr>
          <w:rFonts w:ascii="Courier New" w:cs="Courier New" w:eastAsia="Courier New" w:hAnsi="Courier New"/>
          <w:sz w:val="14"/>
          <w:szCs w:val="14"/>
          <w:color w:val="auto"/>
        </w:rPr>
      </w:pPr>
    </w:p>
    <w:p>
      <w:pPr>
        <w:ind w:right="3959" w:firstLine="173"/>
        <w:spacing w:after="0" w:line="241"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historical stock prices and trading volumes of the Common Stock, Viacom Class B Common Stock, QVC Common Stock and Blockbuster Common Stock;</w:t>
      </w:r>
    </w:p>
    <w:p>
      <w:pPr>
        <w:spacing w:after="0" w:line="165" w:lineRule="exact"/>
        <w:rPr>
          <w:rFonts w:ascii="Courier New" w:cs="Courier New" w:eastAsia="Courier New" w:hAnsi="Courier New"/>
          <w:sz w:val="14"/>
          <w:szCs w:val="14"/>
          <w:color w:val="auto"/>
        </w:rPr>
      </w:pPr>
    </w:p>
    <w:p>
      <w:pPr>
        <w:ind w:right="3959" w:firstLine="340"/>
        <w:spacing w:after="0" w:line="242"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procedures for bidding set forth in the Viacom Merger Agreement and the QVC Exemption Agreement, in particular noting the respective provisions therein providing for the extension of the QVC Offer or the Viacom Offer, as applicable, for 10 business days upon delivery of a Completion Certificate (referred to in the Viacom Merger Agreement or the QVC Exemption Agreement, as applicable) by Viacom or QVC, as applicable; and</w:t>
      </w:r>
    </w:p>
    <w:p>
      <w:pPr>
        <w:spacing w:after="0" w:line="167" w:lineRule="exact"/>
        <w:rPr>
          <w:rFonts w:ascii="Courier New" w:cs="Courier New" w:eastAsia="Courier New" w:hAnsi="Courier New"/>
          <w:sz w:val="14"/>
          <w:szCs w:val="14"/>
          <w:color w:val="auto"/>
        </w:rPr>
      </w:pPr>
    </w:p>
    <w:p>
      <w:pPr>
        <w:ind w:right="5039" w:firstLine="424"/>
        <w:spacing w:after="0" w:line="239" w:lineRule="auto"/>
        <w:tabs>
          <w:tab w:leader="none" w:pos="83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financial studies, analyses and investigations as we deemed appropriate.</w:t>
      </w:r>
    </w:p>
    <w:p>
      <w:pPr>
        <w:spacing w:after="0" w:line="167" w:lineRule="exact"/>
        <w:rPr>
          <w:sz w:val="20"/>
          <w:szCs w:val="20"/>
          <w:color w:val="auto"/>
        </w:rPr>
      </w:pPr>
    </w:p>
    <w:p>
      <w:pPr>
        <w:ind w:right="4039" w:firstLine="418"/>
        <w:spacing w:after="0" w:line="243" w:lineRule="auto"/>
        <w:rPr>
          <w:sz w:val="20"/>
          <w:szCs w:val="20"/>
          <w:color w:val="auto"/>
        </w:rPr>
      </w:pPr>
      <w:r>
        <w:rPr>
          <w:rFonts w:ascii="Courier New" w:cs="Courier New" w:eastAsia="Courier New" w:hAnsi="Courier New"/>
          <w:sz w:val="14"/>
          <w:szCs w:val="14"/>
          <w:color w:val="auto"/>
        </w:rPr>
        <w:t>We have assumed and relied upon the accuracy and completeness of the financial and other information provided by Paramount, Viacom, QVC and Blockbuster to us, and on the representations contained in the Viacom Merger Agreement and the Form QVC Merger Agreement, and we have not undertaken any independent verification of such information or any independent valuation or appraisal of any of the assets of Paramount, Viacom, QVC or Blockbuster. With respect to the financial forecasts referred to above, we have assumed that they have been reasonably prepared on a basis reflecting the best currently available judgments of the managements of Paramount, Viacom, QVC or Blockbuster as to the future financial performance of Paramount, Viacom, QVC and Blockbuster, respectively. In addition, we have assumed that the Amended Viacom Proposal and the Amended QVC Proposal, were made in compliance with the terms and conditions of the Viacom Merger Agreement and the QVC Exemption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39"/>
          </w:cols>
          <w:pgMar w:left="220" w:top="763" w:right="1440" w:bottom="1440" w:gutter="0" w:footer="0" w:header="0"/>
        </w:sectPr>
      </w:pPr>
    </w:p>
    <w:bookmarkStart w:id="296" w:name="page297"/>
    <w:bookmarkEnd w:id="296"/>
    <w:p>
      <w:pPr>
        <w:ind w:right="4379"/>
        <w:spacing w:after="0" w:line="239" w:lineRule="auto"/>
        <w:rPr>
          <w:sz w:val="20"/>
          <w:szCs w:val="20"/>
          <w:color w:val="auto"/>
        </w:rPr>
      </w:pPr>
      <w:r>
        <w:rPr>
          <w:rFonts w:ascii="Courier New" w:cs="Courier New" w:eastAsia="Courier New" w:hAnsi="Courier New"/>
          <w:sz w:val="14"/>
          <w:szCs w:val="14"/>
          <w:color w:val="auto"/>
        </w:rPr>
        <w:t>Agreement, respectively. Further, our opinions are based on economic, monetary and market conditions existing on this date.</w:t>
      </w:r>
    </w:p>
    <w:p>
      <w:pPr>
        <w:spacing w:after="0" w:line="167" w:lineRule="exact"/>
        <w:rPr>
          <w:sz w:val="20"/>
          <w:szCs w:val="20"/>
          <w:color w:val="auto"/>
        </w:rPr>
      </w:pPr>
    </w:p>
    <w:p>
      <w:pPr>
        <w:ind w:right="3959" w:firstLine="418"/>
        <w:spacing w:after="0" w:line="243" w:lineRule="auto"/>
        <w:rPr>
          <w:sz w:val="20"/>
          <w:szCs w:val="20"/>
          <w:color w:val="auto"/>
        </w:rPr>
      </w:pPr>
      <w:r>
        <w:rPr>
          <w:rFonts w:ascii="Courier New" w:cs="Courier New" w:eastAsia="Courier New" w:hAnsi="Courier New"/>
          <w:sz w:val="14"/>
          <w:szCs w:val="14"/>
          <w:color w:val="auto"/>
        </w:rPr>
        <w:t>We have not reviewed any proxy statement or similar document that may be prepared for use in connection with the proposed QVC Two-Step Transaction or the proposed Viacom Two-Step Transaction. In accordance with the Procedures for Submissions of Proposals (the "Bidding Procedures") established by Paramount's Board of Directors on December 13, 1993, Paramount's Board of Directors has authorized us to respond to inquiries with respect to Paramount from prospective bidders (in addition to QVC and Viacom) and to receive proposals from additional bidders, if any. We have not, however, solicited third party indications of interest in acquiring all or any part of Paramount.</w:t>
      </w:r>
    </w:p>
    <w:p>
      <w:pPr>
        <w:spacing w:after="0" w:line="164" w:lineRule="exact"/>
        <w:rPr>
          <w:sz w:val="20"/>
          <w:szCs w:val="20"/>
          <w:color w:val="auto"/>
        </w:rPr>
      </w:pPr>
    </w:p>
    <w:p>
      <w:pPr>
        <w:ind w:right="4039" w:firstLine="418"/>
        <w:spacing w:after="0" w:line="263" w:lineRule="auto"/>
        <w:rPr>
          <w:sz w:val="20"/>
          <w:szCs w:val="20"/>
          <w:color w:val="auto"/>
        </w:rPr>
      </w:pPr>
      <w:r>
        <w:rPr>
          <w:rFonts w:ascii="Courier New" w:cs="Courier New" w:eastAsia="Courier New" w:hAnsi="Courier New"/>
          <w:sz w:val="13"/>
          <w:szCs w:val="13"/>
          <w:color w:val="auto"/>
        </w:rPr>
        <w:t>As part of our analysis, we have continued to evaluate the transactions, as we have in the past, not only on the basis of current market values but also applying other financial valuation methodologies generally applicable to transactions of this type. These financial valuation methodologies, which are subject to certain limitations as applied to these prospective combinations, including the lack of projections for Paramount beyond the current fiscal year and the difficulties in quantifying synergies and revenue enhancements resulting from the combinations, generally favor in varying degrees the Viacom Transaction Consideration from a financial point of view. On the basis of recent market values, the QVC Transaction Consideration has had a somewhat higher market valuation than the Viacom Transaction Consideration; in this connection, we observe the high volatility of Viacom Class B Common Stock and QVC Common Stock and that the market prices of the stocks seem to be impacted by the perception of the market-place as to whether QVC or Viacom would be the ultimate acquiror of Paramount.</w:t>
      </w:r>
    </w:p>
    <w:p>
      <w:pPr>
        <w:spacing w:after="0" w:line="315" w:lineRule="exact"/>
        <w:rPr>
          <w:sz w:val="20"/>
          <w:szCs w:val="20"/>
          <w:color w:val="auto"/>
        </w:rPr>
      </w:pPr>
    </w:p>
    <w:p>
      <w:pPr>
        <w:ind w:right="3799" w:firstLine="418"/>
        <w:spacing w:after="0" w:line="243" w:lineRule="auto"/>
        <w:rPr>
          <w:sz w:val="20"/>
          <w:szCs w:val="20"/>
          <w:color w:val="auto"/>
        </w:rPr>
      </w:pPr>
      <w:r>
        <w:rPr>
          <w:rFonts w:ascii="Courier New" w:cs="Courier New" w:eastAsia="Courier New" w:hAnsi="Courier New"/>
          <w:sz w:val="14"/>
          <w:szCs w:val="14"/>
          <w:color w:val="auto"/>
        </w:rPr>
        <w:t>We observe the express preference of Paramount's Board of Directors in the Bidding Procedures for cash and securities readily susceptible to valuation, such as securities with a fixed income stream, with a liquidation preference, or in the case of equity securities, securities which enjoy the benefits of a wide collar or other value assurance mechanism. In this regard, we note that there is a greater percentage of cash and fixed income securities as components of the Viacom Transaction Consideration than the QVC Transaction Consideration, although the magnitude of the difference in the respective percentages between the two current bids has decreased in comparison to the most recent previous bids submitted by Viacom and QVC.</w:t>
      </w:r>
    </w:p>
    <w:p>
      <w:pPr>
        <w:spacing w:after="0" w:line="3" w:lineRule="exact"/>
        <w:rPr>
          <w:sz w:val="20"/>
          <w:szCs w:val="20"/>
          <w:color w:val="auto"/>
        </w:rPr>
      </w:pPr>
    </w:p>
    <w:p>
      <w:pPr>
        <w:ind w:right="4459"/>
        <w:spacing w:after="0" w:line="239" w:lineRule="auto"/>
        <w:rPr>
          <w:sz w:val="20"/>
          <w:szCs w:val="20"/>
          <w:color w:val="auto"/>
        </w:rPr>
      </w:pPr>
      <w:r>
        <w:rPr>
          <w:rFonts w:ascii="Courier New" w:cs="Courier New" w:eastAsia="Courier New" w:hAnsi="Courier New"/>
          <w:sz w:val="14"/>
          <w:szCs w:val="14"/>
          <w:color w:val="auto"/>
        </w:rPr>
        <w:t>We further note the offering of the Viacom CVRs in the Amended Viacom Proposal.</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Our engagement and the opinions expressed herein are solely for the benefit of Paramount's Board of Directors and are not on behalf of, and are not intended to confer rights or remedies upon, Viacom, QVC, Blockbuster, any stockholders of Paramount, Viacom, QVC or Blockbuster or any other person other than Paramount's Board of Directors.</w:t>
      </w:r>
    </w:p>
    <w:p>
      <w:pPr>
        <w:spacing w:after="0" w:line="166" w:lineRule="exact"/>
        <w:rPr>
          <w:sz w:val="20"/>
          <w:szCs w:val="20"/>
          <w:color w:val="auto"/>
        </w:rPr>
      </w:pPr>
    </w:p>
    <w:p>
      <w:pPr>
        <w:ind w:right="4039" w:firstLine="418"/>
        <w:spacing w:after="0" w:line="242" w:lineRule="auto"/>
        <w:rPr>
          <w:sz w:val="20"/>
          <w:szCs w:val="20"/>
          <w:color w:val="auto"/>
        </w:rPr>
      </w:pPr>
      <w:r>
        <w:rPr>
          <w:rFonts w:ascii="Courier New" w:cs="Courier New" w:eastAsia="Courier New" w:hAnsi="Courier New"/>
          <w:sz w:val="14"/>
          <w:szCs w:val="14"/>
          <w:color w:val="auto"/>
        </w:rPr>
        <w:t>In reaching our opinions expressed herein, we have taken into account various factors, including our assessment of the probability of consummation of the proposed merger between Viacom and Blockbuster contemplated by the Blockbuster Merger Agreement under the circumstances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IV-6</w:t>
      </w:r>
    </w:p>
    <w:p>
      <w:pPr>
        <w:sectPr>
          <w:pgSz w:w="11900" w:h="16838" w:orient="portrait"/>
          <w:cols w:equalWidth="0" w:num="1">
            <w:col w:w="10239"/>
          </w:cols>
          <w:pgMar w:left="220" w:top="764" w:right="1440" w:bottom="1440" w:gutter="0" w:footer="0" w:header="0"/>
        </w:sectPr>
      </w:pPr>
    </w:p>
    <w:bookmarkStart w:id="297" w:name="page298"/>
    <w:bookmarkEnd w:id="297"/>
    <w:p>
      <w:pPr>
        <w:ind w:right="3959"/>
        <w:spacing w:after="0" w:line="262" w:lineRule="auto"/>
        <w:rPr>
          <w:sz w:val="20"/>
          <w:szCs w:val="20"/>
          <w:color w:val="auto"/>
        </w:rPr>
      </w:pPr>
      <w:r>
        <w:rPr>
          <w:rFonts w:ascii="Courier New" w:cs="Courier New" w:eastAsia="Courier New" w:hAnsi="Courier New"/>
          <w:sz w:val="13"/>
          <w:szCs w:val="13"/>
          <w:color w:val="auto"/>
        </w:rPr>
        <w:t>existing on the date of this letter and that, given the terms and conditions of the proposed QVC Two-Step Transaction and the proposed Viacom Two-Step Transaction and the limitations of the financial valuation methodologies referred to above, we continue to view as a favorable factor an offer that contains a greater percentage of cash and securities readily susceptible to valuation. Based on and subject to the foregoing and such other factors as we deemed relevant, including our assessment of economic, monetary and market conditions existing on the date of this letter, we are of the opinion that, as of this date, (i) the QVC Transaction Consideration is fair to the Stockholders from a financial point of view (ii) the</w:t>
      </w:r>
    </w:p>
    <w:p>
      <w:pPr>
        <w:spacing w:after="0" w:line="1" w:lineRule="exact"/>
        <w:rPr>
          <w:sz w:val="20"/>
          <w:szCs w:val="20"/>
          <w:color w:val="auto"/>
        </w:rPr>
      </w:pPr>
    </w:p>
    <w:p>
      <w:pPr>
        <w:ind w:right="3799"/>
        <w:spacing w:after="0" w:line="269" w:lineRule="auto"/>
        <w:rPr>
          <w:sz w:val="20"/>
          <w:szCs w:val="20"/>
          <w:color w:val="auto"/>
        </w:rPr>
      </w:pPr>
      <w:r>
        <w:rPr>
          <w:rFonts w:ascii="Courier New" w:cs="Courier New" w:eastAsia="Courier New" w:hAnsi="Courier New"/>
          <w:sz w:val="13"/>
          <w:szCs w:val="13"/>
          <w:color w:val="auto"/>
        </w:rPr>
        <w:t>Viacom Transaction Consideration is fair to the Stockholders from a financial point of view and (iii) the Viacom Transaction Consideration is marginally superior to the QVC Transaction Consideration from a financial point of view.</w:t>
      </w:r>
    </w:p>
    <w:p>
      <w:pPr>
        <w:spacing w:after="0" w:line="14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32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Lazard Freres &amp; Co.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IV-7</w:t>
      </w:r>
    </w:p>
    <w:p>
      <w:pPr>
        <w:sectPr>
          <w:pgSz w:w="11900" w:h="16838" w:orient="portrait"/>
          <w:cols w:equalWidth="0" w:num="1">
            <w:col w:w="10239"/>
          </w:cols>
          <w:pgMar w:left="220" w:top="764" w:right="1440" w:bottom="1440" w:gutter="0" w:footer="0" w:header="0"/>
        </w:sectPr>
      </w:pPr>
    </w:p>
    <w:bookmarkStart w:id="298" w:name="page299"/>
    <w:bookmarkEnd w:id="298"/>
    <w:p>
      <w:pPr>
        <w:spacing w:after="0"/>
        <w:tabs>
          <w:tab w:leader="none" w:pos="5600" w:val="left"/>
        </w:tabs>
        <w:rPr>
          <w:sz w:val="20"/>
          <w:szCs w:val="20"/>
          <w:color w:val="auto"/>
        </w:rPr>
      </w:pPr>
      <w:r>
        <w:rPr>
          <w:rFonts w:ascii="Courier New" w:cs="Courier New" w:eastAsia="Courier New" w:hAnsi="Courier New"/>
          <w:sz w:val="14"/>
          <w:szCs w:val="14"/>
          <w:color w:val="auto"/>
        </w:rPr>
        <w:t>PRELIMINARY COPIES</w:t>
      </w:r>
      <w:r>
        <w:rPr>
          <w:sz w:val="20"/>
          <w:szCs w:val="20"/>
          <w:color w:val="auto"/>
        </w:rPr>
        <w:tab/>
      </w:r>
      <w:r>
        <w:rPr>
          <w:rFonts w:ascii="Courier New" w:cs="Courier New" w:eastAsia="Courier New" w:hAnsi="Courier New"/>
          <w:sz w:val="13"/>
          <w:szCs w:val="13"/>
          <w:color w:val="auto"/>
        </w:rPr>
        <w:t>ANNEX V</w:t>
      </w:r>
    </w:p>
    <w:p>
      <w:pPr>
        <w:sectPr>
          <w:pgSz w:w="11900" w:h="16838" w:orient="portrait"/>
          <w:cols w:equalWidth="0" w:num="1">
            <w:col w:w="10239"/>
          </w:cols>
          <w:pgMar w:left="220" w:top="601" w:right="1440" w:bottom="1440" w:gutter="0" w:footer="0" w:header="0"/>
        </w:sectPr>
      </w:pP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EXCERPT FROM THE DELAWARE</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GENERAL CORPORATION LAW</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3"/>
          <w:szCs w:val="13"/>
          <w:color w:val="auto"/>
        </w:rPr>
        <w:t>RELATING TO DISSENTERS' RIGHTS</w:t>
      </w:r>
    </w:p>
    <w:p>
      <w:pPr>
        <w:sectPr>
          <w:pgSz w:w="11900" w:h="16838" w:orient="portrait"/>
          <w:cols w:equalWidth="0" w:num="1">
            <w:col w:w="10239"/>
          </w:cols>
          <w:pgMar w:left="220" w:top="601" w:right="1440" w:bottom="1440" w:gutter="0" w:footer="0" w:header="0"/>
          <w:type w:val="continuous"/>
        </w:sectPr>
      </w:pPr>
    </w:p>
    <w:bookmarkStart w:id="299" w:name="page300"/>
    <w:bookmarkEnd w:id="299"/>
    <w:p>
      <w:pPr>
        <w:jc w:val="center"/>
        <w:ind w:right="-400"/>
        <w:spacing w:after="0"/>
        <w:rPr>
          <w:sz w:val="20"/>
          <w:szCs w:val="20"/>
          <w:color w:val="auto"/>
        </w:rPr>
      </w:pPr>
      <w:r>
        <w:rPr>
          <w:rFonts w:ascii="Courier New" w:cs="Courier New" w:eastAsia="Courier New" w:hAnsi="Courier New"/>
          <w:sz w:val="14"/>
          <w:szCs w:val="14"/>
          <w:color w:val="auto"/>
        </w:rPr>
        <w:t>ANNEX V</w:t>
      </w:r>
    </w:p>
    <w:p>
      <w:pPr>
        <w:spacing w:after="0" w:line="32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GENERAL CORPORATION LAW OF THE STATE OF DELAWARE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 262. Appraisal rights.</w:t>
      </w:r>
    </w:p>
    <w:p>
      <w:pPr>
        <w:spacing w:after="0" w:line="166" w:lineRule="exact"/>
        <w:rPr>
          <w:sz w:val="20"/>
          <w:szCs w:val="20"/>
          <w:color w:val="auto"/>
        </w:rPr>
      </w:pPr>
    </w:p>
    <w:p>
      <w:pPr>
        <w:ind w:right="3539" w:firstLine="424"/>
        <w:spacing w:after="0" w:line="243" w:lineRule="auto"/>
        <w:tabs>
          <w:tab w:leader="none" w:pos="753"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the provisions of subsection (d) of this section with respect to such shares, who continuously holds such shares through the effective date of the merger or consolidation, who has otherwise complied with the provisions of subsection (d) of this Section and who has neither voted in favor of the merger or consolidation nor consented thereto in writing pursuant to 228 of this Chapter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w:t>
      </w:r>
    </w:p>
    <w:p>
      <w:pPr>
        <w:spacing w:after="0" w:line="165" w:lineRule="exact"/>
        <w:rPr>
          <w:rFonts w:ascii="Courier New" w:cs="Courier New" w:eastAsia="Courier New" w:hAnsi="Courier New"/>
          <w:sz w:val="14"/>
          <w:szCs w:val="14"/>
          <w:color w:val="auto"/>
        </w:rPr>
      </w:pPr>
    </w:p>
    <w:p>
      <w:pPr>
        <w:ind w:right="3619" w:firstLine="424"/>
        <w:spacing w:after="0" w:line="242" w:lineRule="auto"/>
        <w:tabs>
          <w:tab w:leader="none" w:pos="753"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available for the shares of any class or series of stock of a constituent corporation in a merger or consolidation to be effected pursuant to Sections 251, 252, 254, 257, 258, 263 or 264 of this Chapter:</w:t>
      </w:r>
    </w:p>
    <w:p>
      <w:pPr>
        <w:spacing w:after="0" w:line="164" w:lineRule="exact"/>
        <w:rPr>
          <w:rFonts w:ascii="Courier New" w:cs="Courier New" w:eastAsia="Courier New" w:hAnsi="Courier New"/>
          <w:sz w:val="14"/>
          <w:szCs w:val="14"/>
          <w:color w:val="auto"/>
        </w:rPr>
      </w:pPr>
    </w:p>
    <w:p>
      <w:pPr>
        <w:ind w:left="420" w:right="3539" w:firstLine="423"/>
        <w:spacing w:after="0" w:line="243" w:lineRule="auto"/>
        <w:tabs>
          <w:tab w:leader="none" w:pos="1173"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stockholders;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Section 251 of this Chapter.</w:t>
      </w:r>
    </w:p>
    <w:p>
      <w:pPr>
        <w:spacing w:after="0" w:line="165" w:lineRule="exact"/>
        <w:rPr>
          <w:rFonts w:ascii="Courier New" w:cs="Courier New" w:eastAsia="Courier New" w:hAnsi="Courier New"/>
          <w:sz w:val="14"/>
          <w:szCs w:val="14"/>
          <w:color w:val="auto"/>
        </w:rPr>
      </w:pPr>
    </w:p>
    <w:p>
      <w:pPr>
        <w:ind w:left="420" w:right="3539" w:firstLine="423"/>
        <w:spacing w:after="0" w:line="262" w:lineRule="auto"/>
        <w:tabs>
          <w:tab w:leader="none" w:pos="1173" w:val="left"/>
        </w:tabs>
        <w:numPr>
          <w:ilvl w:val="1"/>
          <w:numId w:val="3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Notwithstanding the provisions of subsection (b)(1) of this Section, appraisal rights under this Sectionshall be available for the shares of any class or series of stock of a constituent corporation if the holders thereof are required by the terms of an agreement of merger or consolidation pursuant to Sections 251, 252, 254, 257, 258, 263 and 264 of this Chapter to accept for such stock anythingexcept: (i) shares of stock of the corporation surviving or resulting from such merger or consolidation; (ii) shares of stock of any other corporation which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stockholders;</w:t>
      </w:r>
    </w:p>
    <w:p>
      <w:pPr>
        <w:spacing w:after="0" w:line="1" w:lineRule="exact"/>
        <w:rPr>
          <w:rFonts w:ascii="Courier New" w:cs="Courier New" w:eastAsia="Courier New" w:hAnsi="Courier New"/>
          <w:sz w:val="13"/>
          <w:szCs w:val="13"/>
          <w:color w:val="auto"/>
        </w:rPr>
      </w:pPr>
    </w:p>
    <w:p>
      <w:pPr>
        <w:ind w:left="420" w:right="3699" w:firstLine="4"/>
        <w:spacing w:after="0" w:line="242" w:lineRule="auto"/>
        <w:tabs>
          <w:tab w:leader="none" w:pos="922"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 lieu of fractional shares of the corporations described in the foregoing clauses (i) and (ii); or (iv) any combination of the shares of stock and cash in lieu of fractional shares described in the foregoing clauses (i), (ii) and (iii) of this subsection.</w:t>
      </w:r>
    </w:p>
    <w:p>
      <w:pPr>
        <w:spacing w:after="0" w:line="164" w:lineRule="exact"/>
        <w:rPr>
          <w:rFonts w:ascii="Courier New" w:cs="Courier New" w:eastAsia="Courier New" w:hAnsi="Courier New"/>
          <w:sz w:val="14"/>
          <w:szCs w:val="14"/>
          <w:color w:val="auto"/>
        </w:rPr>
      </w:pPr>
    </w:p>
    <w:p>
      <w:pPr>
        <w:ind w:left="420" w:right="3539" w:firstLine="423"/>
        <w:spacing w:after="0" w:line="267" w:lineRule="auto"/>
        <w:tabs>
          <w:tab w:leader="none" w:pos="1173" w:val="left"/>
        </w:tabs>
        <w:numPr>
          <w:ilvl w:val="1"/>
          <w:numId w:val="3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all of the stock of a subsidiary Delaware corporation party to a merger effected under Section 253 of this Chapter is not owned by the parent corporation immediately prior to the merger, appraisal rights shall be available for the shares of the subsidiary Delaware corporation.</w:t>
      </w:r>
    </w:p>
    <w:p>
      <w:pPr>
        <w:spacing w:after="0" w:line="149" w:lineRule="exact"/>
        <w:rPr>
          <w:rFonts w:ascii="Courier New" w:cs="Courier New" w:eastAsia="Courier New" w:hAnsi="Courier New"/>
          <w:sz w:val="13"/>
          <w:szCs w:val="13"/>
          <w:color w:val="auto"/>
        </w:rPr>
      </w:pPr>
    </w:p>
    <w:p>
      <w:pPr>
        <w:ind w:right="3539" w:firstLine="424"/>
        <w:spacing w:after="0" w:line="242" w:lineRule="auto"/>
        <w:tabs>
          <w:tab w:leader="none" w:pos="753"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shall apply as nearly as is practicable.</w:t>
      </w:r>
    </w:p>
    <w:p>
      <w:pPr>
        <w:spacing w:after="0" w:line="16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V-1</w:t>
      </w:r>
    </w:p>
    <w:p>
      <w:pPr>
        <w:sectPr>
          <w:pgSz w:w="11900" w:h="16838" w:orient="portrait"/>
          <w:cols w:equalWidth="0" w:num="1">
            <w:col w:w="10239"/>
          </w:cols>
          <w:pgMar w:left="220" w:top="600" w:right="1440" w:bottom="1440" w:gutter="0" w:footer="0" w:header="0"/>
        </w:sectPr>
      </w:pPr>
    </w:p>
    <w:bookmarkStart w:id="300" w:name="page301"/>
    <w:bookmarkEnd w:id="300"/>
    <w:p>
      <w:pPr>
        <w:ind w:left="336" w:hanging="336"/>
        <w:spacing w:after="0"/>
        <w:tabs>
          <w:tab w:leader="none" w:pos="336"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perfected as follows:</w:t>
      </w:r>
    </w:p>
    <w:p>
      <w:pPr>
        <w:spacing w:after="0" w:line="165" w:lineRule="exact"/>
        <w:rPr>
          <w:rFonts w:ascii="Courier New" w:cs="Courier New" w:eastAsia="Courier New" w:hAnsi="Courier New"/>
          <w:sz w:val="14"/>
          <w:szCs w:val="14"/>
          <w:color w:val="auto"/>
        </w:rPr>
      </w:pPr>
    </w:p>
    <w:p>
      <w:pPr>
        <w:ind w:left="-4" w:right="3539" w:firstLine="423"/>
        <w:spacing w:after="0" w:line="243" w:lineRule="auto"/>
        <w:tabs>
          <w:tab w:leader="none" w:pos="749"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the provisions of this subsection and has not voted in favor of or consented to the merger or consolidation of the date that the merger or consolidation has become effective; or</w:t>
      </w:r>
    </w:p>
    <w:p>
      <w:pPr>
        <w:spacing w:after="0" w:line="168" w:lineRule="exact"/>
        <w:rPr>
          <w:rFonts w:ascii="Courier New" w:cs="Courier New" w:eastAsia="Courier New" w:hAnsi="Courier New"/>
          <w:sz w:val="14"/>
          <w:szCs w:val="14"/>
          <w:color w:val="auto"/>
        </w:rPr>
      </w:pPr>
    </w:p>
    <w:p>
      <w:pPr>
        <w:ind w:left="-4" w:right="3539" w:firstLine="423"/>
        <w:spacing w:after="0" w:line="263" w:lineRule="auto"/>
        <w:tabs>
          <w:tab w:leader="none" w:pos="749" w:val="left"/>
        </w:tabs>
        <w:numPr>
          <w:ilvl w:val="1"/>
          <w:numId w:val="3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merger or consolidation was approved pursuant to Section 228 or Section 253 of this Chapter,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315" w:lineRule="exact"/>
        <w:rPr>
          <w:rFonts w:ascii="Courier New" w:cs="Courier New" w:eastAsia="Courier New" w:hAnsi="Courier New"/>
          <w:sz w:val="13"/>
          <w:szCs w:val="13"/>
          <w:color w:val="auto"/>
        </w:rPr>
      </w:pPr>
    </w:p>
    <w:p>
      <w:pPr>
        <w:ind w:left="-424" w:right="3539" w:firstLine="424"/>
        <w:spacing w:after="0" w:line="243" w:lineRule="auto"/>
        <w:tabs>
          <w:tab w:leader="none" w:pos="329"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120 days after the effective date of the merger or consolidation, the surviving or resulting corporation or any stockholder who has complied with the provisions of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167" w:lineRule="exact"/>
        <w:rPr>
          <w:rFonts w:ascii="Courier New" w:cs="Courier New" w:eastAsia="Courier New" w:hAnsi="Courier New"/>
          <w:sz w:val="14"/>
          <w:szCs w:val="14"/>
          <w:color w:val="auto"/>
        </w:rPr>
      </w:pPr>
    </w:p>
    <w:p>
      <w:pPr>
        <w:ind w:left="-424" w:right="3799" w:firstLine="424"/>
        <w:spacing w:after="0" w:line="243" w:lineRule="auto"/>
        <w:tabs>
          <w:tab w:leader="none" w:pos="329"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w:t>
      </w:r>
    </w:p>
    <w:p>
      <w:pPr>
        <w:spacing w:after="0" w:line="1"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V-2</w:t>
      </w:r>
    </w:p>
    <w:p>
      <w:pPr>
        <w:sectPr>
          <w:pgSz w:w="11900" w:h="16838" w:orient="portrait"/>
          <w:cols w:equalWidth="0" w:num="1">
            <w:col w:w="9815"/>
          </w:cols>
          <w:pgMar w:left="644" w:top="600" w:right="1440" w:bottom="1440" w:gutter="0" w:footer="0" w:header="0"/>
        </w:sectPr>
      </w:pPr>
    </w:p>
    <w:bookmarkStart w:id="301" w:name="page302"/>
    <w:bookmarkEnd w:id="301"/>
    <w:p>
      <w:pPr>
        <w:ind w:right="3539"/>
        <w:spacing w:after="0" w:line="242" w:lineRule="auto"/>
        <w:rPr>
          <w:sz w:val="20"/>
          <w:szCs w:val="20"/>
          <w:color w:val="auto"/>
        </w:rPr>
      </w:pPr>
      <w:r>
        <w:rPr>
          <w:rFonts w:ascii="Courier New" w:cs="Courier New" w:eastAsia="Courier New" w:hAnsi="Courier New"/>
          <w:sz w:val="14"/>
          <w:szCs w:val="14"/>
          <w:color w:val="auto"/>
        </w:rPr>
        <w:t>time and place fixed for the hearing of such petition by registered or certified mail to the surviving or resulting corporation and to the stockholders shown on the list at the addresses therein stated. Such notice shall also be given by one or more publications at least one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9" w:lineRule="exact"/>
        <w:rPr>
          <w:sz w:val="20"/>
          <w:szCs w:val="20"/>
          <w:color w:val="auto"/>
        </w:rPr>
      </w:pPr>
    </w:p>
    <w:p>
      <w:pPr>
        <w:ind w:right="3619" w:firstLine="424"/>
        <w:spacing w:after="0" w:line="242" w:lineRule="auto"/>
        <w:tabs>
          <w:tab w:leader="none" w:pos="753"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hearing on such petition, the Court shall determine the stockholders who have complied with the provisions of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68" w:lineRule="exact"/>
        <w:rPr>
          <w:rFonts w:ascii="Courier New" w:cs="Courier New" w:eastAsia="Courier New" w:hAnsi="Courier New"/>
          <w:sz w:val="14"/>
          <w:szCs w:val="14"/>
          <w:color w:val="auto"/>
        </w:rPr>
      </w:pPr>
    </w:p>
    <w:p>
      <w:pPr>
        <w:ind w:right="3539" w:firstLine="424"/>
        <w:spacing w:after="0" w:line="263" w:lineRule="auto"/>
        <w:tabs>
          <w:tab w:leader="none" w:pos="753" w:val="left"/>
        </w:tabs>
        <w:numPr>
          <w:ilvl w:val="0"/>
          <w:numId w:val="3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313" w:lineRule="exact"/>
        <w:rPr>
          <w:rFonts w:ascii="Courier New" w:cs="Courier New" w:eastAsia="Courier New" w:hAnsi="Courier New"/>
          <w:sz w:val="13"/>
          <w:szCs w:val="13"/>
          <w:color w:val="auto"/>
        </w:rPr>
      </w:pPr>
    </w:p>
    <w:p>
      <w:pPr>
        <w:ind w:right="3539" w:firstLine="424"/>
        <w:spacing w:after="0" w:line="243" w:lineRule="auto"/>
        <w:tabs>
          <w:tab w:leader="none" w:pos="753"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in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other state.</w:t>
      </w:r>
    </w:p>
    <w:p>
      <w:pPr>
        <w:spacing w:after="0" w:line="163" w:lineRule="exact"/>
        <w:rPr>
          <w:rFonts w:ascii="Courier New" w:cs="Courier New" w:eastAsia="Courier New" w:hAnsi="Courier New"/>
          <w:sz w:val="14"/>
          <w:szCs w:val="14"/>
          <w:color w:val="auto"/>
        </w:rPr>
      </w:pPr>
    </w:p>
    <w:p>
      <w:pPr>
        <w:ind w:right="3539" w:firstLine="424"/>
        <w:spacing w:after="0" w:line="242" w:lineRule="auto"/>
        <w:tabs>
          <w:tab w:leader="none" w:pos="753"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of the shares entitled to an appraisal.</w:t>
      </w:r>
    </w:p>
    <w:p>
      <w:pPr>
        <w:spacing w:after="0" w:line="167" w:lineRule="exact"/>
        <w:rPr>
          <w:rFonts w:ascii="Courier New" w:cs="Courier New" w:eastAsia="Courier New" w:hAnsi="Courier New"/>
          <w:sz w:val="14"/>
          <w:szCs w:val="14"/>
          <w:color w:val="auto"/>
        </w:rPr>
      </w:pPr>
    </w:p>
    <w:p>
      <w:pPr>
        <w:ind w:right="3539" w:firstLine="424"/>
        <w:spacing w:after="0" w:line="243" w:lineRule="auto"/>
        <w:tabs>
          <w:tab w:leader="none" w:pos="753"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V-3</w:t>
      </w:r>
    </w:p>
    <w:p>
      <w:pPr>
        <w:sectPr>
          <w:pgSz w:w="11900" w:h="16838" w:orient="portrait"/>
          <w:cols w:equalWidth="0" w:num="1">
            <w:col w:w="10239"/>
          </w:cols>
          <w:pgMar w:left="220" w:top="603" w:right="1440" w:bottom="1440" w:gutter="0" w:footer="0" w:header="0"/>
        </w:sectPr>
      </w:pPr>
    </w:p>
    <w:bookmarkStart w:id="302" w:name="page303"/>
    <w:bookmarkEnd w:id="302"/>
    <w:p>
      <w:pPr>
        <w:ind w:right="3879"/>
        <w:spacing w:after="0" w:line="239" w:lineRule="auto"/>
        <w:rPr>
          <w:sz w:val="20"/>
          <w:szCs w:val="20"/>
          <w:color w:val="auto"/>
        </w:rPr>
      </w:pPr>
      <w:r>
        <w:rPr>
          <w:rFonts w:ascii="Courier New" w:cs="Courier New" w:eastAsia="Courier New" w:hAnsi="Courier New"/>
          <w:sz w:val="14"/>
          <w:szCs w:val="14"/>
          <w:color w:val="auto"/>
        </w:rPr>
        <w:t>without the approval of the Court, and such approval may be conditioned upon such terms as the Court deems just.</w:t>
      </w:r>
    </w:p>
    <w:p>
      <w:pPr>
        <w:spacing w:after="0" w:line="167" w:lineRule="exact"/>
        <w:rPr>
          <w:sz w:val="20"/>
          <w:szCs w:val="20"/>
          <w:color w:val="auto"/>
        </w:rPr>
      </w:pPr>
    </w:p>
    <w:p>
      <w:pPr>
        <w:ind w:right="3619" w:firstLine="424"/>
        <w:spacing w:after="0" w:line="242" w:lineRule="auto"/>
        <w:tabs>
          <w:tab w:leader="none" w:pos="753"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the surviving or resulting corporation into which the shares of such objecting stockholders would have been converted had they assented to the merger or consolidation shall have the status of authorized and unissued shares of the surviving or resulting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V-4</w:t>
      </w:r>
    </w:p>
    <w:p>
      <w:pPr>
        <w:sectPr>
          <w:pgSz w:w="11900" w:h="16838" w:orient="portrait"/>
          <w:cols w:equalWidth="0" w:num="1">
            <w:col w:w="10239"/>
          </w:cols>
          <w:pgMar w:left="220" w:top="602" w:right="1440" w:bottom="1440" w:gutter="0" w:footer="0" w:header="0"/>
        </w:sectPr>
      </w:pPr>
    </w:p>
    <w:bookmarkStart w:id="303" w:name="page304"/>
    <w:bookmarkEnd w:id="303"/>
    <w:p>
      <w:pPr>
        <w:spacing w:after="0"/>
        <w:tabs>
          <w:tab w:leader="none" w:pos="5080" w:val="left"/>
        </w:tabs>
        <w:rPr>
          <w:sz w:val="20"/>
          <w:szCs w:val="20"/>
          <w:color w:val="auto"/>
        </w:rPr>
      </w:pPr>
      <w:r>
        <w:rPr>
          <w:rFonts w:ascii="Courier New" w:cs="Courier New" w:eastAsia="Courier New" w:hAnsi="Courier New"/>
          <w:sz w:val="14"/>
          <w:szCs w:val="14"/>
          <w:color w:val="auto"/>
        </w:rPr>
        <w:t>PRELIMINARY COPIES</w:t>
      </w:r>
      <w:r>
        <w:rPr>
          <w:sz w:val="20"/>
          <w:szCs w:val="20"/>
          <w:color w:val="auto"/>
        </w:rPr>
        <w:tab/>
      </w:r>
      <w:r>
        <w:rPr>
          <w:rFonts w:ascii="Courier New" w:cs="Courier New" w:eastAsia="Courier New" w:hAnsi="Courier New"/>
          <w:sz w:val="14"/>
          <w:szCs w:val="14"/>
          <w:color w:val="auto"/>
        </w:rPr>
        <w:t>ANNEX VI</w:t>
      </w:r>
    </w:p>
    <w:p>
      <w:pPr>
        <w:sectPr>
          <w:pgSz w:w="11900" w:h="16838" w:orient="portrait"/>
          <w:cols w:equalWidth="0" w:num="1">
            <w:col w:w="10239"/>
          </w:cols>
          <w:pgMar w:left="220" w:top="600" w:right="1440" w:bottom="1440" w:gutter="0" w:footer="0" w:header="0"/>
        </w:sectPr>
      </w:pPr>
    </w:p>
    <w:p>
      <w:pPr>
        <w:spacing w:after="0" w:line="166" w:lineRule="exact"/>
        <w:rPr>
          <w:sz w:val="20"/>
          <w:szCs w:val="20"/>
          <w:color w:val="auto"/>
        </w:rPr>
      </w:pPr>
    </w:p>
    <w:p>
      <w:pPr>
        <w:ind w:left="1100"/>
        <w:spacing w:after="0"/>
        <w:rPr>
          <w:sz w:val="20"/>
          <w:szCs w:val="20"/>
          <w:color w:val="auto"/>
        </w:rPr>
      </w:pPr>
      <w:r>
        <w:rPr>
          <w:rFonts w:ascii="Courier New" w:cs="Courier New" w:eastAsia="Courier New" w:hAnsi="Courier New"/>
          <w:sz w:val="13"/>
          <w:szCs w:val="13"/>
          <w:color w:val="auto"/>
        </w:rPr>
        <w:t>FORM OF CERTIFICATE OF MERGER FOR THE PARAMOUNT MERGER</w:t>
      </w:r>
    </w:p>
    <w:p>
      <w:pPr>
        <w:sectPr>
          <w:pgSz w:w="11900" w:h="16838" w:orient="portrait"/>
          <w:cols w:equalWidth="0" w:num="1">
            <w:col w:w="10239"/>
          </w:cols>
          <w:pgMar w:left="220" w:top="600" w:right="1440" w:bottom="1440" w:gutter="0" w:footer="0" w:header="0"/>
          <w:type w:val="continuous"/>
        </w:sectPr>
      </w:pPr>
    </w:p>
    <w:bookmarkStart w:id="304" w:name="page305"/>
    <w:bookmarkEnd w:id="304"/>
    <w:p>
      <w:pPr>
        <w:ind w:left="2440"/>
        <w:spacing w:after="0"/>
        <w:rPr>
          <w:sz w:val="20"/>
          <w:szCs w:val="20"/>
          <w:color w:val="auto"/>
        </w:rPr>
      </w:pPr>
      <w:r>
        <w:rPr>
          <w:rFonts w:ascii="Courier New" w:cs="Courier New" w:eastAsia="Courier New" w:hAnsi="Courier New"/>
          <w:sz w:val="14"/>
          <w:szCs w:val="14"/>
          <w:color w:val="auto"/>
        </w:rPr>
        <w:t>CERTIFICATE OF MERGER</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MERGING</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VIACOM SUB INC.</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WITH AND INTO</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PARAMOUNT COMMUNICATIONS INC.</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PURSUANT TO SECTION 251 OF 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DELAWARE GENERAL CORPORATION LAW</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The undersigned, being the [Title] of Paramount Communications Inc., a corporation organized and existing under and by virtue of the General Corporation Law of the State of Delaware ("Paramount"), DOES HEREBY CERTIFY AS FOLLOWS:</w:t>
      </w:r>
    </w:p>
    <w:p>
      <w:pPr>
        <w:spacing w:after="0" w:line="165" w:lineRule="exact"/>
        <w:rPr>
          <w:sz w:val="20"/>
          <w:szCs w:val="20"/>
          <w:color w:val="auto"/>
        </w:rPr>
      </w:pPr>
    </w:p>
    <w:p>
      <w:pPr>
        <w:ind w:right="4039" w:firstLine="418"/>
        <w:spacing w:after="0" w:line="239" w:lineRule="auto"/>
        <w:rPr>
          <w:sz w:val="20"/>
          <w:szCs w:val="20"/>
          <w:color w:val="auto"/>
        </w:rPr>
      </w:pPr>
      <w:r>
        <w:rPr>
          <w:rFonts w:ascii="Courier New" w:cs="Courier New" w:eastAsia="Courier New" w:hAnsi="Courier New"/>
          <w:sz w:val="14"/>
          <w:szCs w:val="14"/>
          <w:color w:val="auto"/>
        </w:rPr>
        <w:t>FIRST: That the name of and the state of incorporation of each of the constituent corporations in the merger is as follows:</w:t>
      </w:r>
    </w:p>
    <w:p>
      <w:pPr>
        <w:spacing w:after="0" w:line="325" w:lineRule="exact"/>
        <w:rPr>
          <w:sz w:val="20"/>
          <w:szCs w:val="20"/>
          <w:color w:val="auto"/>
        </w:rPr>
      </w:pPr>
    </w:p>
    <w:p>
      <w:pPr>
        <w:ind w:left="6540"/>
        <w:spacing w:after="0"/>
        <w:rPr>
          <w:sz w:val="20"/>
          <w:szCs w:val="20"/>
          <w:color w:val="auto"/>
        </w:rPr>
      </w:pPr>
      <w:r>
        <w:rPr>
          <w:rFonts w:ascii="Courier New" w:cs="Courier New" w:eastAsia="Courier New" w:hAnsi="Courier New"/>
          <w:sz w:val="14"/>
          <w:szCs w:val="14"/>
          <w:color w:val="auto"/>
        </w:rPr>
        <w:t>STATE OF</w:t>
      </w:r>
    </w:p>
    <w:p>
      <w:pPr>
        <w:spacing w:after="0" w:line="2" w:lineRule="exact"/>
        <w:rPr>
          <w:sz w:val="20"/>
          <w:szCs w:val="20"/>
          <w:color w:val="auto"/>
        </w:rPr>
      </w:pPr>
    </w:p>
    <w:p>
      <w:pPr>
        <w:ind w:left="420"/>
        <w:spacing w:after="0"/>
        <w:tabs>
          <w:tab w:leader="none" w:pos="63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INCORPORATION</w:t>
      </w:r>
    </w:p>
    <w:p>
      <w:pPr>
        <w:spacing w:after="0" w:line="2" w:lineRule="exact"/>
        <w:rPr>
          <w:sz w:val="20"/>
          <w:szCs w:val="20"/>
          <w:color w:val="auto"/>
        </w:rPr>
      </w:pPr>
    </w:p>
    <w:p>
      <w:pPr>
        <w:spacing w:after="0"/>
        <w:tabs>
          <w:tab w:leader="none" w:pos="66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39"/>
          </w:cols>
          <w:pgMar w:left="220" w:top="600"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Viacom Sub Inc.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Paramount Communications Inc.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200" w:lineRule="exact"/>
        <w:rPr>
          <w:sz w:val="20"/>
          <w:szCs w:val="20"/>
          <w:color w:val="auto"/>
        </w:rPr>
      </w:pPr>
    </w:p>
    <w:p>
      <w:pPr>
        <w:sectPr>
          <w:pgSz w:w="11900" w:h="16838" w:orient="portrait"/>
          <w:cols w:equalWidth="0" w:num="2">
            <w:col w:w="6060" w:space="720"/>
            <w:col w:w="3459"/>
          </w:cols>
          <w:pgMar w:left="220" w:top="600" w:right="1440" w:bottom="1440" w:gutter="0" w:footer="0" w:header="0"/>
          <w:type w:val="continuous"/>
        </w:sectPr>
      </w:pPr>
    </w:p>
    <w:p>
      <w:pPr>
        <w:spacing w:after="0" w:line="12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SECOND: That a Second Amended and Restated Agreement and Plan of Merger</w:t>
      </w:r>
    </w:p>
    <w:p>
      <w:pPr>
        <w:spacing w:after="0" w:line="5"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dated as of [ ], 1994 (the "Merger Agreement") among Paramount, Viacom Sub Inc. (the "Merger Subsidiary") and Viacom Inc. has been approved, adopted, certified, executed and acknowledged by each of the constituent corporations in accordance with Section 251 of the General Corporation Law of the State of Delaware.</w:t>
      </w:r>
    </w:p>
    <w:p>
      <w:pPr>
        <w:spacing w:after="0" w:line="166" w:lineRule="exact"/>
        <w:rPr>
          <w:sz w:val="20"/>
          <w:szCs w:val="20"/>
          <w:color w:val="auto"/>
        </w:rPr>
      </w:pPr>
    </w:p>
    <w:p>
      <w:pPr>
        <w:ind w:right="3799" w:firstLine="418"/>
        <w:spacing w:after="0" w:line="239" w:lineRule="auto"/>
        <w:rPr>
          <w:sz w:val="20"/>
          <w:szCs w:val="20"/>
          <w:color w:val="auto"/>
        </w:rPr>
      </w:pPr>
      <w:r>
        <w:rPr>
          <w:rFonts w:ascii="Courier New" w:cs="Courier New" w:eastAsia="Courier New" w:hAnsi="Courier New"/>
          <w:sz w:val="14"/>
          <w:szCs w:val="14"/>
          <w:color w:val="auto"/>
        </w:rPr>
        <w:t>THIRD: That Paramount shall be the surviving corporation (the "Surviving Corporation").</w:t>
      </w:r>
    </w:p>
    <w:p>
      <w:pPr>
        <w:spacing w:after="0" w:line="167" w:lineRule="exact"/>
        <w:rPr>
          <w:sz w:val="20"/>
          <w:szCs w:val="20"/>
          <w:color w:val="auto"/>
        </w:rPr>
      </w:pPr>
    </w:p>
    <w:p>
      <w:pPr>
        <w:ind w:right="3879" w:firstLine="418"/>
        <w:spacing w:after="0" w:line="241" w:lineRule="auto"/>
        <w:rPr>
          <w:sz w:val="20"/>
          <w:szCs w:val="20"/>
          <w:color w:val="auto"/>
        </w:rPr>
      </w:pPr>
      <w:r>
        <w:rPr>
          <w:rFonts w:ascii="Courier New" w:cs="Courier New" w:eastAsia="Courier New" w:hAnsi="Courier New"/>
          <w:sz w:val="14"/>
          <w:szCs w:val="14"/>
          <w:color w:val="auto"/>
        </w:rPr>
        <w:t>FOURTH: The Restated Certificate of Incorporation of Paramount will be amended in its entirety to read as the Restated Certificate of Incorporation attached hereto as Exhibit A.</w:t>
      </w:r>
    </w:p>
    <w:p>
      <w:pPr>
        <w:spacing w:after="0" w:line="166" w:lineRule="exact"/>
        <w:rPr>
          <w:sz w:val="20"/>
          <w:szCs w:val="20"/>
          <w:color w:val="auto"/>
        </w:rPr>
      </w:pPr>
    </w:p>
    <w:p>
      <w:pPr>
        <w:ind w:right="3959" w:firstLine="418"/>
        <w:spacing w:after="0" w:line="241" w:lineRule="auto"/>
        <w:rPr>
          <w:sz w:val="20"/>
          <w:szCs w:val="20"/>
          <w:color w:val="auto"/>
        </w:rPr>
      </w:pPr>
      <w:r>
        <w:rPr>
          <w:rFonts w:ascii="Courier New" w:cs="Courier New" w:eastAsia="Courier New" w:hAnsi="Courier New"/>
          <w:sz w:val="14"/>
          <w:szCs w:val="14"/>
          <w:color w:val="auto"/>
        </w:rPr>
        <w:t>FIFTH: That an executed copy of the Merger Agreement is on file at the principal place of business of the Surviving Corporation at the following address: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15 Columbus Circle</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New York, New York 10023</w:t>
      </w:r>
    </w:p>
    <w:p>
      <w:pPr>
        <w:spacing w:after="0" w:line="16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SIXTH: That a copy of the Merger Agreement will be furnished by the Surviving Corporation, on request, and without cost, to any stockholder of any constituent corporation.</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 WITNESS WHEREOF, Paramount has caused this Certificate of Merger to be</w:t>
      </w:r>
    </w:p>
    <w:p>
      <w:pPr>
        <w:spacing w:after="0" w:line="2" w:lineRule="exact"/>
        <w:rPr>
          <w:sz w:val="20"/>
          <w:szCs w:val="20"/>
          <w:color w:val="auto"/>
        </w:rPr>
      </w:pPr>
    </w:p>
    <w:p>
      <w:pPr>
        <w:spacing w:after="0"/>
        <w:tabs>
          <w:tab w:leader="none" w:pos="1820" w:val="left"/>
          <w:tab w:leader="none" w:pos="6340" w:val="left"/>
        </w:tabs>
        <w:rPr>
          <w:sz w:val="20"/>
          <w:szCs w:val="20"/>
          <w:color w:val="auto"/>
        </w:rPr>
      </w:pPr>
      <w:r>
        <w:rPr>
          <w:rFonts w:ascii="Courier New" w:cs="Courier New" w:eastAsia="Courier New" w:hAnsi="Courier New"/>
          <w:sz w:val="14"/>
          <w:szCs w:val="14"/>
          <w:color w:val="auto"/>
        </w:rPr>
        <w:t>signed by</w:t>
      </w:r>
      <w:r>
        <w:rPr>
          <w:sz w:val="20"/>
          <w:szCs w:val="20"/>
          <w:color w:val="auto"/>
        </w:rPr>
        <w:tab/>
      </w:r>
      <w:r>
        <w:rPr>
          <w:rFonts w:ascii="Courier New" w:cs="Courier New" w:eastAsia="Courier New" w:hAnsi="Courier New"/>
          <w:sz w:val="14"/>
          <w:szCs w:val="14"/>
          <w:color w:val="auto"/>
        </w:rPr>
        <w:t>, its [Title of Officer], and attested by</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spacing w:after="0"/>
        <w:tabs>
          <w:tab w:leader="none" w:pos="3080" w:val="left"/>
          <w:tab w:leader="none" w:pos="4680" w:val="left"/>
          <w:tab w:leader="none" w:pos="5260" w:val="left"/>
        </w:tabs>
        <w:rPr>
          <w:sz w:val="20"/>
          <w:szCs w:val="20"/>
          <w:color w:val="auto"/>
        </w:rPr>
      </w:pPr>
      <w:r>
        <w:rPr>
          <w:rFonts w:ascii="Courier New" w:cs="Courier New" w:eastAsia="Courier New" w:hAnsi="Courier New"/>
          <w:sz w:val="14"/>
          <w:szCs w:val="14"/>
          <w:color w:val="auto"/>
        </w:rPr>
        <w:t>its [Assistant] Secretary, this</w:t>
      </w:r>
      <w:r>
        <w:rPr>
          <w:sz w:val="20"/>
          <w:szCs w:val="20"/>
          <w:color w:val="auto"/>
        </w:rPr>
        <w:tab/>
      </w:r>
      <w:r>
        <w:rPr>
          <w:rFonts w:ascii="Courier New" w:cs="Courier New" w:eastAsia="Courier New" w:hAnsi="Courier New"/>
          <w:sz w:val="14"/>
          <w:szCs w:val="14"/>
          <w:color w:val="auto"/>
        </w:rPr>
        <w:t>day of [</w:t>
      </w:r>
      <w:r>
        <w:rPr>
          <w:sz w:val="20"/>
          <w:szCs w:val="20"/>
          <w:color w:val="auto"/>
        </w:rPr>
        <w:tab/>
      </w:r>
      <w:r>
        <w:rPr>
          <w:rFonts w:ascii="Courier New" w:cs="Courier New" w:eastAsia="Courier New" w:hAnsi="Courier New"/>
          <w:sz w:val="14"/>
          <w:szCs w:val="14"/>
          <w:color w:val="auto"/>
        </w:rPr>
        <w:t>], 19</w:t>
      </w:r>
      <w:r>
        <w:rPr>
          <w:sz w:val="20"/>
          <w:szCs w:val="20"/>
          <w:color w:val="auto"/>
        </w:rPr>
        <w:tab/>
      </w:r>
      <w:r>
        <w:rPr>
          <w:rFonts w:ascii="Courier New" w:cs="Courier New" w:eastAsia="Courier New" w:hAnsi="Courier New"/>
          <w:sz w:val="13"/>
          <w:szCs w:val="13"/>
          <w:color w:val="auto"/>
        </w:rPr>
        <w:t>.</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PARAMOUNT COMMUNICATIONS INC.</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3"/>
          <w:szCs w:val="13"/>
          <w:color w:val="auto"/>
        </w:rPr>
        <w:t>..................................</w:t>
      </w:r>
    </w:p>
    <w:p>
      <w:pPr>
        <w:spacing w:after="0" w:line="17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Title: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[Assistant] Secretary</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VI-1</w:t>
      </w:r>
    </w:p>
    <w:p>
      <w:pPr>
        <w:sectPr>
          <w:pgSz w:w="11900" w:h="16838" w:orient="portrait"/>
          <w:cols w:equalWidth="0" w:num="1">
            <w:col w:w="10239"/>
          </w:cols>
          <w:pgMar w:left="220" w:top="600" w:right="1440" w:bottom="1440" w:gutter="0" w:footer="0" w:header="0"/>
          <w:type w:val="continuous"/>
        </w:sectPr>
      </w:pPr>
    </w:p>
    <w:bookmarkStart w:id="305" w:name="page306"/>
    <w:bookmarkEnd w:id="305"/>
    <w:p>
      <w:pPr>
        <w:jc w:val="right"/>
        <w:ind w:right="3539"/>
        <w:spacing w:after="0"/>
        <w:rPr>
          <w:sz w:val="20"/>
          <w:szCs w:val="20"/>
          <w:color w:val="auto"/>
        </w:rPr>
      </w:pPr>
      <w:r>
        <w:rPr>
          <w:rFonts w:ascii="Courier New" w:cs="Courier New" w:eastAsia="Courier New" w:hAnsi="Courier New"/>
          <w:sz w:val="14"/>
          <w:szCs w:val="14"/>
          <w:color w:val="auto"/>
        </w:rPr>
        <w:t>EXHIBIT A</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RESTATED</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CERTIFICATE OF INCORPORATION</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OF</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PARAMOUNT COMMUNICATIONS INC.</w:t>
      </w:r>
    </w:p>
    <w:p>
      <w:pPr>
        <w:spacing w:after="0" w:line="32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FIRST: The name of the corporation (hereinafter called the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PARAMOUNT COMMUNICATIONS INC.</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SECOND: The address, including street, number, city, and county,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office of the corporation in the State of Delaware is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3"/>
          <w:szCs w:val="13"/>
          <w:color w:val="auto"/>
        </w:rPr>
        <w:t>; and the name of the registered agent of</w:t>
      </w:r>
    </w:p>
    <w:p>
      <w:pPr>
        <w:spacing w:after="0" w:line="11"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4"/>
          <w:szCs w:val="14"/>
          <w:color w:val="auto"/>
        </w:rPr>
        <w:t>the corporation in the State of Delaware is</w:t>
      </w:r>
      <w:r>
        <w:rPr>
          <w:sz w:val="20"/>
          <w:szCs w:val="20"/>
          <w:color w:val="auto"/>
        </w:rPr>
        <w:tab/>
      </w:r>
      <w:r>
        <w:rPr>
          <w:rFonts w:ascii="Courier New" w:cs="Courier New" w:eastAsia="Courier New" w:hAnsi="Courier New"/>
          <w:sz w:val="13"/>
          <w:szCs w:val="13"/>
          <w:color w:val="auto"/>
        </w:rPr>
        <w:t>.</w:t>
      </w:r>
    </w:p>
    <w:p>
      <w:pPr>
        <w:spacing w:after="0" w:line="16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THIRD: The purpose of the corporation is to engage in any lawful act or activity for which corporations may be organized under the General Corporation Law of the State of Delaware.</w:t>
      </w:r>
    </w:p>
    <w:p>
      <w:pPr>
        <w:spacing w:after="0" w:line="166" w:lineRule="exact"/>
        <w:rPr>
          <w:sz w:val="20"/>
          <w:szCs w:val="20"/>
          <w:color w:val="auto"/>
        </w:rPr>
      </w:pPr>
    </w:p>
    <w:p>
      <w:pPr>
        <w:ind w:right="3879" w:firstLine="418"/>
        <w:spacing w:after="0" w:line="269" w:lineRule="auto"/>
        <w:rPr>
          <w:sz w:val="20"/>
          <w:szCs w:val="20"/>
          <w:color w:val="auto"/>
        </w:rPr>
      </w:pPr>
      <w:r>
        <w:rPr>
          <w:rFonts w:ascii="Courier New" w:cs="Courier New" w:eastAsia="Courier New" w:hAnsi="Courier New"/>
          <w:sz w:val="13"/>
          <w:szCs w:val="13"/>
          <w:color w:val="auto"/>
        </w:rPr>
        <w:t>FOURTH: The total number of shares of stock which the corporation shall have authority to issue is Two Hundred (200), all of which are without par value. All such shares are of one class and are shares of Common Stock.</w:t>
      </w:r>
    </w:p>
    <w:p>
      <w:pPr>
        <w:spacing w:after="0" w:line="14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FIFTH: The corporation is to have perpetual existence.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SEVENTH: For the management of the business and for the conduct of the affairs of the corporation, and in further definition, limitation and regulation of the powers of the corporation and of its directors and of its stockholders or any class thereof, as the case may be, it is further provided:</w:t>
      </w:r>
    </w:p>
    <w:p>
      <w:pPr>
        <w:spacing w:after="0" w:line="16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VI-2</w:t>
      </w:r>
    </w:p>
    <w:p>
      <w:pPr>
        <w:sectPr>
          <w:pgSz w:w="11900" w:h="16838" w:orient="portrait"/>
          <w:cols w:equalWidth="0" w:num="1">
            <w:col w:w="10239"/>
          </w:cols>
          <w:pgMar w:left="220" w:top="600" w:right="1440" w:bottom="1440" w:gutter="0" w:footer="0" w:header="0"/>
        </w:sectPr>
      </w:pPr>
    </w:p>
    <w:bookmarkStart w:id="306" w:name="page307"/>
    <w:bookmarkEnd w:id="306"/>
    <w:p>
      <w:pPr>
        <w:ind w:left="420" w:right="3539" w:firstLine="423"/>
        <w:spacing w:after="0" w:line="242" w:lineRule="auto"/>
        <w:tabs>
          <w:tab w:leader="none" w:pos="1089"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68" w:lineRule="exact"/>
        <w:rPr>
          <w:rFonts w:ascii="Courier New" w:cs="Courier New" w:eastAsia="Courier New" w:hAnsi="Courier New"/>
          <w:sz w:val="14"/>
          <w:szCs w:val="14"/>
          <w:color w:val="auto"/>
        </w:rPr>
      </w:pPr>
    </w:p>
    <w:p>
      <w:pPr>
        <w:ind w:left="420" w:right="3619" w:firstLine="423"/>
        <w:spacing w:after="0" w:line="243" w:lineRule="auto"/>
        <w:tabs>
          <w:tab w:leader="none" w:pos="1089"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original or other By-Laws of the corporation have been adopted, amended, or repealed, as the case may be, in accordance with the provisions of Section 109 of the General Corporation Law of the State of Delaware, and, after the corporation has received any payment for any of its stock, the power to adopt, amend, or repeal the By-Laws of the corporation may be exercised by the Board of Directors of the corporation; provided, however, that any provision for the classification of directors of the corporation for staggered terms pursuant to the provisions of subsection (d) of Section 141 of the General Corporation Law of the State of Delaware shall be set forth in an initial By-Law or in a By-Law adopted by the stockholders entitled to vote of the corporation unless provisions for such classification shall be set forth in this certificate of incorporation.</w:t>
      </w:r>
    </w:p>
    <w:p>
      <w:pPr>
        <w:spacing w:after="0" w:line="165" w:lineRule="exact"/>
        <w:rPr>
          <w:rFonts w:ascii="Courier New" w:cs="Courier New" w:eastAsia="Courier New" w:hAnsi="Courier New"/>
          <w:sz w:val="14"/>
          <w:szCs w:val="14"/>
          <w:color w:val="auto"/>
        </w:rPr>
      </w:pPr>
    </w:p>
    <w:p>
      <w:pPr>
        <w:ind w:left="420" w:right="3619" w:firstLine="423"/>
        <w:spacing w:after="0" w:line="263" w:lineRule="auto"/>
        <w:tabs>
          <w:tab w:leader="none" w:pos="1089" w:val="left"/>
        </w:tabs>
        <w:numPr>
          <w:ilvl w:val="0"/>
          <w:numId w:val="3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Whenever the corporation shall be authorized to issue only one class of stock, each outstanding share shall entitle the holder thereof to notice of, and the right to vote at, any meeting of stockholders. Whenever the corporation shall be authorized to issue more than one class of stock, no outstanding share of any class of stock which is denied voting power under the provisions of the certificate of incorporation shall entitle the holder thereof to the right to vote at any meeting of stockholders except as the provisions of paragraph (2) of subsection (b) of Section 242 of the General Corporation Law of the State of Delaware shall otherwise require; provided, that no share of any such class which is otherwise denied voting power shall entitle the holder thereof to vote upon the increase or decrease in the number of authorized shares of said class.</w:t>
      </w:r>
    </w:p>
    <w:p>
      <w:pPr>
        <w:spacing w:after="0" w:line="317"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EIGHTH: The personal liability of the directors of the corporation is hereby eliminated to the fullest extent permitted by the provisions of paragraph (7) of subsection (b) of Section 102 of the General Corporation Law of the State of Delaware, as the same may be amended and supplemented.</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NINTH: The corporation shall, to the fullest extent permitted by the provisions of Section 145 of the General Corporation Law of the State of Delaware,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ELEVENTH.</w:t>
      </w:r>
    </w:p>
    <w:p>
      <w:pPr>
        <w:spacing w:after="0" w:line="200" w:lineRule="exact"/>
        <w:rPr>
          <w:sz w:val="20"/>
          <w:szCs w:val="20"/>
          <w:color w:val="auto"/>
        </w:rPr>
      </w:pPr>
    </w:p>
    <w:p>
      <w:pPr>
        <w:spacing w:after="0" w:line="28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VI-3</w:t>
      </w:r>
    </w:p>
    <w:p>
      <w:pPr>
        <w:sectPr>
          <w:pgSz w:w="11900" w:h="16838" w:orient="portrait"/>
          <w:cols w:equalWidth="0" w:num="1">
            <w:col w:w="10239"/>
          </w:cols>
          <w:pgMar w:left="220" w:top="603" w:right="1440" w:bottom="1440" w:gutter="0" w:footer="0" w:header="0"/>
        </w:sectPr>
      </w:pPr>
    </w:p>
    <w:bookmarkStart w:id="307" w:name="page308"/>
    <w:bookmarkEnd w:id="307"/>
    <w:p>
      <w:pPr>
        <w:spacing w:after="0"/>
        <w:tabs>
          <w:tab w:leader="none" w:pos="1080" w:val="left"/>
          <w:tab w:leader="none" w:pos="5000" w:val="left"/>
        </w:tabs>
        <w:rPr>
          <w:sz w:val="20"/>
          <w:szCs w:val="20"/>
          <w:color w:val="auto"/>
        </w:rPr>
      </w:pPr>
      <w:r>
        <w:rPr>
          <w:rFonts w:ascii="Courier New" w:cs="Courier New" w:eastAsia="Courier New" w:hAnsi="Courier New"/>
          <w:sz w:val="14"/>
          <w:szCs w:val="14"/>
          <w:color w:val="auto"/>
        </w:rPr>
        <w:t>PRELIMINARY</w:t>
        <w:tab/>
        <w:t>COPIES</w:t>
      </w:r>
      <w:r>
        <w:rPr>
          <w:sz w:val="20"/>
          <w:szCs w:val="20"/>
          <w:color w:val="auto"/>
        </w:rPr>
        <w:tab/>
      </w:r>
      <w:r>
        <w:rPr>
          <w:rFonts w:ascii="Courier New" w:cs="Courier New" w:eastAsia="Courier New" w:hAnsi="Courier New"/>
          <w:sz w:val="14"/>
          <w:szCs w:val="14"/>
          <w:color w:val="auto"/>
        </w:rPr>
        <w:t>ANNEX VII</w:t>
      </w:r>
    </w:p>
    <w:p>
      <w:pPr>
        <w:sectPr>
          <w:pgSz w:w="11900" w:h="16838" w:orient="portrait"/>
          <w:cols w:equalWidth="0" w:num="1">
            <w:col w:w="10239"/>
          </w:cols>
          <w:pgMar w:left="220" w:top="600" w:right="1440" w:bottom="1440" w:gutter="0" w:footer="0" w:header="0"/>
        </w:sectPr>
      </w:pP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FORM OF CERTIFICATE OF AMENDMENT</w:t>
      </w:r>
    </w:p>
    <w:p>
      <w:pPr>
        <w:sectPr>
          <w:pgSz w:w="11900" w:h="16838" w:orient="portrait"/>
          <w:cols w:equalWidth="0" w:num="1">
            <w:col w:w="10239"/>
          </w:cols>
          <w:pgMar w:left="220" w:top="600" w:right="1440" w:bottom="1440" w:gutter="0" w:footer="0" w:header="0"/>
          <w:type w:val="continuous"/>
        </w:sectPr>
      </w:pPr>
    </w:p>
    <w:bookmarkStart w:id="308" w:name="page309"/>
    <w:bookmarkEnd w:id="308"/>
    <w:p>
      <w:pPr>
        <w:ind w:left="2340"/>
        <w:spacing w:after="0"/>
        <w:rPr>
          <w:sz w:val="20"/>
          <w:szCs w:val="20"/>
          <w:color w:val="auto"/>
        </w:rPr>
      </w:pPr>
      <w:r>
        <w:rPr>
          <w:rFonts w:ascii="Courier New" w:cs="Courier New" w:eastAsia="Courier New" w:hAnsi="Courier New"/>
          <w:sz w:val="14"/>
          <w:szCs w:val="14"/>
          <w:color w:val="auto"/>
        </w:rPr>
        <w:t>CERTIFICATE OF AMENDMENT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OF</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OF</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VIACOM INC.</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PURSUANT TO SECTION 242 OF THE</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DELAWARE GENERAL CORPORATION LAW</w:t>
      </w:r>
    </w:p>
    <w:p>
      <w:pPr>
        <w:spacing w:after="0" w:line="166" w:lineRule="exact"/>
        <w:rPr>
          <w:sz w:val="20"/>
          <w:szCs w:val="20"/>
          <w:color w:val="auto"/>
        </w:rPr>
      </w:pPr>
    </w:p>
    <w:p>
      <w:pPr>
        <w:jc w:val="both"/>
        <w:ind w:right="3619" w:firstLine="418"/>
        <w:spacing w:after="0" w:line="241" w:lineRule="auto"/>
        <w:rPr>
          <w:sz w:val="20"/>
          <w:szCs w:val="20"/>
          <w:color w:val="auto"/>
        </w:rPr>
      </w:pPr>
      <w:r>
        <w:rPr>
          <w:rFonts w:ascii="Courier New" w:cs="Courier New" w:eastAsia="Courier New" w:hAnsi="Courier New"/>
          <w:sz w:val="14"/>
          <w:szCs w:val="14"/>
          <w:color w:val="auto"/>
        </w:rPr>
        <w:t>The undersigned, being the [Title] of Viacom Inc., a corporation organized and existing under and by virtue of the General Corporation Law of the State of Delaware ("Viacom"), DOES HEREBY CERTIFY AS FOLLOWS:</w:t>
      </w:r>
    </w:p>
    <w:p>
      <w:pPr>
        <w:spacing w:after="0" w:line="166"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FIRST: At a meeting of the Board of Directors of Viacom duly called and held on [ ], 1994, resolutions were duly adopted setting forth</w:t>
      </w:r>
    </w:p>
    <w:p>
      <w:pPr>
        <w:spacing w:after="0" w:line="6"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3"/>
          <w:szCs w:val="13"/>
          <w:color w:val="auto"/>
        </w:rPr>
        <w:t>proposed amendments (which are set forth herein in Articles SECOND and THIRD) to the Restated Certificate of Incorporation of Viacom, declaring such amendments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539"/>
        <w:spacing w:after="0" w:line="241" w:lineRule="auto"/>
        <w:rPr>
          <w:sz w:val="20"/>
          <w:szCs w:val="20"/>
          <w:color w:val="auto"/>
        </w:rPr>
      </w:pPr>
      <w:r>
        <w:rPr>
          <w:rFonts w:ascii="Courier New" w:cs="Courier New" w:eastAsia="Courier New" w:hAnsi="Courier New"/>
          <w:sz w:val="14"/>
          <w:szCs w:val="14"/>
          <w:color w:val="auto"/>
        </w:rPr>
        <w:t>to be advisable and directing that such amendments be submitted to the stockholders of Viacom for approval at the Special Meeting of Stockholders to be held on .</w:t>
      </w:r>
    </w:p>
    <w:p>
      <w:pPr>
        <w:spacing w:after="0" w:line="16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SECOND: That Section 1(a) of Article IV of the Restated Certificate of Incorporation of Viacom be, and the same hereby is, amended in full to read as follows: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 The total number of shares of all classes of capital stock which the Corporation shall have authority to issue is 1,400,000,000. The classes and the aggregate number of shares of stock of each class which the Corporation shall have authority to issue are as follows:</w:t>
      </w:r>
    </w:p>
    <w:p>
      <w:pPr>
        <w:spacing w:after="0" w:line="165" w:lineRule="exact"/>
        <w:rPr>
          <w:sz w:val="20"/>
          <w:szCs w:val="20"/>
          <w:color w:val="auto"/>
        </w:rPr>
      </w:pPr>
    </w:p>
    <w:p>
      <w:pPr>
        <w:ind w:left="420" w:right="4119" w:firstLine="423"/>
        <w:spacing w:after="0" w:line="239" w:lineRule="auto"/>
        <w:tabs>
          <w:tab w:leader="none" w:pos="1173"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200,000,000 shares of Class A Common Stock, $0.01 par value ("Class A Common Stock").</w:t>
      </w:r>
    </w:p>
    <w:p>
      <w:pPr>
        <w:spacing w:after="0" w:line="166" w:lineRule="exact"/>
        <w:rPr>
          <w:rFonts w:ascii="Courier New" w:cs="Courier New" w:eastAsia="Courier New" w:hAnsi="Courier New"/>
          <w:sz w:val="14"/>
          <w:szCs w:val="14"/>
          <w:color w:val="auto"/>
        </w:rPr>
      </w:pPr>
    </w:p>
    <w:p>
      <w:pPr>
        <w:ind w:left="420" w:right="3879" w:firstLine="423"/>
        <w:spacing w:after="0" w:line="239" w:lineRule="auto"/>
        <w:tabs>
          <w:tab w:leader="none" w:pos="125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1,000,000,000 shares of Class B Common Stock, $0.01 par value ("Class B Common Stock").</w:t>
      </w:r>
    </w:p>
    <w:p>
      <w:pPr>
        <w:spacing w:after="0" w:line="166" w:lineRule="exact"/>
        <w:rPr>
          <w:rFonts w:ascii="Courier New" w:cs="Courier New" w:eastAsia="Courier New" w:hAnsi="Courier New"/>
          <w:sz w:val="14"/>
          <w:szCs w:val="14"/>
          <w:color w:val="auto"/>
        </w:rPr>
      </w:pPr>
    </w:p>
    <w:p>
      <w:pPr>
        <w:ind w:left="420" w:right="4379" w:firstLine="423"/>
        <w:spacing w:after="0" w:line="239" w:lineRule="auto"/>
        <w:tabs>
          <w:tab w:leader="none" w:pos="13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200,000,000 shares of Preferred Stock, $0.01 par value ("Preferred Stock")."</w:t>
      </w:r>
    </w:p>
    <w:p>
      <w:pPr>
        <w:spacing w:after="0" w:line="167" w:lineRule="exact"/>
        <w:rPr>
          <w:sz w:val="20"/>
          <w:szCs w:val="20"/>
          <w:color w:val="auto"/>
        </w:rPr>
      </w:pPr>
    </w:p>
    <w:p>
      <w:pPr>
        <w:ind w:right="3539" w:firstLine="418"/>
        <w:spacing w:after="0" w:line="269" w:lineRule="auto"/>
        <w:rPr>
          <w:sz w:val="20"/>
          <w:szCs w:val="20"/>
          <w:color w:val="auto"/>
        </w:rPr>
      </w:pPr>
      <w:r>
        <w:rPr>
          <w:rFonts w:ascii="Courier New" w:cs="Courier New" w:eastAsia="Courier New" w:hAnsi="Courier New"/>
          <w:sz w:val="13"/>
          <w:szCs w:val="13"/>
          <w:color w:val="auto"/>
        </w:rPr>
        <w:t>THIRD: That the first sentence of Section (2) of Article V of the Restated Certificate of Incorporation of Viacom be, and the same hereby is, amended by deleting the number "twelve" and replacing such number with the number "twenty".</w:t>
      </w:r>
    </w:p>
    <w:p>
      <w:pPr>
        <w:spacing w:after="0" w:line="148" w:lineRule="exact"/>
        <w:rPr>
          <w:sz w:val="20"/>
          <w:szCs w:val="20"/>
          <w:color w:val="auto"/>
        </w:rPr>
      </w:pPr>
    </w:p>
    <w:p>
      <w:pPr>
        <w:ind w:right="4039" w:firstLine="418"/>
        <w:spacing w:after="0" w:line="241" w:lineRule="auto"/>
        <w:rPr>
          <w:sz w:val="20"/>
          <w:szCs w:val="20"/>
          <w:color w:val="auto"/>
        </w:rPr>
      </w:pPr>
      <w:r>
        <w:rPr>
          <w:rFonts w:ascii="Courier New" w:cs="Courier New" w:eastAsia="Courier New" w:hAnsi="Courier New"/>
          <w:sz w:val="14"/>
          <w:szCs w:val="14"/>
          <w:color w:val="auto"/>
        </w:rPr>
        <w:t>FOURTH: That such amendments were duly adopted in accordance with the provisions of Section 242 of the General Corporation Law of the State of Delaware.</w:t>
      </w:r>
    </w:p>
    <w:p>
      <w:pPr>
        <w:spacing w:after="0" w:line="166"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IN WITNESS WHEREOF, this Certificate has been executed by , [Title of Officer] of Viacom, and attested by , [Assistant] Secretary of Viacom, this day of , 1994.</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VIACOM INC.</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3"/>
          <w:szCs w:val="13"/>
          <w:color w:val="auto"/>
        </w:rPr>
        <w:t>..................................</w:t>
      </w:r>
    </w:p>
    <w:p>
      <w:pPr>
        <w:spacing w:after="0" w:line="17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Title: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VII-1</w:t>
      </w:r>
    </w:p>
    <w:sectPr>
      <w:pgSz w:w="11900" w:h="16838" w:orient="portrait"/>
      <w:cols w:equalWidth="0" w:num="1">
        <w:col w:w="10239"/>
      </w:cols>
      <w:pgMar w:left="220" w:top="5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1)"/>
      <w:numFmt w:val="decimal"/>
      <w:start w:val="1"/>
    </w:lvl>
  </w:abstractNum>
  <w:abstractNum w:abstractNumId="3">
    <w:nsid w:val="6B47F63E"/>
    <w:multiLevelType w:val="hybridMultilevel"/>
    <w:lvl w:ilvl="0">
      <w:lvlJc w:val="left"/>
      <w:lvlText w:val="%1)"/>
      <w:numFmt w:val="decimal"/>
      <w:start w:val="1"/>
    </w:lvl>
  </w:abstractNum>
  <w:abstractNum w:abstractNumId="4">
    <w:nsid w:val="5CB44A05"/>
    <w:multiLevelType w:val="hybridMultilevel"/>
    <w:lvl w:ilvl="0">
      <w:lvlJc w:val="left"/>
      <w:lvlText w:val="%1."/>
      <w:numFmt w:val="decimal"/>
      <w:start w:val="1"/>
    </w:lvl>
  </w:abstractNum>
  <w:abstractNum w:abstractNumId="5">
    <w:nsid w:val="16CF80F1"/>
    <w:multiLevelType w:val="hybridMultilevel"/>
    <w:lvl w:ilvl="0">
      <w:lvlJc w:val="left"/>
      <w:lvlText w:val="["/>
      <w:numFmt w:val="bullet"/>
      <w:start w:val="1"/>
    </w:lvl>
    <w:lvl w:ilvl="1">
      <w:lvlJc w:val="left"/>
      <w:lvlText w:val="%2."/>
      <w:numFmt w:val="decimal"/>
      <w:start w:val="2"/>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1)"/>
      <w:numFmt w:val="decimal"/>
      <w:start w:val="2"/>
    </w:lvl>
  </w:abstractNum>
  <w:abstractNum w:abstractNumId="8">
    <w:nsid w:val="F856867"/>
    <w:multiLevelType w:val="hybridMultilevel"/>
    <w:lvl w:ilvl="0">
      <w:lvlJc w:val="left"/>
      <w:lvlText w:val="(%1)"/>
      <w:numFmt w:val="decimal"/>
      <w:start w:val="1"/>
    </w:lvl>
  </w:abstractNum>
  <w:abstractNum w:abstractNumId="9">
    <w:nsid w:val="11B1CC33"/>
    <w:multiLevelType w:val="hybridMultilevel"/>
    <w:lvl w:ilvl="0">
      <w:lvlJc w:val="left"/>
      <w:lvlText w:val="(%1)"/>
      <w:numFmt w:val="decimal"/>
      <w:start w:val="4"/>
    </w:lvl>
  </w:abstractNum>
  <w:abstractNum w:abstractNumId="10">
    <w:nsid w:val="2E22FBB7"/>
    <w:multiLevelType w:val="hybridMultilevel"/>
    <w:lvl w:ilvl="0">
      <w:lvlJc w:val="left"/>
      <w:lvlText w:val="["/>
      <w:numFmt w:val="bullet"/>
      <w:start w:val="1"/>
    </w:lvl>
  </w:abstractNum>
  <w:abstractNum w:abstractNumId="11">
    <w:nsid w:val="29934699"/>
    <w:multiLevelType w:val="hybridMultilevel"/>
    <w:lvl w:ilvl="0">
      <w:lvlJc w:val="left"/>
      <w:lvlText w:val="(%1)"/>
      <w:numFmt w:val="lowerRoman"/>
      <w:start w:val="4"/>
    </w:lvl>
  </w:abstractNum>
  <w:abstractNum w:abstractNumId="12">
    <w:nsid w:val="77485850"/>
    <w:multiLevelType w:val="hybridMultilevel"/>
    <w:lvl w:ilvl="0">
      <w:lvlJc w:val="left"/>
      <w:lvlText w:val="["/>
      <w:numFmt w:val="bullet"/>
      <w:start w:val="1"/>
    </w:lvl>
  </w:abstractNum>
  <w:abstractNum w:abstractNumId="13">
    <w:nsid w:val="744939A3"/>
    <w:multiLevelType w:val="hybridMultilevel"/>
    <w:lvl w:ilvl="0">
      <w:lvlJc w:val="left"/>
      <w:lvlText w:val="%1."/>
      <w:numFmt w:val="decimal"/>
      <w:start w:val="2"/>
    </w:lvl>
  </w:abstractNum>
  <w:abstractNum w:abstractNumId="14">
    <w:nsid w:val="4FA0D2E3"/>
    <w:multiLevelType w:val="hybridMultilevel"/>
    <w:lvl w:ilvl="0">
      <w:lvlJc w:val="left"/>
      <w:lvlText w:val="(%1)"/>
      <w:numFmt w:val="lowerRoman"/>
      <w:start w:val="3"/>
    </w:lvl>
  </w:abstractNum>
  <w:abstractNum w:abstractNumId="15">
    <w:nsid w:val="6B1D2C14"/>
    <w:multiLevelType w:val="hybridMultilevel"/>
    <w:lvl w:ilvl="0">
      <w:lvlJc w:val="left"/>
      <w:lvlText w:val="(%1)"/>
      <w:numFmt w:val="lowerLetter"/>
      <w:start w:val="1"/>
    </w:lvl>
  </w:abstractNum>
  <w:abstractNum w:abstractNumId="16">
    <w:nsid w:val="68B867D3"/>
    <w:multiLevelType w:val="hybridMultilevel"/>
    <w:lvl w:ilvl="0">
      <w:lvlJc w:val="left"/>
      <w:lvlText w:val="(%1)"/>
      <w:numFmt w:val="lowerLetter"/>
      <w:start w:val="1"/>
    </w:lvl>
  </w:abstractNum>
  <w:abstractNum w:abstractNumId="17">
    <w:nsid w:val="3F7F5DD9"/>
    <w:multiLevelType w:val="hybridMultilevel"/>
    <w:lvl w:ilvl="0">
      <w:lvlJc w:val="left"/>
      <w:lvlText w:val="(%1)"/>
      <w:numFmt w:val="lowerLetter"/>
      <w:start w:val="1"/>
    </w:lvl>
  </w:abstractNum>
  <w:abstractNum w:abstractNumId="18">
    <w:nsid w:val="2AE05A34"/>
    <w:multiLevelType w:val="hybridMultilevel"/>
    <w:lvl w:ilvl="0">
      <w:lvlJc w:val="left"/>
      <w:lvlText w:val="(%1)"/>
      <w:numFmt w:val="lowerLetter"/>
      <w:start w:val="1"/>
    </w:lvl>
  </w:abstractNum>
  <w:abstractNum w:abstractNumId="19">
    <w:nsid w:val="32794FF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20">
    <w:nsid w:val="5454945E"/>
    <w:multiLevelType w:val="hybridMultilevel"/>
    <w:lvl w:ilvl="0">
      <w:lvlJc w:val="left"/>
      <w:lvlText w:val="(%1)"/>
      <w:numFmt w:val="lowerRoman"/>
      <w:start w:val="3"/>
    </w:lvl>
  </w:abstractNum>
  <w:abstractNum w:abstractNumId="21">
    <w:nsid w:val="4DEFDFA0"/>
    <w:multiLevelType w:val="hybridMultilevel"/>
    <w:lvl w:ilvl="0">
      <w:lvlJc w:val="left"/>
      <w:lvlText w:val="(%1)"/>
      <w:numFmt w:val="lowerRoman"/>
      <w:start w:val="3"/>
    </w:lvl>
  </w:abstractNum>
  <w:abstractNum w:abstractNumId="22">
    <w:nsid w:val="2123D5F2"/>
    <w:multiLevelType w:val="hybridMultilevel"/>
    <w:lvl w:ilvl="0">
      <w:lvlJc w:val="left"/>
      <w:lvlText w:val="(%1)"/>
      <w:numFmt w:val="lowerRoman"/>
      <w:start w:val="2"/>
    </w:lvl>
  </w:abstractNum>
  <w:abstractNum w:abstractNumId="23">
    <w:nsid w:val="135B8110"/>
    <w:multiLevelType w:val="hybridMultilevel"/>
    <w:lvl w:ilvl="0">
      <w:lvlJc w:val="left"/>
      <w:lvlText w:val="(%1)"/>
      <w:numFmt w:val="lowerRoman"/>
      <w:start w:val="3"/>
    </w:lvl>
  </w:abstractNum>
  <w:abstractNum w:abstractNumId="24">
    <w:nsid w:val="94927A8"/>
    <w:multiLevelType w:val="hybridMultilevel"/>
    <w:lvl w:ilvl="0">
      <w:lvlJc w:val="left"/>
      <w:lvlText w:val="(%1)"/>
      <w:numFmt w:val="lowerRoman"/>
      <w:start w:val="2"/>
    </w:lvl>
  </w:abstractNum>
  <w:abstractNum w:abstractNumId="25">
    <w:nsid w:val="DCDF8F6"/>
    <w:multiLevelType w:val="hybridMultilevel"/>
    <w:lvl w:ilvl="0">
      <w:lvlJc w:val="left"/>
      <w:lvlText w:val="(%1)"/>
      <w:numFmt w:val="lowerRoman"/>
      <w:start w:val="2"/>
    </w:lvl>
  </w:abstractNum>
  <w:abstractNum w:abstractNumId="26">
    <w:nsid w:val="52D7B105"/>
    <w:multiLevelType w:val="hybridMultilevel"/>
    <w:lvl w:ilvl="0">
      <w:lvlJc w:val="left"/>
      <w:lvlText w:val="(%1)"/>
      <w:numFmt w:val="lowerRoman"/>
      <w:start w:val="2"/>
    </w:lvl>
  </w:abstractNum>
  <w:abstractNum w:abstractNumId="27">
    <w:nsid w:val="2E8A6394"/>
    <w:multiLevelType w:val="hybridMultilevel"/>
    <w:lvl w:ilvl="0">
      <w:lvlJc w:val="left"/>
      <w:lvlText w:val="(%1)"/>
      <w:numFmt w:val="lowerRoman"/>
      <w:start w:val="4"/>
    </w:lvl>
  </w:abstractNum>
  <w:abstractNum w:abstractNumId="28">
    <w:nsid w:val="24E60401"/>
    <w:multiLevelType w:val="hybridMultilevel"/>
    <w:lvl w:ilvl="0">
      <w:lvlJc w:val="left"/>
      <w:lvlText w:val="%1."/>
      <w:numFmt w:val="decimal"/>
      <w:start w:val="1"/>
    </w:lvl>
  </w:abstractNum>
  <w:abstractNum w:abstractNumId="29">
    <w:nsid w:val="2A6AD9BE"/>
    <w:multiLevelType w:val="hybridMultilevel"/>
    <w:lvl w:ilvl="0">
      <w:lvlJc w:val="left"/>
      <w:lvlText w:val="."/>
      <w:numFmt w:val="bullet"/>
      <w:start w:val="1"/>
    </w:lvl>
  </w:abstractNum>
  <w:abstractNum w:abstractNumId="30">
    <w:nsid w:val="BAAC1B4"/>
    <w:multiLevelType w:val="hybridMultilevel"/>
    <w:lvl w:ilvl="0">
      <w:lvlJc w:val="left"/>
      <w:lvlText w:val="."/>
      <w:numFmt w:val="bullet"/>
      <w:start w:val="1"/>
    </w:lvl>
  </w:abstractNum>
  <w:abstractNum w:abstractNumId="31">
    <w:nsid w:val="36B2ACBC"/>
    <w:multiLevelType w:val="hybridMultilevel"/>
    <w:lvl w:ilvl="0">
      <w:lvlJc w:val="left"/>
      <w:lvlText w:val="."/>
      <w:numFmt w:val="bullet"/>
      <w:start w:val="1"/>
    </w:lvl>
  </w:abstractNum>
  <w:abstractNum w:abstractNumId="32">
    <w:nsid w:val="779D8544"/>
    <w:multiLevelType w:val="hybridMultilevel"/>
    <w:lvl w:ilvl="0">
      <w:lvlJc w:val="left"/>
      <w:lvlText w:val="%1."/>
      <w:numFmt w:val="decimal"/>
      <w:start w:val="1"/>
    </w:lvl>
    <w:lvl w:ilvl="1">
      <w:lvlJc w:val="left"/>
      <w:lvlText w:val="."/>
      <w:numFmt w:val="bullet"/>
      <w:start w:val="1"/>
    </w:lvl>
  </w:abstractNum>
  <w:abstractNum w:abstractNumId="33">
    <w:nsid w:val="4AB26E78"/>
    <w:multiLevelType w:val="hybridMultilevel"/>
    <w:lvl w:ilvl="0">
      <w:lvlJc w:val="left"/>
      <w:lvlText w:val="(%1)"/>
      <w:numFmt w:val="lowerRoman"/>
      <w:start w:val="1"/>
    </w:lvl>
  </w:abstractNum>
  <w:abstractNum w:abstractNumId="34">
    <w:nsid w:val="21FAA2FA"/>
    <w:multiLevelType w:val="hybridMultilevel"/>
    <w:lvl w:ilvl="0">
      <w:lvlJc w:val="left"/>
      <w:lvlText w:val="(%1)"/>
      <w:numFmt w:val="lowerLetter"/>
      <w:start w:val="61"/>
    </w:lvl>
    <w:lvl w:ilvl="1">
      <w:lvlJc w:val="left"/>
      <w:lvlText w:val="(%2)"/>
      <w:numFmt w:val="lowerLetter"/>
      <w:start w:val="1"/>
    </w:lvl>
  </w:abstractNum>
  <w:abstractNum w:abstractNumId="35">
    <w:nsid w:val="5451CF49"/>
    <w:multiLevelType w:val="hybridMultilevel"/>
    <w:lvl w:ilvl="0">
      <w:lvlJc w:val="left"/>
      <w:lvlText w:val="(%1)"/>
      <w:numFmt w:val="lowerRoman"/>
      <w:start w:val="4"/>
    </w:lvl>
  </w:abstractNum>
  <w:abstractNum w:abstractNumId="36">
    <w:nsid w:val="6181EF69"/>
    <w:multiLevelType w:val="hybridMultilevel"/>
    <w:lvl w:ilvl="0">
      <w:lvlJc w:val="left"/>
      <w:lvlText w:val="(%1)"/>
      <w:numFmt w:val="lowerRoman"/>
      <w:start w:val="1"/>
    </w:lvl>
  </w:abstractNum>
  <w:abstractNum w:abstractNumId="37">
    <w:nsid w:val="3E6400E6"/>
    <w:multiLevelType w:val="hybridMultilevel"/>
    <w:lvl w:ilvl="0">
      <w:lvlJc w:val="left"/>
      <w:lvlText w:val="."/>
      <w:numFmt w:val="bullet"/>
      <w:start w:val="1"/>
    </w:lvl>
  </w:abstractNum>
  <w:abstractNum w:abstractNumId="38">
    <w:nsid w:val="14217E23"/>
    <w:multiLevelType w:val="hybridMultilevel"/>
    <w:lvl w:ilvl="0">
      <w:lvlJc w:val="left"/>
      <w:lvlText w:val="."/>
      <w:numFmt w:val="bullet"/>
      <w:start w:val="1"/>
    </w:lvl>
  </w:abstractNum>
  <w:abstractNum w:abstractNumId="39">
    <w:nsid w:val="710757D0"/>
    <w:multiLevelType w:val="hybridMultilevel"/>
    <w:lvl w:ilvl="0">
      <w:lvlJc w:val="left"/>
      <w:lvlText w:val="."/>
      <w:numFmt w:val="bullet"/>
      <w:start w:val="1"/>
    </w:lvl>
  </w:abstractNum>
  <w:abstractNum w:abstractNumId="40">
    <w:nsid w:val="5015CD1A"/>
    <w:multiLevelType w:val="hybridMultilevel"/>
    <w:lvl w:ilvl="0">
      <w:lvlJc w:val="left"/>
      <w:lvlText w:val="."/>
      <w:numFmt w:val="bullet"/>
      <w:start w:val="1"/>
    </w:lvl>
  </w:abstractNum>
  <w:abstractNum w:abstractNumId="41">
    <w:nsid w:val="424479DA"/>
    <w:multiLevelType w:val="hybridMultilevel"/>
    <w:lvl w:ilvl="0">
      <w:lvlJc w:val="left"/>
      <w:lvlText w:val="(%1)"/>
      <w:numFmt w:val="lowerRoman"/>
      <w:start w:val="4"/>
    </w:lvl>
  </w:abstractNum>
  <w:abstractNum w:abstractNumId="42">
    <w:nsid w:val="1A9A9E69"/>
    <w:multiLevelType w:val="hybridMultilevel"/>
    <w:lvl w:ilvl="0">
      <w:lvlJc w:val="left"/>
      <w:lvlText w:val="(%1)"/>
      <w:numFmt w:val="lowerRoman"/>
      <w:start w:val="2"/>
    </w:lvl>
  </w:abstractNum>
  <w:abstractNum w:abstractNumId="43">
    <w:nsid w:val="475E256A"/>
    <w:multiLevelType w:val="hybridMultilevel"/>
    <w:lvl w:ilvl="0">
      <w:lvlJc w:val="left"/>
      <w:lvlText w:val="."/>
      <w:numFmt w:val="bullet"/>
      <w:start w:val="1"/>
    </w:lvl>
  </w:abstractNum>
  <w:abstractNum w:abstractNumId="44">
    <w:nsid w:val="368DB37E"/>
    <w:multiLevelType w:val="hybridMultilevel"/>
    <w:lvl w:ilvl="0">
      <w:lvlJc w:val="left"/>
      <w:lvlText w:val="."/>
      <w:numFmt w:val="bullet"/>
      <w:start w:val="1"/>
    </w:lvl>
  </w:abstractNum>
  <w:abstractNum w:abstractNumId="45">
    <w:nsid w:val="6A3B714C"/>
    <w:multiLevelType w:val="hybridMultilevel"/>
    <w:lvl w:ilvl="0">
      <w:lvlJc w:val="left"/>
      <w:lvlText w:val="."/>
      <w:numFmt w:val="bullet"/>
      <w:start w:val="1"/>
    </w:lvl>
  </w:abstractNum>
  <w:abstractNum w:abstractNumId="46">
    <w:nsid w:val="327B517E"/>
    <w:multiLevelType w:val="hybridMultilevel"/>
    <w:lvl w:ilvl="0">
      <w:lvlJc w:val="left"/>
      <w:lvlText w:val="."/>
      <w:numFmt w:val="bullet"/>
      <w:start w:val="1"/>
    </w:lvl>
  </w:abstractNum>
  <w:abstractNum w:abstractNumId="47">
    <w:nsid w:val="1F461B51"/>
    <w:multiLevelType w:val="hybridMultilevel"/>
    <w:lvl w:ilvl="0">
      <w:lvlJc w:val="left"/>
      <w:lvlText w:val="."/>
      <w:numFmt w:val="bullet"/>
      <w:start w:val="1"/>
    </w:lvl>
  </w:abstractNum>
  <w:abstractNum w:abstractNumId="48">
    <w:nsid w:val="29BACF25"/>
    <w:multiLevelType w:val="hybridMultilevel"/>
    <w:lvl w:ilvl="0">
      <w:lvlJc w:val="left"/>
      <w:lvlText w:val="."/>
      <w:numFmt w:val="bullet"/>
      <w:start w:val="1"/>
    </w:lvl>
  </w:abstractNum>
  <w:abstractNum w:abstractNumId="49">
    <w:nsid w:val="5D5BABB3"/>
    <w:multiLevelType w:val="hybridMultilevel"/>
    <w:lvl w:ilvl="0">
      <w:lvlJc w:val="left"/>
      <w:lvlText w:val="."/>
      <w:numFmt w:val="bullet"/>
      <w:start w:val="1"/>
    </w:lvl>
  </w:abstractNum>
  <w:abstractNum w:abstractNumId="50">
    <w:nsid w:val="51BF6B48"/>
    <w:multiLevelType w:val="hybridMultilevel"/>
    <w:lvl w:ilvl="0">
      <w:lvlJc w:val="left"/>
      <w:lvlText w:val="."/>
      <w:numFmt w:val="bullet"/>
      <w:start w:val="1"/>
    </w:lvl>
  </w:abstractNum>
  <w:abstractNum w:abstractNumId="51">
    <w:nsid w:val="7E0F6384"/>
    <w:multiLevelType w:val="hybridMultilevel"/>
    <w:lvl w:ilvl="0">
      <w:lvlJc w:val="left"/>
      <w:lvlText w:val="."/>
      <w:numFmt w:val="bullet"/>
      <w:start w:val="1"/>
    </w:lvl>
  </w:abstractNum>
  <w:abstractNum w:abstractNumId="52">
    <w:nsid w:val="2B4B8B53"/>
    <w:multiLevelType w:val="hybridMultilevel"/>
    <w:lvl w:ilvl="0">
      <w:lvlJc w:val="left"/>
      <w:lvlText w:val="."/>
      <w:numFmt w:val="bullet"/>
      <w:start w:val="1"/>
    </w:lvl>
  </w:abstractNum>
  <w:abstractNum w:abstractNumId="53">
    <w:nsid w:val="72E3413A"/>
    <w:multiLevelType w:val="hybridMultilevel"/>
    <w:lvl w:ilvl="0">
      <w:lvlJc w:val="left"/>
      <w:lvlText w:val="."/>
      <w:numFmt w:val="bullet"/>
      <w:start w:val="1"/>
    </w:lvl>
  </w:abstractNum>
  <w:abstractNum w:abstractNumId="54">
    <w:nsid w:val="116AE494"/>
    <w:multiLevelType w:val="hybridMultilevel"/>
    <w:lvl w:ilvl="0">
      <w:lvlJc w:val="left"/>
      <w:lvlText w:val="."/>
      <w:numFmt w:val="bullet"/>
      <w:start w:val="1"/>
    </w:lvl>
  </w:abstractNum>
  <w:abstractNum w:abstractNumId="55">
    <w:nsid w:val="3494B2FB"/>
    <w:multiLevelType w:val="hybridMultilevel"/>
    <w:lvl w:ilvl="0">
      <w:lvlJc w:val="left"/>
      <w:lvlText w:val="."/>
      <w:numFmt w:val="bullet"/>
      <w:start w:val="1"/>
    </w:lvl>
  </w:abstractNum>
  <w:abstractNum w:abstractNumId="56">
    <w:nsid w:val="B13A31"/>
    <w:multiLevelType w:val="hybridMultilevel"/>
    <w:lvl w:ilvl="0">
      <w:lvlJc w:val="left"/>
      <w:lvlText w:val="."/>
      <w:numFmt w:val="bullet"/>
      <w:start w:val="1"/>
    </w:lvl>
  </w:abstractNum>
  <w:abstractNum w:abstractNumId="57">
    <w:nsid w:val="64429599"/>
    <w:multiLevelType w:val="hybridMultilevel"/>
    <w:lvl w:ilvl="0">
      <w:lvlJc w:val="left"/>
      <w:lvlText w:val="."/>
      <w:numFmt w:val="bullet"/>
      <w:start w:val="1"/>
    </w:lvl>
  </w:abstractNum>
  <w:abstractNum w:abstractNumId="58">
    <w:nsid w:val="631F1690"/>
    <w:multiLevelType w:val="hybridMultilevel"/>
    <w:lvl w:ilvl="0">
      <w:lvlJc w:val="left"/>
      <w:lvlText w:val="."/>
      <w:numFmt w:val="bullet"/>
      <w:start w:val="1"/>
    </w:lvl>
  </w:abstractNum>
  <w:abstractNum w:abstractNumId="59">
    <w:nsid w:val="25973E32"/>
    <w:multiLevelType w:val="hybridMultilevel"/>
    <w:lvl w:ilvl="0">
      <w:lvlJc w:val="left"/>
      <w:lvlText w:val="."/>
      <w:numFmt w:val="bullet"/>
      <w:start w:val="1"/>
    </w:lvl>
  </w:abstractNum>
  <w:abstractNum w:abstractNumId="60">
    <w:nsid w:val="EAD6F57"/>
    <w:multiLevelType w:val="hybridMultilevel"/>
    <w:lvl w:ilvl="0">
      <w:lvlJc w:val="left"/>
      <w:lvlText w:val="."/>
      <w:numFmt w:val="bullet"/>
      <w:start w:val="1"/>
    </w:lvl>
  </w:abstractNum>
  <w:abstractNum w:abstractNumId="61">
    <w:nsid w:val="6EC9D844"/>
    <w:multiLevelType w:val="hybridMultilevel"/>
    <w:lvl w:ilvl="0">
      <w:lvlJc w:val="left"/>
      <w:lvlText w:val="."/>
      <w:numFmt w:val="bullet"/>
      <w:start w:val="1"/>
    </w:lvl>
  </w:abstractNum>
  <w:abstractNum w:abstractNumId="62">
    <w:nsid w:val="5C49EAEE"/>
    <w:multiLevelType w:val="hybridMultilevel"/>
    <w:lvl w:ilvl="0">
      <w:lvlJc w:val="left"/>
      <w:lvlText w:val="."/>
      <w:numFmt w:val="bullet"/>
      <w:start w:val="1"/>
    </w:lvl>
  </w:abstractNum>
  <w:abstractNum w:abstractNumId="63">
    <w:nsid w:val="64AF49B"/>
    <w:multiLevelType w:val="hybridMultilevel"/>
    <w:lvl w:ilvl="0">
      <w:lvlJc w:val="left"/>
      <w:lvlText w:val="."/>
      <w:numFmt w:val="bullet"/>
      <w:start w:val="1"/>
    </w:lvl>
  </w:abstractNum>
  <w:abstractNum w:abstractNumId="64">
    <w:nsid w:val="397C46BC"/>
    <w:multiLevelType w:val="hybridMultilevel"/>
    <w:lvl w:ilvl="0">
      <w:lvlJc w:val="left"/>
      <w:lvlText w:val="."/>
      <w:numFmt w:val="bullet"/>
      <w:start w:val="1"/>
    </w:lvl>
  </w:abstractNum>
  <w:abstractNum w:abstractNumId="65">
    <w:nsid w:val="7E448DE9"/>
    <w:multiLevelType w:val="hybridMultilevel"/>
    <w:lvl w:ilvl="0">
      <w:lvlJc w:val="left"/>
      <w:lvlText w:val="."/>
      <w:numFmt w:val="bullet"/>
      <w:start w:val="1"/>
    </w:lvl>
  </w:abstractNum>
  <w:abstractNum w:abstractNumId="66">
    <w:nsid w:val="5A9CC3E5"/>
    <w:multiLevelType w:val="hybridMultilevel"/>
    <w:lvl w:ilvl="0">
      <w:lvlJc w:val="left"/>
      <w:lvlText w:val="."/>
      <w:numFmt w:val="bullet"/>
      <w:start w:val="1"/>
    </w:lvl>
  </w:abstractNum>
  <w:abstractNum w:abstractNumId="67">
    <w:nsid w:val="1AFE3625"/>
    <w:multiLevelType w:val="hybridMultilevel"/>
    <w:lvl w:ilvl="0">
      <w:lvlJc w:val="left"/>
      <w:lvlText w:val="."/>
      <w:numFmt w:val="bullet"/>
      <w:start w:val="1"/>
    </w:lvl>
  </w:abstractNum>
  <w:abstractNum w:abstractNumId="68">
    <w:nsid w:val="3CA88ECF"/>
    <w:multiLevelType w:val="hybridMultilevel"/>
    <w:lvl w:ilvl="0">
      <w:lvlJc w:val="left"/>
      <w:lvlText w:val="."/>
      <w:numFmt w:val="bullet"/>
      <w:start w:val="1"/>
    </w:lvl>
  </w:abstractNum>
  <w:abstractNum w:abstractNumId="69">
    <w:nsid w:val="6EBE4208"/>
    <w:multiLevelType w:val="hybridMultilevel"/>
    <w:lvl w:ilvl="0">
      <w:lvlJc w:val="left"/>
      <w:lvlText w:val="."/>
      <w:numFmt w:val="bullet"/>
      <w:start w:val="1"/>
    </w:lvl>
  </w:abstractNum>
  <w:abstractNum w:abstractNumId="70">
    <w:nsid w:val="C058DF5"/>
    <w:multiLevelType w:val="hybridMultilevel"/>
    <w:lvl w:ilvl="0">
      <w:lvlJc w:val="left"/>
      <w:lvlText w:val="."/>
      <w:numFmt w:val="bullet"/>
      <w:start w:val="1"/>
    </w:lvl>
  </w:abstractNum>
  <w:abstractNum w:abstractNumId="71">
    <w:nsid w:val="CBE5BE9"/>
    <w:multiLevelType w:val="hybridMultilevel"/>
    <w:lvl w:ilvl="0">
      <w:lvlJc w:val="left"/>
      <w:lvlText w:val="."/>
      <w:numFmt w:val="bullet"/>
      <w:start w:val="1"/>
    </w:lvl>
  </w:abstractNum>
  <w:abstractNum w:abstractNumId="72">
    <w:nsid w:val="3102BBE2"/>
    <w:multiLevelType w:val="hybridMultilevel"/>
    <w:lvl w:ilvl="0">
      <w:lvlJc w:val="left"/>
      <w:lvlText w:val="."/>
      <w:numFmt w:val="bullet"/>
      <w:start w:val="1"/>
    </w:lvl>
  </w:abstractNum>
  <w:abstractNum w:abstractNumId="73">
    <w:nsid w:val="26A02C5E"/>
    <w:multiLevelType w:val="hybridMultilevel"/>
    <w:lvl w:ilvl="0">
      <w:lvlJc w:val="left"/>
      <w:lvlText w:val="."/>
      <w:numFmt w:val="bullet"/>
      <w:start w:val="1"/>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
      <w:numFmt w:val="bullet"/>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
      <w:numFmt w:val="bullet"/>
      <w:start w:val="1"/>
    </w:lvl>
  </w:abstractNum>
  <w:abstractNum w:abstractNumId="78">
    <w:nsid w:val="6D68AB2"/>
    <w:multiLevelType w:val="hybridMultilevel"/>
    <w:lvl w:ilvl="0">
      <w:lvlJc w:val="left"/>
      <w:lvlText w:val="."/>
      <w:numFmt w:val="bullet"/>
      <w:start w:val="1"/>
    </w:lvl>
  </w:abstractNum>
  <w:abstractNum w:abstractNumId="79">
    <w:nsid w:val="3A966CD0"/>
    <w:multiLevelType w:val="hybridMultilevel"/>
    <w:lvl w:ilvl="0">
      <w:lvlJc w:val="left"/>
      <w:lvlText w:val="."/>
      <w:numFmt w:val="bullet"/>
      <w:start w:val="1"/>
    </w:lvl>
  </w:abstractNum>
  <w:abstractNum w:abstractNumId="80">
    <w:nsid w:val="63F37E85"/>
    <w:multiLevelType w:val="hybridMultilevel"/>
    <w:lvl w:ilvl="0">
      <w:lvlJc w:val="left"/>
      <w:lvlText w:val="."/>
      <w:numFmt w:val="bullet"/>
      <w:start w:val="1"/>
    </w:lvl>
  </w:abstractNum>
  <w:abstractNum w:abstractNumId="81">
    <w:nsid w:val="5895F5FA"/>
    <w:multiLevelType w:val="hybridMultilevel"/>
    <w:lvl w:ilvl="0">
      <w:lvlJc w:val="left"/>
      <w:lvlText w:val="."/>
      <w:numFmt w:val="bullet"/>
      <w:start w:val="1"/>
    </w:lvl>
  </w:abstractNum>
  <w:abstractNum w:abstractNumId="82">
    <w:nsid w:val="38A5D054"/>
    <w:multiLevelType w:val="hybridMultilevel"/>
    <w:lvl w:ilvl="0">
      <w:lvlJc w:val="left"/>
      <w:lvlText w:val="."/>
      <w:numFmt w:val="bullet"/>
      <w:start w:val="1"/>
    </w:lvl>
  </w:abstractNum>
  <w:abstractNum w:abstractNumId="83">
    <w:nsid w:val="F3F09D8"/>
    <w:multiLevelType w:val="hybridMultilevel"/>
    <w:lvl w:ilvl="0">
      <w:lvlJc w:val="left"/>
      <w:lvlText w:val="."/>
      <w:numFmt w:val="bullet"/>
      <w:start w:val="1"/>
    </w:lvl>
  </w:abstractNum>
  <w:abstractNum w:abstractNumId="84">
    <w:nsid w:val="4B793735"/>
    <w:multiLevelType w:val="hybridMultilevel"/>
    <w:lvl w:ilvl="0">
      <w:lvlJc w:val="left"/>
      <w:lvlText w:val="."/>
      <w:numFmt w:val="bullet"/>
      <w:start w:val="1"/>
    </w:lvl>
  </w:abstractNum>
  <w:abstractNum w:abstractNumId="85">
    <w:nsid w:val="4A10B4E8"/>
    <w:multiLevelType w:val="hybridMultilevel"/>
    <w:lvl w:ilvl="0">
      <w:lvlJc w:val="left"/>
      <w:lvlText w:val="."/>
      <w:numFmt w:val="bullet"/>
      <w:start w:val="1"/>
    </w:lvl>
  </w:abstractNum>
  <w:abstractNum w:abstractNumId="86">
    <w:nsid w:val="43D3BCD4"/>
    <w:multiLevelType w:val="hybridMultilevel"/>
    <w:lvl w:ilvl="0">
      <w:lvlJc w:val="left"/>
      <w:lvlText w:val="."/>
      <w:numFmt w:val="bullet"/>
      <w:start w:val="1"/>
    </w:lvl>
  </w:abstractNum>
  <w:abstractNum w:abstractNumId="87">
    <w:nsid w:val="4C2A7166"/>
    <w:multiLevelType w:val="hybridMultilevel"/>
    <w:lvl w:ilvl="0">
      <w:lvlJc w:val="left"/>
      <w:lvlText w:val="."/>
      <w:numFmt w:val="bullet"/>
      <w:start w:val="1"/>
    </w:lvl>
  </w:abstractNum>
  <w:abstractNum w:abstractNumId="88">
    <w:nsid w:val="2E534A82"/>
    <w:multiLevelType w:val="hybridMultilevel"/>
    <w:lvl w:ilvl="0">
      <w:lvlJc w:val="left"/>
      <w:lvlText w:val="."/>
      <w:numFmt w:val="bullet"/>
      <w:start w:val="1"/>
    </w:lvl>
  </w:abstractNum>
  <w:abstractNum w:abstractNumId="89">
    <w:nsid w:val="26F2D364"/>
    <w:multiLevelType w:val="hybridMultilevel"/>
    <w:lvl w:ilvl="0">
      <w:lvlJc w:val="left"/>
      <w:lvlText w:val="."/>
      <w:numFmt w:val="bullet"/>
      <w:start w:val="1"/>
    </w:lvl>
  </w:abstractNum>
  <w:abstractNum w:abstractNumId="90">
    <w:nsid w:val="71C1AF98"/>
    <w:multiLevelType w:val="hybridMultilevel"/>
    <w:lvl w:ilvl="0">
      <w:lvlJc w:val="left"/>
      <w:lvlText w:val="."/>
      <w:numFmt w:val="bullet"/>
      <w:start w:val="1"/>
    </w:lvl>
  </w:abstractNum>
  <w:abstractNum w:abstractNumId="91">
    <w:nsid w:val="3D00B9D9"/>
    <w:multiLevelType w:val="hybridMultilevel"/>
    <w:lvl w:ilvl="0">
      <w:lvlJc w:val="left"/>
      <w:lvlText w:val="."/>
      <w:numFmt w:val="bullet"/>
      <w:start w:val="1"/>
    </w:lvl>
  </w:abstractNum>
  <w:abstractNum w:abstractNumId="92">
    <w:nsid w:val="15BCABA8"/>
    <w:multiLevelType w:val="hybridMultilevel"/>
    <w:lvl w:ilvl="0">
      <w:lvlJc w:val="left"/>
      <w:lvlText w:val="."/>
      <w:numFmt w:val="bullet"/>
      <w:start w:val="1"/>
    </w:lvl>
  </w:abstractNum>
  <w:abstractNum w:abstractNumId="93">
    <w:nsid w:val="4E0B9A87"/>
    <w:multiLevelType w:val="hybridMultilevel"/>
    <w:lvl w:ilvl="0">
      <w:lvlJc w:val="left"/>
      <w:lvlText w:val="."/>
      <w:numFmt w:val="bullet"/>
      <w:start w:val="1"/>
    </w:lvl>
  </w:abstractNum>
  <w:abstractNum w:abstractNumId="94">
    <w:nsid w:val="434BAE75"/>
    <w:multiLevelType w:val="hybridMultilevel"/>
    <w:lvl w:ilvl="0">
      <w:lvlJc w:val="left"/>
      <w:lvlText w:val="."/>
      <w:numFmt w:val="bullet"/>
      <w:start w:val="1"/>
    </w:lvl>
  </w:abstractNum>
  <w:abstractNum w:abstractNumId="95">
    <w:nsid w:val="4F38F265"/>
    <w:multiLevelType w:val="hybridMultilevel"/>
    <w:lvl w:ilvl="0">
      <w:lvlJc w:val="left"/>
      <w:lvlText w:val="."/>
      <w:numFmt w:val="bullet"/>
      <w:start w:val="1"/>
    </w:lvl>
  </w:abstractNum>
  <w:abstractNum w:abstractNumId="96">
    <w:nsid w:val="4C502870"/>
    <w:multiLevelType w:val="hybridMultilevel"/>
    <w:lvl w:ilvl="0">
      <w:lvlJc w:val="left"/>
      <w:lvlText w:val="."/>
      <w:numFmt w:val="bullet"/>
      <w:start w:val="1"/>
    </w:lvl>
  </w:abstractNum>
  <w:abstractNum w:abstractNumId="97">
    <w:nsid w:val="1DE8725A"/>
    <w:multiLevelType w:val="hybridMultilevel"/>
    <w:lvl w:ilvl="0">
      <w:lvlJc w:val="left"/>
      <w:lvlText w:val="(%1)"/>
      <w:numFmt w:val="lowerRoman"/>
      <w:start w:val="5"/>
    </w:lvl>
  </w:abstractNum>
  <w:abstractNum w:abstractNumId="98">
    <w:nsid w:val="6A37288A"/>
    <w:multiLevelType w:val="hybridMultilevel"/>
    <w:lvl w:ilvl="0">
      <w:lvlJc w:val="left"/>
      <w:lvlText w:val="(%1)"/>
      <w:numFmt w:val="lowerRoman"/>
      <w:start w:val="7"/>
    </w:lvl>
  </w:abstractNum>
  <w:abstractNum w:abstractNumId="99">
    <w:nsid w:val="8F8B73F"/>
    <w:multiLevelType w:val="hybridMultilevel"/>
    <w:lvl w:ilvl="0">
      <w:lvlJc w:val="left"/>
      <w:lvlText w:val="."/>
      <w:numFmt w:val="bullet"/>
      <w:start w:val="1"/>
    </w:lvl>
  </w:abstractNum>
  <w:abstractNum w:abstractNumId="100">
    <w:nsid w:val="CA6B462"/>
    <w:multiLevelType w:val="hybridMultilevel"/>
    <w:lvl w:ilvl="0">
      <w:lvlJc w:val="left"/>
      <w:lvlText w:val="."/>
      <w:numFmt w:val="bullet"/>
      <w:start w:val="1"/>
    </w:lvl>
  </w:abstractNum>
  <w:abstractNum w:abstractNumId="101">
    <w:nsid w:val="763CB680"/>
    <w:multiLevelType w:val="hybridMultilevel"/>
    <w:lvl w:ilvl="0">
      <w:lvlJc w:val="left"/>
      <w:lvlText w:val="."/>
      <w:numFmt w:val="bullet"/>
      <w:start w:val="1"/>
    </w:lvl>
  </w:abstractNum>
  <w:abstractNum w:abstractNumId="102">
    <w:nsid w:val="15B71329"/>
    <w:multiLevelType w:val="hybridMultilevel"/>
    <w:lvl w:ilvl="0">
      <w:lvlJc w:val="left"/>
      <w:lvlText w:val="."/>
      <w:numFmt w:val="bullet"/>
      <w:start w:val="1"/>
    </w:lvl>
  </w:abstractNum>
  <w:abstractNum w:abstractNumId="103">
    <w:nsid w:val="3DA97044"/>
    <w:multiLevelType w:val="hybridMultilevel"/>
    <w:lvl w:ilvl="0">
      <w:lvlJc w:val="left"/>
      <w:lvlText w:val="."/>
      <w:numFmt w:val="bullet"/>
      <w:start w:val="1"/>
    </w:lvl>
  </w:abstractNum>
  <w:abstractNum w:abstractNumId="104">
    <w:nsid w:val="1CDCE2DE"/>
    <w:multiLevelType w:val="hybridMultilevel"/>
    <w:lvl w:ilvl="0">
      <w:lvlJc w:val="left"/>
      <w:lvlText w:val="."/>
      <w:numFmt w:val="bullet"/>
      <w:start w:val="1"/>
    </w:lvl>
  </w:abstractNum>
  <w:abstractNum w:abstractNumId="105">
    <w:nsid w:val="69D3947C"/>
    <w:multiLevelType w:val="hybridMultilevel"/>
    <w:lvl w:ilvl="0">
      <w:lvlJc w:val="left"/>
      <w:lvlText w:val="."/>
      <w:numFmt w:val="bullet"/>
      <w:start w:val="1"/>
    </w:lvl>
  </w:abstractNum>
  <w:abstractNum w:abstractNumId="106">
    <w:nsid w:val="2539DFA5"/>
    <w:multiLevelType w:val="hybridMultilevel"/>
    <w:lvl w:ilvl="0">
      <w:lvlJc w:val="left"/>
      <w:lvlText w:val="."/>
      <w:numFmt w:val="bullet"/>
      <w:start w:val="1"/>
    </w:lvl>
  </w:abstractNum>
  <w:abstractNum w:abstractNumId="107">
    <w:nsid w:val="2DB88089"/>
    <w:multiLevelType w:val="hybridMultilevel"/>
    <w:lvl w:ilvl="0">
      <w:lvlJc w:val="left"/>
      <w:lvlText w:val="."/>
      <w:numFmt w:val="bullet"/>
      <w:start w:val="1"/>
    </w:lvl>
  </w:abstractNum>
  <w:abstractNum w:abstractNumId="108">
    <w:nsid w:val="706B674E"/>
    <w:multiLevelType w:val="hybridMultilevel"/>
    <w:lvl w:ilvl="0">
      <w:lvlJc w:val="left"/>
      <w:lvlText w:val="."/>
      <w:numFmt w:val="bullet"/>
      <w:start w:val="1"/>
    </w:lvl>
  </w:abstractNum>
  <w:abstractNum w:abstractNumId="109">
    <w:nsid w:val="2C106A57"/>
    <w:multiLevelType w:val="hybridMultilevel"/>
    <w:lvl w:ilvl="0">
      <w:lvlJc w:val="left"/>
      <w:lvlText w:val="."/>
      <w:numFmt w:val="bullet"/>
      <w:start w:val="1"/>
    </w:lvl>
  </w:abstractNum>
  <w:abstractNum w:abstractNumId="110">
    <w:nsid w:val="684EED59"/>
    <w:multiLevelType w:val="hybridMultilevel"/>
    <w:lvl w:ilvl="0">
      <w:lvlJc w:val="left"/>
      <w:lvlText w:val="."/>
      <w:numFmt w:val="bullet"/>
      <w:start w:val="1"/>
    </w:lvl>
  </w:abstractNum>
  <w:abstractNum w:abstractNumId="111">
    <w:nsid w:val="545EE5D3"/>
    <w:multiLevelType w:val="hybridMultilevel"/>
    <w:lvl w:ilvl="0">
      <w:lvlJc w:val="left"/>
      <w:lvlText w:val="."/>
      <w:numFmt w:val="bullet"/>
      <w:start w:val="1"/>
    </w:lvl>
  </w:abstractNum>
  <w:abstractNum w:abstractNumId="112">
    <w:nsid w:val="4A66051"/>
    <w:multiLevelType w:val="hybridMultilevel"/>
    <w:lvl w:ilvl="0">
      <w:lvlJc w:val="left"/>
      <w:lvlText w:val="."/>
      <w:numFmt w:val="bullet"/>
      <w:start w:val="1"/>
    </w:lvl>
  </w:abstractNum>
  <w:abstractNum w:abstractNumId="113">
    <w:nsid w:val="20F4BDAD"/>
    <w:multiLevelType w:val="hybridMultilevel"/>
    <w:lvl w:ilvl="0">
      <w:lvlJc w:val="left"/>
      <w:lvlText w:val="(%1)"/>
      <w:numFmt w:val="lowerRoman"/>
      <w:start w:val="2"/>
    </w:lvl>
  </w:abstractNum>
  <w:abstractNum w:abstractNumId="114">
    <w:nsid w:val="639DEFAC"/>
    <w:multiLevelType w:val="hybridMultilevel"/>
    <w:lvl w:ilvl="0">
      <w:lvlJc w:val="left"/>
      <w:lvlText w:val="(%1)"/>
      <w:numFmt w:val="lowerLetter"/>
      <w:start w:val="1"/>
    </w:lvl>
  </w:abstractNum>
  <w:abstractNum w:abstractNumId="115">
    <w:nsid w:val="501F9786"/>
    <w:multiLevelType w:val="hybridMultilevel"/>
    <w:lvl w:ilvl="0">
      <w:lvlJc w:val="left"/>
      <w:lvlText w:val="(%1)"/>
      <w:numFmt w:val="lowerLetter"/>
      <w:start w:val="2"/>
    </w:lvl>
  </w:abstractNum>
  <w:abstractNum w:abstractNumId="116">
    <w:nsid w:val="6B057295"/>
    <w:multiLevelType w:val="hybridMultilevel"/>
    <w:lvl w:ilvl="0">
      <w:lvlJc w:val="left"/>
      <w:lvlText w:val="(%1)"/>
      <w:numFmt w:val="lowerLetter"/>
      <w:start w:val="3"/>
    </w:lvl>
  </w:abstractNum>
  <w:abstractNum w:abstractNumId="117">
    <w:nsid w:val="2771AC80"/>
    <w:multiLevelType w:val="hybridMultilevel"/>
    <w:lvl w:ilvl="0">
      <w:lvlJc w:val="left"/>
      <w:lvlText w:val="(%1)"/>
      <w:numFmt w:val="lowerLetter"/>
      <w:start w:val="4"/>
    </w:lvl>
  </w:abstractNum>
  <w:abstractNum w:abstractNumId="118">
    <w:nsid w:val="1C4A08EC"/>
    <w:multiLevelType w:val="hybridMultilevel"/>
    <w:lvl w:ilvl="0">
      <w:lvlJc w:val="left"/>
      <w:lvlText w:val="(%1)"/>
      <w:numFmt w:val="lowerLetter"/>
      <w:start w:val="5"/>
    </w:lvl>
  </w:abstractNum>
  <w:abstractNum w:abstractNumId="119">
    <w:nsid w:val="1958BD17"/>
    <w:multiLevelType w:val="hybridMultilevel"/>
    <w:lvl w:ilvl="0">
      <w:lvlJc w:val="left"/>
      <w:lvlText w:val="(%1)"/>
      <w:numFmt w:val="lowerRoman"/>
      <w:start w:val="1"/>
    </w:lvl>
  </w:abstractNum>
  <w:abstractNum w:abstractNumId="120">
    <w:nsid w:val="4E647FE4"/>
    <w:multiLevelType w:val="hybridMultilevel"/>
    <w:lvl w:ilvl="0">
      <w:lvlJc w:val="left"/>
      <w:lvlText w:val="(%1)"/>
      <w:numFmt w:val="lowerRoman"/>
      <w:start w:val="1"/>
    </w:lvl>
  </w:abstractNum>
  <w:abstractNum w:abstractNumId="121">
    <w:nsid w:val="E0BB885"/>
    <w:multiLevelType w:val="hybridMultilevel"/>
    <w:lvl w:ilvl="0">
      <w:lvlJc w:val="left"/>
      <w:lvlText w:val="(%1)"/>
      <w:numFmt w:val="lowerRoman"/>
      <w:start w:val="3"/>
    </w:lvl>
  </w:abstractNum>
  <w:abstractNum w:abstractNumId="122">
    <w:nsid w:val="565976F1"/>
    <w:multiLevelType w:val="hybridMultilevel"/>
    <w:lvl w:ilvl="0">
      <w:lvlJc w:val="left"/>
      <w:lvlText w:val="(%1)"/>
      <w:numFmt w:val="lowerRoman"/>
      <w:start w:val="1"/>
    </w:lvl>
  </w:abstractNum>
  <w:abstractNum w:abstractNumId="123">
    <w:nsid w:val="64212B8C"/>
    <w:multiLevelType w:val="hybridMultilevel"/>
    <w:lvl w:ilvl="0">
      <w:lvlJc w:val="left"/>
      <w:lvlText w:val="(%1)"/>
      <w:numFmt w:val="lowerRoman"/>
      <w:start w:val="4"/>
    </w:lvl>
  </w:abstractNum>
  <w:abstractNum w:abstractNumId="124">
    <w:nsid w:val="5C17530C"/>
    <w:multiLevelType w:val="hybridMultilevel"/>
    <w:lvl w:ilvl="0">
      <w:lvlJc w:val="left"/>
      <w:lvlText w:val="(%1)"/>
      <w:numFmt w:val="lowerRoman"/>
      <w:start w:val="10"/>
    </w:lvl>
  </w:abstractNum>
  <w:abstractNum w:abstractNumId="125">
    <w:nsid w:val="19A52566"/>
    <w:multiLevelType w:val="hybridMultilevel"/>
    <w:lvl w:ilvl="0">
      <w:lvlJc w:val="left"/>
      <w:lvlText w:val="(%1)"/>
      <w:numFmt w:val="lowerRoman"/>
      <w:start w:val="10"/>
    </w:lvl>
  </w:abstractNum>
  <w:abstractNum w:abstractNumId="126">
    <w:nsid w:val="335A1DF1"/>
    <w:multiLevelType w:val="hybridMultilevel"/>
    <w:lvl w:ilvl="0">
      <w:lvlJc w:val="left"/>
      <w:lvlText w:val="(%1)"/>
      <w:numFmt w:val="lowerRoman"/>
      <w:start w:val="10"/>
    </w:lvl>
  </w:abstractNum>
  <w:abstractNum w:abstractNumId="127">
    <w:nsid w:val="28677B7C"/>
    <w:multiLevelType w:val="hybridMultilevel"/>
    <w:lvl w:ilvl="0">
      <w:lvlJc w:val="left"/>
      <w:lvlText w:val="(%1)"/>
      <w:numFmt w:val="lowerRoman"/>
      <w:start w:val="5"/>
    </w:lvl>
  </w:abstractNum>
  <w:abstractNum w:abstractNumId="128">
    <w:nsid w:val="378D97C0"/>
    <w:multiLevelType w:val="hybridMultilevel"/>
    <w:lvl w:ilvl="0">
      <w:lvlJc w:val="left"/>
      <w:lvlText w:val="(%1)"/>
      <w:numFmt w:val="lowerRoman"/>
      <w:start w:val="3"/>
    </w:lvl>
  </w:abstractNum>
  <w:abstractNum w:abstractNumId="129">
    <w:nsid w:val="1D91467C"/>
    <w:multiLevelType w:val="hybridMultilevel"/>
    <w:lvl w:ilvl="0">
      <w:lvlJc w:val="left"/>
      <w:lvlText w:val="(%1)"/>
      <w:numFmt w:val="lowerRoman"/>
      <w:start w:val="1"/>
    </w:lvl>
  </w:abstractNum>
  <w:abstractNum w:abstractNumId="130">
    <w:nsid w:val="316032BB"/>
    <w:multiLevelType w:val="hybridMultilevel"/>
    <w:lvl w:ilvl="0">
      <w:lvlJc w:val="left"/>
      <w:lvlText w:val="(%1)"/>
      <w:numFmt w:val="lowerRoman"/>
      <w:start w:val="3"/>
    </w:lvl>
  </w:abstractNum>
  <w:abstractNum w:abstractNumId="131">
    <w:nsid w:val="44344C22"/>
    <w:multiLevelType w:val="hybridMultilevel"/>
    <w:lvl w:ilvl="0">
      <w:lvlJc w:val="left"/>
      <w:lvlText w:val="%1."/>
      <w:numFmt w:val="decimal"/>
      <w:start w:val="61"/>
    </w:lvl>
  </w:abstractNum>
  <w:abstractNum w:abstractNumId="132">
    <w:nsid w:val="13CDFCFC"/>
    <w:multiLevelType w:val="hybridMultilevel"/>
    <w:lvl w:ilvl="0">
      <w:lvlJc w:val="left"/>
      <w:lvlText w:val="%1."/>
      <w:numFmt w:val="decimal"/>
      <w:start w:val="41"/>
    </w:lvl>
  </w:abstractNum>
  <w:abstractNum w:abstractNumId="133">
    <w:nsid w:val="471745E4"/>
    <w:multiLevelType w:val="hybridMultilevel"/>
    <w:lvl w:ilvl="0">
      <w:lvlJc w:val="left"/>
      <w:lvlText w:val="%1."/>
      <w:numFmt w:val="decimal"/>
      <w:start w:val="56"/>
    </w:lvl>
  </w:abstractNum>
  <w:abstractNum w:abstractNumId="134">
    <w:nsid w:val="1DDBC66"/>
    <w:multiLevelType w:val="hybridMultilevel"/>
    <w:lvl w:ilvl="0">
      <w:lvlJc w:val="left"/>
      <w:lvlText w:val="%1."/>
      <w:numFmt w:val="decimal"/>
      <w:start w:val="43"/>
    </w:lvl>
  </w:abstractNum>
  <w:abstractNum w:abstractNumId="135">
    <w:nsid w:val="30AADFDA"/>
    <w:multiLevelType w:val="hybridMultilevel"/>
    <w:lvl w:ilvl="0">
      <w:lvlJc w:val="left"/>
      <w:lvlText w:val="%1."/>
      <w:numFmt w:val="decimal"/>
      <w:start w:val="60"/>
    </w:lvl>
  </w:abstractNum>
  <w:abstractNum w:abstractNumId="136">
    <w:nsid w:val="30EADA61"/>
    <w:multiLevelType w:val="hybridMultilevel"/>
    <w:lvl w:ilvl="0">
      <w:lvlJc w:val="left"/>
      <w:lvlText w:val="%1."/>
      <w:numFmt w:val="decimal"/>
      <w:start w:val="36"/>
    </w:lvl>
  </w:abstractNum>
  <w:abstractNum w:abstractNumId="137">
    <w:nsid w:val="27179C0B"/>
    <w:multiLevelType w:val="hybridMultilevel"/>
    <w:lvl w:ilvl="0">
      <w:lvlJc w:val="left"/>
      <w:lvlText w:val="-"/>
      <w:numFmt w:val="bullet"/>
      <w:start w:val="1"/>
    </w:lvl>
    <w:lvl w:ilvl="1">
      <w:lvlJc w:val="left"/>
      <w:lvlText w:val="(%2)"/>
      <w:numFmt w:val="lowerLetter"/>
      <w:start w:val="1"/>
    </w:lvl>
  </w:abstractNum>
  <w:abstractNum w:abstractNumId="138">
    <w:nsid w:val="5E636063"/>
    <w:multiLevelType w:val="hybridMultilevel"/>
    <w:lvl w:ilvl="0">
      <w:lvlJc w:val="left"/>
      <w:lvlText w:val="-"/>
      <w:numFmt w:val="bullet"/>
      <w:start w:val="1"/>
    </w:lvl>
    <w:lvl w:ilvl="1">
      <w:lvlJc w:val="left"/>
      <w:lvlText w:val="*"/>
      <w:numFmt w:val="bullet"/>
      <w:start w:val="1"/>
    </w:lvl>
  </w:abstractNum>
  <w:abstractNum w:abstractNumId="139">
    <w:nsid w:val="215641AF"/>
    <w:multiLevelType w:val="hybridMultilevel"/>
    <w:lvl w:ilvl="0">
      <w:lvlJc w:val="left"/>
      <w:lvlText w:val="-"/>
      <w:numFmt w:val="bullet"/>
      <w:start w:val="1"/>
    </w:lvl>
    <w:lvl w:ilvl="1">
      <w:lvlJc w:val="left"/>
      <w:lvlText w:val="**"/>
      <w:numFmt w:val="bullet"/>
      <w:start w:val="1"/>
    </w:lvl>
  </w:abstractNum>
  <w:abstractNum w:abstractNumId="140">
    <w:nsid w:val="53280662"/>
    <w:multiLevelType w:val="hybridMultilevel"/>
    <w:lvl w:ilvl="0">
      <w:lvlJc w:val="left"/>
      <w:lvlText w:val="-"/>
      <w:numFmt w:val="bullet"/>
      <w:start w:val="1"/>
    </w:lvl>
    <w:lvl w:ilvl="1">
      <w:lvlJc w:val="left"/>
      <w:lvlText w:val="*"/>
      <w:numFmt w:val="bullet"/>
      <w:start w:val="1"/>
    </w:lvl>
  </w:abstractNum>
  <w:abstractNum w:abstractNumId="141">
    <w:nsid w:val="46B24DBC"/>
    <w:multiLevelType w:val="hybridMultilevel"/>
    <w:lvl w:ilvl="0">
      <w:lvlJc w:val="left"/>
      <w:lvlText w:val="-"/>
      <w:numFmt w:val="bullet"/>
      <w:start w:val="1"/>
    </w:lvl>
    <w:lvl w:ilvl="1">
      <w:lvlJc w:val="left"/>
      <w:lvlText w:val="**"/>
      <w:numFmt w:val="bullet"/>
      <w:start w:val="1"/>
    </w:lvl>
  </w:abstractNum>
  <w:abstractNum w:abstractNumId="142">
    <w:nsid w:val="75B52783"/>
    <w:multiLevelType w:val="hybridMultilevel"/>
    <w:lvl w:ilvl="0">
      <w:lvlJc w:val="left"/>
      <w:lvlText w:val="(%1)"/>
      <w:numFmt w:val="decimal"/>
      <w:start w:val="1"/>
    </w:lvl>
  </w:abstractNum>
  <w:abstractNum w:abstractNumId="143">
    <w:nsid w:val="57CE66B4"/>
    <w:multiLevelType w:val="hybridMultilevel"/>
    <w:lvl w:ilvl="0">
      <w:lvlJc w:val="left"/>
      <w:lvlText w:val="(%1)"/>
      <w:numFmt w:val="lowerLetter"/>
      <w:start w:val="1"/>
    </w:lvl>
  </w:abstractNum>
  <w:abstractNum w:abstractNumId="144">
    <w:nsid w:val="67A70B69"/>
    <w:multiLevelType w:val="hybridMultilevel"/>
    <w:lvl w:ilvl="0">
      <w:lvlJc w:val="left"/>
      <w:lvlText w:val="(%1)"/>
      <w:numFmt w:val="decimal"/>
      <w:start w:val="2"/>
    </w:lvl>
  </w:abstractNum>
  <w:abstractNum w:abstractNumId="145">
    <w:nsid w:val="5953172F"/>
    <w:multiLevelType w:val="hybridMultilevel"/>
    <w:lvl w:ilvl="0">
      <w:lvlJc w:val="left"/>
      <w:lvlText w:val="(%1)"/>
      <w:numFmt w:val="lowerLetter"/>
      <w:start w:val="3"/>
    </w:lvl>
  </w:abstractNum>
  <w:abstractNum w:abstractNumId="146">
    <w:nsid w:val="27EDFE3A"/>
    <w:multiLevelType w:val="hybridMultilevel"/>
    <w:lvl w:ilvl="0">
      <w:lvlJc w:val="left"/>
      <w:lvlText w:val="(%1)"/>
      <w:numFmt w:val="decimal"/>
      <w:start w:val="3"/>
    </w:lvl>
  </w:abstractNum>
  <w:abstractNum w:abstractNumId="147">
    <w:nsid w:val="52AC7DFF"/>
    <w:multiLevelType w:val="hybridMultilevel"/>
    <w:lvl w:ilvl="0">
      <w:lvlJc w:val="left"/>
      <w:lvlText w:val="(%1)"/>
      <w:numFmt w:val="lowerLetter"/>
      <w:start w:val="2"/>
    </w:lvl>
  </w:abstractNum>
  <w:abstractNum w:abstractNumId="148">
    <w:nsid w:val="C4C3AF"/>
    <w:multiLevelType w:val="hybridMultilevel"/>
    <w:lvl w:ilvl="0">
      <w:lvlJc w:val="left"/>
      <w:lvlText w:val="(%1)"/>
      <w:numFmt w:val="decimal"/>
      <w:start w:val="4"/>
    </w:lvl>
  </w:abstractNum>
  <w:abstractNum w:abstractNumId="149">
    <w:nsid w:val="44380727"/>
    <w:multiLevelType w:val="hybridMultilevel"/>
    <w:lvl w:ilvl="0">
      <w:lvlJc w:val="left"/>
      <w:lvlText w:val="(%1)"/>
      <w:numFmt w:val="lowerLetter"/>
      <w:start w:val="1"/>
    </w:lvl>
  </w:abstractNum>
  <w:abstractNum w:abstractNumId="150">
    <w:nsid w:val="6C053B16"/>
    <w:multiLevelType w:val="hybridMultilevel"/>
    <w:lvl w:ilvl="0">
      <w:lvlJc w:val="left"/>
      <w:lvlText w:val="(%1)"/>
      <w:numFmt w:val="decimal"/>
      <w:start w:val="5"/>
    </w:lvl>
  </w:abstractNum>
  <w:abstractNum w:abstractNumId="151">
    <w:nsid w:val="4F294393"/>
    <w:multiLevelType w:val="hybridMultilevel"/>
    <w:lvl w:ilvl="0">
      <w:lvlJc w:val="left"/>
      <w:lvlText w:val="(%1)"/>
      <w:numFmt w:val="lowerLetter"/>
      <w:start w:val="1"/>
    </w:lvl>
  </w:abstractNum>
  <w:abstractNum w:abstractNumId="152">
    <w:nsid w:val="5243BFAC"/>
    <w:multiLevelType w:val="hybridMultilevel"/>
    <w:lvl w:ilvl="0">
      <w:lvlJc w:val="left"/>
      <w:lvlText w:val="(%1)"/>
      <w:numFmt w:val="lowerLetter"/>
      <w:start w:val="3"/>
    </w:lvl>
  </w:abstractNum>
  <w:abstractNum w:abstractNumId="153">
    <w:nsid w:val="425EB207"/>
    <w:multiLevelType w:val="hybridMultilevel"/>
    <w:lvl w:ilvl="0">
      <w:lvlJc w:val="left"/>
      <w:lvlText w:val="(%1)"/>
      <w:numFmt w:val="decimal"/>
      <w:start w:val="6"/>
    </w:lvl>
  </w:abstractNum>
  <w:abstractNum w:abstractNumId="154">
    <w:nsid w:val="334A6F1F"/>
    <w:multiLevelType w:val="hybridMultilevel"/>
    <w:lvl w:ilvl="0">
      <w:lvlJc w:val="left"/>
      <w:lvlText w:val="(%1)"/>
      <w:numFmt w:val="lowerLetter"/>
      <w:start w:val="1"/>
    </w:lvl>
  </w:abstractNum>
  <w:abstractNum w:abstractNumId="155">
    <w:nsid w:val="2E5B12B8"/>
    <w:multiLevelType w:val="hybridMultilevel"/>
    <w:lvl w:ilvl="0">
      <w:lvlJc w:val="left"/>
      <w:lvlText w:val="(%1)"/>
      <w:numFmt w:val="decimal"/>
      <w:start w:val="7"/>
    </w:lvl>
  </w:abstractNum>
  <w:abstractNum w:abstractNumId="156">
    <w:nsid w:val="5C03D76D"/>
    <w:multiLevelType w:val="hybridMultilevel"/>
    <w:lvl w:ilvl="0">
      <w:lvlJc w:val="left"/>
      <w:lvlText w:val="(%1)"/>
      <w:numFmt w:val="decimal"/>
      <w:start w:val="1"/>
    </w:lvl>
  </w:abstractNum>
  <w:abstractNum w:abstractNumId="157">
    <w:nsid w:val="66A48D11"/>
    <w:multiLevelType w:val="hybridMultilevel"/>
    <w:lvl w:ilvl="0">
      <w:lvlJc w:val="left"/>
      <w:lvlText w:val="(%1)"/>
      <w:numFmt w:val="decimal"/>
      <w:start w:val="2"/>
    </w:lvl>
  </w:abstractNum>
  <w:abstractNum w:abstractNumId="158">
    <w:nsid w:val="56C28E34"/>
    <w:multiLevelType w:val="hybridMultilevel"/>
    <w:lvl w:ilvl="0">
      <w:lvlJc w:val="left"/>
      <w:lvlText w:val="(%1)"/>
      <w:numFmt w:val="lowerLetter"/>
      <w:start w:val="1"/>
    </w:lvl>
  </w:abstractNum>
  <w:abstractNum w:abstractNumId="159">
    <w:nsid w:val="13916F2D"/>
    <w:multiLevelType w:val="hybridMultilevel"/>
    <w:lvl w:ilvl="0">
      <w:lvlJc w:val="left"/>
      <w:lvlText w:val="["/>
      <w:numFmt w:val="bullet"/>
      <w:start w:val="1"/>
    </w:lvl>
  </w:abstractNum>
  <w:abstractNum w:abstractNumId="160">
    <w:nsid w:val="435D38D"/>
    <w:multiLevelType w:val="hybridMultilevel"/>
    <w:lvl w:ilvl="0">
      <w:lvlJc w:val="left"/>
      <w:lvlText w:val=","/>
      <w:numFmt w:val="bullet"/>
      <w:start w:val="1"/>
    </w:lvl>
  </w:abstractNum>
  <w:abstractNum w:abstractNumId="161">
    <w:nsid w:val="822C0EF"/>
    <w:multiLevelType w:val="hybridMultilevel"/>
    <w:lvl w:ilvl="0">
      <w:lvlJc w:val="left"/>
      <w:lvlText w:val="(%1)"/>
      <w:numFmt w:val="lowerLetter"/>
      <w:start w:val="1"/>
    </w:lvl>
  </w:abstractNum>
  <w:abstractNum w:abstractNumId="162">
    <w:nsid w:val="57C5BB4F"/>
    <w:multiLevelType w:val="hybridMultilevel"/>
    <w:lvl w:ilvl="0">
      <w:lvlJc w:val="left"/>
      <w:lvlText w:val="(%1)"/>
      <w:numFmt w:val="lowerLetter"/>
      <w:start w:val="2"/>
    </w:lvl>
  </w:abstractNum>
  <w:abstractNum w:abstractNumId="163">
    <w:nsid w:val="1803D089"/>
    <w:multiLevelType w:val="hybridMultilevel"/>
    <w:lvl w:ilvl="0">
      <w:lvlJc w:val="left"/>
      <w:lvlText w:val="(%1)"/>
      <w:numFmt w:val="lowerRoman"/>
      <w:start w:val="2"/>
    </w:lvl>
  </w:abstractNum>
  <w:abstractNum w:abstractNumId="164">
    <w:nsid w:val="4F3A06D4"/>
    <w:multiLevelType w:val="hybridMultilevel"/>
    <w:lvl w:ilvl="0">
      <w:lvlJc w:val="left"/>
      <w:lvlText w:val="(%1)"/>
      <w:numFmt w:val="lowerRoman"/>
      <w:start w:val="2"/>
    </w:lvl>
  </w:abstractNum>
  <w:abstractNum w:abstractNumId="165">
    <w:nsid w:val="59A377B6"/>
    <w:multiLevelType w:val="hybridMultilevel"/>
    <w:lvl w:ilvl="0">
      <w:lvlJc w:val="left"/>
      <w:lvlText w:val="(%1)"/>
      <w:numFmt w:val="lowerRoman"/>
      <w:start w:val="1"/>
    </w:lvl>
  </w:abstractNum>
  <w:abstractNum w:abstractNumId="166">
    <w:nsid w:val="48AEB063"/>
    <w:multiLevelType w:val="hybridMultilevel"/>
    <w:lvl w:ilvl="0">
      <w:lvlJc w:val="left"/>
      <w:lvlText w:val="(%1)"/>
      <w:numFmt w:val="lowerRoman"/>
      <w:start w:val="2"/>
    </w:lvl>
  </w:abstractNum>
  <w:abstractNum w:abstractNumId="167">
    <w:nsid w:val="24E135"/>
    <w:multiLevelType w:val="hybridMultilevel"/>
    <w:lvl w:ilvl="0">
      <w:lvlJc w:val="left"/>
      <w:lvlText w:val="(%1)"/>
      <w:numFmt w:val="lowerRoman"/>
      <w:start w:val="1"/>
    </w:lvl>
  </w:abstractNum>
  <w:abstractNum w:abstractNumId="168">
    <w:nsid w:val="BB13C1"/>
    <w:multiLevelType w:val="hybridMultilevel"/>
    <w:lvl w:ilvl="0">
      <w:lvlJc w:val="left"/>
      <w:lvlText w:val="(%1)"/>
      <w:numFmt w:val="lowerRoman"/>
      <w:start w:val="6"/>
    </w:lvl>
  </w:abstractNum>
  <w:abstractNum w:abstractNumId="169">
    <w:nsid w:val="271210C7"/>
    <w:multiLevelType w:val="hybridMultilevel"/>
    <w:lvl w:ilvl="0">
      <w:lvlJc w:val="left"/>
      <w:lvlText w:val="(%1)"/>
      <w:numFmt w:val="lowerRoman"/>
      <w:start w:val="6"/>
    </w:lvl>
  </w:abstractNum>
  <w:abstractNum w:abstractNumId="170">
    <w:nsid w:val="217B22E4"/>
    <w:multiLevelType w:val="hybridMultilevel"/>
    <w:lvl w:ilvl="0">
      <w:lvlJc w:val="left"/>
      <w:lvlText w:val="(%1)"/>
      <w:numFmt w:val="lowerLetter"/>
      <w:start w:val="2"/>
    </w:lvl>
  </w:abstractNum>
  <w:abstractNum w:abstractNumId="171">
    <w:nsid w:val="53E31A24"/>
    <w:multiLevelType w:val="hybridMultilevel"/>
    <w:lvl w:ilvl="0">
      <w:lvlJc w:val="left"/>
      <w:lvlText w:val="(%1)"/>
      <w:numFmt w:val="lowerLetter"/>
      <w:start w:val="2"/>
    </w:lvl>
  </w:abstractNum>
  <w:abstractNum w:abstractNumId="172">
    <w:nsid w:val="6DC45E83"/>
    <w:multiLevelType w:val="hybridMultilevel"/>
    <w:lvl w:ilvl="0">
      <w:lvlJc w:val="left"/>
      <w:lvlText w:val="(%1)"/>
      <w:numFmt w:val="lowerRoman"/>
      <w:start w:val="1"/>
    </w:lvl>
  </w:abstractNum>
  <w:abstractNum w:abstractNumId="173">
    <w:nsid w:val="17304A67"/>
    <w:multiLevelType w:val="hybridMultilevel"/>
    <w:lvl w:ilvl="0">
      <w:lvlJc w:val="left"/>
      <w:lvlText w:val="$"/>
      <w:numFmt w:val="bullet"/>
      <w:start w:val="1"/>
    </w:lvl>
  </w:abstractNum>
  <w:abstractNum w:abstractNumId="174">
    <w:nsid w:val="2BB180D8"/>
    <w:multiLevelType w:val="hybridMultilevel"/>
    <w:lvl w:ilvl="0">
      <w:lvlJc w:val="left"/>
      <w:lvlText w:val=","/>
      <w:numFmt w:val="bullet"/>
      <w:start w:val="1"/>
    </w:lvl>
  </w:abstractNum>
  <w:abstractNum w:abstractNumId="175">
    <w:nsid w:val="556B69ED"/>
    <w:multiLevelType w:val="hybridMultilevel"/>
    <w:lvl w:ilvl="0">
      <w:lvlJc w:val="left"/>
      <w:lvlText w:val="(%1)"/>
      <w:numFmt w:val="lowerRoman"/>
      <w:start w:val="2"/>
    </w:lvl>
  </w:abstractNum>
  <w:abstractNum w:abstractNumId="176">
    <w:nsid w:val="70836196"/>
    <w:multiLevelType w:val="hybridMultilevel"/>
    <w:lvl w:ilvl="0">
      <w:lvlJc w:val="left"/>
      <w:lvlText w:val="(%1)"/>
      <w:numFmt w:val="lowerRoman"/>
      <w:start w:val="10"/>
    </w:lvl>
  </w:abstractNum>
  <w:abstractNum w:abstractNumId="177">
    <w:nsid w:val="539F7F12"/>
    <w:multiLevelType w:val="hybridMultilevel"/>
    <w:lvl w:ilvl="0">
      <w:lvlJc w:val="left"/>
      <w:lvlText w:val="(%1)"/>
      <w:numFmt w:val="lowerRoman"/>
      <w:start w:val="3"/>
    </w:lvl>
  </w:abstractNum>
  <w:abstractNum w:abstractNumId="178">
    <w:nsid w:val="2817E7EC"/>
    <w:multiLevelType w:val="hybridMultilevel"/>
    <w:lvl w:ilvl="0">
      <w:lvlJc w:val="left"/>
      <w:lvlText w:val="(%1)"/>
      <w:numFmt w:val="decimal"/>
      <w:start w:val="1"/>
    </w:lvl>
  </w:abstractNum>
  <w:abstractNum w:abstractNumId="179">
    <w:nsid w:val="71482545"/>
    <w:multiLevelType w:val="hybridMultilevel"/>
    <w:lvl w:ilvl="0">
      <w:lvlJc w:val="left"/>
      <w:lvlText w:val="(%1)"/>
      <w:numFmt w:val="decimal"/>
      <w:start w:val="1"/>
    </w:lvl>
  </w:abstractNum>
  <w:abstractNum w:abstractNumId="180">
    <w:nsid w:val="17D78639"/>
    <w:multiLevelType w:val="hybridMultilevel"/>
    <w:lvl w:ilvl="0">
      <w:lvlJc w:val="left"/>
      <w:lvlText w:val="(%1)"/>
      <w:numFmt w:val="lowerLetter"/>
      <w:start w:val="1"/>
    </w:lvl>
  </w:abstractNum>
  <w:abstractNum w:abstractNumId="181">
    <w:nsid w:val="141D2302"/>
    <w:multiLevelType w:val="hybridMultilevel"/>
    <w:lvl w:ilvl="0">
      <w:lvlJc w:val="left"/>
      <w:lvlText w:val="(%1)"/>
      <w:numFmt w:val="decimal"/>
      <w:start w:val="1"/>
    </w:lvl>
  </w:abstractNum>
  <w:abstractNum w:abstractNumId="182">
    <w:nsid w:val="407168D8"/>
    <w:multiLevelType w:val="hybridMultilevel"/>
    <w:lvl w:ilvl="0">
      <w:lvlJc w:val="left"/>
      <w:lvlText w:val="(%1)"/>
      <w:numFmt w:val="decimal"/>
      <w:start w:val="2"/>
    </w:lvl>
  </w:abstractNum>
  <w:abstractNum w:abstractNumId="183">
    <w:nsid w:val="6A1B45E5"/>
    <w:multiLevelType w:val="hybridMultilevel"/>
    <w:lvl w:ilvl="0">
      <w:lvlJc w:val="left"/>
      <w:lvlText w:val="%1."/>
      <w:numFmt w:val="decimal"/>
      <w:start w:val="262"/>
    </w:lvl>
  </w:abstractNum>
  <w:abstractNum w:abstractNumId="184">
    <w:nsid w:val="567BD50A"/>
    <w:multiLevelType w:val="hybridMultilevel"/>
    <w:lvl w:ilvl="0">
      <w:lvlJc w:val="left"/>
      <w:lvlText w:val="%1."/>
      <w:numFmt w:val="decimal"/>
      <w:start w:val="1"/>
    </w:lvl>
  </w:abstractNum>
  <w:abstractNum w:abstractNumId="185">
    <w:nsid w:val="73BBD7F8"/>
    <w:multiLevelType w:val="hybridMultilevel"/>
    <w:lvl w:ilvl="0">
      <w:lvlJc w:val="left"/>
      <w:lvlText w:val="%1."/>
      <w:numFmt w:val="decimal"/>
      <w:start w:val="2"/>
    </w:lvl>
  </w:abstractNum>
  <w:abstractNum w:abstractNumId="186">
    <w:nsid w:val="1876589D"/>
    <w:multiLevelType w:val="hybridMultilevel"/>
    <w:lvl w:ilvl="0">
      <w:lvlJc w:val="left"/>
      <w:lvlText w:val="%1."/>
      <w:numFmt w:val="decimal"/>
      <w:start w:val="3"/>
    </w:lvl>
  </w:abstractNum>
  <w:abstractNum w:abstractNumId="187">
    <w:nsid w:val="327FAC77"/>
    <w:multiLevelType w:val="hybridMultilevel"/>
    <w:lvl w:ilvl="0">
      <w:lvlJc w:val="left"/>
      <w:lvlText w:val="%1."/>
      <w:numFmt w:val="decimal"/>
      <w:start w:val="4"/>
    </w:lvl>
  </w:abstractNum>
  <w:abstractNum w:abstractNumId="188">
    <w:nsid w:val="5A606509"/>
    <w:multiLevelType w:val="hybridMultilevel"/>
    <w:lvl w:ilvl="0">
      <w:lvlJc w:val="left"/>
      <w:lvlText w:val="%1."/>
      <w:numFmt w:val="decimal"/>
      <w:start w:val="5"/>
    </w:lvl>
  </w:abstractNum>
  <w:abstractNum w:abstractNumId="189">
    <w:nsid w:val="6F38E6D1"/>
    <w:multiLevelType w:val="hybridMultilevel"/>
    <w:lvl w:ilvl="0">
      <w:lvlJc w:val="left"/>
      <w:lvlText w:val="-"/>
      <w:numFmt w:val="bullet"/>
      <w:start w:val="1"/>
    </w:lvl>
  </w:abstractNum>
  <w:abstractNum w:abstractNumId="190">
    <w:nsid w:val="46111BA5"/>
    <w:multiLevelType w:val="hybridMultilevel"/>
    <w:lvl w:ilvl="0">
      <w:lvlJc w:val="left"/>
      <w:lvlText w:val="(%1)"/>
      <w:numFmt w:val="lowerLetter"/>
      <w:start w:val="1"/>
    </w:lvl>
    <w:lvl w:ilvl="1">
      <w:lvlJc w:val="left"/>
      <w:lvlText w:val="(%2)"/>
      <w:numFmt w:val="lowerLetter"/>
      <w:start w:val="2"/>
    </w:lvl>
  </w:abstractNum>
  <w:abstractNum w:abstractNumId="191">
    <w:nsid w:val="5E963896"/>
    <w:multiLevelType w:val="hybridMultilevel"/>
    <w:lvl w:ilvl="0">
      <w:lvlJc w:val="left"/>
      <w:lvlText w:val="(%1)"/>
      <w:numFmt w:val="lowerLetter"/>
      <w:start w:val="1"/>
    </w:lvl>
  </w:abstractNum>
  <w:abstractNum w:abstractNumId="192">
    <w:nsid w:val="775BA7C1"/>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9"/>
    </w:lvl>
  </w:abstractNum>
  <w:abstractNum w:abstractNumId="193">
    <w:nsid w:val="1DD6D6F4"/>
    <w:multiLevelType w:val="hybridMultilevel"/>
    <w:lvl w:ilvl="0">
      <w:lvlJc w:val="left"/>
      <w:lvlText w:val="(%1)"/>
      <w:numFmt w:val="lowerRoman"/>
      <w:start w:val="4"/>
    </w:lvl>
  </w:abstractNum>
  <w:abstractNum w:abstractNumId="194">
    <w:nsid w:val="769A091F"/>
    <w:multiLevelType w:val="hybridMultilevel"/>
    <w:lvl w:ilvl="0">
      <w:lvlJc w:val="left"/>
      <w:lvlText w:val="(%1)"/>
      <w:numFmt w:val="lowerRoman"/>
      <w:start w:val="2"/>
    </w:lvl>
  </w:abstractNum>
  <w:abstractNum w:abstractNumId="195">
    <w:nsid w:val="4695AE95"/>
    <w:multiLevelType w:val="hybridMultilevel"/>
    <w:lvl w:ilvl="0">
      <w:lvlJc w:val="left"/>
      <w:lvlText w:val="(%1)"/>
      <w:numFmt w:val="lowerRoman"/>
      <w:start w:val="2"/>
    </w:lvl>
  </w:abstractNum>
  <w:abstractNum w:abstractNumId="196">
    <w:nsid w:val="777A4EAA"/>
    <w:multiLevelType w:val="hybridMultilevel"/>
    <w:lvl w:ilvl="0">
      <w:lvlJc w:val="left"/>
      <w:lvlText w:val="(%1)"/>
      <w:numFmt w:val="lowerRoman"/>
      <w:start w:val="3"/>
    </w:lvl>
  </w:abstractNum>
  <w:abstractNum w:abstractNumId="197">
    <w:nsid w:val="3F48B982"/>
    <w:multiLevelType w:val="hybridMultilevel"/>
    <w:lvl w:ilvl="0">
      <w:lvlJc w:val="left"/>
      <w:lvlText w:val="(%1)"/>
      <w:numFmt w:val="lowerRoman"/>
      <w:start w:val="4"/>
    </w:lvl>
  </w:abstractNum>
  <w:abstractNum w:abstractNumId="198">
    <w:nsid w:val="46BA8FCA"/>
    <w:multiLevelType w:val="hybridMultilevel"/>
    <w:lvl w:ilvl="0">
      <w:lvlJc w:val="left"/>
      <w:lvlText w:val="(%1)"/>
      <w:numFmt w:val="lowerRoman"/>
      <w:start w:val="4"/>
    </w:lvl>
  </w:abstractNum>
  <w:abstractNum w:abstractNumId="199">
    <w:nsid w:val="7835626C"/>
    <w:multiLevelType w:val="hybridMultilevel"/>
    <w:lvl w:ilvl="0">
      <w:lvlJc w:val="left"/>
      <w:lvlText w:val="(%1)"/>
      <w:numFmt w:val="lowerRoman"/>
      <w:start w:val="6"/>
    </w:lvl>
  </w:abstractNum>
  <w:abstractNum w:abstractNumId="200">
    <w:nsid w:val="665ACA49"/>
    <w:multiLevelType w:val="hybridMultilevel"/>
    <w:lvl w:ilvl="0">
      <w:lvlJc w:val="left"/>
      <w:lvlText w:val="(%1)"/>
      <w:numFmt w:val="lowerRoman"/>
      <w:start w:val="5"/>
    </w:lvl>
  </w:abstractNum>
  <w:abstractNum w:abstractNumId="201">
    <w:nsid w:val="6835B2AE"/>
    <w:multiLevelType w:val="hybridMultilevel"/>
    <w:lvl w:ilvl="0">
      <w:lvlJc w:val="left"/>
      <w:lvlText w:val="%1"/>
      <w:numFmt w:val="lowerRoman"/>
      <w:start w:val="1"/>
    </w:lvl>
    <w:lvl w:ilvl="1">
      <w:lvlJc w:val="left"/>
      <w:lvlText w:val="(%2)"/>
      <w:numFmt w:val="lowerRoman"/>
      <w:start w:val="2"/>
    </w:lvl>
  </w:abstractNum>
  <w:abstractNum w:abstractNumId="202">
    <w:nsid w:val="4C187C90"/>
    <w:multiLevelType w:val="hybridMultilevel"/>
    <w:lvl w:ilvl="0">
      <w:lvlJc w:val="left"/>
      <w:lvlText w:val="%1"/>
      <w:numFmt w:val="lowerRoman"/>
      <w:start w:val="1"/>
    </w:lvl>
    <w:lvl w:ilvl="1">
      <w:lvlJc w:val="left"/>
      <w:lvlText w:val="(%2)"/>
      <w:numFmt w:val="lowerRoman"/>
      <w:start w:val="5"/>
    </w:lvl>
  </w:abstractNum>
  <w:abstractNum w:abstractNumId="203">
    <w:nsid w:val="541F28CD"/>
    <w:multiLevelType w:val="hybridMultilevel"/>
    <w:lvl w:ilvl="0">
      <w:lvlJc w:val="left"/>
      <w:lvlText w:val="(%1)"/>
      <w:numFmt w:val="lowerRoman"/>
      <w:start w:val="6"/>
    </w:lvl>
    <w:lvl w:ilvl="1">
      <w:lvlJc w:val="left"/>
      <w:lvlText w:val="%2"/>
      <w:numFmt w:val="lowerRoman"/>
      <w:start w:val="1"/>
    </w:lvl>
  </w:abstractNum>
  <w:abstractNum w:abstractNumId="204">
    <w:nsid w:val="7F65FD16"/>
    <w:multiLevelType w:val="hybridMultilevel"/>
    <w:lvl w:ilvl="0">
      <w:lvlJc w:val="left"/>
      <w:lvlText w:val="(%1)"/>
      <w:numFmt w:val="upperLetter"/>
      <w:start w:val="1"/>
    </w:lvl>
  </w:abstractNum>
  <w:abstractNum w:abstractNumId="205">
    <w:nsid w:val="77C9FD68"/>
    <w:multiLevelType w:val="hybridMultilevel"/>
    <w:lvl w:ilvl="0">
      <w:lvlJc w:val="left"/>
      <w:lvlText w:val="%1"/>
      <w:numFmt w:val="lowerLetter"/>
      <w:start w:val="1"/>
    </w:lvl>
    <w:lvl w:ilvl="1">
      <w:lvlJc w:val="left"/>
      <w:lvlText w:val="(%2)"/>
      <w:numFmt w:val="lowerRoman"/>
      <w:start w:val="7"/>
    </w:lvl>
  </w:abstractNum>
  <w:abstractNum w:abstractNumId="206">
    <w:nsid w:val="298A92BA"/>
    <w:multiLevelType w:val="hybridMultilevel"/>
    <w:lvl w:ilvl="0">
      <w:lvlJc w:val="left"/>
      <w:lvlText w:val="(%1)"/>
      <w:numFmt w:val="lowerLetter"/>
      <w:start w:val="3"/>
    </w:lvl>
    <w:lvl w:ilvl="1">
      <w:lvlJc w:val="left"/>
      <w:lvlText w:val="%2"/>
      <w:numFmt w:val="lowerRoman"/>
      <w:start w:val="1"/>
    </w:lvl>
  </w:abstractNum>
  <w:abstractNum w:abstractNumId="207">
    <w:nsid w:val="6FE95EAC"/>
    <w:multiLevelType w:val="hybridMultilevel"/>
    <w:lvl w:ilvl="0">
      <w:lvlJc w:val="left"/>
      <w:lvlText w:val="(%1)"/>
      <w:numFmt w:val="lowerLetter"/>
      <w:start w:val="1"/>
    </w:lvl>
  </w:abstractNum>
  <w:abstractNum w:abstractNumId="208">
    <w:nsid w:val="4B697C7A"/>
    <w:multiLevelType w:val="hybridMultilevel"/>
    <w:lvl w:ilvl="0">
      <w:lvlJc w:val="left"/>
      <w:lvlText w:val="(%1)"/>
      <w:numFmt w:val="lowerLetter"/>
      <w:start w:val="2"/>
    </w:lvl>
  </w:abstractNum>
  <w:abstractNum w:abstractNumId="209">
    <w:nsid w:val="51A27AA6"/>
    <w:multiLevelType w:val="hybridMultilevel"/>
    <w:lvl w:ilvl="0">
      <w:lvlJc w:val="left"/>
      <w:lvlText w:val="(%1)"/>
      <w:numFmt w:val="upperLetter"/>
      <w:start w:val="3"/>
    </w:lvl>
  </w:abstractNum>
  <w:abstractNum w:abstractNumId="210">
    <w:nsid w:val="613183F2"/>
    <w:multiLevelType w:val="hybridMultilevel"/>
    <w:lvl w:ilvl="0">
      <w:lvlJc w:val="left"/>
      <w:lvlText w:val="(%1)"/>
      <w:numFmt w:val="upperLetter"/>
      <w:start w:val="3"/>
    </w:lvl>
  </w:abstractNum>
  <w:abstractNum w:abstractNumId="211">
    <w:nsid w:val="634102B4"/>
    <w:multiLevelType w:val="hybridMultilevel"/>
    <w:lvl w:ilvl="0">
      <w:lvlJc w:val="left"/>
      <w:lvlText w:val="(%1)"/>
      <w:numFmt w:val="lowerLetter"/>
      <w:start w:val="3"/>
    </w:lvl>
  </w:abstractNum>
  <w:abstractNum w:abstractNumId="212">
    <w:nsid w:val="65BF9DA8"/>
    <w:multiLevelType w:val="hybridMultilevel"/>
    <w:lvl w:ilvl="0">
      <w:lvlJc w:val="left"/>
      <w:lvlText w:val="-"/>
      <w:numFmt w:val="bullet"/>
      <w:start w:val="1"/>
    </w:lvl>
  </w:abstractNum>
  <w:abstractNum w:abstractNumId="213">
    <w:nsid w:val="21A2ECCA"/>
    <w:multiLevelType w:val="hybridMultilevel"/>
    <w:lvl w:ilvl="0">
      <w:lvlJc w:val="left"/>
      <w:lvlText w:val="(%1)"/>
      <w:numFmt w:val="lowerLetter"/>
      <w:start w:val="4"/>
    </w:lvl>
  </w:abstractNum>
  <w:abstractNum w:abstractNumId="214">
    <w:nsid w:val="4D5C4899"/>
    <w:multiLevelType w:val="hybridMultilevel"/>
    <w:lvl w:ilvl="0">
      <w:lvlJc w:val="left"/>
      <w:lvlText w:val="(%1)"/>
      <w:numFmt w:val="decimal"/>
      <w:start w:val="2"/>
    </w:lvl>
  </w:abstractNum>
  <w:abstractNum w:abstractNumId="215">
    <w:nsid w:val="3C3B72B2"/>
    <w:multiLevelType w:val="hybridMultilevel"/>
    <w:lvl w:ilvl="0">
      <w:lvlJc w:val="left"/>
      <w:lvlText w:val="%1"/>
      <w:numFmt w:val="lowerLetter"/>
      <w:start w:val="1"/>
    </w:lvl>
    <w:lvl w:ilvl="1">
      <w:lvlJc w:val="left"/>
      <w:lvlText w:val="(%2)"/>
      <w:numFmt w:val="lowerLetter"/>
      <w:start w:val="35"/>
    </w:lvl>
  </w:abstractNum>
  <w:abstractNum w:abstractNumId="216">
    <w:nsid w:val="155EC4C2"/>
    <w:multiLevelType w:val="hybridMultilevel"/>
    <w:lvl w:ilvl="0">
      <w:lvlJc w:val="left"/>
      <w:lvlText w:val="(%1)"/>
      <w:numFmt w:val="lowerLetter"/>
      <w:start w:val="5"/>
    </w:lvl>
    <w:lvl w:ilvl="1">
      <w:lvlJc w:val="left"/>
      <w:lvlText w:val="%2"/>
      <w:numFmt w:val="lowerLetter"/>
      <w:start w:val="1"/>
    </w:lvl>
  </w:abstractNum>
  <w:abstractNum w:abstractNumId="217">
    <w:nsid w:val="65D2A137"/>
    <w:multiLevelType w:val="hybridMultilevel"/>
    <w:lvl w:ilvl="0">
      <w:lvlJc w:val="left"/>
      <w:lvlText w:val="(%1)"/>
      <w:numFmt w:val="lowerLetter"/>
      <w:start w:val="6"/>
    </w:lvl>
  </w:abstractNum>
  <w:abstractNum w:abstractNumId="218">
    <w:nsid w:val="6EBB1F2A"/>
    <w:multiLevelType w:val="hybridMultilevel"/>
    <w:lvl w:ilvl="0">
      <w:lvlJc w:val="left"/>
      <w:lvlText w:val="(%1)"/>
      <w:numFmt w:val="lowerLetter"/>
      <w:start w:val="7"/>
    </w:lvl>
  </w:abstractNum>
  <w:abstractNum w:abstractNumId="219">
    <w:nsid w:val="6FBF29CB"/>
    <w:multiLevelType w:val="hybridMultilevel"/>
    <w:lvl w:ilvl="0">
      <w:lvlJc w:val="left"/>
      <w:lvlText w:val="(%1)"/>
      <w:numFmt w:val="lowerRoman"/>
      <w:start w:val="4"/>
    </w:lvl>
  </w:abstractNum>
  <w:abstractNum w:abstractNumId="220">
    <w:nsid w:val="550B8808"/>
    <w:multiLevelType w:val="hybridMultilevel"/>
    <w:lvl w:ilvl="0">
      <w:lvlJc w:val="left"/>
      <w:lvlText w:val="(%1)"/>
      <w:numFmt w:val="lowerRoman"/>
      <w:start w:val="10"/>
    </w:lvl>
  </w:abstractNum>
  <w:abstractNum w:abstractNumId="221">
    <w:nsid w:val="34CC3ACF"/>
    <w:multiLevelType w:val="hybridMultilevel"/>
    <w:lvl w:ilvl="0">
      <w:lvlJc w:val="left"/>
      <w:lvlText w:val="(%1)"/>
      <w:numFmt w:val="lowerRoman"/>
      <w:start w:val="10"/>
    </w:lvl>
  </w:abstractNum>
  <w:abstractNum w:abstractNumId="222">
    <w:nsid w:val="4E556261"/>
    <w:multiLevelType w:val="hybridMultilevel"/>
    <w:lvl w:ilvl="0">
      <w:lvlJc w:val="left"/>
      <w:lvlText w:val="(%1)"/>
      <w:numFmt w:val="lowerRoman"/>
      <w:start w:val="2"/>
    </w:lvl>
  </w:abstractNum>
  <w:abstractNum w:abstractNumId="223">
    <w:nsid w:val="4C672FC9"/>
    <w:multiLevelType w:val="hybridMultilevel"/>
    <w:lvl w:ilvl="0">
      <w:lvlJc w:val="left"/>
      <w:lvlText w:val="(%1)"/>
      <w:numFmt w:val="lowerLetter"/>
      <w:start w:val="2"/>
    </w:lvl>
  </w:abstractNum>
  <w:abstractNum w:abstractNumId="224">
    <w:nsid w:val="52A311C3"/>
    <w:multiLevelType w:val="hybridMultilevel"/>
    <w:lvl w:ilvl="0">
      <w:lvlJc w:val="left"/>
      <w:lvlText w:val="(%1)"/>
      <w:numFmt w:val="lowerLetter"/>
      <w:start w:val="2"/>
    </w:lvl>
  </w:abstractNum>
  <w:abstractNum w:abstractNumId="225">
    <w:nsid w:val="44EF6B80"/>
    <w:multiLevelType w:val="hybridMultilevel"/>
    <w:lvl w:ilvl="0">
      <w:lvlJc w:val="left"/>
      <w:lvlText w:val="(%1)"/>
      <w:numFmt w:val="lowerLetter"/>
      <w:start w:val="3"/>
    </w:lvl>
  </w:abstractNum>
  <w:abstractNum w:abstractNumId="226">
    <w:nsid w:val="12FCDE5E"/>
    <w:multiLevelType w:val="hybridMultilevel"/>
    <w:lvl w:ilvl="0">
      <w:lvlJc w:val="left"/>
      <w:lvlText w:val="(%1)"/>
      <w:numFmt w:val="lowerRoman"/>
      <w:start w:val="2"/>
    </w:lvl>
  </w:abstractNum>
  <w:abstractNum w:abstractNumId="227">
    <w:nsid w:val="4A1D606E"/>
    <w:multiLevelType w:val="hybridMultilevel"/>
    <w:lvl w:ilvl="0">
      <w:lvlJc w:val="left"/>
      <w:lvlText w:val="---"/>
      <w:numFmt w:val="bullet"/>
      <w:start w:val="1"/>
    </w:lvl>
  </w:abstractNum>
  <w:abstractNum w:abstractNumId="228">
    <w:nsid w:val="4382503"/>
    <w:multiLevelType w:val="hybridMultilevel"/>
    <w:lvl w:ilvl="0">
      <w:lvlJc w:val="left"/>
      <w:lvlText w:val="(%1)"/>
      <w:numFmt w:val="lowerLetter"/>
      <w:start w:val="4"/>
    </w:lvl>
  </w:abstractNum>
  <w:abstractNum w:abstractNumId="229">
    <w:nsid w:val="59B76E28"/>
    <w:multiLevelType w:val="hybridMultilevel"/>
    <w:lvl w:ilvl="0">
      <w:lvlJc w:val="left"/>
      <w:lvlText w:val="(%1)"/>
      <w:numFmt w:val="lowerLetter"/>
      <w:start w:val="5"/>
    </w:lvl>
  </w:abstractNum>
  <w:abstractNum w:abstractNumId="230">
    <w:nsid w:val="4252C2DA"/>
    <w:multiLevelType w:val="hybridMultilevel"/>
    <w:lvl w:ilvl="0">
      <w:lvlJc w:val="left"/>
      <w:lvlText w:val="(%1)"/>
      <w:numFmt w:val="upperLetter"/>
      <w:start w:val="1"/>
    </w:lvl>
    <w:lvl w:ilvl="1">
      <w:lvlJc w:val="left"/>
      <w:lvlText w:val="(%2)"/>
      <w:numFmt w:val="lowerLetter"/>
      <w:start w:val="2"/>
    </w:lvl>
  </w:abstractNum>
  <w:abstractNum w:abstractNumId="231">
    <w:nsid w:val="6A92EF4C"/>
    <w:multiLevelType w:val="hybridMultilevel"/>
    <w:lvl w:ilvl="0">
      <w:lvlJc w:val="left"/>
      <w:lvlText w:val="(%1)"/>
      <w:numFmt w:val="lowerLetter"/>
      <w:start w:val="3"/>
    </w:lvl>
  </w:abstractNum>
  <w:abstractNum w:abstractNumId="232">
    <w:nsid w:val="41ED20D7"/>
    <w:multiLevelType w:val="hybridMultilevel"/>
    <w:lvl w:ilvl="0">
      <w:lvlJc w:val="left"/>
      <w:lvlText w:val="(%1)"/>
      <w:numFmt w:val="lowerRoman"/>
      <w:start w:val="2"/>
    </w:lvl>
  </w:abstractNum>
  <w:abstractNum w:abstractNumId="233">
    <w:nsid w:val="E6B3F6A"/>
    <w:multiLevelType w:val="hybridMultilevel"/>
    <w:lvl w:ilvl="0">
      <w:lvlJc w:val="left"/>
      <w:lvlText w:val="(%1)"/>
      <w:numFmt w:val="lowerLetter"/>
      <w:start w:val="2"/>
    </w:lvl>
  </w:abstractNum>
  <w:abstractNum w:abstractNumId="234">
    <w:nsid w:val="3EB21819"/>
    <w:multiLevelType w:val="hybridMultilevel"/>
    <w:lvl w:ilvl="0">
      <w:lvlJc w:val="left"/>
      <w:lvlText w:val="(%1)"/>
      <w:numFmt w:val="lowerLetter"/>
      <w:start w:val="2"/>
    </w:lvl>
  </w:abstractNum>
  <w:abstractNum w:abstractNumId="235">
    <w:nsid w:val="41531DED"/>
    <w:multiLevelType w:val="hybridMultilevel"/>
    <w:lvl w:ilvl="0">
      <w:lvlJc w:val="left"/>
      <w:lvlText w:val="(%1)"/>
      <w:numFmt w:val="lowerRoman"/>
      <w:start w:val="3"/>
    </w:lvl>
  </w:abstractNum>
  <w:abstractNum w:abstractNumId="236">
    <w:nsid w:val="6353CD2"/>
    <w:multiLevelType w:val="hybridMultilevel"/>
    <w:lvl w:ilvl="0">
      <w:lvlJc w:val="left"/>
      <w:lvlText w:val="(%1)"/>
      <w:numFmt w:val="lowerLetter"/>
      <w:start w:val="2"/>
    </w:lvl>
  </w:abstractNum>
  <w:abstractNum w:abstractNumId="237">
    <w:nsid w:val="683CAAD3"/>
    <w:multiLevelType w:val="hybridMultilevel"/>
    <w:lvl w:ilvl="0">
      <w:lvlJc w:val="left"/>
      <w:lvlText w:val="(%1)"/>
      <w:numFmt w:val="lowerRoman"/>
      <w:start w:val="2"/>
    </w:lvl>
  </w:abstractNum>
  <w:abstractNum w:abstractNumId="238">
    <w:nsid w:val="313C7C99"/>
    <w:multiLevelType w:val="hybridMultilevel"/>
    <w:lvl w:ilvl="0">
      <w:lvlJc w:val="left"/>
      <w:lvlText w:val="(%1)"/>
      <w:numFmt w:val="lowerRoman"/>
      <w:start w:val="3"/>
    </w:lvl>
  </w:abstractNum>
  <w:abstractNum w:abstractNumId="239">
    <w:nsid w:val="519EB94C"/>
    <w:multiLevelType w:val="hybridMultilevel"/>
    <w:lvl w:ilvl="0">
      <w:lvlJc w:val="left"/>
      <w:lvlText w:val="(%1)"/>
      <w:numFmt w:val="lowerLetter"/>
      <w:start w:val="24"/>
    </w:lvl>
    <w:lvl w:ilvl="1">
      <w:lvlJc w:val="left"/>
      <w:lvlText w:val="(%2)"/>
      <w:numFmt w:val="lowerLetter"/>
      <w:start w:val="2"/>
    </w:lvl>
  </w:abstractNum>
  <w:abstractNum w:abstractNumId="240">
    <w:nsid w:val="39DF2579"/>
    <w:multiLevelType w:val="hybridMultilevel"/>
    <w:lvl w:ilvl="0">
      <w:lvlJc w:val="left"/>
      <w:lvlText w:val="(%1)"/>
      <w:numFmt w:val="lowerRoman"/>
      <w:start w:val="5"/>
    </w:lvl>
  </w:abstractNum>
  <w:abstractNum w:abstractNumId="241">
    <w:nsid w:val="126E008B"/>
    <w:multiLevelType w:val="hybridMultilevel"/>
    <w:lvl w:ilvl="0">
      <w:lvlJc w:val="left"/>
      <w:lvlText w:val="(%1)"/>
      <w:numFmt w:val="lowerLetter"/>
      <w:start w:val="2"/>
    </w:lvl>
  </w:abstractNum>
  <w:abstractNum w:abstractNumId="242">
    <w:nsid w:val="34DFBC00"/>
    <w:multiLevelType w:val="hybridMultilevel"/>
    <w:lvl w:ilvl="0">
      <w:lvlJc w:val="left"/>
      <w:lvlText w:val="(%1)"/>
      <w:numFmt w:val="lowerLetter"/>
      <w:start w:val="2"/>
    </w:lvl>
  </w:abstractNum>
  <w:abstractNum w:abstractNumId="243">
    <w:nsid w:val="1F9EC322"/>
    <w:multiLevelType w:val="hybridMultilevel"/>
    <w:lvl w:ilvl="0">
      <w:lvlJc w:val="left"/>
      <w:lvlText w:val="(%1)"/>
      <w:numFmt w:val="lowerRoman"/>
      <w:start w:val="4"/>
    </w:lvl>
  </w:abstractNum>
  <w:abstractNum w:abstractNumId="244">
    <w:nsid w:val="3410ED56"/>
    <w:multiLevelType w:val="hybridMultilevel"/>
    <w:lvl w:ilvl="0">
      <w:lvlJc w:val="left"/>
      <w:lvlText w:val="(%1)"/>
      <w:numFmt w:val="lowerRoman"/>
      <w:start w:val="3"/>
    </w:lvl>
  </w:abstractNum>
  <w:abstractNum w:abstractNumId="245">
    <w:nsid w:val="23C049A"/>
    <w:multiLevelType w:val="hybridMultilevel"/>
    <w:lvl w:ilvl="0">
      <w:lvlJc w:val="left"/>
      <w:lvlText w:val="(%1)"/>
      <w:numFmt w:val="lowerLetter"/>
      <w:start w:val="2"/>
    </w:lvl>
  </w:abstractNum>
  <w:abstractNum w:abstractNumId="246">
    <w:nsid w:val="5BDA35D4"/>
    <w:multiLevelType w:val="hybridMultilevel"/>
    <w:lvl w:ilvl="0">
      <w:lvlJc w:val="left"/>
      <w:lvlText w:val="(%1)"/>
      <w:numFmt w:val="lowerLetter"/>
      <w:start w:val="2"/>
    </w:lvl>
  </w:abstractNum>
  <w:abstractNum w:abstractNumId="247">
    <w:nsid w:val="496FB218"/>
    <w:multiLevelType w:val="hybridMultilevel"/>
    <w:lvl w:ilvl="0">
      <w:lvlJc w:val="left"/>
      <w:lvlText w:val="&amp;"/>
      <w:numFmt w:val="bullet"/>
      <w:start w:val="1"/>
    </w:lvl>
  </w:abstractNum>
  <w:abstractNum w:abstractNumId="248">
    <w:nsid w:val="680EA5D1"/>
    <w:multiLevelType w:val="hybridMultilevel"/>
    <w:lvl w:ilvl="0">
      <w:lvlJc w:val="left"/>
      <w:lvlText w:val="(%1)"/>
      <w:numFmt w:val="lowerRoman"/>
      <w:start w:val="1"/>
    </w:lvl>
  </w:abstractNum>
  <w:abstractNum w:abstractNumId="249">
    <w:nsid w:val="4A9554FE"/>
    <w:multiLevelType w:val="hybridMultilevel"/>
    <w:lvl w:ilvl="0">
      <w:lvlJc w:val="left"/>
      <w:lvlText w:val="(%1)"/>
      <w:numFmt w:val="lowerLetter"/>
      <w:start w:val="1"/>
    </w:lvl>
  </w:abstractNum>
  <w:abstractNum w:abstractNumId="250">
    <w:nsid w:val="392EDBE4"/>
    <w:multiLevelType w:val="hybridMultilevel"/>
    <w:lvl w:ilvl="0">
      <w:lvlJc w:val="left"/>
      <w:lvlText w:val="%1"/>
      <w:numFmt w:val="lowerLetter"/>
      <w:start w:val="1"/>
    </w:lvl>
    <w:lvl w:ilvl="1">
      <w:lvlJc w:val="left"/>
      <w:lvlText w:val="(%2)"/>
      <w:numFmt w:val="lowerLetter"/>
      <w:start w:val="2"/>
    </w:lvl>
  </w:abstractNum>
  <w:abstractNum w:abstractNumId="251">
    <w:nsid w:val="3D1A2DD9"/>
    <w:multiLevelType w:val="hybridMultilevel"/>
    <w:lvl w:ilvl="0">
      <w:lvlJc w:val="left"/>
      <w:lvlText w:val="(%1)"/>
      <w:numFmt w:val="lowerLetter"/>
      <w:start w:val="9"/>
    </w:lvl>
    <w:lvl w:ilvl="1">
      <w:lvlJc w:val="left"/>
      <w:lvlText w:val="%2"/>
      <w:numFmt w:val="lowerLetter"/>
      <w:start w:val="1"/>
    </w:lvl>
  </w:abstractNum>
  <w:abstractNum w:abstractNumId="252">
    <w:nsid w:val="7F618FCD"/>
    <w:multiLevelType w:val="hybridMultilevel"/>
    <w:lvl w:ilvl="0">
      <w:lvlJc w:val="left"/>
      <w:lvlText w:val="(%1)"/>
      <w:numFmt w:val="lowerLetter"/>
      <w:start w:val="4"/>
    </w:lvl>
  </w:abstractNum>
  <w:abstractNum w:abstractNumId="253">
    <w:nsid w:val="7843E45"/>
    <w:multiLevelType w:val="hybridMultilevel"/>
    <w:lvl w:ilvl="0">
      <w:lvlJc w:val="left"/>
      <w:lvlText w:val="(%1)"/>
      <w:numFmt w:val="lowerLetter"/>
      <w:start w:val="6"/>
    </w:lvl>
  </w:abstractNum>
  <w:abstractNum w:abstractNumId="254">
    <w:nsid w:val="9815DA3"/>
    <w:multiLevelType w:val="hybridMultilevel"/>
    <w:lvl w:ilvl="0">
      <w:lvlJc w:val="left"/>
      <w:lvlText w:val="(%1)"/>
      <w:numFmt w:val="lowerLetter"/>
      <w:start w:val="1"/>
    </w:lvl>
    <w:lvl w:ilvl="1">
      <w:lvlJc w:val="left"/>
      <w:lvlText w:val="(%2)"/>
      <w:numFmt w:val="lowerLetter"/>
      <w:start w:val="2"/>
    </w:lvl>
  </w:abstractNum>
  <w:abstractNum w:abstractNumId="255">
    <w:nsid w:val="5204A191"/>
    <w:multiLevelType w:val="hybridMultilevel"/>
    <w:lvl w:ilvl="0">
      <w:lvlJc w:val="left"/>
      <w:lvlText w:val="(%1)"/>
      <w:numFmt w:val="lowerLetter"/>
      <w:start w:val="3"/>
    </w:lvl>
  </w:abstractNum>
  <w:abstractNum w:abstractNumId="256">
    <w:nsid w:val="4C73A9C6"/>
    <w:multiLevelType w:val="hybridMultilevel"/>
    <w:lvl w:ilvl="0">
      <w:lvlJc w:val="left"/>
      <w:lvlText w:val="(%1)"/>
      <w:numFmt w:val="lowerLetter"/>
      <w:start w:val="2"/>
    </w:lvl>
  </w:abstractNum>
  <w:abstractNum w:abstractNumId="257">
    <w:nsid w:val="1C7E3C01"/>
    <w:multiLevelType w:val="hybridMultilevel"/>
    <w:lvl w:ilvl="0">
      <w:lvlJc w:val="left"/>
      <w:lvlText w:val="(%1)"/>
      <w:numFmt w:val="lowerLetter"/>
      <w:start w:val="4"/>
    </w:lvl>
  </w:abstractNum>
  <w:abstractNum w:abstractNumId="258">
    <w:nsid w:val="1C2201FF"/>
    <w:multiLevelType w:val="hybridMultilevel"/>
    <w:lvl w:ilvl="0">
      <w:lvlJc w:val="left"/>
      <w:lvlText w:val="(%1)"/>
      <w:numFmt w:val="lowerLetter"/>
      <w:start w:val="5"/>
    </w:lvl>
  </w:abstractNum>
  <w:abstractNum w:abstractNumId="259">
    <w:nsid w:val="50ABCEC9"/>
    <w:multiLevelType w:val="hybridMultilevel"/>
    <w:lvl w:ilvl="0">
      <w:lvlJc w:val="left"/>
      <w:lvlText w:val="%1"/>
      <w:numFmt w:val="lowerLetter"/>
      <w:start w:val="1"/>
    </w:lvl>
    <w:lvl w:ilvl="1">
      <w:lvlJc w:val="left"/>
      <w:lvlText w:val="(%2)"/>
      <w:numFmt w:val="lowerLetter"/>
      <w:start w:val="2"/>
    </w:lvl>
  </w:abstractNum>
  <w:abstractNum w:abstractNumId="260">
    <w:nsid w:val="7635AA2A"/>
    <w:multiLevelType w:val="hybridMultilevel"/>
    <w:lvl w:ilvl="0">
      <w:lvlJc w:val="left"/>
      <w:lvlText w:val="(%1)"/>
      <w:numFmt w:val="lowerLetter"/>
      <w:start w:val="35"/>
    </w:lvl>
    <w:lvl w:ilvl="1">
      <w:lvlJc w:val="left"/>
      <w:lvlText w:val="%2"/>
      <w:numFmt w:val="lowerLetter"/>
      <w:start w:val="1"/>
    </w:lvl>
  </w:abstractNum>
  <w:abstractNum w:abstractNumId="261">
    <w:nsid w:val="5E74C4D9"/>
    <w:multiLevelType w:val="hybridMultilevel"/>
    <w:lvl w:ilvl="0">
      <w:lvlJc w:val="left"/>
      <w:lvlText w:val="(%1)"/>
      <w:numFmt w:val="lowerLetter"/>
      <w:start w:val="3"/>
    </w:lvl>
  </w:abstractNum>
  <w:abstractNum w:abstractNumId="262">
    <w:nsid w:val="3B3EBE15"/>
    <w:multiLevelType w:val="hybridMultilevel"/>
    <w:lvl w:ilvl="0">
      <w:lvlJc w:val="left"/>
      <w:lvlText w:val="(%1)"/>
      <w:numFmt w:val="lowerLetter"/>
      <w:start w:val="2"/>
    </w:lvl>
  </w:abstractNum>
  <w:abstractNum w:abstractNumId="263">
    <w:nsid w:val="3822CB01"/>
    <w:multiLevelType w:val="hybridMultilevel"/>
    <w:lvl w:ilvl="0">
      <w:lvlJc w:val="left"/>
      <w:lvlText w:val="(%1)"/>
      <w:numFmt w:val="lowerLetter"/>
      <w:start w:val="2"/>
    </w:lvl>
  </w:abstractNum>
  <w:abstractNum w:abstractNumId="264">
    <w:nsid w:val="6CE00443"/>
    <w:multiLevelType w:val="hybridMultilevel"/>
    <w:lvl w:ilvl="0">
      <w:lvlJc w:val="left"/>
      <w:lvlText w:val="(%1)"/>
      <w:numFmt w:val="lowerLetter"/>
      <w:start w:val="1"/>
    </w:lvl>
    <w:lvl w:ilvl="1">
      <w:lvlJc w:val="left"/>
      <w:lvlText w:val="(%2)"/>
      <w:numFmt w:val="lowerLetter"/>
      <w:start w:val="2"/>
    </w:lvl>
  </w:abstractNum>
  <w:abstractNum w:abstractNumId="265">
    <w:nsid w:val="79F0D62F"/>
    <w:multiLevelType w:val="hybridMultilevel"/>
    <w:lvl w:ilvl="0">
      <w:lvlJc w:val="left"/>
      <w:lvlText w:val="(%1)"/>
      <w:numFmt w:val="lowerLetter"/>
      <w:start w:val="1"/>
    </w:lvl>
  </w:abstractNum>
  <w:abstractNum w:abstractNumId="266">
    <w:nsid w:val="7975E8EE"/>
    <w:multiLevelType w:val="hybridMultilevel"/>
    <w:lvl w:ilvl="0">
      <w:lvlJc w:val="left"/>
      <w:lvlText w:val="(%1)"/>
      <w:numFmt w:val="lowerLetter"/>
      <w:start w:val="2"/>
    </w:lvl>
  </w:abstractNum>
  <w:abstractNum w:abstractNumId="267">
    <w:nsid w:val="73154115"/>
    <w:multiLevelType w:val="hybridMultilevel"/>
    <w:lvl w:ilvl="0">
      <w:lvlJc w:val="left"/>
      <w:lvlText w:val="(%1)"/>
      <w:numFmt w:val="lowerLetter"/>
      <w:start w:val="3"/>
    </w:lvl>
  </w:abstractNum>
  <w:abstractNum w:abstractNumId="268">
    <w:nsid w:val="622D8102"/>
    <w:multiLevelType w:val="hybridMultilevel"/>
    <w:lvl w:ilvl="0">
      <w:lvlJc w:val="left"/>
      <w:lvlText w:val="(%1)"/>
      <w:numFmt w:val="lowerLetter"/>
      <w:start w:val="4"/>
    </w:lvl>
  </w:abstractNum>
  <w:abstractNum w:abstractNumId="269">
    <w:nsid w:val="2AB26587"/>
    <w:multiLevelType w:val="hybridMultilevel"/>
    <w:lvl w:ilvl="0">
      <w:lvlJc w:val="left"/>
      <w:lvlText w:val="(%1)"/>
      <w:numFmt w:val="lowerLetter"/>
      <w:start w:val="1"/>
    </w:lvl>
  </w:abstractNum>
  <w:abstractNum w:abstractNumId="270">
    <w:nsid w:val="44B3FA61"/>
    <w:multiLevelType w:val="hybridMultilevel"/>
    <w:lvl w:ilvl="0">
      <w:lvlJc w:val="left"/>
      <w:lvlText w:val="(%1)"/>
      <w:numFmt w:val="lowerLetter"/>
      <w:start w:val="2"/>
    </w:lvl>
  </w:abstractNum>
  <w:abstractNum w:abstractNumId="271">
    <w:nsid w:val="1C0CA67C"/>
    <w:multiLevelType w:val="hybridMultilevel"/>
    <w:lvl w:ilvl="0">
      <w:lvlJc w:val="left"/>
      <w:lvlText w:val="(%1)"/>
      <w:numFmt w:val="lowerLetter"/>
      <w:start w:val="3"/>
    </w:lvl>
  </w:abstractNum>
  <w:abstractNum w:abstractNumId="272">
    <w:nsid w:val="3D206613"/>
    <w:multiLevelType w:val="hybridMultilevel"/>
    <w:lvl w:ilvl="0">
      <w:lvlJc w:val="left"/>
      <w:lvlText w:val="(%1)"/>
      <w:numFmt w:val="lowerLetter"/>
      <w:start w:val="1"/>
    </w:lvl>
  </w:abstractNum>
  <w:abstractNum w:abstractNumId="273">
    <w:nsid w:val="7993B662"/>
    <w:multiLevelType w:val="hybridMultilevel"/>
    <w:lvl w:ilvl="0">
      <w:lvlJc w:val="left"/>
      <w:lvlText w:val="(%1)"/>
      <w:numFmt w:val="lowerLetter"/>
      <w:start w:val="2"/>
    </w:lvl>
  </w:abstractNum>
  <w:abstractNum w:abstractNumId="274">
    <w:nsid w:val="3BAB699E"/>
    <w:multiLevelType w:val="hybridMultilevel"/>
    <w:lvl w:ilvl="0">
      <w:lvlJc w:val="left"/>
      <w:lvlText w:val="(%1)"/>
      <w:numFmt w:val="lowerLetter"/>
      <w:start w:val="3"/>
    </w:lvl>
  </w:abstractNum>
  <w:abstractNum w:abstractNumId="275">
    <w:nsid w:val="71315369"/>
    <w:multiLevelType w:val="hybridMultilevel"/>
    <w:lvl w:ilvl="0">
      <w:lvlJc w:val="left"/>
      <w:lvlText w:val="(%1)"/>
      <w:numFmt w:val="lowerLetter"/>
      <w:start w:val="4"/>
    </w:lvl>
  </w:abstractNum>
  <w:abstractNum w:abstractNumId="276">
    <w:nsid w:val="7BCFBAFC"/>
    <w:multiLevelType w:val="hybridMultilevel"/>
    <w:lvl w:ilvl="0">
      <w:lvlJc w:val="left"/>
      <w:lvlText w:val="(%1)"/>
      <w:numFmt w:val="lowerLetter"/>
      <w:start w:val="1"/>
    </w:lvl>
  </w:abstractNum>
  <w:abstractNum w:abstractNumId="277">
    <w:nsid w:val="17859F72"/>
    <w:multiLevelType w:val="hybridMultilevel"/>
    <w:lvl w:ilvl="0">
      <w:lvlJc w:val="left"/>
      <w:lvlText w:val="(%1)"/>
      <w:numFmt w:val="lowerLetter"/>
      <w:start w:val="3"/>
    </w:lvl>
  </w:abstractNum>
  <w:abstractNum w:abstractNumId="278">
    <w:nsid w:val="3AA10581"/>
    <w:multiLevelType w:val="hybridMultilevel"/>
    <w:lvl w:ilvl="0">
      <w:lvlJc w:val="left"/>
      <w:lvlText w:val="(%1)"/>
      <w:numFmt w:val="lowerLetter"/>
      <w:start w:val="6"/>
    </w:lvl>
  </w:abstractNum>
  <w:abstractNum w:abstractNumId="279">
    <w:nsid w:val="63DE60CD"/>
    <w:multiLevelType w:val="hybridMultilevel"/>
    <w:lvl w:ilvl="0">
      <w:lvlJc w:val="left"/>
      <w:lvlText w:val="(%1)"/>
      <w:numFmt w:val="lowerLetter"/>
      <w:start w:val="7"/>
    </w:lvl>
  </w:abstractNum>
  <w:abstractNum w:abstractNumId="280">
    <w:nsid w:val="621AF471"/>
    <w:multiLevelType w:val="hybridMultilevel"/>
    <w:lvl w:ilvl="0">
      <w:lvlJc w:val="left"/>
      <w:lvlText w:val="(%1)"/>
      <w:numFmt w:val="lowerLetter"/>
      <w:start w:val="8"/>
    </w:lvl>
  </w:abstractNum>
  <w:abstractNum w:abstractNumId="281">
    <w:nsid w:val="73CFE165"/>
    <w:multiLevelType w:val="hybridMultilevel"/>
    <w:lvl w:ilvl="0">
      <w:lvlJc w:val="left"/>
      <w:lvlText w:val="(%1)"/>
      <w:numFmt w:val="upperLetter"/>
      <w:start w:val="2"/>
    </w:lvl>
  </w:abstractNum>
  <w:abstractNum w:abstractNumId="282">
    <w:nsid w:val="20F88EA6"/>
    <w:multiLevelType w:val="hybridMultilevel"/>
    <w:lvl w:ilvl="0">
      <w:lvlJc w:val="left"/>
      <w:lvlText w:val="(%1)"/>
      <w:numFmt w:val="lowerRoman"/>
      <w:start w:val="3"/>
    </w:lvl>
  </w:abstractNum>
  <w:abstractNum w:abstractNumId="283">
    <w:nsid w:val="617C843E"/>
    <w:multiLevelType w:val="hybridMultilevel"/>
    <w:lvl w:ilvl="0">
      <w:lvlJc w:val="left"/>
      <w:lvlText w:val="-"/>
      <w:numFmt w:val="bullet"/>
      <w:start w:val="1"/>
    </w:lvl>
    <w:lvl w:ilvl="1">
      <w:lvlJc w:val="left"/>
      <w:lvlText w:val="(%2)"/>
      <w:numFmt w:val="lowerLetter"/>
      <w:start w:val="2"/>
    </w:lvl>
  </w:abstractNum>
  <w:abstractNum w:abstractNumId="284">
    <w:nsid w:val="7B541FAB"/>
    <w:multiLevelType w:val="hybridMultilevel"/>
    <w:lvl w:ilvl="0">
      <w:lvlJc w:val="left"/>
      <w:lvlText w:val="(%1)"/>
      <w:numFmt w:val="lowerLetter"/>
      <w:start w:val="4"/>
    </w:lvl>
  </w:abstractNum>
  <w:abstractNum w:abstractNumId="285">
    <w:nsid w:val="2A79EC49"/>
    <w:multiLevelType w:val="hybridMultilevel"/>
    <w:lvl w:ilvl="0">
      <w:lvlJc w:val="left"/>
      <w:lvlText w:val="(%1)"/>
      <w:numFmt w:val="lowerLetter"/>
      <w:start w:val="1"/>
    </w:lvl>
  </w:abstractNum>
  <w:abstractNum w:abstractNumId="286">
    <w:nsid w:val="338125CF"/>
    <w:multiLevelType w:val="hybridMultilevel"/>
    <w:lvl w:ilvl="0">
      <w:lvlJc w:val="left"/>
      <w:lvlText w:val="(%1)"/>
      <w:numFmt w:val="lowerLetter"/>
      <w:start w:val="1"/>
    </w:lvl>
  </w:abstractNum>
  <w:abstractNum w:abstractNumId="287">
    <w:nsid w:val="47C7C971"/>
    <w:multiLevelType w:val="hybridMultilevel"/>
    <w:lvl w:ilvl="0">
      <w:lvlJc w:val="left"/>
      <w:lvlText w:val="(%1)"/>
      <w:numFmt w:val="lowerLetter"/>
      <w:start w:val="2"/>
    </w:lvl>
  </w:abstractNum>
  <w:abstractNum w:abstractNumId="288">
    <w:nsid w:val="46F8284B"/>
    <w:multiLevelType w:val="hybridMultilevel"/>
    <w:lvl w:ilvl="0">
      <w:lvlJc w:val="left"/>
      <w:lvlText w:val="(%1)"/>
      <w:numFmt w:val="lowerRoman"/>
      <w:start w:val="3"/>
    </w:lvl>
  </w:abstractNum>
  <w:abstractNum w:abstractNumId="289">
    <w:nsid w:val="4FA327CE"/>
    <w:multiLevelType w:val="hybridMultilevel"/>
    <w:lvl w:ilvl="0">
      <w:lvlJc w:val="left"/>
      <w:lvlText w:val="(%1)"/>
      <w:numFmt w:val="lowerLetter"/>
      <w:start w:val="3"/>
    </w:lvl>
  </w:abstractNum>
  <w:abstractNum w:abstractNumId="290">
    <w:nsid w:val="1873983A"/>
    <w:multiLevelType w:val="hybridMultilevel"/>
    <w:lvl w:ilvl="0">
      <w:lvlJc w:val="left"/>
      <w:lvlText w:val="(%1)"/>
      <w:numFmt w:val="lowerLetter"/>
      <w:start w:val="4"/>
    </w:lvl>
  </w:abstractNum>
  <w:abstractNum w:abstractNumId="291">
    <w:nsid w:val="3D2DD275"/>
    <w:multiLevelType w:val="hybridMultilevel"/>
    <w:lvl w:ilvl="0">
      <w:lvlJc w:val="left"/>
      <w:lvlText w:val="(%1)"/>
      <w:numFmt w:val="lowerLetter"/>
      <w:start w:val="5"/>
    </w:lvl>
  </w:abstractNum>
  <w:abstractNum w:abstractNumId="292">
    <w:nsid w:val="2E17ECA7"/>
    <w:multiLevelType w:val="hybridMultilevel"/>
    <w:lvl w:ilvl="0">
      <w:lvlJc w:val="left"/>
      <w:lvlText w:val="(%1)"/>
      <w:numFmt w:val="lowerLetter"/>
      <w:start w:val="6"/>
    </w:lvl>
  </w:abstractNum>
  <w:abstractNum w:abstractNumId="293">
    <w:nsid w:val="53B2564F"/>
    <w:multiLevelType w:val="hybridMultilevel"/>
    <w:lvl w:ilvl="0">
      <w:lvlJc w:val="left"/>
      <w:lvlText w:val="(%1)"/>
      <w:numFmt w:val="lowerLetter"/>
      <w:start w:val="7"/>
    </w:lvl>
  </w:abstractNum>
  <w:abstractNum w:abstractNumId="294">
    <w:nsid w:val="75509D76"/>
    <w:multiLevelType w:val="hybridMultilevel"/>
    <w:lvl w:ilvl="0">
      <w:lvlJc w:val="left"/>
      <w:lvlText w:val="(%1)"/>
      <w:numFmt w:val="lowerLetter"/>
      <w:start w:val="1"/>
    </w:lvl>
  </w:abstractNum>
  <w:abstractNum w:abstractNumId="295">
    <w:nsid w:val="1AF7F0EA"/>
    <w:multiLevelType w:val="hybridMultilevel"/>
    <w:lvl w:ilvl="0">
      <w:lvlJc w:val="left"/>
      <w:lvlText w:val="(%1)"/>
      <w:numFmt w:val="lowerLetter"/>
      <w:start w:val="2"/>
    </w:lvl>
  </w:abstractNum>
  <w:abstractNum w:abstractNumId="296">
    <w:nsid w:val="4DA32C7E"/>
    <w:multiLevelType w:val="hybridMultilevel"/>
    <w:lvl w:ilvl="0">
      <w:lvlJc w:val="left"/>
      <w:lvlText w:val="(%1)"/>
      <w:numFmt w:val="lowerLetter"/>
      <w:start w:val="5"/>
    </w:lvl>
  </w:abstractNum>
  <w:abstractNum w:abstractNumId="297">
    <w:nsid w:val="6EC68664"/>
    <w:multiLevelType w:val="hybridMultilevel"/>
    <w:lvl w:ilvl="0">
      <w:lvlJc w:val="left"/>
      <w:lvlText w:val="(%1)"/>
      <w:numFmt w:val="lowerLetter"/>
      <w:start w:val="35"/>
    </w:lvl>
  </w:abstractNum>
  <w:abstractNum w:abstractNumId="298">
    <w:nsid w:val="E0D31FF"/>
    <w:multiLevelType w:val="hybridMultilevel"/>
    <w:lvl w:ilvl="0">
      <w:lvlJc w:val="left"/>
      <w:lvlText w:val="(%1)"/>
      <w:numFmt w:val="lowerLetter"/>
      <w:start w:val="2"/>
    </w:lvl>
  </w:abstractNum>
  <w:abstractNum w:abstractNumId="299">
    <w:nsid w:val="2FD0AD81"/>
    <w:multiLevelType w:val="hybridMultilevel"/>
    <w:lvl w:ilvl="0">
      <w:lvlJc w:val="left"/>
      <w:lvlText w:val="%1."/>
      <w:numFmt w:val="upperLetter"/>
      <w:start w:val="1"/>
    </w:lvl>
  </w:abstractNum>
  <w:abstractNum w:abstractNumId="300">
    <w:nsid w:val="1978EBEB"/>
    <w:multiLevelType w:val="hybridMultilevel"/>
    <w:lvl w:ilvl="0">
      <w:lvlJc w:val="left"/>
      <w:lvlText w:val="%1."/>
      <w:numFmt w:val="upperLetter"/>
      <w:start w:val="4"/>
    </w:lvl>
  </w:abstractNum>
  <w:abstractNum w:abstractNumId="301">
    <w:nsid w:val="52C12C61"/>
    <w:multiLevelType w:val="hybridMultilevel"/>
    <w:lvl w:ilvl="0">
      <w:lvlJc w:val="left"/>
      <w:lvlText w:val="%1."/>
      <w:numFmt w:val="upperLetter"/>
      <w:start w:val="6"/>
    </w:lvl>
  </w:abstractNum>
  <w:abstractNum w:abstractNumId="302">
    <w:nsid w:val="4BDD53FD"/>
    <w:multiLevelType w:val="hybridMultilevel"/>
    <w:lvl w:ilvl="0">
      <w:lvlJc w:val="left"/>
      <w:lvlText w:val="(%1)"/>
      <w:numFmt w:val="lowerRoman"/>
      <w:start w:val="1"/>
    </w:lvl>
  </w:abstractNum>
  <w:abstractNum w:abstractNumId="303">
    <w:nsid w:val="569951FE"/>
    <w:multiLevelType w:val="hybridMultilevel"/>
    <w:lvl w:ilvl="0">
      <w:lvlJc w:val="left"/>
      <w:lvlText w:val="(%1)"/>
      <w:numFmt w:val="lowerRoman"/>
      <w:start w:val="2"/>
    </w:lvl>
  </w:abstractNum>
  <w:abstractNum w:abstractNumId="304">
    <w:nsid w:val="4C54E2C3"/>
    <w:multiLevelType w:val="hybridMultilevel"/>
    <w:lvl w:ilvl="0">
      <w:lvlJc w:val="left"/>
      <w:lvlText w:val="(%1)"/>
      <w:numFmt w:val="lowerRoman"/>
      <w:start w:val="3"/>
    </w:lvl>
  </w:abstractNum>
  <w:abstractNum w:abstractNumId="305">
    <w:nsid w:val="788BD9B"/>
    <w:multiLevelType w:val="hybridMultilevel"/>
    <w:lvl w:ilvl="0">
      <w:lvlJc w:val="left"/>
      <w:lvlText w:val="(%1)"/>
      <w:numFmt w:val="lowerLetter"/>
      <w:start w:val="2"/>
    </w:lvl>
  </w:abstractNum>
  <w:abstractNum w:abstractNumId="306">
    <w:nsid w:val="47CAA567"/>
    <w:multiLevelType w:val="hybridMultilevel"/>
    <w:lvl w:ilvl="0">
      <w:lvlJc w:val="left"/>
      <w:lvlText w:val="(%1)"/>
      <w:numFmt w:val="lowerRoman"/>
      <w:start w:val="2"/>
    </w:lvl>
  </w:abstractNum>
  <w:abstractNum w:abstractNumId="307">
    <w:nsid w:val="48249DBF"/>
    <w:multiLevelType w:val="hybridMultilevel"/>
    <w:lvl w:ilvl="0">
      <w:lvlJc w:val="left"/>
      <w:lvlText w:val="(%1)"/>
      <w:numFmt w:val="lowerRoman"/>
      <w:start w:val="1"/>
    </w:lvl>
  </w:abstractNum>
  <w:abstractNum w:abstractNumId="308">
    <w:nsid w:val="1F0E5D0D"/>
    <w:multiLevelType w:val="hybridMultilevel"/>
    <w:lvl w:ilvl="0">
      <w:lvlJc w:val="left"/>
      <w:lvlText w:val="(%1)"/>
      <w:numFmt w:val="lowerRoman"/>
      <w:start w:val="4"/>
    </w:lvl>
  </w:abstractNum>
  <w:abstractNum w:abstractNumId="309">
    <w:nsid w:val="26BAAE9"/>
    <w:multiLevelType w:val="hybridMultilevel"/>
    <w:lvl w:ilvl="0">
      <w:lvlJc w:val="left"/>
      <w:lvlText w:val="(%1)"/>
      <w:numFmt w:val="lowerLetter"/>
      <w:start w:val="1"/>
    </w:lvl>
    <w:lvl w:ilvl="1">
      <w:lvlJc w:val="left"/>
      <w:lvlText w:val="(%2)"/>
      <w:numFmt w:val="decimal"/>
      <w:start w:val="1"/>
    </w:lvl>
  </w:abstractNum>
  <w:abstractNum w:abstractNumId="310">
    <w:nsid w:val="2C02FE8C"/>
    <w:multiLevelType w:val="hybridMultilevel"/>
    <w:lvl w:ilvl="0">
      <w:lvlJc w:val="left"/>
      <w:lvlText w:val="(%1)"/>
      <w:numFmt w:val="lowerLetter"/>
      <w:start w:val="61"/>
    </w:lvl>
    <w:lvl w:ilvl="1">
      <w:lvlJc w:val="left"/>
      <w:lvlText w:val="(%2)"/>
      <w:numFmt w:val="decimal"/>
      <w:start w:val="3"/>
    </w:lvl>
  </w:abstractNum>
  <w:abstractNum w:abstractNumId="311">
    <w:nsid w:val="129517E"/>
    <w:multiLevelType w:val="hybridMultilevel"/>
    <w:lvl w:ilvl="0">
      <w:lvlJc w:val="left"/>
      <w:lvlText w:val="(%1)"/>
      <w:numFmt w:val="lowerLetter"/>
      <w:start w:val="3"/>
    </w:lvl>
    <w:lvl w:ilvl="1">
      <w:lvlJc w:val="left"/>
      <w:lvlText w:val="%2"/>
      <w:numFmt w:val="decimal"/>
      <w:start w:val="1"/>
    </w:lvl>
  </w:abstractNum>
  <w:abstractNum w:abstractNumId="312">
    <w:nsid w:val="763B8C4E"/>
    <w:multiLevelType w:val="hybridMultilevel"/>
    <w:lvl w:ilvl="0">
      <w:lvlJc w:val="left"/>
      <w:lvlText w:val="(%1)"/>
      <w:numFmt w:val="lowerLetter"/>
      <w:start w:val="4"/>
    </w:lvl>
    <w:lvl w:ilvl="1">
      <w:lvlJc w:val="left"/>
      <w:lvlText w:val="(%2)"/>
      <w:numFmt w:val="decimal"/>
      <w:start w:val="1"/>
    </w:lvl>
  </w:abstractNum>
  <w:abstractNum w:abstractNumId="313">
    <w:nsid w:val="4CFB8D32"/>
    <w:multiLevelType w:val="hybridMultilevel"/>
    <w:lvl w:ilvl="0">
      <w:lvlJc w:val="left"/>
      <w:lvlText w:val="(%1)"/>
      <w:numFmt w:val="lowerLetter"/>
      <w:start w:val="7"/>
    </w:lvl>
  </w:abstractNum>
  <w:abstractNum w:abstractNumId="314">
    <w:nsid w:val="62A5D5BD"/>
    <w:multiLevelType w:val="hybridMultilevel"/>
    <w:lvl w:ilvl="0">
      <w:lvlJc w:val="left"/>
      <w:lvlText w:val="(%1)"/>
      <w:numFmt w:val="lowerLetter"/>
      <w:start w:val="12"/>
    </w:lvl>
  </w:abstractNum>
  <w:abstractNum w:abstractNumId="315">
    <w:nsid w:val="718FABF9"/>
    <w:multiLevelType w:val="hybridMultilevel"/>
    <w:lvl w:ilvl="0">
      <w:lvlJc w:val="left"/>
      <w:lvlText w:val="%1."/>
      <w:numFmt w:val="decimal"/>
      <w:start w:val="1"/>
    </w:lvl>
  </w:abstractNum>
  <w:abstractNum w:abstractNumId="316">
    <w:nsid w:val="7775797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2019-12-20T01:55:48Z</dcterms:created>
  <dcterms:modified xsi:type="dcterms:W3CDTF">2019-12-20T01:55:48Z</dcterms:modified>
</cp:coreProperties>
</file>